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681132"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384175</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862A6F" w:rsidRDefault="00862A6F" w:rsidP="00337267">
      <w:pPr>
        <w:jc w:val="both"/>
        <w:rPr>
          <w:szCs w:val="24"/>
        </w:rPr>
      </w:pPr>
    </w:p>
    <w:p w:rsidR="001276C4" w:rsidRDefault="001276C4" w:rsidP="00337267">
      <w:pPr>
        <w:jc w:val="both"/>
        <w:rPr>
          <w:szCs w:val="24"/>
        </w:rPr>
      </w:pPr>
    </w:p>
    <w:p w:rsidR="002C4392" w:rsidRDefault="002C4392" w:rsidP="00337267">
      <w:pPr>
        <w:jc w:val="both"/>
        <w:rPr>
          <w:szCs w:val="24"/>
        </w:rPr>
      </w:pPr>
    </w:p>
    <w:p w:rsidR="00CF684F" w:rsidRDefault="00CF684F" w:rsidP="00337267">
      <w:pPr>
        <w:jc w:val="both"/>
        <w:rPr>
          <w:szCs w:val="24"/>
        </w:rPr>
      </w:pPr>
    </w:p>
    <w:p w:rsidR="00CF684F" w:rsidRDefault="00CF684F" w:rsidP="00337267">
      <w:pPr>
        <w:jc w:val="both"/>
        <w:rPr>
          <w:szCs w:val="24"/>
        </w:rPr>
      </w:pPr>
    </w:p>
    <w:p w:rsidR="00CF684F" w:rsidRDefault="00CF684F" w:rsidP="00337267">
      <w:pPr>
        <w:jc w:val="both"/>
        <w:rPr>
          <w:szCs w:val="24"/>
        </w:rPr>
      </w:pPr>
    </w:p>
    <w:p w:rsidR="00F01627" w:rsidRDefault="00F01627" w:rsidP="00337267">
      <w:pPr>
        <w:jc w:val="both"/>
        <w:rPr>
          <w:szCs w:val="24"/>
        </w:rPr>
      </w:pPr>
    </w:p>
    <w:p w:rsidR="00F01627" w:rsidRDefault="00F01627" w:rsidP="00337267">
      <w:pPr>
        <w:jc w:val="both"/>
        <w:rPr>
          <w:szCs w:val="24"/>
        </w:rPr>
      </w:pPr>
    </w:p>
    <w:p w:rsidR="00981666" w:rsidRDefault="00981666" w:rsidP="00337267">
      <w:pPr>
        <w:jc w:val="both"/>
        <w:rPr>
          <w:szCs w:val="24"/>
        </w:rPr>
      </w:pPr>
    </w:p>
    <w:p w:rsidR="00E60EF5" w:rsidRPr="00EC1489" w:rsidRDefault="00E60EF5" w:rsidP="00337267">
      <w:pPr>
        <w:jc w:val="both"/>
        <w:rPr>
          <w:szCs w:val="24"/>
        </w:rPr>
      </w:pPr>
      <w:bookmarkStart w:id="0" w:name="_GoBack"/>
      <w:bookmarkEnd w:id="0"/>
      <w:r w:rsidRPr="00EC1489">
        <w:rPr>
          <w:szCs w:val="24"/>
        </w:rPr>
        <w:t>KORRALDUS</w:t>
      </w:r>
    </w:p>
    <w:p w:rsidR="00E60EF5" w:rsidRPr="00EC1489" w:rsidRDefault="00E60EF5" w:rsidP="00337267">
      <w:pPr>
        <w:pStyle w:val="Kehatekst"/>
        <w:jc w:val="both"/>
        <w:rPr>
          <w:b w:val="0"/>
          <w:bCs w:val="0"/>
          <w:szCs w:val="24"/>
        </w:rPr>
      </w:pPr>
    </w:p>
    <w:p w:rsidR="001276C4" w:rsidRPr="00EC1489" w:rsidRDefault="001276C4" w:rsidP="00337267">
      <w:pPr>
        <w:pStyle w:val="Kehatekst"/>
        <w:jc w:val="both"/>
        <w:rPr>
          <w:b w:val="0"/>
          <w:bCs w:val="0"/>
          <w:szCs w:val="24"/>
        </w:rPr>
      </w:pPr>
    </w:p>
    <w:p w:rsidR="001276C4" w:rsidRPr="00EC1489" w:rsidRDefault="001276C4" w:rsidP="00337267">
      <w:pPr>
        <w:pStyle w:val="Kehatekst"/>
        <w:jc w:val="both"/>
        <w:rPr>
          <w:b w:val="0"/>
          <w:bCs w:val="0"/>
          <w:szCs w:val="24"/>
        </w:rPr>
      </w:pPr>
    </w:p>
    <w:p w:rsidR="00E60EF5" w:rsidRPr="00EC1489" w:rsidRDefault="00FF2577" w:rsidP="00337267">
      <w:pPr>
        <w:jc w:val="both"/>
        <w:rPr>
          <w:b/>
          <w:bCs/>
          <w:szCs w:val="24"/>
        </w:rPr>
      </w:pPr>
      <w:r w:rsidRPr="00FF2577">
        <w:rPr>
          <w:b/>
          <w:szCs w:val="24"/>
        </w:rPr>
        <w:t>O</w:t>
      </w:r>
      <w:r w:rsidRPr="00FF2577">
        <w:rPr>
          <w:b/>
          <w:szCs w:val="24"/>
        </w:rPr>
        <w:t>saühingule</w:t>
      </w:r>
      <w:r w:rsidRPr="00FF2577">
        <w:rPr>
          <w:b/>
          <w:szCs w:val="24"/>
        </w:rPr>
        <w:t xml:space="preserve"> Tallinn </w:t>
      </w:r>
      <w:proofErr w:type="spellStart"/>
      <w:r w:rsidRPr="00FF2577">
        <w:rPr>
          <w:b/>
          <w:szCs w:val="24"/>
        </w:rPr>
        <w:t>Shipyard</w:t>
      </w:r>
      <w:proofErr w:type="spellEnd"/>
      <w:r w:rsidRPr="00FF2577">
        <w:rPr>
          <w:b/>
          <w:bCs/>
          <w:szCs w:val="24"/>
        </w:rPr>
        <w:t xml:space="preserve"> </w:t>
      </w:r>
      <w:r w:rsidR="00DA1744" w:rsidRPr="00FF2577">
        <w:rPr>
          <w:b/>
          <w:bCs/>
          <w:szCs w:val="24"/>
        </w:rPr>
        <w:t>v</w:t>
      </w:r>
      <w:r w:rsidR="00E60EF5" w:rsidRPr="00FF2577">
        <w:rPr>
          <w:b/>
          <w:bCs/>
          <w:szCs w:val="24"/>
        </w:rPr>
        <w:t>ee</w:t>
      </w:r>
      <w:r w:rsidR="00E60EF5" w:rsidRPr="00EC1489">
        <w:rPr>
          <w:b/>
          <w:bCs/>
          <w:szCs w:val="24"/>
        </w:rPr>
        <w:t xml:space="preserve"> erikasutusloa andmine </w:t>
      </w:r>
    </w:p>
    <w:p w:rsidR="0034145D" w:rsidRPr="00EC1489" w:rsidRDefault="0034145D" w:rsidP="00337267">
      <w:pPr>
        <w:jc w:val="both"/>
        <w:rPr>
          <w:szCs w:val="24"/>
        </w:rPr>
      </w:pPr>
    </w:p>
    <w:p w:rsidR="00F01627" w:rsidRDefault="00F01627" w:rsidP="00337267">
      <w:pPr>
        <w:jc w:val="both"/>
        <w:rPr>
          <w:szCs w:val="24"/>
        </w:rPr>
      </w:pPr>
    </w:p>
    <w:p w:rsidR="00E60EF5" w:rsidRPr="00371CB0" w:rsidRDefault="00E60EF5" w:rsidP="00337267">
      <w:pPr>
        <w:jc w:val="both"/>
        <w:rPr>
          <w:b/>
          <w:bCs/>
          <w:szCs w:val="24"/>
        </w:rPr>
      </w:pPr>
      <w:r w:rsidRPr="00371CB0">
        <w:rPr>
          <w:b/>
          <w:bCs/>
          <w:szCs w:val="24"/>
        </w:rPr>
        <w:t>1. ASJAOLUD</w:t>
      </w:r>
    </w:p>
    <w:p w:rsidR="00AD33B0" w:rsidRPr="00371CB0" w:rsidRDefault="00130C8A" w:rsidP="00337267">
      <w:pPr>
        <w:jc w:val="both"/>
        <w:rPr>
          <w:szCs w:val="24"/>
        </w:rPr>
      </w:pPr>
      <w:r w:rsidRPr="00371CB0">
        <w:rPr>
          <w:szCs w:val="24"/>
        </w:rPr>
        <w:t>O</w:t>
      </w:r>
      <w:r w:rsidRPr="00371CB0">
        <w:rPr>
          <w:szCs w:val="24"/>
        </w:rPr>
        <w:t>saühing</w:t>
      </w:r>
      <w:r w:rsidRPr="00371CB0">
        <w:rPr>
          <w:szCs w:val="24"/>
        </w:rPr>
        <w:t xml:space="preserve"> Tallinn </w:t>
      </w:r>
      <w:proofErr w:type="spellStart"/>
      <w:r w:rsidRPr="00371CB0">
        <w:rPr>
          <w:szCs w:val="24"/>
        </w:rPr>
        <w:t>Shipyard</w:t>
      </w:r>
      <w:proofErr w:type="spellEnd"/>
      <w:r w:rsidRPr="00371CB0">
        <w:rPr>
          <w:b/>
          <w:bCs/>
          <w:szCs w:val="24"/>
        </w:rPr>
        <w:t xml:space="preserve"> </w:t>
      </w:r>
      <w:r w:rsidR="00E60EF5" w:rsidRPr="00371CB0">
        <w:rPr>
          <w:szCs w:val="24"/>
        </w:rPr>
        <w:t xml:space="preserve">(Äriregistri kood </w:t>
      </w:r>
      <w:r w:rsidRPr="00371CB0">
        <w:rPr>
          <w:szCs w:val="24"/>
        </w:rPr>
        <w:t>10329451</w:t>
      </w:r>
      <w:r w:rsidR="00E60EF5" w:rsidRPr="00371CB0">
        <w:rPr>
          <w:szCs w:val="24"/>
        </w:rPr>
        <w:t xml:space="preserve">) </w:t>
      </w:r>
      <w:r w:rsidR="00E60EF5" w:rsidRPr="00371CB0">
        <w:rPr>
          <w:bCs/>
          <w:szCs w:val="24"/>
        </w:rPr>
        <w:t xml:space="preserve">(edaspidi </w:t>
      </w:r>
      <w:r w:rsidR="00E60EF5" w:rsidRPr="00371CB0">
        <w:rPr>
          <w:bCs/>
          <w:i/>
          <w:szCs w:val="24"/>
        </w:rPr>
        <w:t>Taotleja</w:t>
      </w:r>
      <w:r w:rsidR="00E60EF5" w:rsidRPr="00371CB0">
        <w:rPr>
          <w:bCs/>
          <w:szCs w:val="24"/>
        </w:rPr>
        <w:t xml:space="preserve">) </w:t>
      </w:r>
      <w:r w:rsidR="00E60EF5" w:rsidRPr="00371CB0">
        <w:rPr>
          <w:szCs w:val="24"/>
        </w:rPr>
        <w:t>esitas</w:t>
      </w:r>
      <w:r w:rsidR="00AC5FAB" w:rsidRPr="00371CB0">
        <w:rPr>
          <w:szCs w:val="24"/>
        </w:rPr>
        <w:t xml:space="preserve"> </w:t>
      </w:r>
      <w:r w:rsidR="00E63A7A" w:rsidRPr="00371CB0">
        <w:rPr>
          <w:szCs w:val="24"/>
        </w:rPr>
        <w:t>2</w:t>
      </w:r>
      <w:r w:rsidR="00844AAC" w:rsidRPr="00371CB0">
        <w:rPr>
          <w:szCs w:val="24"/>
        </w:rPr>
        <w:t>8</w:t>
      </w:r>
      <w:r w:rsidR="009E5915" w:rsidRPr="00371CB0">
        <w:rPr>
          <w:szCs w:val="24"/>
        </w:rPr>
        <w:t>.06</w:t>
      </w:r>
      <w:r w:rsidR="00174AA2" w:rsidRPr="00371CB0">
        <w:rPr>
          <w:szCs w:val="24"/>
        </w:rPr>
        <w:t>.2016</w:t>
      </w:r>
      <w:r w:rsidR="00130992" w:rsidRPr="00371CB0">
        <w:rPr>
          <w:szCs w:val="24"/>
        </w:rPr>
        <w:t xml:space="preserve"> k</w:t>
      </w:r>
      <w:r w:rsidR="00E60EF5" w:rsidRPr="00371CB0">
        <w:rPr>
          <w:szCs w:val="24"/>
        </w:rPr>
        <w:t>irjaga</w:t>
      </w:r>
      <w:r w:rsidR="00E63A7A" w:rsidRPr="00371CB0">
        <w:rPr>
          <w:szCs w:val="24"/>
        </w:rPr>
        <w:t xml:space="preserve"> nr </w:t>
      </w:r>
      <w:r w:rsidR="00844AAC" w:rsidRPr="00371CB0">
        <w:rPr>
          <w:szCs w:val="24"/>
        </w:rPr>
        <w:t>17</w:t>
      </w:r>
      <w:r w:rsidR="00E63A7A" w:rsidRPr="00371CB0">
        <w:rPr>
          <w:szCs w:val="24"/>
        </w:rPr>
        <w:t>/</w:t>
      </w:r>
      <w:r w:rsidR="00844AAC" w:rsidRPr="00371CB0">
        <w:rPr>
          <w:szCs w:val="24"/>
        </w:rPr>
        <w:t>23-0</w:t>
      </w:r>
      <w:r w:rsidR="009E5915" w:rsidRPr="00371CB0">
        <w:rPr>
          <w:szCs w:val="24"/>
        </w:rPr>
        <w:t xml:space="preserve"> </w:t>
      </w:r>
      <w:r w:rsidR="00E60EF5" w:rsidRPr="00371CB0">
        <w:rPr>
          <w:szCs w:val="24"/>
        </w:rPr>
        <w:t>Keskkonnaametile vee erikasutuslo</w:t>
      </w:r>
      <w:r w:rsidR="009F68BB" w:rsidRPr="00371CB0">
        <w:rPr>
          <w:szCs w:val="24"/>
        </w:rPr>
        <w:t xml:space="preserve">a taotluse laevade </w:t>
      </w:r>
      <w:r w:rsidR="00844AAC" w:rsidRPr="00371CB0">
        <w:rPr>
          <w:szCs w:val="24"/>
        </w:rPr>
        <w:t>remontimiseks Vene-Balti sadama dokkides</w:t>
      </w:r>
      <w:r w:rsidR="009F68BB" w:rsidRPr="00371CB0">
        <w:rPr>
          <w:szCs w:val="24"/>
        </w:rPr>
        <w:t xml:space="preserve">. </w:t>
      </w:r>
      <w:r w:rsidR="00890C98" w:rsidRPr="00371CB0">
        <w:rPr>
          <w:szCs w:val="24"/>
        </w:rPr>
        <w:t xml:space="preserve">Taotlus saabus ja registreeriti Keskkonnaametis </w:t>
      </w:r>
      <w:r w:rsidR="00E63A7A" w:rsidRPr="00371CB0">
        <w:rPr>
          <w:szCs w:val="24"/>
        </w:rPr>
        <w:t>2</w:t>
      </w:r>
      <w:r w:rsidR="00844AAC" w:rsidRPr="00371CB0">
        <w:rPr>
          <w:szCs w:val="24"/>
        </w:rPr>
        <w:t>8</w:t>
      </w:r>
      <w:r w:rsidR="00511EC6" w:rsidRPr="00371CB0">
        <w:rPr>
          <w:szCs w:val="24"/>
        </w:rPr>
        <w:t>.06</w:t>
      </w:r>
      <w:r w:rsidR="00174AA2" w:rsidRPr="00371CB0">
        <w:rPr>
          <w:szCs w:val="24"/>
        </w:rPr>
        <w:t>.2016</w:t>
      </w:r>
      <w:r w:rsidR="00890C98" w:rsidRPr="00371CB0">
        <w:rPr>
          <w:szCs w:val="24"/>
        </w:rPr>
        <w:t xml:space="preserve"> nr </w:t>
      </w:r>
      <w:r w:rsidR="00511EC6" w:rsidRPr="00371CB0">
        <w:rPr>
          <w:szCs w:val="24"/>
        </w:rPr>
        <w:t>14-6/16/5</w:t>
      </w:r>
      <w:r w:rsidR="00E63A7A" w:rsidRPr="00371CB0">
        <w:rPr>
          <w:szCs w:val="24"/>
        </w:rPr>
        <w:t>6</w:t>
      </w:r>
      <w:r w:rsidR="00844AAC" w:rsidRPr="00371CB0">
        <w:rPr>
          <w:szCs w:val="24"/>
        </w:rPr>
        <w:t>7</w:t>
      </w:r>
      <w:r w:rsidR="00890C98" w:rsidRPr="00371CB0">
        <w:rPr>
          <w:szCs w:val="24"/>
        </w:rPr>
        <w:t>.</w:t>
      </w:r>
      <w:r w:rsidR="00BB13A1" w:rsidRPr="00371CB0">
        <w:rPr>
          <w:szCs w:val="24"/>
        </w:rPr>
        <w:t xml:space="preserve"> </w:t>
      </w:r>
      <w:r w:rsidR="00511EC6" w:rsidRPr="00371CB0">
        <w:rPr>
          <w:rFonts w:eastAsia="Lucida Sans Unicode"/>
          <w:szCs w:val="24"/>
        </w:rPr>
        <w:t>Vene-Balti sadam</w:t>
      </w:r>
      <w:r w:rsidR="00844AAC" w:rsidRPr="00371CB0">
        <w:rPr>
          <w:rFonts w:eastAsia="Lucida Sans Unicode"/>
          <w:szCs w:val="24"/>
        </w:rPr>
        <w:t xml:space="preserve"> asub a</w:t>
      </w:r>
      <w:r w:rsidR="00174AA2" w:rsidRPr="00371CB0">
        <w:rPr>
          <w:rFonts w:eastAsia="Lucida Sans Unicode"/>
          <w:szCs w:val="24"/>
        </w:rPr>
        <w:t xml:space="preserve">adressil: </w:t>
      </w:r>
      <w:r w:rsidR="00511EC6" w:rsidRPr="00371CB0">
        <w:rPr>
          <w:rFonts w:eastAsia="Lucida Sans Unicode"/>
          <w:szCs w:val="24"/>
        </w:rPr>
        <w:t>Kopli 103, 11712 Tallinn.</w:t>
      </w:r>
    </w:p>
    <w:p w:rsidR="00890C98" w:rsidRPr="00371CB0" w:rsidRDefault="00130C8A" w:rsidP="00337267">
      <w:pPr>
        <w:jc w:val="both"/>
        <w:rPr>
          <w:szCs w:val="24"/>
        </w:rPr>
      </w:pPr>
      <w:r w:rsidRPr="00371CB0">
        <w:rPr>
          <w:szCs w:val="24"/>
        </w:rPr>
        <w:t xml:space="preserve"> </w:t>
      </w:r>
    </w:p>
    <w:p w:rsidR="00E60EF5" w:rsidRPr="00371CB0" w:rsidRDefault="00E60EF5" w:rsidP="00337267">
      <w:pPr>
        <w:jc w:val="both"/>
        <w:rPr>
          <w:szCs w:val="24"/>
        </w:rPr>
      </w:pPr>
      <w:r w:rsidRPr="00371CB0">
        <w:rPr>
          <w:szCs w:val="24"/>
        </w:rPr>
        <w:t xml:space="preserve">Veeseaduse § 8 lg 2 p 10 kohaselt on vee erikasutusluba vajalik muuhulgas juhul, kui toimub laeva regulaarne ohtlike ainetega </w:t>
      </w:r>
      <w:r w:rsidR="00F14700" w:rsidRPr="00371CB0">
        <w:rPr>
          <w:szCs w:val="24"/>
        </w:rPr>
        <w:t>seotud teenindamine või remont</w:t>
      </w:r>
      <w:r w:rsidRPr="00371CB0">
        <w:rPr>
          <w:szCs w:val="24"/>
        </w:rPr>
        <w:t xml:space="preserve">. Veeseaduse § 9 </w:t>
      </w:r>
      <w:proofErr w:type="spellStart"/>
      <w:r w:rsidRPr="00371CB0">
        <w:rPr>
          <w:szCs w:val="24"/>
        </w:rPr>
        <w:t>lg-st</w:t>
      </w:r>
      <w:proofErr w:type="spellEnd"/>
      <w:r w:rsidRPr="00371CB0">
        <w:rPr>
          <w:szCs w:val="24"/>
        </w:rPr>
        <w:t xml:space="preserve"> 5 tulenevalt annab vee erikasutusloa Keskkonnaamet. Keskkonnaamet hindas </w:t>
      </w:r>
      <w:r w:rsidR="005F6954" w:rsidRPr="00371CB0">
        <w:rPr>
          <w:szCs w:val="24"/>
        </w:rPr>
        <w:t xml:space="preserve">taotluses </w:t>
      </w:r>
      <w:r w:rsidRPr="00371CB0">
        <w:rPr>
          <w:szCs w:val="24"/>
        </w:rPr>
        <w:t xml:space="preserve">esitatud andmeid vastavalt keskkonnaministri 26.03.2002 määrusele nr 18 “Vee erikasutusloa ja ajutise vee erikasutusloa andmise, muutmise ja kehtetuks tunnistamise kord, loa taotlemiseks vajalike materjalide loetelu ja loa vormid”(edaspidi </w:t>
      </w:r>
      <w:r w:rsidRPr="00371CB0">
        <w:rPr>
          <w:i/>
          <w:iCs/>
          <w:szCs w:val="24"/>
        </w:rPr>
        <w:t>määrus nr 18</w:t>
      </w:r>
      <w:r w:rsidRPr="00371CB0">
        <w:rPr>
          <w:szCs w:val="24"/>
        </w:rPr>
        <w:t xml:space="preserve">) ning need vastavad nimetatud määruses esitatud nõuetele. </w:t>
      </w:r>
    </w:p>
    <w:p w:rsidR="00AD33B0" w:rsidRPr="00371CB0" w:rsidRDefault="00AD33B0" w:rsidP="00337267">
      <w:pPr>
        <w:jc w:val="both"/>
        <w:rPr>
          <w:szCs w:val="24"/>
        </w:rPr>
      </w:pPr>
    </w:p>
    <w:p w:rsidR="00AD33B0" w:rsidRPr="00371CB0" w:rsidRDefault="00AD33B0" w:rsidP="00AD33B0">
      <w:pPr>
        <w:jc w:val="both"/>
        <w:rPr>
          <w:b/>
          <w:szCs w:val="24"/>
        </w:rPr>
      </w:pPr>
      <w:r w:rsidRPr="00371CB0">
        <w:rPr>
          <w:b/>
          <w:szCs w:val="24"/>
        </w:rPr>
        <w:t>1.1 Tähelepanekud</w:t>
      </w:r>
    </w:p>
    <w:p w:rsidR="00C93CAB" w:rsidRPr="00371CB0" w:rsidRDefault="00AD33B0" w:rsidP="00C10379">
      <w:pPr>
        <w:jc w:val="both"/>
        <w:rPr>
          <w:bCs/>
          <w:szCs w:val="24"/>
        </w:rPr>
      </w:pPr>
      <w:r w:rsidRPr="00371CB0">
        <w:rPr>
          <w:szCs w:val="24"/>
        </w:rPr>
        <w:t>Keskkonna</w:t>
      </w:r>
      <w:r w:rsidR="007F0C5D" w:rsidRPr="00371CB0">
        <w:rPr>
          <w:szCs w:val="24"/>
        </w:rPr>
        <w:t>amet</w:t>
      </w:r>
      <w:r w:rsidRPr="00371CB0">
        <w:rPr>
          <w:szCs w:val="24"/>
        </w:rPr>
        <w:t xml:space="preserve"> on andnud Taotlejale vee erikasutusloa </w:t>
      </w:r>
      <w:r w:rsidR="00457916" w:rsidRPr="00371CB0">
        <w:rPr>
          <w:rFonts w:eastAsia="SimSun"/>
          <w:bCs/>
          <w:szCs w:val="24"/>
        </w:rPr>
        <w:t>L.VV/</w:t>
      </w:r>
      <w:r w:rsidR="00817A41" w:rsidRPr="00371CB0">
        <w:rPr>
          <w:rFonts w:eastAsia="SimSun"/>
          <w:bCs/>
          <w:szCs w:val="24"/>
        </w:rPr>
        <w:t>320</w:t>
      </w:r>
      <w:r w:rsidR="00276D23" w:rsidRPr="00371CB0">
        <w:rPr>
          <w:rFonts w:eastAsia="SimSun"/>
          <w:bCs/>
          <w:szCs w:val="24"/>
        </w:rPr>
        <w:t>907</w:t>
      </w:r>
      <w:r w:rsidR="00457916" w:rsidRPr="00371CB0">
        <w:rPr>
          <w:szCs w:val="24"/>
        </w:rPr>
        <w:t xml:space="preserve"> </w:t>
      </w:r>
      <w:r w:rsidR="00276D23" w:rsidRPr="00371CB0">
        <w:rPr>
          <w:szCs w:val="24"/>
        </w:rPr>
        <w:t>l</w:t>
      </w:r>
      <w:r w:rsidR="00276D23" w:rsidRPr="00371CB0">
        <w:rPr>
          <w:szCs w:val="24"/>
        </w:rPr>
        <w:t>aevade remontimi</w:t>
      </w:r>
      <w:r w:rsidR="00276D23" w:rsidRPr="00371CB0">
        <w:rPr>
          <w:szCs w:val="24"/>
        </w:rPr>
        <w:t>seks</w:t>
      </w:r>
      <w:r w:rsidR="00276D23" w:rsidRPr="00371CB0">
        <w:rPr>
          <w:szCs w:val="24"/>
        </w:rPr>
        <w:t xml:space="preserve"> Vene-Balti sadama d</w:t>
      </w:r>
      <w:r w:rsidR="00276D23" w:rsidRPr="00371CB0">
        <w:rPr>
          <w:szCs w:val="24"/>
        </w:rPr>
        <w:t xml:space="preserve">okkides ning sadama kaide ääres </w:t>
      </w:r>
      <w:r w:rsidRPr="00371CB0">
        <w:rPr>
          <w:szCs w:val="24"/>
        </w:rPr>
        <w:t xml:space="preserve">kehtivusega </w:t>
      </w:r>
      <w:r w:rsidR="00457916" w:rsidRPr="00371CB0">
        <w:rPr>
          <w:szCs w:val="24"/>
        </w:rPr>
        <w:t xml:space="preserve">kuni </w:t>
      </w:r>
      <w:r w:rsidR="00276D23" w:rsidRPr="00371CB0">
        <w:rPr>
          <w:szCs w:val="24"/>
        </w:rPr>
        <w:t>19.10</w:t>
      </w:r>
      <w:r w:rsidR="00511EC6" w:rsidRPr="00371CB0">
        <w:rPr>
          <w:szCs w:val="24"/>
        </w:rPr>
        <w:t>.</w:t>
      </w:r>
      <w:r w:rsidR="00174AA2" w:rsidRPr="00371CB0">
        <w:rPr>
          <w:szCs w:val="24"/>
        </w:rPr>
        <w:t>2016.</w:t>
      </w:r>
      <w:r w:rsidR="00681132" w:rsidRPr="00371CB0">
        <w:rPr>
          <w:szCs w:val="24"/>
        </w:rPr>
        <w:t xml:space="preserve"> </w:t>
      </w:r>
      <w:r w:rsidR="00CC3C52" w:rsidRPr="00371CB0">
        <w:rPr>
          <w:szCs w:val="24"/>
        </w:rPr>
        <w:t>Kuna loa kehtivuse aeg lõp</w:t>
      </w:r>
      <w:r w:rsidRPr="00371CB0">
        <w:rPr>
          <w:szCs w:val="24"/>
        </w:rPr>
        <w:t>eb, kuid ettevõttel on kavas töödega jätkata on esitatud taotlus u</w:t>
      </w:r>
      <w:r w:rsidR="00C10379" w:rsidRPr="00371CB0">
        <w:rPr>
          <w:szCs w:val="24"/>
        </w:rPr>
        <w:t xml:space="preserve">ue vee erikasutusloa saamiseks. </w:t>
      </w:r>
      <w:r w:rsidR="00C93CAB" w:rsidRPr="00371CB0">
        <w:rPr>
          <w:bCs/>
          <w:szCs w:val="24"/>
        </w:rPr>
        <w:t xml:space="preserve">Võrreldes kehtivas vee-erikasutusloas fikseeritud tegevustega ei ole toimunud </w:t>
      </w:r>
      <w:r w:rsidR="00276D23" w:rsidRPr="00371CB0">
        <w:rPr>
          <w:bCs/>
          <w:szCs w:val="24"/>
        </w:rPr>
        <w:t xml:space="preserve">olulisi </w:t>
      </w:r>
      <w:r w:rsidR="00C93CAB" w:rsidRPr="00371CB0">
        <w:rPr>
          <w:bCs/>
          <w:szCs w:val="24"/>
        </w:rPr>
        <w:t xml:space="preserve">tehnoloogilisi muudatusi </w:t>
      </w:r>
      <w:r w:rsidR="00276D23" w:rsidRPr="00371CB0">
        <w:rPr>
          <w:bCs/>
          <w:szCs w:val="24"/>
        </w:rPr>
        <w:t>laevade remontimisega seotud tööde</w:t>
      </w:r>
      <w:r w:rsidR="00C93CAB" w:rsidRPr="00371CB0">
        <w:rPr>
          <w:bCs/>
          <w:szCs w:val="24"/>
        </w:rPr>
        <w:t xml:space="preserve"> osas. </w:t>
      </w:r>
      <w:r w:rsidR="00371CB0" w:rsidRPr="00371CB0">
        <w:rPr>
          <w:bCs/>
          <w:szCs w:val="24"/>
        </w:rPr>
        <w:t xml:space="preserve"> </w:t>
      </w:r>
    </w:p>
    <w:p w:rsidR="00C93CAB" w:rsidRPr="00EC1489" w:rsidRDefault="00C93CAB" w:rsidP="00C93CAB">
      <w:pPr>
        <w:spacing w:line="240" w:lineRule="atLeast"/>
        <w:jc w:val="both"/>
        <w:rPr>
          <w:szCs w:val="24"/>
        </w:rPr>
      </w:pPr>
    </w:p>
    <w:p w:rsidR="00E60EF5" w:rsidRPr="00371CB0" w:rsidRDefault="00E60EF5" w:rsidP="00337267">
      <w:pPr>
        <w:jc w:val="both"/>
        <w:rPr>
          <w:b/>
          <w:bCs/>
          <w:szCs w:val="24"/>
        </w:rPr>
      </w:pPr>
      <w:r w:rsidRPr="00371CB0">
        <w:rPr>
          <w:b/>
          <w:szCs w:val="24"/>
        </w:rPr>
        <w:t>2. KAALUTLUSED VEE ERIKASUTUSLOA ANDMISEL</w:t>
      </w:r>
    </w:p>
    <w:p w:rsidR="00E60EF5" w:rsidRPr="00371CB0" w:rsidRDefault="00E60EF5" w:rsidP="00337267">
      <w:pPr>
        <w:pStyle w:val="Normaallaadveeb"/>
        <w:spacing w:before="0" w:after="0"/>
        <w:ind w:left="17"/>
        <w:jc w:val="both"/>
        <w:rPr>
          <w:lang w:val="et-EE"/>
        </w:rPr>
      </w:pPr>
      <w:r w:rsidRPr="00371CB0">
        <w:rPr>
          <w:lang w:val="et-EE"/>
        </w:rPr>
        <w:t xml:space="preserve">Vastavalt HMS § 56 </w:t>
      </w:r>
      <w:proofErr w:type="spellStart"/>
      <w:r w:rsidRPr="00371CB0">
        <w:rPr>
          <w:lang w:val="et-EE"/>
        </w:rPr>
        <w:t>lg-le</w:t>
      </w:r>
      <w:proofErr w:type="spellEnd"/>
      <w:r w:rsidRPr="00371CB0">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ning vee kasutamist ja kaitset sätestavatest õigusaktidest.</w:t>
      </w:r>
    </w:p>
    <w:p w:rsidR="00E60EF5" w:rsidRPr="00371CB0" w:rsidRDefault="00E60EF5" w:rsidP="00337267">
      <w:pPr>
        <w:autoSpaceDE w:val="0"/>
        <w:jc w:val="both"/>
        <w:rPr>
          <w:szCs w:val="24"/>
        </w:rPr>
      </w:pPr>
    </w:p>
    <w:p w:rsidR="00E60EF5" w:rsidRPr="00371CB0" w:rsidRDefault="00E60EF5" w:rsidP="00337267">
      <w:pPr>
        <w:jc w:val="both"/>
        <w:rPr>
          <w:b/>
          <w:szCs w:val="24"/>
        </w:rPr>
      </w:pPr>
      <w:r w:rsidRPr="00371CB0">
        <w:rPr>
          <w:b/>
          <w:szCs w:val="24"/>
        </w:rPr>
        <w:t xml:space="preserve">2.1 Taotluse avalikustamine ja seisukohtade </w:t>
      </w:r>
      <w:proofErr w:type="spellStart"/>
      <w:r w:rsidRPr="00371CB0">
        <w:rPr>
          <w:b/>
          <w:szCs w:val="24"/>
        </w:rPr>
        <w:t>ärakuulamine</w:t>
      </w:r>
      <w:proofErr w:type="spellEnd"/>
    </w:p>
    <w:p w:rsidR="00E60EF5" w:rsidRPr="00371CB0" w:rsidRDefault="00E60EF5" w:rsidP="00337267">
      <w:pPr>
        <w:jc w:val="both"/>
        <w:rPr>
          <w:szCs w:val="24"/>
        </w:rPr>
      </w:pPr>
      <w:r w:rsidRPr="00371CB0">
        <w:rPr>
          <w:szCs w:val="24"/>
        </w:rPr>
        <w:t>Veeseaduse § 9</w:t>
      </w:r>
      <w:r w:rsidRPr="00371CB0">
        <w:rPr>
          <w:szCs w:val="24"/>
          <w:vertAlign w:val="superscript"/>
        </w:rPr>
        <w:t>1</w:t>
      </w:r>
      <w:r w:rsidRPr="00371CB0">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w:t>
      </w:r>
      <w:r w:rsidRPr="00371CB0">
        <w:rPr>
          <w:szCs w:val="24"/>
        </w:rPr>
        <w:lastRenderedPageBreak/>
        <w:t xml:space="preserve">taotlemise kohta avalikustati </w:t>
      </w:r>
      <w:r w:rsidR="00371CB0">
        <w:rPr>
          <w:szCs w:val="24"/>
        </w:rPr>
        <w:t>30</w:t>
      </w:r>
      <w:r w:rsidR="00511EC6" w:rsidRPr="00371CB0">
        <w:rPr>
          <w:szCs w:val="24"/>
        </w:rPr>
        <w:t>.06.</w:t>
      </w:r>
      <w:r w:rsidR="00681132" w:rsidRPr="00371CB0">
        <w:rPr>
          <w:szCs w:val="24"/>
        </w:rPr>
        <w:t>2016</w:t>
      </w:r>
      <w:r w:rsidRPr="00371CB0">
        <w:rPr>
          <w:szCs w:val="24"/>
        </w:rPr>
        <w:t xml:space="preserve"> tähtaegselt. Ettepanekuid ja vastuväiteid loa taotluse avalikustamise käigus ei laekunud. </w:t>
      </w:r>
    </w:p>
    <w:p w:rsidR="00E60EF5" w:rsidRPr="00EC1489" w:rsidRDefault="00E60EF5" w:rsidP="00337267">
      <w:pPr>
        <w:jc w:val="both"/>
        <w:rPr>
          <w:b/>
          <w:szCs w:val="24"/>
        </w:rPr>
      </w:pPr>
    </w:p>
    <w:p w:rsidR="00452662" w:rsidRDefault="00E60EF5" w:rsidP="00452662">
      <w:pPr>
        <w:autoSpaceDE w:val="0"/>
        <w:jc w:val="both"/>
        <w:rPr>
          <w:b/>
          <w:szCs w:val="24"/>
        </w:rPr>
      </w:pPr>
      <w:r w:rsidRPr="00EC1489">
        <w:rPr>
          <w:b/>
          <w:szCs w:val="24"/>
        </w:rPr>
        <w:t>2.</w:t>
      </w:r>
      <w:r w:rsidR="00FF088E" w:rsidRPr="00EC1489">
        <w:rPr>
          <w:b/>
          <w:szCs w:val="24"/>
        </w:rPr>
        <w:t>2</w:t>
      </w:r>
      <w:r w:rsidRPr="00EC1489">
        <w:rPr>
          <w:b/>
          <w:szCs w:val="24"/>
        </w:rPr>
        <w:t xml:space="preserve"> Keskkonnamõju hindamise vajalikkuse kaalumine</w:t>
      </w:r>
    </w:p>
    <w:p w:rsidR="00E60EF5" w:rsidRPr="00EC1489" w:rsidRDefault="00E60EF5" w:rsidP="00452662">
      <w:pPr>
        <w:autoSpaceDE w:val="0"/>
        <w:jc w:val="both"/>
        <w:rPr>
          <w:b/>
          <w:szCs w:val="24"/>
        </w:rPr>
      </w:pPr>
      <w:r w:rsidRPr="00EC1489">
        <w:rPr>
          <w:color w:val="000000"/>
          <w:spacing w:val="3"/>
          <w:szCs w:val="24"/>
        </w:rPr>
        <w:t xml:space="preserve">Tulenevalt veeseaduse § 9 </w:t>
      </w:r>
      <w:proofErr w:type="spellStart"/>
      <w:r w:rsidRPr="00EC1489">
        <w:rPr>
          <w:color w:val="000000"/>
          <w:spacing w:val="3"/>
          <w:szCs w:val="24"/>
        </w:rPr>
        <w:t>lg-st</w:t>
      </w:r>
      <w:proofErr w:type="spellEnd"/>
      <w:r w:rsidRPr="00EC1489">
        <w:rPr>
          <w:color w:val="000000"/>
          <w:spacing w:val="3"/>
          <w:szCs w:val="24"/>
        </w:rPr>
        <w:t xml:space="preserve"> 7 peab vee erikasutusloa andja esitatud taotluse alusel tegema otsuse keskkonnamõju hindamise (edaspidi </w:t>
      </w:r>
      <w:r w:rsidRPr="00EC1489">
        <w:rPr>
          <w:i/>
          <w:iCs/>
          <w:color w:val="000000"/>
          <w:spacing w:val="3"/>
          <w:szCs w:val="24"/>
        </w:rPr>
        <w:t>KMH</w:t>
      </w:r>
      <w:r w:rsidRPr="00EC1489">
        <w:rPr>
          <w:color w:val="000000"/>
          <w:spacing w:val="3"/>
          <w:szCs w:val="24"/>
        </w:rPr>
        <w:t xml:space="preserve">) algatamise või algatamata jätmise kohta. Keskkonnamõju hindamise ja keskkonnajuhtimissüsteemi seaduse (edaspidi </w:t>
      </w:r>
      <w:proofErr w:type="spellStart"/>
      <w:r w:rsidRPr="00EC1489">
        <w:rPr>
          <w:i/>
          <w:iCs/>
          <w:color w:val="000000"/>
          <w:spacing w:val="3"/>
          <w:szCs w:val="24"/>
        </w:rPr>
        <w:t>KeHJS</w:t>
      </w:r>
      <w:proofErr w:type="spellEnd"/>
      <w:r w:rsidR="00EF7AFD">
        <w:rPr>
          <w:color w:val="000000"/>
          <w:spacing w:val="3"/>
          <w:szCs w:val="24"/>
        </w:rPr>
        <w:t>) § 11 lg-</w:t>
      </w:r>
      <w:r w:rsidRPr="00EC1489">
        <w:rPr>
          <w:color w:val="000000"/>
          <w:spacing w:val="3"/>
          <w:szCs w:val="24"/>
        </w:rPr>
        <w:t xml:space="preserve">te 3 ja 4 kohaselt on KMH kohustuslik </w:t>
      </w:r>
      <w:proofErr w:type="spellStart"/>
      <w:r w:rsidRPr="00EC1489">
        <w:rPr>
          <w:color w:val="000000"/>
          <w:spacing w:val="3"/>
          <w:szCs w:val="24"/>
        </w:rPr>
        <w:t>KeHJS</w:t>
      </w:r>
      <w:proofErr w:type="spellEnd"/>
      <w:r w:rsidRPr="00EC1489">
        <w:rPr>
          <w:color w:val="000000"/>
          <w:spacing w:val="3"/>
          <w:szCs w:val="24"/>
        </w:rPr>
        <w:t xml:space="preserve"> § 6 </w:t>
      </w:r>
      <w:proofErr w:type="spellStart"/>
      <w:r w:rsidRPr="00EC1489">
        <w:rPr>
          <w:color w:val="000000"/>
          <w:spacing w:val="3"/>
          <w:szCs w:val="24"/>
        </w:rPr>
        <w:t>lg-e</w:t>
      </w:r>
      <w:proofErr w:type="spellEnd"/>
      <w:r w:rsidRPr="00EC1489">
        <w:rPr>
          <w:color w:val="000000"/>
          <w:spacing w:val="3"/>
          <w:szCs w:val="24"/>
        </w:rPr>
        <w:t xml:space="preserve"> 1 tegevuste korral. </w:t>
      </w:r>
      <w:proofErr w:type="spellStart"/>
      <w:r w:rsidRPr="00EC1489">
        <w:rPr>
          <w:color w:val="000000"/>
          <w:spacing w:val="3"/>
          <w:szCs w:val="24"/>
        </w:rPr>
        <w:t>KeHJS</w:t>
      </w:r>
      <w:proofErr w:type="spellEnd"/>
      <w:r w:rsidRPr="00EC1489">
        <w:rPr>
          <w:color w:val="000000"/>
          <w:spacing w:val="3"/>
          <w:szCs w:val="24"/>
        </w:rPr>
        <w:t xml:space="preserve"> § 6 </w:t>
      </w:r>
      <w:proofErr w:type="spellStart"/>
      <w:r w:rsidRPr="00EC1489">
        <w:rPr>
          <w:color w:val="000000"/>
          <w:spacing w:val="3"/>
          <w:szCs w:val="24"/>
        </w:rPr>
        <w:t>lg-s</w:t>
      </w:r>
      <w:proofErr w:type="spellEnd"/>
      <w:r w:rsidRPr="00EC1489">
        <w:rPr>
          <w:color w:val="000000"/>
          <w:spacing w:val="3"/>
          <w:szCs w:val="24"/>
        </w:rPr>
        <w:t xml:space="preserve"> 2 nimetatud tegevuste korral tuleb kaaluda KMH algatamist või algatamata jätmist lisades otsusele </w:t>
      </w:r>
      <w:proofErr w:type="spellStart"/>
      <w:r w:rsidRPr="00EC1489">
        <w:rPr>
          <w:color w:val="000000"/>
          <w:spacing w:val="3"/>
          <w:szCs w:val="24"/>
        </w:rPr>
        <w:t>KeHJS</w:t>
      </w:r>
      <w:proofErr w:type="spellEnd"/>
      <w:r w:rsidRPr="00EC1489">
        <w:rPr>
          <w:color w:val="000000"/>
          <w:spacing w:val="3"/>
          <w:szCs w:val="24"/>
        </w:rPr>
        <w:t xml:space="preserve"> § 6 </w:t>
      </w:r>
      <w:proofErr w:type="spellStart"/>
      <w:r w:rsidRPr="00EC1489">
        <w:rPr>
          <w:color w:val="000000"/>
          <w:spacing w:val="3"/>
          <w:szCs w:val="24"/>
        </w:rPr>
        <w:t>lg-e</w:t>
      </w:r>
      <w:proofErr w:type="spellEnd"/>
      <w:r w:rsidRPr="00EC1489">
        <w:rPr>
          <w:color w:val="000000"/>
          <w:spacing w:val="3"/>
          <w:szCs w:val="24"/>
        </w:rPr>
        <w:t xml:space="preserve"> 3 kohase eelhindamise tulemused. </w:t>
      </w:r>
      <w:proofErr w:type="spellStart"/>
      <w:r w:rsidRPr="00EC1489">
        <w:rPr>
          <w:color w:val="000000"/>
          <w:spacing w:val="3"/>
          <w:szCs w:val="24"/>
        </w:rPr>
        <w:t>KeHJS</w:t>
      </w:r>
      <w:proofErr w:type="spellEnd"/>
      <w:r w:rsidRPr="00EC1489">
        <w:rPr>
          <w:color w:val="000000"/>
          <w:spacing w:val="3"/>
          <w:szCs w:val="24"/>
        </w:rPr>
        <w:t xml:space="preserve"> § 6 </w:t>
      </w:r>
      <w:proofErr w:type="spellStart"/>
      <w:r w:rsidRPr="00EC1489">
        <w:rPr>
          <w:color w:val="000000"/>
          <w:spacing w:val="3"/>
          <w:szCs w:val="24"/>
        </w:rPr>
        <w:t>lg-e</w:t>
      </w:r>
      <w:proofErr w:type="spellEnd"/>
      <w:r w:rsidRPr="00EC1489">
        <w:rPr>
          <w:color w:val="000000"/>
          <w:spacing w:val="3"/>
          <w:szCs w:val="24"/>
        </w:rPr>
        <w:t xml:space="preserve"> 2 loetelu on § 6 </w:t>
      </w:r>
      <w:proofErr w:type="spellStart"/>
      <w:r w:rsidRPr="00EC1489">
        <w:rPr>
          <w:color w:val="000000"/>
          <w:spacing w:val="3"/>
          <w:szCs w:val="24"/>
        </w:rPr>
        <w:t>lg-e</w:t>
      </w:r>
      <w:proofErr w:type="spellEnd"/>
      <w:r w:rsidRPr="00EC1489">
        <w:rPr>
          <w:color w:val="000000"/>
          <w:spacing w:val="3"/>
          <w:szCs w:val="24"/>
        </w:rPr>
        <w:t xml:space="preserve"> 4 alusel täpsustatud Vabariigi Valitsuse 29. 08. 2005 määrusega nr 224 </w:t>
      </w:r>
      <w:r w:rsidRPr="00EC1489">
        <w:rPr>
          <w:szCs w:val="24"/>
        </w:rPr>
        <w:t xml:space="preserve">„Tegevusvaldkondade, mille korral tuleb anda keskkonnamõju hindamise vajalikkuse eelhinnang, täpsustatud loetelu“ (edaspidi </w:t>
      </w:r>
      <w:r w:rsidRPr="00EC1489">
        <w:rPr>
          <w:i/>
          <w:iCs/>
          <w:szCs w:val="24"/>
        </w:rPr>
        <w:t>määrus 224</w:t>
      </w:r>
      <w:r w:rsidRPr="00EC1489">
        <w:rPr>
          <w:szCs w:val="24"/>
        </w:rPr>
        <w:t>).</w:t>
      </w:r>
    </w:p>
    <w:p w:rsidR="00E60EF5" w:rsidRPr="00EC1489" w:rsidRDefault="00E60EF5" w:rsidP="00337267">
      <w:pPr>
        <w:pStyle w:val="Kehatekst"/>
        <w:autoSpaceDE w:val="0"/>
        <w:spacing w:line="200" w:lineRule="atLeast"/>
        <w:jc w:val="both"/>
        <w:rPr>
          <w:b w:val="0"/>
          <w:szCs w:val="24"/>
        </w:rPr>
      </w:pPr>
    </w:p>
    <w:p w:rsidR="00E60EF5" w:rsidRPr="00EC1489" w:rsidRDefault="00E60EF5" w:rsidP="00337267">
      <w:pPr>
        <w:pStyle w:val="Kehatekst"/>
        <w:autoSpaceDE w:val="0"/>
        <w:spacing w:line="200" w:lineRule="atLeast"/>
        <w:jc w:val="both"/>
        <w:rPr>
          <w:b w:val="0"/>
          <w:bCs w:val="0"/>
          <w:color w:val="000000"/>
          <w:spacing w:val="3"/>
          <w:szCs w:val="24"/>
        </w:rPr>
      </w:pPr>
      <w:r w:rsidRPr="00EC1489">
        <w:rPr>
          <w:b w:val="0"/>
          <w:bCs w:val="0"/>
          <w:color w:val="000000"/>
          <w:spacing w:val="3"/>
          <w:szCs w:val="24"/>
        </w:rPr>
        <w:t xml:space="preserve">Taotleja taotleb vee erikasutusluba </w:t>
      </w:r>
      <w:r w:rsidRPr="00EC1489">
        <w:rPr>
          <w:b w:val="0"/>
          <w:szCs w:val="24"/>
        </w:rPr>
        <w:t xml:space="preserve">laevade </w:t>
      </w:r>
      <w:r w:rsidR="00371CB0">
        <w:rPr>
          <w:b w:val="0"/>
          <w:szCs w:val="24"/>
        </w:rPr>
        <w:t>remontimiseks dokkides</w:t>
      </w:r>
      <w:r w:rsidRPr="00EC1489">
        <w:rPr>
          <w:b w:val="0"/>
          <w:szCs w:val="24"/>
        </w:rPr>
        <w:t xml:space="preserve">. </w:t>
      </w:r>
      <w:r w:rsidRPr="00EC1489">
        <w:rPr>
          <w:b w:val="0"/>
          <w:bCs w:val="0"/>
          <w:color w:val="000000"/>
          <w:spacing w:val="3"/>
          <w:szCs w:val="24"/>
        </w:rPr>
        <w:t>Taotleja poolt kavandatav</w:t>
      </w:r>
      <w:r w:rsidRPr="00EC1489">
        <w:rPr>
          <w:b w:val="0"/>
          <w:bCs w:val="0"/>
          <w:color w:val="FF0000"/>
          <w:spacing w:val="3"/>
          <w:szCs w:val="24"/>
        </w:rPr>
        <w:t xml:space="preserve"> </w:t>
      </w:r>
      <w:r w:rsidRPr="00EC1489">
        <w:rPr>
          <w:b w:val="0"/>
          <w:bCs w:val="0"/>
          <w:color w:val="000000"/>
          <w:spacing w:val="3"/>
          <w:szCs w:val="24"/>
        </w:rPr>
        <w:t xml:space="preserve">tegevus ei kuulu </w:t>
      </w:r>
      <w:proofErr w:type="spellStart"/>
      <w:r w:rsidRPr="00EC1489">
        <w:rPr>
          <w:b w:val="0"/>
          <w:bCs w:val="0"/>
          <w:color w:val="000000"/>
          <w:spacing w:val="3"/>
          <w:szCs w:val="24"/>
        </w:rPr>
        <w:t>KeHJS</w:t>
      </w:r>
      <w:proofErr w:type="spellEnd"/>
      <w:r w:rsidRPr="00EC1489">
        <w:rPr>
          <w:b w:val="0"/>
          <w:bCs w:val="0"/>
          <w:color w:val="000000"/>
          <w:spacing w:val="3"/>
          <w:szCs w:val="24"/>
        </w:rPr>
        <w:t xml:space="preserve"> § 6 </w:t>
      </w:r>
      <w:proofErr w:type="spellStart"/>
      <w:r w:rsidRPr="00EC1489">
        <w:rPr>
          <w:b w:val="0"/>
          <w:bCs w:val="0"/>
          <w:color w:val="000000"/>
          <w:spacing w:val="3"/>
          <w:szCs w:val="24"/>
        </w:rPr>
        <w:t>lg-e</w:t>
      </w:r>
      <w:proofErr w:type="spellEnd"/>
      <w:r w:rsidRPr="00EC1489">
        <w:rPr>
          <w:b w:val="0"/>
          <w:bCs w:val="0"/>
          <w:color w:val="000000"/>
          <w:spacing w:val="3"/>
          <w:szCs w:val="24"/>
        </w:rPr>
        <w:t xml:space="preserve"> 1 ega ka määruse 224 loendisse, mistõttu tulenevalt </w:t>
      </w:r>
      <w:proofErr w:type="spellStart"/>
      <w:r w:rsidRPr="00EC1489">
        <w:rPr>
          <w:b w:val="0"/>
          <w:bCs w:val="0"/>
          <w:color w:val="000000"/>
          <w:spacing w:val="3"/>
          <w:szCs w:val="24"/>
        </w:rPr>
        <w:t>KeHJS</w:t>
      </w:r>
      <w:proofErr w:type="spellEnd"/>
      <w:r w:rsidRPr="00EC1489">
        <w:rPr>
          <w:b w:val="0"/>
          <w:bCs w:val="0"/>
          <w:color w:val="000000"/>
          <w:spacing w:val="3"/>
          <w:szCs w:val="24"/>
        </w:rPr>
        <w:t xml:space="preserve"> § 3, § 6, § 11 </w:t>
      </w:r>
      <w:proofErr w:type="spellStart"/>
      <w:r w:rsidRPr="00EC1489">
        <w:rPr>
          <w:b w:val="0"/>
          <w:bCs w:val="0"/>
          <w:color w:val="000000"/>
          <w:spacing w:val="3"/>
          <w:szCs w:val="24"/>
        </w:rPr>
        <w:t>lg-st</w:t>
      </w:r>
      <w:proofErr w:type="spellEnd"/>
      <w:r w:rsidRPr="00EC1489">
        <w:rPr>
          <w:b w:val="0"/>
          <w:bCs w:val="0"/>
          <w:color w:val="000000"/>
          <w:spacing w:val="3"/>
          <w:szCs w:val="24"/>
        </w:rPr>
        <w:t xml:space="preserve"> 3 ja 4 ja määruse 224 alusel ei ole antud juhul </w:t>
      </w:r>
      <w:r w:rsidR="004A0E5B">
        <w:rPr>
          <w:b w:val="0"/>
          <w:bCs w:val="0"/>
          <w:color w:val="000000"/>
          <w:spacing w:val="3"/>
          <w:szCs w:val="24"/>
        </w:rPr>
        <w:t>KMH</w:t>
      </w:r>
      <w:r w:rsidRPr="00EC1489">
        <w:rPr>
          <w:b w:val="0"/>
          <w:bCs w:val="0"/>
          <w:color w:val="000000"/>
          <w:spacing w:val="3"/>
          <w:szCs w:val="24"/>
        </w:rPr>
        <w:t xml:space="preserve"> algatamine kohustuslik, samuti ei ole vajalik eelhindamine ning </w:t>
      </w:r>
      <w:r w:rsidR="004A0E5B">
        <w:rPr>
          <w:b w:val="0"/>
          <w:bCs w:val="0"/>
          <w:color w:val="000000"/>
          <w:spacing w:val="3"/>
          <w:szCs w:val="24"/>
        </w:rPr>
        <w:t>KMH</w:t>
      </w:r>
      <w:r w:rsidRPr="00EC1489">
        <w:rPr>
          <w:b w:val="0"/>
          <w:bCs w:val="0"/>
          <w:color w:val="000000"/>
          <w:spacing w:val="3"/>
          <w:szCs w:val="24"/>
        </w:rPr>
        <w:t xml:space="preserve"> vajalikkuse kaalumine vee erikasutusloa andmise korral. </w:t>
      </w:r>
    </w:p>
    <w:p w:rsidR="00E60EF5" w:rsidRPr="00EC1489" w:rsidRDefault="00E60EF5" w:rsidP="00337267">
      <w:pPr>
        <w:autoSpaceDE w:val="0"/>
        <w:spacing w:line="200" w:lineRule="atLeast"/>
        <w:jc w:val="both"/>
        <w:rPr>
          <w:szCs w:val="24"/>
        </w:rPr>
      </w:pPr>
    </w:p>
    <w:p w:rsidR="00E60EF5" w:rsidRDefault="00E60EF5" w:rsidP="00A4702E">
      <w:pPr>
        <w:pStyle w:val="Pis"/>
        <w:tabs>
          <w:tab w:val="left" w:pos="708"/>
        </w:tabs>
        <w:autoSpaceDE w:val="0"/>
        <w:jc w:val="both"/>
        <w:rPr>
          <w:b/>
          <w:bCs/>
          <w:szCs w:val="24"/>
        </w:rPr>
      </w:pPr>
      <w:r w:rsidRPr="00EC1489">
        <w:rPr>
          <w:b/>
          <w:bCs/>
          <w:szCs w:val="24"/>
        </w:rPr>
        <w:t>2.</w:t>
      </w:r>
      <w:r w:rsidR="00B51875" w:rsidRPr="00EC1489">
        <w:rPr>
          <w:b/>
          <w:bCs/>
          <w:szCs w:val="24"/>
        </w:rPr>
        <w:t>3</w:t>
      </w:r>
      <w:r w:rsidRPr="00EC1489">
        <w:rPr>
          <w:b/>
          <w:bCs/>
          <w:szCs w:val="24"/>
        </w:rPr>
        <w:t xml:space="preserve"> Vee erikasutuse mõju hindamine</w:t>
      </w:r>
    </w:p>
    <w:p w:rsidR="00D2797B" w:rsidRDefault="00D2797B" w:rsidP="00A4702E">
      <w:pPr>
        <w:jc w:val="both"/>
        <w:rPr>
          <w:lang/>
        </w:rPr>
      </w:pPr>
      <w:r>
        <w:t>Taotleja</w:t>
      </w:r>
      <w:r>
        <w:rPr>
          <w:lang/>
        </w:rPr>
        <w:t xml:space="preserve"> </w:t>
      </w:r>
      <w:r w:rsidR="00A4702E">
        <w:rPr>
          <w:lang/>
        </w:rPr>
        <w:t xml:space="preserve">taotleb </w:t>
      </w:r>
      <w:r>
        <w:rPr>
          <w:lang/>
        </w:rPr>
        <w:t>vee erikasutusluba laevade remontimiseks, täpsemalt laevakerede puhastamiseks ja värvimiseks, laeva konstruktsioonide muutmiseks, metallkonstruktsioonide remontimiseks, tankide puhastamiseks, remontimiseks ja kontrollimiseks ning kõikide elektri ja jõusüsteemide remontimiseks Vene-Balti sadamas.</w:t>
      </w:r>
    </w:p>
    <w:p w:rsidR="00D2797B" w:rsidRDefault="00D2797B" w:rsidP="00A4702E">
      <w:pPr>
        <w:jc w:val="both"/>
      </w:pPr>
    </w:p>
    <w:p w:rsidR="00A4702E" w:rsidRDefault="00A4702E" w:rsidP="00A4702E">
      <w:pPr>
        <w:jc w:val="both"/>
        <w:rPr>
          <w:szCs w:val="15"/>
        </w:rPr>
      </w:pPr>
      <w:r>
        <w:t>Taotluse kohaselt teostatakse l</w:t>
      </w:r>
      <w:r w:rsidRPr="0085563C">
        <w:t>aevaremondi töid ujuvdokkides</w:t>
      </w:r>
      <w:r>
        <w:t xml:space="preserve"> ning kaide ääres</w:t>
      </w:r>
      <w:r w:rsidRPr="0085563C">
        <w:t xml:space="preserve">. </w:t>
      </w:r>
      <w:r>
        <w:t>U</w:t>
      </w:r>
      <w:r w:rsidRPr="0085563C">
        <w:t>ju</w:t>
      </w:r>
      <w:r>
        <w:t>vdok</w:t>
      </w:r>
      <w:r w:rsidRPr="0085563C">
        <w:t>i</w:t>
      </w:r>
      <w:r>
        <w:t xml:space="preserve">d nr 34, 2 </w:t>
      </w:r>
      <w:r w:rsidRPr="0085563C">
        <w:t xml:space="preserve">ja 3 on </w:t>
      </w:r>
      <w:r>
        <w:t>ankurdatud sadama l</w:t>
      </w:r>
      <w:r w:rsidRPr="0085563C">
        <w:t xml:space="preserve">õunabasseinis kai nr 9 </w:t>
      </w:r>
      <w:r>
        <w:t>piirkonnas</w:t>
      </w:r>
      <w:r w:rsidRPr="0085563C">
        <w:t>. Kokku on</w:t>
      </w:r>
      <w:r>
        <w:t xml:space="preserve"> Vene-Balti </w:t>
      </w:r>
      <w:r w:rsidRPr="0085563C">
        <w:t xml:space="preserve"> </w:t>
      </w:r>
      <w:r>
        <w:t xml:space="preserve">sadamas </w:t>
      </w:r>
      <w:r w:rsidRPr="0085563C">
        <w:t xml:space="preserve">olemas </w:t>
      </w:r>
      <w:r w:rsidRPr="0085563C">
        <w:rPr>
          <w:szCs w:val="15"/>
        </w:rPr>
        <w:t>3 ujuvdokki järgmiste parameetritega:</w:t>
      </w:r>
    </w:p>
    <w:tbl>
      <w:tblPr>
        <w:tblW w:w="0" w:type="auto"/>
        <w:tblInd w:w="108" w:type="dxa"/>
        <w:tblLook w:val="04A0" w:firstRow="1" w:lastRow="0" w:firstColumn="1" w:lastColumn="0" w:noHBand="0" w:noVBand="1"/>
      </w:tblPr>
      <w:tblGrid>
        <w:gridCol w:w="1723"/>
        <w:gridCol w:w="1836"/>
        <w:gridCol w:w="1830"/>
        <w:gridCol w:w="1829"/>
        <w:gridCol w:w="1844"/>
      </w:tblGrid>
      <w:tr w:rsidR="00A4702E" w:rsidRPr="00DF11CD" w:rsidTr="00A4702E">
        <w:tc>
          <w:tcPr>
            <w:tcW w:w="1723" w:type="dxa"/>
            <w:tcBorders>
              <w:top w:val="single" w:sz="4" w:space="0" w:color="000000"/>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Dokk</w:t>
            </w:r>
          </w:p>
        </w:tc>
        <w:tc>
          <w:tcPr>
            <w:tcW w:w="1836" w:type="dxa"/>
            <w:tcBorders>
              <w:top w:val="single" w:sz="4" w:space="0" w:color="000000"/>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Tõstejõud (t)</w:t>
            </w:r>
          </w:p>
        </w:tc>
        <w:tc>
          <w:tcPr>
            <w:tcW w:w="1830" w:type="dxa"/>
            <w:tcBorders>
              <w:top w:val="single" w:sz="4" w:space="0" w:color="000000"/>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Pikkus (m)</w:t>
            </w:r>
          </w:p>
        </w:tc>
        <w:tc>
          <w:tcPr>
            <w:tcW w:w="1829" w:type="dxa"/>
            <w:tcBorders>
              <w:top w:val="single" w:sz="4" w:space="0" w:color="000000"/>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Laius (m)</w:t>
            </w:r>
          </w:p>
        </w:tc>
        <w:tc>
          <w:tcPr>
            <w:tcW w:w="1844" w:type="dxa"/>
            <w:tcBorders>
              <w:top w:val="single" w:sz="4" w:space="0" w:color="000000"/>
              <w:left w:val="single" w:sz="4" w:space="0" w:color="000000"/>
              <w:bottom w:val="single" w:sz="4" w:space="0" w:color="000000"/>
              <w:right w:val="single" w:sz="4" w:space="0" w:color="000000"/>
            </w:tcBorders>
            <w:hideMark/>
          </w:tcPr>
          <w:p w:rsidR="00A4702E" w:rsidRPr="0085563C" w:rsidRDefault="00A4702E" w:rsidP="00A4702E">
            <w:pPr>
              <w:snapToGrid w:val="0"/>
              <w:jc w:val="both"/>
              <w:rPr>
                <w:szCs w:val="15"/>
              </w:rPr>
            </w:pPr>
            <w:r w:rsidRPr="0085563C">
              <w:rPr>
                <w:szCs w:val="15"/>
              </w:rPr>
              <w:t>Kraanad (t)</w:t>
            </w:r>
          </w:p>
        </w:tc>
      </w:tr>
      <w:tr w:rsidR="00A4702E" w:rsidRPr="00DF11CD" w:rsidTr="00A4702E">
        <w:tc>
          <w:tcPr>
            <w:tcW w:w="1723" w:type="dxa"/>
            <w:tcBorders>
              <w:top w:val="nil"/>
              <w:left w:val="single" w:sz="4" w:space="0" w:color="000000"/>
              <w:bottom w:val="single" w:sz="4" w:space="0" w:color="000000"/>
              <w:right w:val="nil"/>
            </w:tcBorders>
            <w:hideMark/>
          </w:tcPr>
          <w:p w:rsidR="00A4702E" w:rsidRPr="00B344AD" w:rsidRDefault="00A4702E" w:rsidP="00A4702E">
            <w:pPr>
              <w:snapToGrid w:val="0"/>
              <w:jc w:val="both"/>
              <w:rPr>
                <w:szCs w:val="15"/>
              </w:rPr>
            </w:pPr>
            <w:r w:rsidRPr="00B344AD">
              <w:rPr>
                <w:szCs w:val="15"/>
              </w:rPr>
              <w:t>34</w:t>
            </w:r>
          </w:p>
        </w:tc>
        <w:tc>
          <w:tcPr>
            <w:tcW w:w="1836" w:type="dxa"/>
            <w:tcBorders>
              <w:top w:val="nil"/>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8500</w:t>
            </w:r>
          </w:p>
        </w:tc>
        <w:tc>
          <w:tcPr>
            <w:tcW w:w="1830" w:type="dxa"/>
            <w:tcBorders>
              <w:top w:val="nil"/>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139,5</w:t>
            </w:r>
          </w:p>
        </w:tc>
        <w:tc>
          <w:tcPr>
            <w:tcW w:w="1829" w:type="dxa"/>
            <w:tcBorders>
              <w:top w:val="nil"/>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23,8</w:t>
            </w:r>
          </w:p>
        </w:tc>
        <w:tc>
          <w:tcPr>
            <w:tcW w:w="1844" w:type="dxa"/>
            <w:tcBorders>
              <w:top w:val="nil"/>
              <w:left w:val="single" w:sz="4" w:space="0" w:color="000000"/>
              <w:bottom w:val="single" w:sz="4" w:space="0" w:color="000000"/>
              <w:right w:val="single" w:sz="4" w:space="0" w:color="000000"/>
            </w:tcBorders>
            <w:hideMark/>
          </w:tcPr>
          <w:p w:rsidR="00A4702E" w:rsidRPr="0085563C" w:rsidRDefault="00A4702E" w:rsidP="00A4702E">
            <w:pPr>
              <w:snapToGrid w:val="0"/>
              <w:jc w:val="both"/>
              <w:rPr>
                <w:szCs w:val="15"/>
              </w:rPr>
            </w:pPr>
            <w:r w:rsidRPr="0085563C">
              <w:rPr>
                <w:szCs w:val="15"/>
              </w:rPr>
              <w:t>2x5</w:t>
            </w:r>
          </w:p>
        </w:tc>
      </w:tr>
      <w:tr w:rsidR="00A4702E" w:rsidRPr="00DF11CD" w:rsidTr="00A4702E">
        <w:tc>
          <w:tcPr>
            <w:tcW w:w="1723" w:type="dxa"/>
            <w:tcBorders>
              <w:top w:val="nil"/>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2</w:t>
            </w:r>
          </w:p>
        </w:tc>
        <w:tc>
          <w:tcPr>
            <w:tcW w:w="1836" w:type="dxa"/>
            <w:tcBorders>
              <w:top w:val="nil"/>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4500</w:t>
            </w:r>
          </w:p>
        </w:tc>
        <w:tc>
          <w:tcPr>
            <w:tcW w:w="1830" w:type="dxa"/>
            <w:tcBorders>
              <w:top w:val="nil"/>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101,0</w:t>
            </w:r>
          </w:p>
        </w:tc>
        <w:tc>
          <w:tcPr>
            <w:tcW w:w="1829" w:type="dxa"/>
            <w:tcBorders>
              <w:top w:val="nil"/>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22,0</w:t>
            </w:r>
          </w:p>
        </w:tc>
        <w:tc>
          <w:tcPr>
            <w:tcW w:w="1844" w:type="dxa"/>
            <w:tcBorders>
              <w:top w:val="nil"/>
              <w:left w:val="single" w:sz="4" w:space="0" w:color="000000"/>
              <w:bottom w:val="single" w:sz="4" w:space="0" w:color="000000"/>
              <w:right w:val="single" w:sz="4" w:space="0" w:color="000000"/>
            </w:tcBorders>
            <w:hideMark/>
          </w:tcPr>
          <w:p w:rsidR="00A4702E" w:rsidRPr="0085563C" w:rsidRDefault="00A4702E" w:rsidP="00A4702E">
            <w:pPr>
              <w:snapToGrid w:val="0"/>
              <w:jc w:val="both"/>
              <w:rPr>
                <w:szCs w:val="15"/>
              </w:rPr>
            </w:pPr>
            <w:r w:rsidRPr="0085563C">
              <w:rPr>
                <w:szCs w:val="15"/>
              </w:rPr>
              <w:t>5</w:t>
            </w:r>
          </w:p>
        </w:tc>
      </w:tr>
      <w:tr w:rsidR="00A4702E" w:rsidRPr="00DF11CD" w:rsidTr="00A4702E">
        <w:tc>
          <w:tcPr>
            <w:tcW w:w="1723" w:type="dxa"/>
            <w:tcBorders>
              <w:top w:val="nil"/>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3</w:t>
            </w:r>
          </w:p>
        </w:tc>
        <w:tc>
          <w:tcPr>
            <w:tcW w:w="1836" w:type="dxa"/>
            <w:tcBorders>
              <w:top w:val="nil"/>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12000</w:t>
            </w:r>
          </w:p>
        </w:tc>
        <w:tc>
          <w:tcPr>
            <w:tcW w:w="1830" w:type="dxa"/>
            <w:tcBorders>
              <w:top w:val="nil"/>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153,6</w:t>
            </w:r>
          </w:p>
        </w:tc>
        <w:tc>
          <w:tcPr>
            <w:tcW w:w="1829" w:type="dxa"/>
            <w:tcBorders>
              <w:top w:val="nil"/>
              <w:left w:val="single" w:sz="4" w:space="0" w:color="000000"/>
              <w:bottom w:val="single" w:sz="4" w:space="0" w:color="000000"/>
              <w:right w:val="nil"/>
            </w:tcBorders>
            <w:hideMark/>
          </w:tcPr>
          <w:p w:rsidR="00A4702E" w:rsidRPr="0085563C" w:rsidRDefault="00A4702E" w:rsidP="00A4702E">
            <w:pPr>
              <w:snapToGrid w:val="0"/>
              <w:jc w:val="both"/>
              <w:rPr>
                <w:szCs w:val="15"/>
              </w:rPr>
            </w:pPr>
            <w:r w:rsidRPr="0085563C">
              <w:rPr>
                <w:szCs w:val="15"/>
              </w:rPr>
              <w:t>27,4</w:t>
            </w:r>
          </w:p>
        </w:tc>
        <w:tc>
          <w:tcPr>
            <w:tcW w:w="1844" w:type="dxa"/>
            <w:tcBorders>
              <w:top w:val="nil"/>
              <w:left w:val="single" w:sz="4" w:space="0" w:color="000000"/>
              <w:bottom w:val="single" w:sz="4" w:space="0" w:color="000000"/>
              <w:right w:val="single" w:sz="4" w:space="0" w:color="000000"/>
            </w:tcBorders>
            <w:hideMark/>
          </w:tcPr>
          <w:p w:rsidR="00A4702E" w:rsidRPr="0085563C" w:rsidRDefault="00A4702E" w:rsidP="00A4702E">
            <w:pPr>
              <w:snapToGrid w:val="0"/>
              <w:jc w:val="both"/>
              <w:rPr>
                <w:szCs w:val="15"/>
              </w:rPr>
            </w:pPr>
            <w:r w:rsidRPr="0085563C">
              <w:rPr>
                <w:szCs w:val="15"/>
              </w:rPr>
              <w:t>2x15</w:t>
            </w:r>
          </w:p>
        </w:tc>
      </w:tr>
    </w:tbl>
    <w:p w:rsidR="00A4702E" w:rsidRDefault="00A4702E" w:rsidP="00A4702E">
      <w:pPr>
        <w:autoSpaceDE w:val="0"/>
        <w:jc w:val="both"/>
      </w:pPr>
    </w:p>
    <w:p w:rsidR="00A4702E" w:rsidRPr="00D33C25" w:rsidRDefault="00A4702E" w:rsidP="00A4702E">
      <w:pPr>
        <w:jc w:val="both"/>
      </w:pPr>
      <w:r w:rsidRPr="00D33C25">
        <w:rPr>
          <w:bCs/>
        </w:rPr>
        <w:t xml:space="preserve">Taotlusest nähtub, et peale </w:t>
      </w:r>
      <w:r w:rsidRPr="00D33C25">
        <w:rPr>
          <w:bCs/>
        </w:rPr>
        <w:t>laeva paigaldamist dokki pumbatakse isoleeritud veetankidest puhas ballastvesi sadama akvatooriumile. Reostunud ballastve</w:t>
      </w:r>
      <w:r w:rsidR="00D33C25">
        <w:rPr>
          <w:bCs/>
        </w:rPr>
        <w:t>si</w:t>
      </w:r>
      <w:r w:rsidRPr="00D33C25">
        <w:rPr>
          <w:bCs/>
        </w:rPr>
        <w:t>, pilsive</w:t>
      </w:r>
      <w:r w:rsidR="00D33C25">
        <w:rPr>
          <w:bCs/>
        </w:rPr>
        <w:t>si</w:t>
      </w:r>
      <w:r w:rsidRPr="00D33C25">
        <w:rPr>
          <w:bCs/>
        </w:rPr>
        <w:t>, mahutite pesuve</w:t>
      </w:r>
      <w:r w:rsidR="00D33C25">
        <w:rPr>
          <w:bCs/>
        </w:rPr>
        <w:t>si</w:t>
      </w:r>
      <w:r w:rsidRPr="00D33C25">
        <w:rPr>
          <w:bCs/>
        </w:rPr>
        <w:t xml:space="preserve"> ja mu</w:t>
      </w:r>
      <w:r w:rsidR="00D33C25">
        <w:rPr>
          <w:bCs/>
        </w:rPr>
        <w:t>u</w:t>
      </w:r>
      <w:r w:rsidRPr="00D33C25">
        <w:rPr>
          <w:bCs/>
        </w:rPr>
        <w:t>d ohtlik</w:t>
      </w:r>
      <w:r w:rsidR="00D33C25">
        <w:rPr>
          <w:bCs/>
        </w:rPr>
        <w:t>ud jäätme</w:t>
      </w:r>
      <w:r w:rsidRPr="00D33C25">
        <w:rPr>
          <w:bCs/>
        </w:rPr>
        <w:t xml:space="preserve">d </w:t>
      </w:r>
      <w:r w:rsidR="00D33C25">
        <w:rPr>
          <w:bCs/>
        </w:rPr>
        <w:t>antakse üle</w:t>
      </w:r>
      <w:r w:rsidRPr="00D33C25">
        <w:rPr>
          <w:bCs/>
        </w:rPr>
        <w:t xml:space="preserve"> ohtlike jäätmete käitluslitse</w:t>
      </w:r>
      <w:r w:rsidR="00D33C25" w:rsidRPr="00D33C25">
        <w:rPr>
          <w:bCs/>
        </w:rPr>
        <w:t>ntsi ja jäätmeluba omav</w:t>
      </w:r>
      <w:r w:rsidR="00D33C25">
        <w:rPr>
          <w:bCs/>
        </w:rPr>
        <w:t>ale</w:t>
      </w:r>
      <w:r w:rsidR="00D33C25" w:rsidRPr="00D33C25">
        <w:rPr>
          <w:bCs/>
        </w:rPr>
        <w:t xml:space="preserve"> ettevõt</w:t>
      </w:r>
      <w:r w:rsidR="00D33C25">
        <w:rPr>
          <w:bCs/>
        </w:rPr>
        <w:t>tele</w:t>
      </w:r>
      <w:r w:rsidRPr="00D33C25">
        <w:rPr>
          <w:bCs/>
        </w:rPr>
        <w:t>.</w:t>
      </w:r>
      <w:r w:rsidRPr="00D33C25">
        <w:t xml:space="preserve"> </w:t>
      </w:r>
      <w:r w:rsidRPr="00D33C25">
        <w:t xml:space="preserve">Heitvee </w:t>
      </w:r>
      <w:proofErr w:type="spellStart"/>
      <w:r w:rsidRPr="00D33C25">
        <w:t>ärajuhtimine</w:t>
      </w:r>
      <w:proofErr w:type="spellEnd"/>
      <w:r w:rsidRPr="00D33C25">
        <w:t xml:space="preserve"> sadama akvatooriumile ning saasteainete paiskamine välisõhku laeva pindade puhastamise ja värvimise käigus toimub keskkonnakompleksloa nr L.KKL.HA – 222649 alusel.</w:t>
      </w:r>
    </w:p>
    <w:p w:rsidR="00A4702E" w:rsidRPr="00D33C25" w:rsidRDefault="00A4702E" w:rsidP="00D33C25">
      <w:pPr>
        <w:autoSpaceDE w:val="0"/>
        <w:jc w:val="both"/>
        <w:rPr>
          <w:bCs/>
        </w:rPr>
      </w:pPr>
    </w:p>
    <w:p w:rsidR="00D2797B" w:rsidRPr="00D33C25" w:rsidRDefault="00D2797B" w:rsidP="00A4702E">
      <w:pPr>
        <w:jc w:val="both"/>
      </w:pPr>
      <w:r w:rsidRPr="00D33C25">
        <w:t xml:space="preserve">Laeva </w:t>
      </w:r>
      <w:r w:rsidRPr="00D33C25">
        <w:rPr>
          <w:lang/>
        </w:rPr>
        <w:t>puhastamise, värvimise ning</w:t>
      </w:r>
      <w:r w:rsidRPr="00D33C25">
        <w:t xml:space="preserve"> remontimise esimesel etapil pestakse laeva kere, ballast tanke ja veetanke surveveega selleks, et puhastada neid looduslikust mustusest: merekividest, karploomadest, vetikatest ja osaliselt vanast värvist. Vee kogused on survepesu tehnoloogia puhul väikesed. Kasutatud vesi valgub doki tekile ning tahked osakesed settivad sinna jäätmetena. Doki teki pontoonide otspindadele paigaldatakse kaitseseadmed (lamav politseinik) kõrgusega 100 mm heitvee äravoolu vältimiseks sadama akvatooriumile. Doki nr 3 ja 34 piigatitesse paigaldatakse laevade pesemise ajal filtrid saasteainete püüdmiseks. </w:t>
      </w:r>
    </w:p>
    <w:p w:rsidR="00D2797B" w:rsidRPr="00D33C25" w:rsidRDefault="00D2797B" w:rsidP="00A4702E">
      <w:pPr>
        <w:jc w:val="both"/>
      </w:pPr>
    </w:p>
    <w:p w:rsidR="00D2797B" w:rsidRPr="00D33C25" w:rsidRDefault="00D2797B" w:rsidP="00A4702E">
      <w:pPr>
        <w:jc w:val="both"/>
      </w:pPr>
      <w:r w:rsidRPr="00D33C25">
        <w:lastRenderedPageBreak/>
        <w:t>Teisel etapil puhastatakse laeva kere, ballasttanke ja veetanke ülejäänud mustusest liivapritsiseadmetega, kus pinda töödeldakse suruõhujoas liivaga või liiva aseaine, mis kujutab endast spetsiaalselt selleks otstarbeks ette nähtud granuleeritud mineraalset materjali, mille komponendid on vees lahustumatud, ei sisalda ohtlikke aineid ning on ohutud keskkonnale. Valdav osa kasutatavast materjalist sadestub tekile, kust see korjatakse kokku ja antakse üle asjakohast tegutsemisõigust omavale isikule. Tolmu levimise tõkestamiseks paigaldatakse doki otstesse võrkmaterjalist ekraanid ja ümbritsetakse dokid sein tüüpi naftapoomidega, mis takistavad veepinnale kogunenud tolmu levikut väljapoole sadama akvatooriumi ning tagavad tolmu ja võimaliku avarii korral akvatooriumile valguda võiva naftasaaduste kiire koristamise korjelaevadega.</w:t>
      </w:r>
    </w:p>
    <w:p w:rsidR="00D2797B" w:rsidRPr="00D33C25" w:rsidRDefault="00D2797B" w:rsidP="00A4702E">
      <w:pPr>
        <w:rPr>
          <w:szCs w:val="24"/>
        </w:rPr>
      </w:pPr>
    </w:p>
    <w:p w:rsidR="00D2797B" w:rsidRPr="00D33C25" w:rsidRDefault="00D2797B" w:rsidP="00A4702E">
      <w:pPr>
        <w:jc w:val="both"/>
        <w:rPr>
          <w:szCs w:val="24"/>
        </w:rPr>
      </w:pPr>
      <w:r w:rsidRPr="00D33C25">
        <w:rPr>
          <w:szCs w:val="24"/>
        </w:rPr>
        <w:t>Kolmandal etapil värvitakse laevakered j</w:t>
      </w:r>
      <w:r w:rsidRPr="00D33C25">
        <w:rPr>
          <w:color w:val="000000"/>
          <w:szCs w:val="24"/>
        </w:rPr>
        <w:t>a tankid õhuta pihustusseadmega, mis võimaldab minimeerida värvikulu. Värvitolmu levimise tõkestamiseks paigaldatakse doki otstesse võrkmaterjalist ekraanid.</w:t>
      </w:r>
      <w:r w:rsidRPr="00D33C25">
        <w:rPr>
          <w:szCs w:val="24"/>
        </w:rPr>
        <w:t xml:space="preserve"> Kasutatakse üksnes IMO (International </w:t>
      </w:r>
      <w:proofErr w:type="spellStart"/>
      <w:r w:rsidRPr="00D33C25">
        <w:rPr>
          <w:szCs w:val="24"/>
        </w:rPr>
        <w:t>Maritime</w:t>
      </w:r>
      <w:proofErr w:type="spellEnd"/>
      <w:r w:rsidRPr="00D33C25">
        <w:rPr>
          <w:szCs w:val="24"/>
        </w:rPr>
        <w:t xml:space="preserve"> </w:t>
      </w:r>
      <w:proofErr w:type="spellStart"/>
      <w:r w:rsidRPr="00D33C25">
        <w:rPr>
          <w:szCs w:val="24"/>
        </w:rPr>
        <w:t>Organization</w:t>
      </w:r>
      <w:proofErr w:type="spellEnd"/>
      <w:r w:rsidRPr="00D33C25">
        <w:rPr>
          <w:szCs w:val="24"/>
        </w:rPr>
        <w:t xml:space="preserve"> - Rahvusvaheline Merendus organisatsioon) nõuetega kehtestatud kvaliteedi standardile vastavaid keskkonnale mitte ohtlikke värve. </w:t>
      </w:r>
    </w:p>
    <w:p w:rsidR="00D2797B" w:rsidRPr="00D33C25" w:rsidRDefault="00D2797B" w:rsidP="00D2797B">
      <w:pPr>
        <w:pStyle w:val="Pis"/>
        <w:tabs>
          <w:tab w:val="clear" w:pos="4153"/>
          <w:tab w:val="clear" w:pos="8306"/>
        </w:tabs>
        <w:jc w:val="both"/>
        <w:rPr>
          <w:color w:val="000000"/>
          <w:szCs w:val="24"/>
        </w:rPr>
      </w:pPr>
    </w:p>
    <w:p w:rsidR="00D2797B" w:rsidRDefault="00D2797B" w:rsidP="00D2797B">
      <w:pPr>
        <w:pStyle w:val="Pis"/>
        <w:tabs>
          <w:tab w:val="clear" w:pos="4153"/>
          <w:tab w:val="clear" w:pos="8306"/>
        </w:tabs>
        <w:jc w:val="both"/>
        <w:rPr>
          <w:color w:val="000000"/>
          <w:szCs w:val="24"/>
        </w:rPr>
      </w:pPr>
      <w:r w:rsidRPr="00D33C25">
        <w:rPr>
          <w:color w:val="000000"/>
          <w:szCs w:val="24"/>
        </w:rPr>
        <w:t xml:space="preserve">Paralleelselt laeva puhastamise ja värvimisega teostatakse laeva mehhanismide ning elektriseadmete vahetamist ja remonti. Lisaks dokkidele teostatakse teatud liiki remonttöid sadama kaide ääres seisvatel laevadel. Põhiliselt on selleks automaatikaseadmete, elektriseadmete ja navigatsiooniseadmete remont ja seadistus. Laeva mehhanismide remonti teostatakse väljaspool dokki remonti teostavate ettevõtete tootmisruumides keskkonnakaitse nõudeid järgides. </w:t>
      </w:r>
    </w:p>
    <w:p w:rsidR="002B3CEA" w:rsidRPr="00D33C25" w:rsidRDefault="002B3CEA" w:rsidP="00D2797B">
      <w:pPr>
        <w:pStyle w:val="Pis"/>
        <w:tabs>
          <w:tab w:val="clear" w:pos="4153"/>
          <w:tab w:val="clear" w:pos="8306"/>
        </w:tabs>
        <w:jc w:val="both"/>
        <w:rPr>
          <w:color w:val="000000"/>
          <w:szCs w:val="24"/>
        </w:rPr>
      </w:pPr>
    </w:p>
    <w:p w:rsidR="00D2797B" w:rsidRPr="00D33C25" w:rsidRDefault="00D2797B" w:rsidP="00D2797B">
      <w:pPr>
        <w:pStyle w:val="Pis"/>
        <w:tabs>
          <w:tab w:val="clear" w:pos="4153"/>
          <w:tab w:val="clear" w:pos="8306"/>
        </w:tabs>
        <w:jc w:val="both"/>
        <w:rPr>
          <w:color w:val="000000"/>
          <w:szCs w:val="24"/>
        </w:rPr>
      </w:pPr>
      <w:r w:rsidRPr="00D33C25">
        <w:rPr>
          <w:color w:val="000000"/>
          <w:szCs w:val="24"/>
        </w:rPr>
        <w:t>Keskkonnakaitse meetmena on ettevõttesiseselt rakendatud kord, mille kohaselt tugeva tuulega laevakorpuste puhastamise töid läbi ei viida. Kasutatav tehnoloogia ja seadmed vastavad parima võimaliku tehnika (PVT) nõuetele. Mürgiste värvide poolt põhjustatud kahjulike keskkonnamõjude vältimiseks veekeskkonnale ei kasutata TBT (</w:t>
      </w:r>
      <w:proofErr w:type="spellStart"/>
      <w:r w:rsidRPr="00D33C25">
        <w:rPr>
          <w:color w:val="000000"/>
          <w:szCs w:val="24"/>
        </w:rPr>
        <w:t>tributüültina</w:t>
      </w:r>
      <w:proofErr w:type="spellEnd"/>
      <w:r w:rsidRPr="00D33C25">
        <w:rPr>
          <w:color w:val="000000"/>
          <w:szCs w:val="24"/>
        </w:rPr>
        <w:t xml:space="preserve">) komponente sisaldavaid kattumisvastaseid värve. Kasutatakse kaitsevõrke, millega väheneb oluliselt tuule mõju värvimisprotsessile vabas õhus. Värvitolmu ja heitvee sadama akvatooriumile sattumise vältimiseks toimub tekkinud jäätmete regulaarne koristamine. Värvimistööde ajal viibib koristuslaev doki vahetus läheduses valmis koheselt tegutsema võimaliku reostuse korral. Keskkonna- ja tervisekaitse riskide vähendamiseks on koostatud vastavad tööjuhendid ja protseduurid, on olemas riskianalüüs ning teostatakse pidevat personali koolitust õnnetusjuhtumite vältimiseks. </w:t>
      </w:r>
    </w:p>
    <w:p w:rsidR="002B3CEA" w:rsidRDefault="002B3CEA" w:rsidP="002B3CEA">
      <w:pPr>
        <w:jc w:val="both"/>
      </w:pPr>
    </w:p>
    <w:p w:rsidR="002B3CEA" w:rsidRPr="00D33C25" w:rsidRDefault="002B3CEA" w:rsidP="002B3CEA">
      <w:pPr>
        <w:jc w:val="both"/>
      </w:pPr>
      <w:r w:rsidRPr="00D33C25">
        <w:t xml:space="preserve">BLRT Grupis on loodud integreeritud juhtimissüsteem, mis toimib lähtuvalt kolme rahvusvahelise standardi ISO 9001, ISO 14001 ja OHSAS 18001 nõuetele. Eelmainitud integreeritud juhtimissüsteem on sertifitseeritud erapooletu osapoole, </w:t>
      </w:r>
      <w:proofErr w:type="spellStart"/>
      <w:r w:rsidRPr="00D33C25">
        <w:t>Lloyd’s</w:t>
      </w:r>
      <w:proofErr w:type="spellEnd"/>
      <w:r w:rsidRPr="00D33C25">
        <w:t xml:space="preserve"> Register </w:t>
      </w:r>
      <w:proofErr w:type="spellStart"/>
      <w:r w:rsidRPr="00D33C25">
        <w:t>Quality</w:t>
      </w:r>
      <w:proofErr w:type="spellEnd"/>
      <w:r w:rsidRPr="00D33C25">
        <w:t xml:space="preserve"> </w:t>
      </w:r>
      <w:proofErr w:type="spellStart"/>
      <w:r w:rsidRPr="00D33C25">
        <w:t>Assurance</w:t>
      </w:r>
      <w:proofErr w:type="spellEnd"/>
      <w:r w:rsidRPr="00D33C25">
        <w:t xml:space="preserve"> (LRQA) poolt. Enamusele BLRT Grupi tegevusaladele on väljastatud sertifitseerimisfirma </w:t>
      </w:r>
      <w:proofErr w:type="spellStart"/>
      <w:r w:rsidRPr="00D33C25">
        <w:t>Lloyd´s</w:t>
      </w:r>
      <w:proofErr w:type="spellEnd"/>
      <w:r w:rsidRPr="00D33C25">
        <w:t xml:space="preserve"> Register </w:t>
      </w:r>
      <w:proofErr w:type="spellStart"/>
      <w:r w:rsidRPr="00D33C25">
        <w:t>Quality</w:t>
      </w:r>
      <w:proofErr w:type="spellEnd"/>
      <w:r w:rsidRPr="00D33C25">
        <w:t xml:space="preserve"> </w:t>
      </w:r>
      <w:proofErr w:type="spellStart"/>
      <w:r w:rsidRPr="00D33C25">
        <w:t>Assurance</w:t>
      </w:r>
      <w:proofErr w:type="spellEnd"/>
      <w:r w:rsidRPr="00D33C25">
        <w:t xml:space="preserve"> (LRQA)  poolt sertifikaadid lähtudes rahvusvaheliste standardite ISO 9001, ISO 14001 ja OHSAS 18001 nõuetest.   </w:t>
      </w:r>
    </w:p>
    <w:p w:rsidR="00D2797B" w:rsidRPr="00D33C25" w:rsidRDefault="00D2797B" w:rsidP="00D2797B">
      <w:pPr>
        <w:pStyle w:val="Pis"/>
        <w:tabs>
          <w:tab w:val="clear" w:pos="4153"/>
          <w:tab w:val="clear" w:pos="8306"/>
        </w:tabs>
        <w:jc w:val="both"/>
        <w:rPr>
          <w:rFonts w:eastAsia="Lucida Sans Unicode" w:cs="Tahoma"/>
          <w:szCs w:val="24"/>
          <w:lang/>
        </w:rPr>
      </w:pPr>
    </w:p>
    <w:p w:rsidR="00D2797B" w:rsidRPr="00D33C25" w:rsidRDefault="00D2797B" w:rsidP="00D2797B">
      <w:pPr>
        <w:jc w:val="both"/>
        <w:rPr>
          <w:rFonts w:eastAsia="Lucida Sans Unicode" w:cs="Tahoma"/>
          <w:szCs w:val="24"/>
          <w:lang/>
        </w:rPr>
      </w:pPr>
      <w:r w:rsidRPr="00D33C25">
        <w:rPr>
          <w:rFonts w:eastAsia="Lucida Sans Unicode" w:cs="Tahoma"/>
          <w:szCs w:val="24"/>
          <w:lang/>
        </w:rPr>
        <w:t xml:space="preserve">Vene-Balti sadam asub Kopli poolsaarel ca 700-1000 m kaugusel elamupiirkondadest, geograafiliselt soodsas piirkonnas, kus valdavad tuulesuunad on avamere poole. AS BLRT Grupp territoorium on asfalteeritud ning mõne meetri sügavuselt algab ca 60 m paksune sinisavi kiht, mis kaitseb põhjavett reostuse eest. Reostuse vältimiseks kogutakse remondi käigus tekkinud ohtlikud jäätmed kogumismahutitesse eraldi tavajäätmetest, mida enne üleandmist hoitakse suletud ruumides, kuhu ei pääse kõrvalised isikud. Kogumismahutid märgistatakse nõuetekohaselt ning antakse regulaarselt üle ohtlike jäätmete käitluslitsentsi ja jäätmeluba </w:t>
      </w:r>
      <w:r w:rsidRPr="00D33C25">
        <w:rPr>
          <w:rFonts w:eastAsia="Lucida Sans Unicode" w:cs="Tahoma"/>
          <w:szCs w:val="24"/>
          <w:lang/>
        </w:rPr>
        <w:lastRenderedPageBreak/>
        <w:t>omavale ettevõttele. Naftasaaduste kogumiseks ja avariitagajärgede likvideerimiseks merel on AS-i BLRT Grupp koosseisu kuuluvatel ettevõtetel piisavalt reostustõrjevahendeid ning reostustõrjeplaan.</w:t>
      </w:r>
    </w:p>
    <w:p w:rsidR="00D2797B" w:rsidRPr="00D33C25" w:rsidRDefault="00D2797B" w:rsidP="00D2797B">
      <w:pPr>
        <w:pStyle w:val="Pis"/>
        <w:tabs>
          <w:tab w:val="clear" w:pos="4153"/>
          <w:tab w:val="clear" w:pos="8306"/>
        </w:tabs>
        <w:jc w:val="both"/>
        <w:rPr>
          <w:rFonts w:eastAsia="Lucida Sans Unicode" w:cs="Tahoma"/>
          <w:szCs w:val="24"/>
          <w:lang/>
        </w:rPr>
      </w:pPr>
    </w:p>
    <w:p w:rsidR="00D2797B" w:rsidRPr="00D33C25" w:rsidRDefault="00D2797B" w:rsidP="00D2797B">
      <w:pPr>
        <w:pStyle w:val="Pis"/>
        <w:tabs>
          <w:tab w:val="clear" w:pos="4153"/>
          <w:tab w:val="clear" w:pos="8306"/>
        </w:tabs>
        <w:autoSpaceDE w:val="0"/>
        <w:jc w:val="both"/>
        <w:rPr>
          <w:rFonts w:eastAsia="Lucida Sans Unicode" w:cs="Tahoma"/>
          <w:szCs w:val="24"/>
          <w:lang/>
        </w:rPr>
      </w:pPr>
      <w:r w:rsidRPr="00D33C25">
        <w:rPr>
          <w:rFonts w:eastAsia="Lucida Sans Unicode" w:cs="Tahoma"/>
          <w:szCs w:val="24"/>
          <w:lang/>
        </w:rPr>
        <w:t xml:space="preserve">Eelpool toodust nähtub, et </w:t>
      </w:r>
      <w:r w:rsidRPr="00D33C25">
        <w:rPr>
          <w:szCs w:val="24"/>
        </w:rPr>
        <w:t xml:space="preserve">laevade </w:t>
      </w:r>
      <w:r w:rsidRPr="00D33C25">
        <w:rPr>
          <w:rFonts w:eastAsia="Lucida Sans Unicode" w:cs="Tahoma"/>
          <w:szCs w:val="24"/>
          <w:lang/>
        </w:rPr>
        <w:t>puhastamise, värvimise ning</w:t>
      </w:r>
      <w:r w:rsidRPr="00D33C25">
        <w:rPr>
          <w:szCs w:val="24"/>
        </w:rPr>
        <w:t xml:space="preserve"> remontimisega seotud tööde puhul Vene-Balti sadama akvatooriumil</w:t>
      </w:r>
      <w:r w:rsidRPr="00D33C25">
        <w:rPr>
          <w:rFonts w:eastAsia="Lucida Sans Unicode" w:cs="Tahoma"/>
          <w:szCs w:val="24"/>
          <w:lang/>
        </w:rPr>
        <w:t xml:space="preserve"> on avariiolukordade esinemine ja negatiivne mõju </w:t>
      </w:r>
      <w:r w:rsidRPr="00D33C25">
        <w:rPr>
          <w:rFonts w:eastAsia="Lucida Sans Unicode" w:cs="Tahoma"/>
          <w:color w:val="FF0000"/>
          <w:szCs w:val="24"/>
          <w:lang/>
        </w:rPr>
        <w:t xml:space="preserve"> </w:t>
      </w:r>
      <w:r w:rsidRPr="00D33C25">
        <w:rPr>
          <w:rFonts w:eastAsia="Lucida Sans Unicode" w:cs="Tahoma"/>
          <w:szCs w:val="24"/>
          <w:lang/>
        </w:rPr>
        <w:t xml:space="preserve">ümbritsevale keskkonnale, s.h mere põhjaelustikule, kalastikule ja linnustikule ebatõenäoline. Sadama territooriumi läheduses puudub Natura 2000 ala. </w:t>
      </w:r>
    </w:p>
    <w:p w:rsidR="009628A9" w:rsidRPr="00D33C25" w:rsidRDefault="009628A9" w:rsidP="00337267">
      <w:pPr>
        <w:pStyle w:val="Pis"/>
        <w:tabs>
          <w:tab w:val="left" w:pos="708"/>
        </w:tabs>
        <w:autoSpaceDE w:val="0"/>
        <w:jc w:val="both"/>
        <w:rPr>
          <w:szCs w:val="24"/>
        </w:rPr>
      </w:pPr>
    </w:p>
    <w:p w:rsidR="00FF088E" w:rsidRPr="00D33C25" w:rsidRDefault="00FF088E" w:rsidP="00337267">
      <w:pPr>
        <w:jc w:val="both"/>
        <w:rPr>
          <w:b/>
          <w:szCs w:val="24"/>
        </w:rPr>
      </w:pPr>
      <w:r w:rsidRPr="00D33C25">
        <w:rPr>
          <w:b/>
          <w:szCs w:val="24"/>
        </w:rPr>
        <w:t>2.</w:t>
      </w:r>
      <w:r w:rsidR="00B51875" w:rsidRPr="00D33C25">
        <w:rPr>
          <w:b/>
          <w:szCs w:val="24"/>
        </w:rPr>
        <w:t>4</w:t>
      </w:r>
      <w:r w:rsidRPr="00D33C25">
        <w:rPr>
          <w:b/>
          <w:szCs w:val="24"/>
        </w:rPr>
        <w:t xml:space="preserve"> Vee erikasutusloa eelnõu avalikustamine ja seisukohtade </w:t>
      </w:r>
      <w:proofErr w:type="spellStart"/>
      <w:r w:rsidRPr="00D33C25">
        <w:rPr>
          <w:b/>
          <w:szCs w:val="24"/>
        </w:rPr>
        <w:t>ärakuulamine</w:t>
      </w:r>
      <w:proofErr w:type="spellEnd"/>
    </w:p>
    <w:p w:rsidR="00411DE2" w:rsidRPr="00D33C25" w:rsidRDefault="00FF088E" w:rsidP="00411DE2">
      <w:pPr>
        <w:jc w:val="both"/>
        <w:rPr>
          <w:szCs w:val="24"/>
        </w:rPr>
      </w:pPr>
      <w:r w:rsidRPr="00D33C25">
        <w:rPr>
          <w:szCs w:val="24"/>
        </w:rPr>
        <w:t xml:space="preserve">Vastavalt haldusmenetluse seaduse (edaspidi </w:t>
      </w:r>
      <w:r w:rsidRPr="00D33C25">
        <w:rPr>
          <w:i/>
          <w:szCs w:val="24"/>
        </w:rPr>
        <w:t>HMS</w:t>
      </w:r>
      <w:r w:rsidRPr="00D33C25">
        <w:rPr>
          <w:szCs w:val="24"/>
        </w:rPr>
        <w:t xml:space="preserve">) § 48 </w:t>
      </w:r>
      <w:proofErr w:type="spellStart"/>
      <w:r w:rsidRPr="00D33C25">
        <w:rPr>
          <w:szCs w:val="24"/>
        </w:rPr>
        <w:t>lg-le</w:t>
      </w:r>
      <w:proofErr w:type="spellEnd"/>
      <w:r w:rsidRPr="00D33C25">
        <w:rPr>
          <w:szCs w:val="24"/>
        </w:rPr>
        <w:t xml:space="preserve"> 1 tuleb õigusakti eelnõu koos seletuskirjaga avalikkusele tutvumiseks välja panna, tagades avalikkusele nimetatud dokumentidega tutvumise võimaluse vähemalt kuni ettepanekute ja vastuväidete esitamise tähtaja lõpuni. Vastavalt HMS § 49 </w:t>
      </w:r>
      <w:proofErr w:type="spellStart"/>
      <w:r w:rsidRPr="00D33C25">
        <w:rPr>
          <w:szCs w:val="24"/>
        </w:rPr>
        <w:t>lg-e</w:t>
      </w:r>
      <w:proofErr w:type="spellEnd"/>
      <w:r w:rsidRPr="00D33C25">
        <w:rPr>
          <w:szCs w:val="24"/>
        </w:rPr>
        <w:t xml:space="preserve"> 2 ei või ettepanekute ja vastuväidete esitamiseks tähtaeg olla lühem kui kaks nädalat väljapaneku algusest arvates. Keskkonnaamet teavitas vee erikasutusloa andmise eelnõu valmimisest ametlikus väljaandes Ametlikud Teadaanded </w:t>
      </w:r>
      <w:r w:rsidR="009628A9" w:rsidRPr="00D33C25">
        <w:rPr>
          <w:szCs w:val="24"/>
        </w:rPr>
        <w:t>…0</w:t>
      </w:r>
      <w:r w:rsidR="00B2761F">
        <w:rPr>
          <w:szCs w:val="24"/>
        </w:rPr>
        <w:t>9</w:t>
      </w:r>
      <w:r w:rsidR="00AE6E5E" w:rsidRPr="00D33C25">
        <w:rPr>
          <w:szCs w:val="24"/>
        </w:rPr>
        <w:t>.2016</w:t>
      </w:r>
      <w:r w:rsidRPr="00D33C25">
        <w:rPr>
          <w:szCs w:val="24"/>
        </w:rPr>
        <w:t xml:space="preserve"> ning edastas eelnõu vastavalt HMS § 49 </w:t>
      </w:r>
      <w:proofErr w:type="spellStart"/>
      <w:r w:rsidRPr="00D33C25">
        <w:rPr>
          <w:szCs w:val="24"/>
        </w:rPr>
        <w:t>lg-le</w:t>
      </w:r>
      <w:proofErr w:type="spellEnd"/>
      <w:r w:rsidRPr="00D33C25">
        <w:rPr>
          <w:szCs w:val="24"/>
        </w:rPr>
        <w:t xml:space="preserve"> 3 ka taotluse esitajale. Eelnõuga oli võimalik tutvuda </w:t>
      </w:r>
      <w:r w:rsidRPr="00D33C25">
        <w:rPr>
          <w:rStyle w:val="Rhutus"/>
          <w:i w:val="0"/>
          <w:szCs w:val="24"/>
        </w:rPr>
        <w:t>kahe nädala jooksul alates teate ilmumisest Ametlikes</w:t>
      </w:r>
      <w:r w:rsidR="009628A9" w:rsidRPr="00D33C25">
        <w:rPr>
          <w:rStyle w:val="Rhutus"/>
          <w:i w:val="0"/>
          <w:szCs w:val="24"/>
        </w:rPr>
        <w:t>.</w:t>
      </w:r>
    </w:p>
    <w:p w:rsidR="007176EB" w:rsidRPr="00D33C25" w:rsidRDefault="007176EB" w:rsidP="00C75F78">
      <w:pPr>
        <w:jc w:val="both"/>
        <w:rPr>
          <w:rStyle w:val="Rhutus"/>
          <w:i w:val="0"/>
          <w:szCs w:val="24"/>
        </w:rPr>
      </w:pPr>
    </w:p>
    <w:p w:rsidR="00E60EF5" w:rsidRPr="00D33C25" w:rsidRDefault="00E60EF5" w:rsidP="00AE6E5E">
      <w:pPr>
        <w:pStyle w:val="Pis"/>
        <w:tabs>
          <w:tab w:val="left" w:pos="708"/>
        </w:tabs>
        <w:autoSpaceDE w:val="0"/>
        <w:jc w:val="both"/>
        <w:rPr>
          <w:b/>
          <w:szCs w:val="24"/>
        </w:rPr>
      </w:pPr>
      <w:r w:rsidRPr="00D33C25">
        <w:rPr>
          <w:b/>
          <w:szCs w:val="24"/>
        </w:rPr>
        <w:t>3. OTSUS</w:t>
      </w:r>
    </w:p>
    <w:p w:rsidR="00E60EF5" w:rsidRPr="00D33C25" w:rsidRDefault="00E60EF5" w:rsidP="00AE6E5E">
      <w:pPr>
        <w:pStyle w:val="Pis"/>
        <w:tabs>
          <w:tab w:val="left" w:pos="708"/>
        </w:tabs>
        <w:jc w:val="both"/>
        <w:rPr>
          <w:b/>
          <w:bCs/>
          <w:szCs w:val="24"/>
        </w:rPr>
      </w:pPr>
      <w:r w:rsidRPr="00D33C25">
        <w:rPr>
          <w:szCs w:val="24"/>
        </w:rPr>
        <w:t>Tulenevalt eeltoodust ja lähtudes veeseaduse § 8 lg 2 p-st 10</w:t>
      </w:r>
      <w:r w:rsidR="00C75F78" w:rsidRPr="00D33C25">
        <w:rPr>
          <w:szCs w:val="24"/>
        </w:rPr>
        <w:t>, määruse nr 18 §-dest 5 ja 11</w:t>
      </w:r>
      <w:r w:rsidR="009628A9" w:rsidRPr="00D33C25">
        <w:rPr>
          <w:szCs w:val="24"/>
        </w:rPr>
        <w:t>,</w:t>
      </w:r>
      <w:r w:rsidRPr="00D33C25">
        <w:rPr>
          <w:szCs w:val="24"/>
        </w:rPr>
        <w:t xml:space="preserve"> </w:t>
      </w:r>
      <w:r w:rsidR="00374EEE" w:rsidRPr="00D33C25">
        <w:rPr>
          <w:szCs w:val="24"/>
        </w:rPr>
        <w:t xml:space="preserve"> </w:t>
      </w:r>
      <w:r w:rsidR="00B2761F" w:rsidRPr="00371CB0">
        <w:rPr>
          <w:szCs w:val="24"/>
        </w:rPr>
        <w:t xml:space="preserve">Osaühing Tallinn </w:t>
      </w:r>
      <w:proofErr w:type="spellStart"/>
      <w:r w:rsidR="00B2761F" w:rsidRPr="00371CB0">
        <w:rPr>
          <w:szCs w:val="24"/>
        </w:rPr>
        <w:t>Shipyard</w:t>
      </w:r>
      <w:proofErr w:type="spellEnd"/>
      <w:r w:rsidR="00B2761F" w:rsidRPr="00371CB0">
        <w:rPr>
          <w:b/>
          <w:bCs/>
          <w:szCs w:val="24"/>
        </w:rPr>
        <w:t xml:space="preserve"> </w:t>
      </w:r>
      <w:r w:rsidR="00B2761F" w:rsidRPr="00371CB0">
        <w:rPr>
          <w:szCs w:val="24"/>
        </w:rPr>
        <w:t xml:space="preserve">(Äriregistri kood 10329451) </w:t>
      </w:r>
      <w:r w:rsidRPr="00D33C25">
        <w:rPr>
          <w:szCs w:val="24"/>
        </w:rPr>
        <w:t>taotlusest</w:t>
      </w:r>
      <w:r w:rsidR="009628A9" w:rsidRPr="00D33C25">
        <w:rPr>
          <w:szCs w:val="24"/>
        </w:rPr>
        <w:t xml:space="preserve">, </w:t>
      </w:r>
      <w:r w:rsidR="009628A9" w:rsidRPr="00D33C25">
        <w:rPr>
          <w:lang w:bidi="en-US"/>
        </w:rPr>
        <w:t xml:space="preserve">Keskkonnaameti peadirektori </w:t>
      </w:r>
      <w:r w:rsidR="009628A9" w:rsidRPr="00D33C25">
        <w:t>19.07.2016 käskkirjast nr 1-1/16/289</w:t>
      </w:r>
      <w:r w:rsidRPr="00D33C25">
        <w:rPr>
          <w:szCs w:val="24"/>
        </w:rPr>
        <w:t xml:space="preserve"> ja korralduses esitatud kaalutlustest</w:t>
      </w:r>
      <w:r w:rsidRPr="00D33C25">
        <w:rPr>
          <w:b/>
          <w:bCs/>
          <w:szCs w:val="24"/>
        </w:rPr>
        <w:t xml:space="preserve"> otsustan:</w:t>
      </w:r>
    </w:p>
    <w:p w:rsidR="00AE6E5E" w:rsidRPr="00D33C25" w:rsidRDefault="00B2761F" w:rsidP="00B2761F">
      <w:pPr>
        <w:pStyle w:val="Pis"/>
        <w:tabs>
          <w:tab w:val="clear" w:pos="4153"/>
          <w:tab w:val="clear" w:pos="8306"/>
          <w:tab w:val="left" w:pos="7410"/>
        </w:tabs>
        <w:ind w:left="567"/>
        <w:jc w:val="both"/>
        <w:rPr>
          <w:b/>
          <w:bCs/>
          <w:szCs w:val="24"/>
        </w:rPr>
      </w:pPr>
      <w:r>
        <w:rPr>
          <w:b/>
          <w:bCs/>
          <w:szCs w:val="24"/>
        </w:rPr>
        <w:tab/>
        <w:t xml:space="preserve"> </w:t>
      </w:r>
    </w:p>
    <w:p w:rsidR="00E60EF5" w:rsidRPr="00D33C25" w:rsidRDefault="00E60EF5" w:rsidP="00AE6E5E">
      <w:pPr>
        <w:pStyle w:val="Pis"/>
        <w:tabs>
          <w:tab w:val="left" w:pos="708"/>
        </w:tabs>
        <w:ind w:left="567"/>
        <w:jc w:val="both"/>
        <w:rPr>
          <w:b/>
          <w:bCs/>
          <w:szCs w:val="24"/>
        </w:rPr>
      </w:pPr>
      <w:r w:rsidRPr="00D33C25">
        <w:rPr>
          <w:b/>
          <w:bCs/>
          <w:szCs w:val="24"/>
        </w:rPr>
        <w:t>1. jätta keskkonnamõju hindamine algatamata;</w:t>
      </w:r>
    </w:p>
    <w:p w:rsidR="00AE6E5E" w:rsidRPr="00D33C25" w:rsidRDefault="00AE6E5E" w:rsidP="00AE6E5E">
      <w:pPr>
        <w:pStyle w:val="Normaallaadveeb"/>
        <w:spacing w:before="0" w:after="0"/>
        <w:ind w:left="567"/>
        <w:jc w:val="both"/>
        <w:rPr>
          <w:b/>
          <w:lang w:val="et-EE"/>
        </w:rPr>
      </w:pPr>
    </w:p>
    <w:p w:rsidR="00B2761F" w:rsidRPr="00B2761F" w:rsidRDefault="00E60EF5" w:rsidP="00BF5181">
      <w:pPr>
        <w:pStyle w:val="Standard"/>
        <w:ind w:left="567"/>
        <w:jc w:val="both"/>
        <w:rPr>
          <w:rFonts w:ascii="Times New Roman" w:hAnsi="Times New Roman" w:cs="Times New Roman"/>
          <w:b/>
        </w:rPr>
      </w:pPr>
      <w:r w:rsidRPr="00B2761F">
        <w:rPr>
          <w:rFonts w:ascii="Times New Roman" w:hAnsi="Times New Roman" w:cs="Times New Roman"/>
          <w:b/>
        </w:rPr>
        <w:t xml:space="preserve">2. </w:t>
      </w:r>
      <w:r w:rsidR="009628A9" w:rsidRPr="00B2761F">
        <w:rPr>
          <w:rFonts w:ascii="Times New Roman" w:eastAsia="SimSun" w:hAnsi="Times New Roman" w:cs="Times New Roman"/>
          <w:b/>
        </w:rPr>
        <w:t xml:space="preserve">anda </w:t>
      </w:r>
      <w:r w:rsidR="00B2761F" w:rsidRPr="00B2761F">
        <w:rPr>
          <w:rFonts w:ascii="Times New Roman" w:hAnsi="Times New Roman" w:cs="Times New Roman"/>
          <w:b/>
        </w:rPr>
        <w:t>Osaühing</w:t>
      </w:r>
      <w:r w:rsidR="00B2761F" w:rsidRPr="00B2761F">
        <w:rPr>
          <w:rFonts w:ascii="Times New Roman" w:hAnsi="Times New Roman" w:cs="Times New Roman"/>
          <w:b/>
        </w:rPr>
        <w:t>ule</w:t>
      </w:r>
      <w:r w:rsidR="00B2761F" w:rsidRPr="00B2761F">
        <w:rPr>
          <w:rFonts w:ascii="Times New Roman" w:hAnsi="Times New Roman" w:cs="Times New Roman"/>
          <w:b/>
        </w:rPr>
        <w:t xml:space="preserve"> Tallinn </w:t>
      </w:r>
      <w:proofErr w:type="spellStart"/>
      <w:r w:rsidR="00B2761F" w:rsidRPr="00B2761F">
        <w:rPr>
          <w:rFonts w:ascii="Times New Roman" w:hAnsi="Times New Roman" w:cs="Times New Roman"/>
          <w:b/>
        </w:rPr>
        <w:t>Shipyard</w:t>
      </w:r>
      <w:proofErr w:type="spellEnd"/>
      <w:r w:rsidR="00B2761F" w:rsidRPr="00B2761F">
        <w:rPr>
          <w:rFonts w:ascii="Times New Roman" w:hAnsi="Times New Roman" w:cs="Times New Roman"/>
          <w:b/>
          <w:bCs/>
        </w:rPr>
        <w:t xml:space="preserve"> </w:t>
      </w:r>
      <w:r w:rsidR="00B2761F" w:rsidRPr="00B2761F">
        <w:rPr>
          <w:rFonts w:ascii="Times New Roman" w:hAnsi="Times New Roman" w:cs="Times New Roman"/>
          <w:b/>
        </w:rPr>
        <w:t>(Äriregistri kood 10329451</w:t>
      </w:r>
      <w:r w:rsidR="00B2761F" w:rsidRPr="00B2761F">
        <w:rPr>
          <w:rFonts w:ascii="Times New Roman" w:hAnsi="Times New Roman" w:cs="Times New Roman"/>
          <w:b/>
        </w:rPr>
        <w:t xml:space="preserve">) </w:t>
      </w:r>
      <w:r w:rsidR="007B6597" w:rsidRPr="00B2761F">
        <w:rPr>
          <w:rFonts w:ascii="Times New Roman" w:hAnsi="Times New Roman" w:cs="Times New Roman"/>
          <w:b/>
        </w:rPr>
        <w:t xml:space="preserve">tähtajatu </w:t>
      </w:r>
      <w:r w:rsidR="00AE6E5E" w:rsidRPr="00B2761F">
        <w:rPr>
          <w:rFonts w:ascii="Times New Roman" w:eastAsia="SimSun" w:hAnsi="Times New Roman" w:cs="Times New Roman"/>
          <w:b/>
        </w:rPr>
        <w:t>vee erikasutusluba</w:t>
      </w:r>
      <w:r w:rsidRPr="00B2761F">
        <w:rPr>
          <w:rFonts w:ascii="Times New Roman" w:hAnsi="Times New Roman" w:cs="Times New Roman"/>
          <w:b/>
        </w:rPr>
        <w:t xml:space="preserve"> </w:t>
      </w:r>
      <w:r w:rsidR="00AE6E5E" w:rsidRPr="00B2761F">
        <w:rPr>
          <w:rFonts w:ascii="Times New Roman" w:hAnsi="Times New Roman" w:cs="Times New Roman"/>
          <w:b/>
        </w:rPr>
        <w:t xml:space="preserve">nr </w:t>
      </w:r>
      <w:r w:rsidR="00B2761F" w:rsidRPr="00B2761F">
        <w:rPr>
          <w:rFonts w:ascii="Times New Roman" w:hAnsi="Times New Roman" w:cs="Times New Roman"/>
          <w:b/>
        </w:rPr>
        <w:t>L.VV/328244</w:t>
      </w:r>
      <w:r w:rsidR="00B2761F" w:rsidRPr="00B2761F">
        <w:rPr>
          <w:rFonts w:ascii="Times New Roman" w:hAnsi="Times New Roman" w:cs="Times New Roman"/>
          <w:b/>
        </w:rPr>
        <w:t xml:space="preserve"> l</w:t>
      </w:r>
      <w:r w:rsidR="00B2761F" w:rsidRPr="00B2761F">
        <w:rPr>
          <w:rFonts w:ascii="Times New Roman" w:hAnsi="Times New Roman" w:cs="Times New Roman"/>
          <w:b/>
        </w:rPr>
        <w:t>aevade remontimi</w:t>
      </w:r>
      <w:r w:rsidR="00B2761F" w:rsidRPr="00B2761F">
        <w:rPr>
          <w:rFonts w:ascii="Times New Roman" w:hAnsi="Times New Roman" w:cs="Times New Roman"/>
          <w:b/>
        </w:rPr>
        <w:t>seks</w:t>
      </w:r>
      <w:r w:rsidR="00B2761F" w:rsidRPr="00B2761F">
        <w:rPr>
          <w:rFonts w:ascii="Times New Roman" w:hAnsi="Times New Roman" w:cs="Times New Roman"/>
          <w:b/>
        </w:rPr>
        <w:t xml:space="preserve"> Vene-Balti sadama dokkides ning sadama kaide ääres, mis hõlmab seisvate laevade laevakerede puhastamist ja värvimist, laeva konstruktsioonide muutmist, metallkonstruktsioonide remontimist, tankide puhastamist ja remontimist.</w:t>
      </w:r>
    </w:p>
    <w:p w:rsidR="00707162" w:rsidRPr="00D33C25" w:rsidRDefault="00BF5181" w:rsidP="00BF5181">
      <w:pPr>
        <w:pStyle w:val="Standard"/>
        <w:ind w:left="567"/>
        <w:jc w:val="both"/>
        <w:rPr>
          <w:b/>
        </w:rPr>
      </w:pPr>
      <w:r w:rsidRPr="00D33C25">
        <w:rPr>
          <w:rFonts w:ascii="Times New Roman" w:hAnsi="Times New Roman" w:cs="Times New Roman"/>
          <w:b/>
        </w:rPr>
        <w:t xml:space="preserve"> </w:t>
      </w:r>
    </w:p>
    <w:p w:rsidR="00BF5181" w:rsidRPr="00D33C25" w:rsidRDefault="00BF5181" w:rsidP="00BF5181">
      <w:pPr>
        <w:spacing w:line="240" w:lineRule="atLeast"/>
        <w:jc w:val="both"/>
        <w:rPr>
          <w:szCs w:val="24"/>
        </w:rPr>
      </w:pPr>
      <w:r w:rsidRPr="00D33C25">
        <w:rPr>
          <w:szCs w:val="24"/>
        </w:rPr>
        <w:t xml:space="preserve">Vastavalt veeseaduse § 9 lg 2 p-dele 9 ja 11 ning </w:t>
      </w:r>
      <w:r w:rsidRPr="00D33C25">
        <w:rPr>
          <w:rFonts w:eastAsia="Lucida Sans Unicode"/>
          <w:szCs w:val="24"/>
        </w:rPr>
        <w:t xml:space="preserve">tulenevalt </w:t>
      </w:r>
      <w:r w:rsidRPr="00D33C25">
        <w:rPr>
          <w:rFonts w:eastAsia="SimSun"/>
          <w:bCs/>
          <w:szCs w:val="24"/>
        </w:rPr>
        <w:t xml:space="preserve">Taotleja </w:t>
      </w:r>
      <w:r w:rsidRPr="00D33C25">
        <w:rPr>
          <w:rFonts w:eastAsia="Lucida Sans Unicode"/>
          <w:szCs w:val="24"/>
        </w:rPr>
        <w:t>taotluses esitatud andmetest</w:t>
      </w:r>
      <w:r w:rsidRPr="00D33C25">
        <w:rPr>
          <w:rFonts w:eastAsia="Tahoma"/>
          <w:szCs w:val="24"/>
        </w:rPr>
        <w:t xml:space="preserve"> </w:t>
      </w:r>
      <w:r w:rsidRPr="00D33C25">
        <w:rPr>
          <w:szCs w:val="24"/>
        </w:rPr>
        <w:t xml:space="preserve">kehtestatakse vee erikasutusloas tööde minimaalsema negatiivse keskkonnamõju saavutamiseks järgmised meetmed ja tingimused: </w:t>
      </w:r>
    </w:p>
    <w:p w:rsidR="00BF5181" w:rsidRPr="008F38C4" w:rsidRDefault="00BF5181" w:rsidP="00AE6E5E">
      <w:pPr>
        <w:jc w:val="both"/>
        <w:rPr>
          <w:b/>
          <w:szCs w:val="24"/>
        </w:rPr>
      </w:pPr>
    </w:p>
    <w:p w:rsidR="00A9072B" w:rsidRPr="008F38C4" w:rsidRDefault="003D03D5" w:rsidP="00A9072B">
      <w:pPr>
        <w:ind w:left="720"/>
        <w:jc w:val="both"/>
        <w:rPr>
          <w:szCs w:val="24"/>
        </w:rPr>
      </w:pPr>
      <w:r w:rsidRPr="008F38C4">
        <w:rPr>
          <w:szCs w:val="24"/>
        </w:rPr>
        <w:t>1) Merre tagasi suunatava vee naftaproduktide kontsentratsioon ei tohi ületada 1 mg/l.</w:t>
      </w:r>
      <w:r w:rsidRPr="008F38C4">
        <w:rPr>
          <w:szCs w:val="24"/>
        </w:rPr>
        <w:br/>
        <w:t>2) Laevakorpuste puhastamise töid ei teostata tuule kiirusel üle 10 m/s.</w:t>
      </w:r>
      <w:r w:rsidRPr="008F38C4">
        <w:rPr>
          <w:szCs w:val="24"/>
        </w:rPr>
        <w:br/>
        <w:t>3) Värvi- ja liivatolmu levimise tõkestamiseks tuleb dokki paigaldada võrkmaterjalist ekraanid selliselt, et oleks välistatud värvitolmu sattumine dokist väljapoole.</w:t>
      </w:r>
      <w:r w:rsidRPr="008F38C4">
        <w:rPr>
          <w:szCs w:val="24"/>
        </w:rPr>
        <w:br/>
        <w:t xml:space="preserve">4) </w:t>
      </w:r>
      <w:proofErr w:type="spellStart"/>
      <w:r w:rsidRPr="008F38C4">
        <w:rPr>
          <w:szCs w:val="24"/>
        </w:rPr>
        <w:t>Liivapritsimisseadmega</w:t>
      </w:r>
      <w:proofErr w:type="spellEnd"/>
      <w:r w:rsidRPr="008F38C4">
        <w:rPr>
          <w:szCs w:val="24"/>
        </w:rPr>
        <w:t xml:space="preserve"> puhastamisel kasutatakse liiva või granuleeritud mineraalset materjali (</w:t>
      </w:r>
      <w:proofErr w:type="spellStart"/>
      <w:r w:rsidRPr="008F38C4">
        <w:rPr>
          <w:szCs w:val="24"/>
        </w:rPr>
        <w:t>gritti</w:t>
      </w:r>
      <w:proofErr w:type="spellEnd"/>
      <w:r w:rsidRPr="008F38C4">
        <w:rPr>
          <w:szCs w:val="24"/>
        </w:rPr>
        <w:t>).</w:t>
      </w:r>
      <w:r w:rsidRPr="008F38C4">
        <w:rPr>
          <w:szCs w:val="24"/>
        </w:rPr>
        <w:br/>
        <w:t>5) Värvitolmu ja muude ohtlike jäätmete koristamistöid tuleb teha regulaarselt.</w:t>
      </w:r>
    </w:p>
    <w:p w:rsidR="008F38C4" w:rsidRPr="008F38C4" w:rsidRDefault="008F38C4" w:rsidP="00A9072B">
      <w:pPr>
        <w:ind w:left="720"/>
        <w:jc w:val="both"/>
        <w:rPr>
          <w:b/>
          <w:szCs w:val="24"/>
        </w:rPr>
      </w:pPr>
      <w:r w:rsidRPr="008F38C4">
        <w:rPr>
          <w:szCs w:val="24"/>
        </w:rPr>
        <w:t>6</w:t>
      </w:r>
      <w:r w:rsidRPr="008F38C4">
        <w:rPr>
          <w:szCs w:val="24"/>
        </w:rPr>
        <w:t>) Doki pontoonide otspindadele paigaldada spetsiaalsed tõkked (nn lamav politseinik) kõrgusega 100 mm heitvee äravoolu vältimiseks akvatooriumisse.</w:t>
      </w:r>
      <w:r w:rsidRPr="008F38C4">
        <w:rPr>
          <w:szCs w:val="24"/>
        </w:rPr>
        <w:br/>
      </w:r>
      <w:r w:rsidRPr="008F38C4">
        <w:rPr>
          <w:szCs w:val="24"/>
        </w:rPr>
        <w:t>7</w:t>
      </w:r>
      <w:r w:rsidRPr="008F38C4">
        <w:rPr>
          <w:szCs w:val="24"/>
        </w:rPr>
        <w:t>) Doki piigatitesse peab paigaldama laevade pesemise ajal filtrid prügi ja saasteainete püüdmiseks.</w:t>
      </w:r>
      <w:r w:rsidRPr="008F38C4">
        <w:rPr>
          <w:szCs w:val="24"/>
        </w:rPr>
        <w:br/>
      </w:r>
      <w:r w:rsidRPr="008F38C4">
        <w:rPr>
          <w:szCs w:val="24"/>
        </w:rPr>
        <w:t>8</w:t>
      </w:r>
      <w:r w:rsidRPr="008F38C4">
        <w:rPr>
          <w:szCs w:val="24"/>
        </w:rPr>
        <w:t>) Kõrgsurvepesurid, liivapritsid, elektrikäsitööriistad.</w:t>
      </w:r>
    </w:p>
    <w:p w:rsidR="008F38C4" w:rsidRPr="008F38C4" w:rsidRDefault="008F38C4" w:rsidP="00A9072B">
      <w:pPr>
        <w:ind w:left="720"/>
        <w:jc w:val="both"/>
        <w:rPr>
          <w:b/>
          <w:szCs w:val="24"/>
        </w:rPr>
      </w:pPr>
      <w:r w:rsidRPr="008F38C4">
        <w:rPr>
          <w:szCs w:val="24"/>
        </w:rPr>
        <w:t>9</w:t>
      </w:r>
      <w:r w:rsidRPr="008F38C4">
        <w:rPr>
          <w:szCs w:val="24"/>
        </w:rPr>
        <w:t>) Kasutatavate värvide koostis ning kvaliteet peab vastama IMO nõuetele. TBT komponente sisaldavate kattumisvastaste värvide kasutamine on keelatud.</w:t>
      </w:r>
    </w:p>
    <w:p w:rsidR="008F38C4" w:rsidRPr="00D33C25" w:rsidRDefault="008F38C4" w:rsidP="00A9072B">
      <w:pPr>
        <w:ind w:left="720"/>
        <w:jc w:val="both"/>
        <w:rPr>
          <w:b/>
          <w:szCs w:val="24"/>
        </w:rPr>
      </w:pPr>
    </w:p>
    <w:p w:rsidR="00707162" w:rsidRPr="00D33C25" w:rsidRDefault="00707162" w:rsidP="00AE6E5E">
      <w:pPr>
        <w:jc w:val="both"/>
        <w:rPr>
          <w:b/>
          <w:szCs w:val="24"/>
        </w:rPr>
      </w:pPr>
      <w:r w:rsidRPr="00D33C25">
        <w:rPr>
          <w:b/>
          <w:szCs w:val="24"/>
        </w:rPr>
        <w:t>4.TÄIENDAV TEAVE</w:t>
      </w:r>
      <w:r w:rsidR="008C6498" w:rsidRPr="00D33C25">
        <w:rPr>
          <w:b/>
          <w:szCs w:val="24"/>
        </w:rPr>
        <w:t xml:space="preserve"> </w:t>
      </w:r>
    </w:p>
    <w:p w:rsidR="004D2C56" w:rsidRPr="008F38C4" w:rsidRDefault="008F38C4" w:rsidP="008F38C4">
      <w:pPr>
        <w:ind w:left="720"/>
        <w:jc w:val="both"/>
        <w:rPr>
          <w:szCs w:val="24"/>
        </w:rPr>
      </w:pPr>
      <w:r w:rsidRPr="008F38C4">
        <w:rPr>
          <w:szCs w:val="24"/>
        </w:rPr>
        <w:t xml:space="preserve">1) Laeva remontimisel juhtunud avariidest, mille käigus on saasteaineid (värvi, liiv jne) või muud ohtlikud ained (õli, nafta jne) sattunud vette tuleb koheselt teavitada Keskkonnaametit. </w:t>
      </w:r>
      <w:r w:rsidRPr="008F38C4">
        <w:rPr>
          <w:szCs w:val="24"/>
        </w:rPr>
        <w:br/>
        <w:t>2 ) Tööde käigus tekkivatest muudatustest informeerida Keskkonnaametit koheselt.</w:t>
      </w:r>
    </w:p>
    <w:p w:rsidR="008F38C4" w:rsidRDefault="008F38C4" w:rsidP="00AE6E5E">
      <w:pPr>
        <w:jc w:val="both"/>
        <w:rPr>
          <w:sz w:val="22"/>
          <w:szCs w:val="22"/>
        </w:rPr>
      </w:pPr>
    </w:p>
    <w:p w:rsidR="001A01EF" w:rsidRPr="00D33C25" w:rsidRDefault="00E60EF5" w:rsidP="00337267">
      <w:pPr>
        <w:jc w:val="both"/>
        <w:rPr>
          <w:szCs w:val="24"/>
          <w:lang w:eastAsia="et-EE"/>
        </w:rPr>
      </w:pPr>
      <w:bookmarkStart w:id="1" w:name="para9lg10b1p3"/>
      <w:bookmarkEnd w:id="1"/>
      <w:r w:rsidRPr="00D33C25">
        <w:rPr>
          <w:szCs w:val="24"/>
        </w:rPr>
        <w:t>Haldusakti on võimalik vaidlustada 30 päeva jooksul teatavaks tegemisest, esitades vaide haldusakti andjale haldusmenetluse seaduses sätestatud korras või kaebuse Tallinna</w:t>
      </w:r>
      <w:r w:rsidRPr="00D33C25">
        <w:rPr>
          <w:szCs w:val="24"/>
          <w:lang w:eastAsia="et-EE"/>
        </w:rPr>
        <w:t xml:space="preserve"> Halduskohtusse halduskohtumenetluse seadustikus sätestatud korras.</w:t>
      </w:r>
      <w:r w:rsidR="007B6597" w:rsidRPr="00D33C25">
        <w:rPr>
          <w:szCs w:val="24"/>
          <w:lang w:eastAsia="et-EE"/>
        </w:rPr>
        <w:t xml:space="preserve"> </w:t>
      </w:r>
    </w:p>
    <w:p w:rsidR="001A01EF" w:rsidRPr="00D33C25" w:rsidRDefault="001A01EF" w:rsidP="00337267">
      <w:pPr>
        <w:jc w:val="both"/>
        <w:rPr>
          <w:szCs w:val="24"/>
          <w:lang w:eastAsia="et-EE"/>
        </w:rPr>
      </w:pPr>
    </w:p>
    <w:p w:rsidR="00083FF2" w:rsidRPr="00D33C25" w:rsidRDefault="00083FF2" w:rsidP="00337267">
      <w:pPr>
        <w:jc w:val="both"/>
        <w:rPr>
          <w:szCs w:val="24"/>
          <w:lang w:eastAsia="et-EE"/>
        </w:rPr>
      </w:pPr>
    </w:p>
    <w:p w:rsidR="00083FF2" w:rsidRPr="00D33C25" w:rsidRDefault="00083FF2" w:rsidP="00337267">
      <w:pPr>
        <w:jc w:val="both"/>
        <w:rPr>
          <w:szCs w:val="24"/>
          <w:lang w:eastAsia="et-EE"/>
        </w:rPr>
      </w:pPr>
    </w:p>
    <w:sectPr w:rsidR="00083FF2" w:rsidRPr="00D33C25">
      <w:headerReference w:type="default" r:id="rId9"/>
      <w:footerReference w:type="default" r:id="rId10"/>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9F" w:rsidRDefault="00960F9F">
      <w:r>
        <w:separator/>
      </w:r>
    </w:p>
  </w:endnote>
  <w:endnote w:type="continuationSeparator" w:id="0">
    <w:p w:rsidR="00960F9F" w:rsidRDefault="0096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Thorndale AMT">
    <w:altName w:val="Times New Roman"/>
    <w:panose1 w:val="00000000000000000000"/>
    <w:charset w:val="BA"/>
    <w:family w:val="roman"/>
    <w:notTrueType/>
    <w:pitch w:val="variable"/>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9F" w:rsidRDefault="00960F9F">
      <w:r>
        <w:separator/>
      </w:r>
    </w:p>
  </w:footnote>
  <w:footnote w:type="continuationSeparator" w:id="0">
    <w:p w:rsidR="00960F9F" w:rsidRDefault="00960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62" w:rsidRDefault="00452662" w:rsidP="00452662">
    <w:pPr>
      <w:pStyle w:val="Pis"/>
      <w:jc w:val="right"/>
    </w:pPr>
    <w:r>
      <w:t>EELNÕU</w:t>
    </w:r>
  </w:p>
  <w:p w:rsidR="00452662" w:rsidRDefault="00FF2577" w:rsidP="00452662">
    <w:pPr>
      <w:pStyle w:val="Pis"/>
      <w:jc w:val="right"/>
    </w:pPr>
    <w:r>
      <w:t>01.09</w:t>
    </w:r>
    <w:r w:rsidR="00452662">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10D5"/>
    <w:multiLevelType w:val="multilevel"/>
    <w:tmpl w:val="FC5274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76301A3"/>
    <w:multiLevelType w:val="hybridMultilevel"/>
    <w:tmpl w:val="CBA6306C"/>
    <w:lvl w:ilvl="0" w:tplc="FC2A950E">
      <w:start w:val="1"/>
      <w:numFmt w:val="decimal"/>
      <w:lvlText w:val="%1)"/>
      <w:lvlJc w:val="left"/>
      <w:pPr>
        <w:ind w:left="1080" w:hanging="360"/>
      </w:pPr>
      <w:rPr>
        <w:rFonts w:ascii="Times New Roman" w:eastAsia="Times New Roman" w:hAnsi="Times New Roman" w:cs="Times New Roman"/>
        <w:sz w:val="24"/>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 w15:restartNumberingAfterBreak="0">
    <w:nsid w:val="1233690C"/>
    <w:multiLevelType w:val="hybridMultilevel"/>
    <w:tmpl w:val="AD9E0DDE"/>
    <w:lvl w:ilvl="0" w:tplc="6EBA68DE">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26BF7"/>
    <w:multiLevelType w:val="hybridMultilevel"/>
    <w:tmpl w:val="AE3CD350"/>
    <w:lvl w:ilvl="0" w:tplc="CEE812C0">
      <w:start w:val="1"/>
      <w:numFmt w:val="decimal"/>
      <w:lvlText w:val="%1)"/>
      <w:lvlJc w:val="left"/>
      <w:pPr>
        <w:ind w:left="360" w:hanging="360"/>
      </w:pPr>
      <w:rPr>
        <w:rFonts w:eastAsia="SimSun"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5" w15:restartNumberingAfterBreak="0">
    <w:nsid w:val="1CB1592D"/>
    <w:multiLevelType w:val="multilevel"/>
    <w:tmpl w:val="9816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32075"/>
    <w:multiLevelType w:val="hybridMultilevel"/>
    <w:tmpl w:val="B90C94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B112C9F"/>
    <w:multiLevelType w:val="hybridMultilevel"/>
    <w:tmpl w:val="885E12F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AE0138F"/>
    <w:multiLevelType w:val="hybridMultilevel"/>
    <w:tmpl w:val="0B4473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AB857DA"/>
    <w:multiLevelType w:val="hybridMultilevel"/>
    <w:tmpl w:val="569CF3D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2608A5"/>
    <w:multiLevelType w:val="hybridMultilevel"/>
    <w:tmpl w:val="CE4826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4"/>
  </w:num>
  <w:num w:numId="5">
    <w:abstractNumId w:val="9"/>
  </w:num>
  <w:num w:numId="6">
    <w:abstractNumId w:val="5"/>
  </w:num>
  <w:num w:numId="7">
    <w:abstractNumId w:val="6"/>
  </w:num>
  <w:num w:numId="8">
    <w:abstractNumId w:val="3"/>
  </w:num>
  <w:num w:numId="9">
    <w:abstractNumId w:val="2"/>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33"/>
    <w:rsid w:val="0000174B"/>
    <w:rsid w:val="00010F10"/>
    <w:rsid w:val="00014327"/>
    <w:rsid w:val="00015E6A"/>
    <w:rsid w:val="00024B58"/>
    <w:rsid w:val="00043555"/>
    <w:rsid w:val="00045F2A"/>
    <w:rsid w:val="000468FD"/>
    <w:rsid w:val="0004709B"/>
    <w:rsid w:val="00047496"/>
    <w:rsid w:val="000478E0"/>
    <w:rsid w:val="000566E5"/>
    <w:rsid w:val="00063B8B"/>
    <w:rsid w:val="00067344"/>
    <w:rsid w:val="00074400"/>
    <w:rsid w:val="00081C10"/>
    <w:rsid w:val="00082CD9"/>
    <w:rsid w:val="00083FF2"/>
    <w:rsid w:val="000A0388"/>
    <w:rsid w:val="000A27FD"/>
    <w:rsid w:val="000A7963"/>
    <w:rsid w:val="000B2922"/>
    <w:rsid w:val="000C11D2"/>
    <w:rsid w:val="000C593B"/>
    <w:rsid w:val="000E1288"/>
    <w:rsid w:val="000E7C0E"/>
    <w:rsid w:val="000F18D3"/>
    <w:rsid w:val="000F6C3C"/>
    <w:rsid w:val="00107545"/>
    <w:rsid w:val="00110EEB"/>
    <w:rsid w:val="00115CF2"/>
    <w:rsid w:val="001160AB"/>
    <w:rsid w:val="00120069"/>
    <w:rsid w:val="00120583"/>
    <w:rsid w:val="001276C4"/>
    <w:rsid w:val="001303A4"/>
    <w:rsid w:val="00130992"/>
    <w:rsid w:val="00130C8A"/>
    <w:rsid w:val="00131DB8"/>
    <w:rsid w:val="00135154"/>
    <w:rsid w:val="001409D0"/>
    <w:rsid w:val="00141A4E"/>
    <w:rsid w:val="001461FF"/>
    <w:rsid w:val="001512B0"/>
    <w:rsid w:val="00154565"/>
    <w:rsid w:val="001574AB"/>
    <w:rsid w:val="00163900"/>
    <w:rsid w:val="001715B0"/>
    <w:rsid w:val="00174AA2"/>
    <w:rsid w:val="00183417"/>
    <w:rsid w:val="001A01EF"/>
    <w:rsid w:val="001A588C"/>
    <w:rsid w:val="001A62DC"/>
    <w:rsid w:val="001B1BDA"/>
    <w:rsid w:val="001B24E4"/>
    <w:rsid w:val="001C4577"/>
    <w:rsid w:val="001D132A"/>
    <w:rsid w:val="001D2CB4"/>
    <w:rsid w:val="001D71F5"/>
    <w:rsid w:val="001F1BF8"/>
    <w:rsid w:val="001F28F2"/>
    <w:rsid w:val="001F63B7"/>
    <w:rsid w:val="001F66DD"/>
    <w:rsid w:val="00200A37"/>
    <w:rsid w:val="00210DA2"/>
    <w:rsid w:val="00211FC2"/>
    <w:rsid w:val="00214486"/>
    <w:rsid w:val="00214BFC"/>
    <w:rsid w:val="00235EB0"/>
    <w:rsid w:val="002366CA"/>
    <w:rsid w:val="00241E09"/>
    <w:rsid w:val="00243689"/>
    <w:rsid w:val="00243B87"/>
    <w:rsid w:val="002537CC"/>
    <w:rsid w:val="002564B9"/>
    <w:rsid w:val="00267841"/>
    <w:rsid w:val="002678C2"/>
    <w:rsid w:val="002717D1"/>
    <w:rsid w:val="0027248F"/>
    <w:rsid w:val="00272B82"/>
    <w:rsid w:val="00274CD1"/>
    <w:rsid w:val="00276D23"/>
    <w:rsid w:val="00284759"/>
    <w:rsid w:val="002947A3"/>
    <w:rsid w:val="00296A04"/>
    <w:rsid w:val="00296BEB"/>
    <w:rsid w:val="002A70D3"/>
    <w:rsid w:val="002A779C"/>
    <w:rsid w:val="002B3493"/>
    <w:rsid w:val="002B3CEA"/>
    <w:rsid w:val="002C020A"/>
    <w:rsid w:val="002C4392"/>
    <w:rsid w:val="002D083B"/>
    <w:rsid w:val="002D14E6"/>
    <w:rsid w:val="002D463C"/>
    <w:rsid w:val="002F04B0"/>
    <w:rsid w:val="002F7A12"/>
    <w:rsid w:val="003020E8"/>
    <w:rsid w:val="00305F3D"/>
    <w:rsid w:val="003136F2"/>
    <w:rsid w:val="003138F5"/>
    <w:rsid w:val="00320825"/>
    <w:rsid w:val="003210CA"/>
    <w:rsid w:val="003277A8"/>
    <w:rsid w:val="00335831"/>
    <w:rsid w:val="00337267"/>
    <w:rsid w:val="0034145D"/>
    <w:rsid w:val="003443BD"/>
    <w:rsid w:val="00363463"/>
    <w:rsid w:val="00371CB0"/>
    <w:rsid w:val="00374EEE"/>
    <w:rsid w:val="00393036"/>
    <w:rsid w:val="003A29BC"/>
    <w:rsid w:val="003A62A6"/>
    <w:rsid w:val="003B5DF5"/>
    <w:rsid w:val="003B6DBC"/>
    <w:rsid w:val="003C2233"/>
    <w:rsid w:val="003C488F"/>
    <w:rsid w:val="003D03D5"/>
    <w:rsid w:val="003D42AD"/>
    <w:rsid w:val="003D4D8D"/>
    <w:rsid w:val="003D643E"/>
    <w:rsid w:val="003D7430"/>
    <w:rsid w:val="003E28C3"/>
    <w:rsid w:val="003F510A"/>
    <w:rsid w:val="003F5148"/>
    <w:rsid w:val="003F6163"/>
    <w:rsid w:val="003F6B33"/>
    <w:rsid w:val="00407133"/>
    <w:rsid w:val="004110F9"/>
    <w:rsid w:val="00411DE2"/>
    <w:rsid w:val="004135E8"/>
    <w:rsid w:val="00413B69"/>
    <w:rsid w:val="004160E1"/>
    <w:rsid w:val="004271D8"/>
    <w:rsid w:val="004272FA"/>
    <w:rsid w:val="00431A97"/>
    <w:rsid w:val="004377C0"/>
    <w:rsid w:val="0044506D"/>
    <w:rsid w:val="00452662"/>
    <w:rsid w:val="0045330F"/>
    <w:rsid w:val="00454BCF"/>
    <w:rsid w:val="00457916"/>
    <w:rsid w:val="00466616"/>
    <w:rsid w:val="00480BBD"/>
    <w:rsid w:val="004860DA"/>
    <w:rsid w:val="00486978"/>
    <w:rsid w:val="004A0798"/>
    <w:rsid w:val="004A0E5B"/>
    <w:rsid w:val="004A1748"/>
    <w:rsid w:val="004A290F"/>
    <w:rsid w:val="004A2D66"/>
    <w:rsid w:val="004A5AC8"/>
    <w:rsid w:val="004B317F"/>
    <w:rsid w:val="004B46D5"/>
    <w:rsid w:val="004B7F6D"/>
    <w:rsid w:val="004C1861"/>
    <w:rsid w:val="004C5318"/>
    <w:rsid w:val="004C783B"/>
    <w:rsid w:val="004D2C56"/>
    <w:rsid w:val="004D6486"/>
    <w:rsid w:val="004E7CA6"/>
    <w:rsid w:val="0050056D"/>
    <w:rsid w:val="00500CAF"/>
    <w:rsid w:val="00501E93"/>
    <w:rsid w:val="00505770"/>
    <w:rsid w:val="0051023F"/>
    <w:rsid w:val="00511EC6"/>
    <w:rsid w:val="00514084"/>
    <w:rsid w:val="00517210"/>
    <w:rsid w:val="005179E6"/>
    <w:rsid w:val="00524C6E"/>
    <w:rsid w:val="00527D1E"/>
    <w:rsid w:val="00531ECA"/>
    <w:rsid w:val="005334F8"/>
    <w:rsid w:val="00533FDE"/>
    <w:rsid w:val="00545442"/>
    <w:rsid w:val="00547728"/>
    <w:rsid w:val="00560793"/>
    <w:rsid w:val="005873CA"/>
    <w:rsid w:val="00593108"/>
    <w:rsid w:val="005A32BB"/>
    <w:rsid w:val="005A4094"/>
    <w:rsid w:val="005A4A9B"/>
    <w:rsid w:val="005A7932"/>
    <w:rsid w:val="005B42E1"/>
    <w:rsid w:val="005B5F92"/>
    <w:rsid w:val="005C702A"/>
    <w:rsid w:val="005C743B"/>
    <w:rsid w:val="005D2FA9"/>
    <w:rsid w:val="005D3724"/>
    <w:rsid w:val="005D5025"/>
    <w:rsid w:val="005D7DE1"/>
    <w:rsid w:val="005E5BAB"/>
    <w:rsid w:val="005F5CF0"/>
    <w:rsid w:val="005F5DAD"/>
    <w:rsid w:val="005F6954"/>
    <w:rsid w:val="005F6C54"/>
    <w:rsid w:val="0060479C"/>
    <w:rsid w:val="0060536A"/>
    <w:rsid w:val="00610871"/>
    <w:rsid w:val="00615147"/>
    <w:rsid w:val="00615A8F"/>
    <w:rsid w:val="00621F0D"/>
    <w:rsid w:val="00623C12"/>
    <w:rsid w:val="0062713F"/>
    <w:rsid w:val="00631064"/>
    <w:rsid w:val="006335ED"/>
    <w:rsid w:val="006363B0"/>
    <w:rsid w:val="00641D61"/>
    <w:rsid w:val="00642F75"/>
    <w:rsid w:val="0064729E"/>
    <w:rsid w:val="00651CF8"/>
    <w:rsid w:val="00656167"/>
    <w:rsid w:val="00662F87"/>
    <w:rsid w:val="00664707"/>
    <w:rsid w:val="006671F4"/>
    <w:rsid w:val="00676D17"/>
    <w:rsid w:val="00681132"/>
    <w:rsid w:val="0068290A"/>
    <w:rsid w:val="006863D4"/>
    <w:rsid w:val="00692624"/>
    <w:rsid w:val="006A4C35"/>
    <w:rsid w:val="006A6C93"/>
    <w:rsid w:val="006B2897"/>
    <w:rsid w:val="006B2905"/>
    <w:rsid w:val="006B4A4D"/>
    <w:rsid w:val="006C089B"/>
    <w:rsid w:val="006C11AF"/>
    <w:rsid w:val="006C374D"/>
    <w:rsid w:val="006D63D4"/>
    <w:rsid w:val="006D7004"/>
    <w:rsid w:val="006E21A4"/>
    <w:rsid w:val="006E3C90"/>
    <w:rsid w:val="006F045A"/>
    <w:rsid w:val="006F2D79"/>
    <w:rsid w:val="006F4CD4"/>
    <w:rsid w:val="0070398A"/>
    <w:rsid w:val="007045DA"/>
    <w:rsid w:val="00705493"/>
    <w:rsid w:val="00707162"/>
    <w:rsid w:val="00712462"/>
    <w:rsid w:val="007143E7"/>
    <w:rsid w:val="00717634"/>
    <w:rsid w:val="007176EB"/>
    <w:rsid w:val="00720584"/>
    <w:rsid w:val="0073039D"/>
    <w:rsid w:val="00730D31"/>
    <w:rsid w:val="007316D1"/>
    <w:rsid w:val="00736833"/>
    <w:rsid w:val="00736DC3"/>
    <w:rsid w:val="00740288"/>
    <w:rsid w:val="00740578"/>
    <w:rsid w:val="0074384B"/>
    <w:rsid w:val="007535CF"/>
    <w:rsid w:val="007538B9"/>
    <w:rsid w:val="007556E6"/>
    <w:rsid w:val="0077069F"/>
    <w:rsid w:val="00777575"/>
    <w:rsid w:val="007807DF"/>
    <w:rsid w:val="0078392D"/>
    <w:rsid w:val="00783C44"/>
    <w:rsid w:val="007A10C1"/>
    <w:rsid w:val="007A148E"/>
    <w:rsid w:val="007B2BF0"/>
    <w:rsid w:val="007B6597"/>
    <w:rsid w:val="007B725D"/>
    <w:rsid w:val="007C15E0"/>
    <w:rsid w:val="007C4B00"/>
    <w:rsid w:val="007C54E0"/>
    <w:rsid w:val="007C6A90"/>
    <w:rsid w:val="007E1643"/>
    <w:rsid w:val="007E1AC3"/>
    <w:rsid w:val="007F0C5D"/>
    <w:rsid w:val="00805BA1"/>
    <w:rsid w:val="00806BA5"/>
    <w:rsid w:val="0080770F"/>
    <w:rsid w:val="00812377"/>
    <w:rsid w:val="00817632"/>
    <w:rsid w:val="00817A41"/>
    <w:rsid w:val="00827BEA"/>
    <w:rsid w:val="008313D1"/>
    <w:rsid w:val="008315A0"/>
    <w:rsid w:val="00835D2F"/>
    <w:rsid w:val="00844AAC"/>
    <w:rsid w:val="00851EE1"/>
    <w:rsid w:val="00853D27"/>
    <w:rsid w:val="00855236"/>
    <w:rsid w:val="0086152E"/>
    <w:rsid w:val="00862A6F"/>
    <w:rsid w:val="008633FE"/>
    <w:rsid w:val="008726B6"/>
    <w:rsid w:val="008869CC"/>
    <w:rsid w:val="008902EC"/>
    <w:rsid w:val="00890C98"/>
    <w:rsid w:val="00893F33"/>
    <w:rsid w:val="00894328"/>
    <w:rsid w:val="00895BDD"/>
    <w:rsid w:val="008A1760"/>
    <w:rsid w:val="008A30E7"/>
    <w:rsid w:val="008B34B0"/>
    <w:rsid w:val="008C4DB4"/>
    <w:rsid w:val="008C6498"/>
    <w:rsid w:val="008C66B7"/>
    <w:rsid w:val="008D1056"/>
    <w:rsid w:val="008D3D8C"/>
    <w:rsid w:val="008D4FA1"/>
    <w:rsid w:val="008E2B97"/>
    <w:rsid w:val="008F0FDD"/>
    <w:rsid w:val="008F29AB"/>
    <w:rsid w:val="008F3876"/>
    <w:rsid w:val="008F38C4"/>
    <w:rsid w:val="008F3C1C"/>
    <w:rsid w:val="008F79A8"/>
    <w:rsid w:val="008F7B74"/>
    <w:rsid w:val="00905F19"/>
    <w:rsid w:val="00907085"/>
    <w:rsid w:val="00907FD9"/>
    <w:rsid w:val="00911675"/>
    <w:rsid w:val="00920139"/>
    <w:rsid w:val="00923E2E"/>
    <w:rsid w:val="00927DB6"/>
    <w:rsid w:val="00942FB2"/>
    <w:rsid w:val="009454A7"/>
    <w:rsid w:val="00945B57"/>
    <w:rsid w:val="00951B9A"/>
    <w:rsid w:val="00953BBA"/>
    <w:rsid w:val="00955B88"/>
    <w:rsid w:val="00960F9F"/>
    <w:rsid w:val="009628A9"/>
    <w:rsid w:val="00967F27"/>
    <w:rsid w:val="00972388"/>
    <w:rsid w:val="00981666"/>
    <w:rsid w:val="00995BFB"/>
    <w:rsid w:val="009A314B"/>
    <w:rsid w:val="009B24F4"/>
    <w:rsid w:val="009B5004"/>
    <w:rsid w:val="009B604B"/>
    <w:rsid w:val="009C3BC7"/>
    <w:rsid w:val="009C3DBE"/>
    <w:rsid w:val="009C4E1F"/>
    <w:rsid w:val="009C52CF"/>
    <w:rsid w:val="009D0E8B"/>
    <w:rsid w:val="009E29D2"/>
    <w:rsid w:val="009E3298"/>
    <w:rsid w:val="009E344D"/>
    <w:rsid w:val="009E5915"/>
    <w:rsid w:val="009E7F62"/>
    <w:rsid w:val="009F2277"/>
    <w:rsid w:val="009F68BB"/>
    <w:rsid w:val="009F68C7"/>
    <w:rsid w:val="009F73A8"/>
    <w:rsid w:val="009F742B"/>
    <w:rsid w:val="00A02D50"/>
    <w:rsid w:val="00A11B0E"/>
    <w:rsid w:val="00A12734"/>
    <w:rsid w:val="00A14F22"/>
    <w:rsid w:val="00A153A9"/>
    <w:rsid w:val="00A4702E"/>
    <w:rsid w:val="00A5246D"/>
    <w:rsid w:val="00A52E64"/>
    <w:rsid w:val="00A6382D"/>
    <w:rsid w:val="00A6796C"/>
    <w:rsid w:val="00A67BF6"/>
    <w:rsid w:val="00A71081"/>
    <w:rsid w:val="00A7378A"/>
    <w:rsid w:val="00A74723"/>
    <w:rsid w:val="00A9072B"/>
    <w:rsid w:val="00A955C7"/>
    <w:rsid w:val="00AB3A64"/>
    <w:rsid w:val="00AB4517"/>
    <w:rsid w:val="00AB7120"/>
    <w:rsid w:val="00AC5FAB"/>
    <w:rsid w:val="00AD33B0"/>
    <w:rsid w:val="00AD513E"/>
    <w:rsid w:val="00AE694B"/>
    <w:rsid w:val="00AE6E5E"/>
    <w:rsid w:val="00AE7310"/>
    <w:rsid w:val="00B0569D"/>
    <w:rsid w:val="00B07540"/>
    <w:rsid w:val="00B114B1"/>
    <w:rsid w:val="00B132A5"/>
    <w:rsid w:val="00B13613"/>
    <w:rsid w:val="00B20442"/>
    <w:rsid w:val="00B2115D"/>
    <w:rsid w:val="00B2761F"/>
    <w:rsid w:val="00B3327F"/>
    <w:rsid w:val="00B37682"/>
    <w:rsid w:val="00B43F57"/>
    <w:rsid w:val="00B46899"/>
    <w:rsid w:val="00B51875"/>
    <w:rsid w:val="00B51D0C"/>
    <w:rsid w:val="00B52AA1"/>
    <w:rsid w:val="00B71559"/>
    <w:rsid w:val="00B73C86"/>
    <w:rsid w:val="00B77F2B"/>
    <w:rsid w:val="00B9427D"/>
    <w:rsid w:val="00BA0A6B"/>
    <w:rsid w:val="00BA36EC"/>
    <w:rsid w:val="00BA64D8"/>
    <w:rsid w:val="00BB13A1"/>
    <w:rsid w:val="00BB2B8E"/>
    <w:rsid w:val="00BB2BF3"/>
    <w:rsid w:val="00BC1986"/>
    <w:rsid w:val="00BC7C02"/>
    <w:rsid w:val="00BD3DE4"/>
    <w:rsid w:val="00BD639E"/>
    <w:rsid w:val="00BE4226"/>
    <w:rsid w:val="00BE5E8D"/>
    <w:rsid w:val="00BE6845"/>
    <w:rsid w:val="00BE741E"/>
    <w:rsid w:val="00BF12C7"/>
    <w:rsid w:val="00BF3D36"/>
    <w:rsid w:val="00BF5181"/>
    <w:rsid w:val="00BF6B95"/>
    <w:rsid w:val="00C031A6"/>
    <w:rsid w:val="00C04ED2"/>
    <w:rsid w:val="00C06B20"/>
    <w:rsid w:val="00C10379"/>
    <w:rsid w:val="00C11C72"/>
    <w:rsid w:val="00C17448"/>
    <w:rsid w:val="00C17735"/>
    <w:rsid w:val="00C17815"/>
    <w:rsid w:val="00C23250"/>
    <w:rsid w:val="00C27255"/>
    <w:rsid w:val="00C34BC9"/>
    <w:rsid w:val="00C378D3"/>
    <w:rsid w:val="00C419BF"/>
    <w:rsid w:val="00C444A6"/>
    <w:rsid w:val="00C44724"/>
    <w:rsid w:val="00C50469"/>
    <w:rsid w:val="00C53096"/>
    <w:rsid w:val="00C57F04"/>
    <w:rsid w:val="00C61E95"/>
    <w:rsid w:val="00C66137"/>
    <w:rsid w:val="00C71841"/>
    <w:rsid w:val="00C73430"/>
    <w:rsid w:val="00C75F78"/>
    <w:rsid w:val="00C91767"/>
    <w:rsid w:val="00C92239"/>
    <w:rsid w:val="00C93CAB"/>
    <w:rsid w:val="00CA653D"/>
    <w:rsid w:val="00CB4839"/>
    <w:rsid w:val="00CB4CCE"/>
    <w:rsid w:val="00CB6AD9"/>
    <w:rsid w:val="00CC3C52"/>
    <w:rsid w:val="00CC7CF7"/>
    <w:rsid w:val="00CD0729"/>
    <w:rsid w:val="00CD2DF6"/>
    <w:rsid w:val="00CD5055"/>
    <w:rsid w:val="00CE4083"/>
    <w:rsid w:val="00CE5862"/>
    <w:rsid w:val="00CE7990"/>
    <w:rsid w:val="00CE7D19"/>
    <w:rsid w:val="00CF684F"/>
    <w:rsid w:val="00D0401B"/>
    <w:rsid w:val="00D10138"/>
    <w:rsid w:val="00D138AE"/>
    <w:rsid w:val="00D14C3C"/>
    <w:rsid w:val="00D2797B"/>
    <w:rsid w:val="00D30038"/>
    <w:rsid w:val="00D33C25"/>
    <w:rsid w:val="00D35D41"/>
    <w:rsid w:val="00D36F5C"/>
    <w:rsid w:val="00D40145"/>
    <w:rsid w:val="00D4456B"/>
    <w:rsid w:val="00D44803"/>
    <w:rsid w:val="00D52594"/>
    <w:rsid w:val="00D54681"/>
    <w:rsid w:val="00D61798"/>
    <w:rsid w:val="00D627CA"/>
    <w:rsid w:val="00D70BB9"/>
    <w:rsid w:val="00D7480C"/>
    <w:rsid w:val="00D7624B"/>
    <w:rsid w:val="00D85EFF"/>
    <w:rsid w:val="00D902ED"/>
    <w:rsid w:val="00DA1744"/>
    <w:rsid w:val="00DB2816"/>
    <w:rsid w:val="00DB6CED"/>
    <w:rsid w:val="00DB7131"/>
    <w:rsid w:val="00DC4A04"/>
    <w:rsid w:val="00DC6274"/>
    <w:rsid w:val="00DC6AC3"/>
    <w:rsid w:val="00DD2864"/>
    <w:rsid w:val="00DE2F2A"/>
    <w:rsid w:val="00DE3D0E"/>
    <w:rsid w:val="00DE4B23"/>
    <w:rsid w:val="00DE5A91"/>
    <w:rsid w:val="00DF3F11"/>
    <w:rsid w:val="00DF4B46"/>
    <w:rsid w:val="00E12985"/>
    <w:rsid w:val="00E23BE6"/>
    <w:rsid w:val="00E34570"/>
    <w:rsid w:val="00E372BD"/>
    <w:rsid w:val="00E42BA1"/>
    <w:rsid w:val="00E4302F"/>
    <w:rsid w:val="00E50951"/>
    <w:rsid w:val="00E60EF5"/>
    <w:rsid w:val="00E63528"/>
    <w:rsid w:val="00E63A7A"/>
    <w:rsid w:val="00E647BE"/>
    <w:rsid w:val="00E657C9"/>
    <w:rsid w:val="00E71D80"/>
    <w:rsid w:val="00E73F03"/>
    <w:rsid w:val="00E7418B"/>
    <w:rsid w:val="00E75BF5"/>
    <w:rsid w:val="00E775F8"/>
    <w:rsid w:val="00E77748"/>
    <w:rsid w:val="00E83E66"/>
    <w:rsid w:val="00E8500C"/>
    <w:rsid w:val="00E94FF2"/>
    <w:rsid w:val="00EA5B5F"/>
    <w:rsid w:val="00EB3322"/>
    <w:rsid w:val="00EC1489"/>
    <w:rsid w:val="00ED0DC2"/>
    <w:rsid w:val="00ED367C"/>
    <w:rsid w:val="00ED6104"/>
    <w:rsid w:val="00ED62AC"/>
    <w:rsid w:val="00EE2BDE"/>
    <w:rsid w:val="00EE3762"/>
    <w:rsid w:val="00EE5FEB"/>
    <w:rsid w:val="00EF05AE"/>
    <w:rsid w:val="00EF5CDD"/>
    <w:rsid w:val="00EF7AFD"/>
    <w:rsid w:val="00EF7E97"/>
    <w:rsid w:val="00F01627"/>
    <w:rsid w:val="00F137DD"/>
    <w:rsid w:val="00F14700"/>
    <w:rsid w:val="00F24E16"/>
    <w:rsid w:val="00F309EA"/>
    <w:rsid w:val="00F33905"/>
    <w:rsid w:val="00F4270F"/>
    <w:rsid w:val="00F46BD7"/>
    <w:rsid w:val="00F57924"/>
    <w:rsid w:val="00F62AB3"/>
    <w:rsid w:val="00F72FC0"/>
    <w:rsid w:val="00F76DE2"/>
    <w:rsid w:val="00F84BF1"/>
    <w:rsid w:val="00F94C84"/>
    <w:rsid w:val="00F9597E"/>
    <w:rsid w:val="00FA4CE4"/>
    <w:rsid w:val="00FA55E8"/>
    <w:rsid w:val="00FB0BFE"/>
    <w:rsid w:val="00FB336F"/>
    <w:rsid w:val="00FB542F"/>
    <w:rsid w:val="00FB5A63"/>
    <w:rsid w:val="00FB74FC"/>
    <w:rsid w:val="00FC1F69"/>
    <w:rsid w:val="00FC4670"/>
    <w:rsid w:val="00FC6431"/>
    <w:rsid w:val="00FD353C"/>
    <w:rsid w:val="00FD68DC"/>
    <w:rsid w:val="00FE0217"/>
    <w:rsid w:val="00FF088E"/>
    <w:rsid w:val="00FF25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E11845-9860-4587-871E-FBA54469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11DE2"/>
    <w:pPr>
      <w:suppressAutoHyphens/>
    </w:pPr>
    <w:rPr>
      <w:sz w:val="24"/>
      <w:lang w:eastAsia="ar-SA"/>
    </w:rPr>
  </w:style>
  <w:style w:type="paragraph" w:styleId="Pealkiri1">
    <w:name w:val="heading 1"/>
    <w:basedOn w:val="Normaallaad"/>
    <w:next w:val="Normaallaad"/>
    <w:link w:val="Pealkiri1Mrk"/>
    <w:uiPriority w:val="9"/>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F57924"/>
    <w:rPr>
      <w:rFonts w:ascii="Calibri Light" w:hAnsi="Calibri Light" w:cs="Times New Roman"/>
      <w:b/>
      <w:kern w:val="32"/>
      <w:sz w:val="32"/>
      <w:lang w:val="x-none" w:eastAsia="ar-SA" w:bidi="ar-SA"/>
    </w:rPr>
  </w:style>
  <w:style w:type="character" w:customStyle="1" w:styleId="Pealkiri3Mrk">
    <w:name w:val="Pealkiri 3 Märk"/>
    <w:basedOn w:val="Liguvaikefont"/>
    <w:link w:val="Pealkiri3"/>
    <w:uiPriority w:val="9"/>
    <w:locked/>
    <w:rsid w:val="00F57924"/>
    <w:rPr>
      <w:rFonts w:cs="Times New Roman"/>
      <w:b/>
      <w:sz w:val="27"/>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basedOn w:val="Liguvaikefont"/>
    <w:uiPriority w:val="99"/>
    <w:rPr>
      <w:rFonts w:cs="Times New Roman"/>
      <w:color w:val="1B7272"/>
      <w:u w:val="single"/>
    </w:rPr>
  </w:style>
  <w:style w:type="character" w:customStyle="1" w:styleId="tekst4">
    <w:name w:val="tekst4"/>
    <w:basedOn w:val="WW-DefaultParagraphFont"/>
    <w:rPr>
      <w:rFonts w:cs="Times New Roman"/>
    </w:rPr>
  </w:style>
  <w:style w:type="character" w:styleId="Kommentaariviide">
    <w:name w:val="annotation reference"/>
    <w:basedOn w:val="Liguvaikefont"/>
    <w:uiPriority w:val="99"/>
    <w:rPr>
      <w:rFonts w:cs="Times New Roman"/>
      <w:sz w:val="16"/>
    </w:rPr>
  </w:style>
  <w:style w:type="character" w:customStyle="1" w:styleId="Nummerdussmbolid">
    <w:name w:val="Nummerdussümbolid"/>
    <w:rPr>
      <w:b/>
    </w:rPr>
  </w:style>
  <w:style w:type="character" w:styleId="Tugev">
    <w:name w:val="Strong"/>
    <w:basedOn w:val="Liguvaikefont"/>
    <w:uiPriority w:val="22"/>
    <w:qFormat/>
    <w:rPr>
      <w:rFonts w:cs="Times New Roman"/>
      <w:b/>
    </w:rPr>
  </w:style>
  <w:style w:type="character" w:styleId="Rhutus">
    <w:name w:val="Emphasis"/>
    <w:basedOn w:val="Liguvaikefont"/>
    <w:uiPriority w:val="20"/>
    <w:qFormat/>
    <w:rPr>
      <w:rFonts w:cs="Times New Roman"/>
      <w:i/>
    </w:rPr>
  </w:style>
  <w:style w:type="paragraph" w:customStyle="1" w:styleId="Pealkiri10">
    <w:name w:val="Pealkiri1"/>
    <w:basedOn w:val="Normaallaad"/>
    <w:next w:val="Kehatekst"/>
    <w:pPr>
      <w:keepNext/>
      <w:spacing w:before="240" w:after="120"/>
    </w:pPr>
    <w:rPr>
      <w:rFonts w:ascii="Arial" w:hAnsi="Arial" w:cs="Tahoma"/>
      <w:sz w:val="28"/>
      <w:szCs w:val="28"/>
    </w:rPr>
  </w:style>
  <w:style w:type="paragraph" w:styleId="Kehatekst">
    <w:name w:val="Body Text"/>
    <w:basedOn w:val="Normaallaad"/>
    <w:link w:val="KehatekstMrk"/>
    <w:uiPriority w:val="99"/>
    <w:rPr>
      <w:b/>
      <w:bCs/>
    </w:rPr>
  </w:style>
  <w:style w:type="character" w:customStyle="1" w:styleId="KehatekstMrk">
    <w:name w:val="Kehatekst Märk"/>
    <w:basedOn w:val="Liguvaikefont"/>
    <w:link w:val="Kehatekst"/>
    <w:uiPriority w:val="99"/>
    <w:locked/>
    <w:rsid w:val="00FD68DC"/>
    <w:rPr>
      <w:rFonts w:cs="Times New Roman"/>
      <w:b/>
      <w:sz w:val="24"/>
      <w:lang w:val="x-none" w:eastAsia="ar-SA" w:bidi="ar-SA"/>
    </w:rPr>
  </w:style>
  <w:style w:type="paragraph" w:styleId="Loend">
    <w:name w:val="List"/>
    <w:basedOn w:val="Kehatekst"/>
    <w:uiPriority w:val="99"/>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uiPriority w:val="99"/>
    <w:pPr>
      <w:ind w:left="2880"/>
    </w:pPr>
    <w:rPr>
      <w:b/>
      <w:sz w:val="28"/>
    </w:rPr>
  </w:style>
  <w:style w:type="paragraph" w:styleId="Pis">
    <w:name w:val="header"/>
    <w:basedOn w:val="Normaallaad"/>
    <w:link w:val="PisMrk"/>
    <w:pPr>
      <w:tabs>
        <w:tab w:val="center" w:pos="4153"/>
        <w:tab w:val="right" w:pos="8306"/>
      </w:tabs>
    </w:pPr>
  </w:style>
  <w:style w:type="character" w:customStyle="1" w:styleId="PisMrk">
    <w:name w:val="Päis Märk"/>
    <w:basedOn w:val="Liguvaikefont"/>
    <w:link w:val="Pis"/>
    <w:locked/>
    <w:rsid w:val="00F4270F"/>
    <w:rPr>
      <w:rFonts w:cs="Times New Roman"/>
      <w:sz w:val="24"/>
      <w:lang w:val="x-none" w:eastAsia="ar-SA" w:bidi="ar-SA"/>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semiHidden/>
    <w:locked/>
    <w:rPr>
      <w:rFonts w:cs="Times New Roman"/>
      <w:sz w:val="24"/>
      <w:lang w:val="x-none" w:eastAsia="ar-SA" w:bidi="ar-SA"/>
    </w:r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link w:val="KommentaaritekstMrk"/>
    <w:uiPriority w:val="99"/>
    <w:rPr>
      <w:sz w:val="20"/>
    </w:rPr>
  </w:style>
  <w:style w:type="character" w:customStyle="1" w:styleId="KommentaaritekstMrk">
    <w:name w:val="Kommentaari tekst Märk"/>
    <w:basedOn w:val="Liguvaikefont"/>
    <w:link w:val="Kommentaaritekst"/>
    <w:uiPriority w:val="99"/>
    <w:semiHidden/>
    <w:locked/>
    <w:rPr>
      <w:rFonts w:cs="Times New Roman"/>
      <w:lang w:val="x-none" w:eastAsia="ar-SA" w:bidi="ar-SA"/>
    </w:rPr>
  </w:style>
  <w:style w:type="paragraph" w:styleId="Kommentaariteema">
    <w:name w:val="annotation subject"/>
    <w:basedOn w:val="Kommentaaritekst"/>
    <w:next w:val="Kommentaaritekst"/>
    <w:link w:val="KommentaariteemaMrk"/>
    <w:uiPriority w:val="99"/>
    <w:rPr>
      <w:b/>
      <w:bCs/>
    </w:rPr>
  </w:style>
  <w:style w:type="character" w:customStyle="1" w:styleId="KommentaariteemaMrk">
    <w:name w:val="Kommentaari teema Märk"/>
    <w:basedOn w:val="KommentaaritekstMrk"/>
    <w:link w:val="Kommentaariteema"/>
    <w:uiPriority w:val="99"/>
    <w:semiHidden/>
    <w:locked/>
    <w:rPr>
      <w:rFonts w:cs="Times New Roman"/>
      <w:b/>
      <w:bCs/>
      <w:lang w:val="x-none" w:eastAsia="ar-SA" w:bidi="ar-SA"/>
    </w:rPr>
  </w:style>
  <w:style w:type="paragraph" w:styleId="Jutumullitekst">
    <w:name w:val="Balloon Text"/>
    <w:basedOn w:val="Normaallaad"/>
    <w:link w:val="JutumullitekstMrk"/>
    <w:uiPriority w:val="99"/>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lang w:val="x-none" w:eastAsia="ar-SA" w:bidi="ar-SA"/>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rPr>
      <w:rFonts w:cs="Times New Roman"/>
    </w:rPr>
  </w:style>
  <w:style w:type="paragraph" w:styleId="Plokktekst">
    <w:name w:val="Block Text"/>
    <w:basedOn w:val="Normaallaad"/>
    <w:uiPriority w:val="99"/>
    <w:rsid w:val="00B73C86"/>
    <w:pPr>
      <w:suppressAutoHyphens w:val="0"/>
      <w:spacing w:before="100" w:beforeAutospacing="1" w:after="100" w:afterAutospacing="1"/>
    </w:pPr>
    <w:rPr>
      <w:szCs w:val="24"/>
      <w:lang w:eastAsia="et-EE"/>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basedOn w:val="Liguvaikefont"/>
    <w:link w:val="Kehatekst2"/>
    <w:uiPriority w:val="99"/>
    <w:locked/>
    <w:rsid w:val="008315A0"/>
    <w:rPr>
      <w:rFonts w:cs="Times New Roman"/>
      <w:sz w:val="24"/>
      <w:lang w:val="x-none" w:eastAsia="ar-SA" w:bidi="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szCs w:val="24"/>
    </w:rPr>
  </w:style>
  <w:style w:type="paragraph" w:styleId="Loendilik">
    <w:name w:val="List Paragraph"/>
    <w:basedOn w:val="Normaallaad"/>
    <w:uiPriority w:val="99"/>
    <w:qFormat/>
    <w:rsid w:val="00B43F57"/>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uiPriority w:val="99"/>
    <w:rsid w:val="00E60EF5"/>
    <w:pPr>
      <w:autoSpaceDE w:val="0"/>
      <w:autoSpaceDN w:val="0"/>
      <w:adjustRightInd w:val="0"/>
    </w:pPr>
    <w:rPr>
      <w:color w:val="000000"/>
      <w:sz w:val="24"/>
      <w:szCs w:val="24"/>
    </w:rPr>
  </w:style>
  <w:style w:type="character" w:customStyle="1" w:styleId="coordinates">
    <w:name w:val="coordinates"/>
    <w:rsid w:val="005A4A9B"/>
  </w:style>
  <w:style w:type="paragraph" w:styleId="Taandegakehatekst2">
    <w:name w:val="Body Text Indent 2"/>
    <w:basedOn w:val="Normaallaad"/>
    <w:link w:val="Taandegakehatekst2Mrk"/>
    <w:uiPriority w:val="99"/>
    <w:rsid w:val="00C93CAB"/>
    <w:pPr>
      <w:spacing w:after="120" w:line="480" w:lineRule="auto"/>
      <w:ind w:left="283"/>
    </w:pPr>
  </w:style>
  <w:style w:type="character" w:customStyle="1" w:styleId="Taandegakehatekst2Mrk">
    <w:name w:val="Taandega kehatekst 2 Märk"/>
    <w:basedOn w:val="Liguvaikefont"/>
    <w:link w:val="Taandegakehatekst2"/>
    <w:uiPriority w:val="99"/>
    <w:locked/>
    <w:rsid w:val="00C93CAB"/>
    <w:rPr>
      <w:rFonts w:cs="Times New Roman"/>
      <w:sz w:val="24"/>
      <w:lang w:val="x-none" w:eastAsia="ar-SA" w:bidi="ar-SA"/>
    </w:rPr>
  </w:style>
  <w:style w:type="paragraph" w:customStyle="1" w:styleId="Standard">
    <w:name w:val="Standard"/>
    <w:rsid w:val="00AE6E5E"/>
    <w:pPr>
      <w:widowControl w:val="0"/>
      <w:suppressAutoHyphens/>
      <w:autoSpaceDN w:val="0"/>
      <w:textAlignment w:val="baseline"/>
    </w:pPr>
    <w:rPr>
      <w:rFonts w:ascii="Thorndale AMT" w:eastAsia="Lucida Sans Unicode" w:hAnsi="Thorndale AMT"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955514">
      <w:marLeft w:val="0"/>
      <w:marRight w:val="0"/>
      <w:marTop w:val="0"/>
      <w:marBottom w:val="0"/>
      <w:divBdr>
        <w:top w:val="none" w:sz="0" w:space="0" w:color="auto"/>
        <w:left w:val="none" w:sz="0" w:space="0" w:color="auto"/>
        <w:bottom w:val="none" w:sz="0" w:space="0" w:color="auto"/>
        <w:right w:val="none" w:sz="0" w:space="0" w:color="auto"/>
      </w:divBdr>
      <w:divsChild>
        <w:div w:id="636955515">
          <w:marLeft w:val="0"/>
          <w:marRight w:val="0"/>
          <w:marTop w:val="0"/>
          <w:marBottom w:val="0"/>
          <w:divBdr>
            <w:top w:val="none" w:sz="0" w:space="0" w:color="auto"/>
            <w:left w:val="none" w:sz="0" w:space="0" w:color="auto"/>
            <w:bottom w:val="none" w:sz="0" w:space="0" w:color="auto"/>
            <w:right w:val="none" w:sz="0" w:space="0" w:color="auto"/>
          </w:divBdr>
          <w:divsChild>
            <w:div w:id="636955521">
              <w:marLeft w:val="0"/>
              <w:marRight w:val="0"/>
              <w:marTop w:val="0"/>
              <w:marBottom w:val="0"/>
              <w:divBdr>
                <w:top w:val="none" w:sz="0" w:space="0" w:color="auto"/>
                <w:left w:val="none" w:sz="0" w:space="0" w:color="auto"/>
                <w:bottom w:val="none" w:sz="0" w:space="0" w:color="auto"/>
                <w:right w:val="none" w:sz="0" w:space="0" w:color="auto"/>
              </w:divBdr>
              <w:divsChild>
                <w:div w:id="6369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5517">
      <w:marLeft w:val="0"/>
      <w:marRight w:val="0"/>
      <w:marTop w:val="0"/>
      <w:marBottom w:val="0"/>
      <w:divBdr>
        <w:top w:val="none" w:sz="0" w:space="0" w:color="auto"/>
        <w:left w:val="none" w:sz="0" w:space="0" w:color="auto"/>
        <w:bottom w:val="none" w:sz="0" w:space="0" w:color="auto"/>
        <w:right w:val="none" w:sz="0" w:space="0" w:color="auto"/>
      </w:divBdr>
    </w:div>
    <w:div w:id="636955518">
      <w:marLeft w:val="0"/>
      <w:marRight w:val="0"/>
      <w:marTop w:val="0"/>
      <w:marBottom w:val="0"/>
      <w:divBdr>
        <w:top w:val="none" w:sz="0" w:space="0" w:color="auto"/>
        <w:left w:val="none" w:sz="0" w:space="0" w:color="auto"/>
        <w:bottom w:val="none" w:sz="0" w:space="0" w:color="auto"/>
        <w:right w:val="none" w:sz="0" w:space="0" w:color="auto"/>
      </w:divBdr>
    </w:div>
    <w:div w:id="636955519">
      <w:marLeft w:val="0"/>
      <w:marRight w:val="0"/>
      <w:marTop w:val="0"/>
      <w:marBottom w:val="0"/>
      <w:divBdr>
        <w:top w:val="none" w:sz="0" w:space="0" w:color="auto"/>
        <w:left w:val="none" w:sz="0" w:space="0" w:color="auto"/>
        <w:bottom w:val="none" w:sz="0" w:space="0" w:color="auto"/>
        <w:right w:val="none" w:sz="0" w:space="0" w:color="auto"/>
      </w:divBdr>
      <w:divsChild>
        <w:div w:id="636955516">
          <w:marLeft w:val="0"/>
          <w:marRight w:val="0"/>
          <w:marTop w:val="0"/>
          <w:marBottom w:val="0"/>
          <w:divBdr>
            <w:top w:val="none" w:sz="0" w:space="0" w:color="auto"/>
            <w:left w:val="none" w:sz="0" w:space="0" w:color="auto"/>
            <w:bottom w:val="none" w:sz="0" w:space="0" w:color="auto"/>
            <w:right w:val="none" w:sz="0" w:space="0" w:color="auto"/>
          </w:divBdr>
          <w:divsChild>
            <w:div w:id="636955513">
              <w:marLeft w:val="0"/>
              <w:marRight w:val="0"/>
              <w:marTop w:val="0"/>
              <w:marBottom w:val="0"/>
              <w:divBdr>
                <w:top w:val="none" w:sz="0" w:space="0" w:color="auto"/>
                <w:left w:val="none" w:sz="0" w:space="0" w:color="auto"/>
                <w:bottom w:val="none" w:sz="0" w:space="0" w:color="auto"/>
                <w:right w:val="none" w:sz="0" w:space="0" w:color="auto"/>
              </w:divBdr>
              <w:divsChild>
                <w:div w:id="6369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5520">
      <w:marLeft w:val="0"/>
      <w:marRight w:val="0"/>
      <w:marTop w:val="0"/>
      <w:marBottom w:val="0"/>
      <w:divBdr>
        <w:top w:val="none" w:sz="0" w:space="0" w:color="auto"/>
        <w:left w:val="none" w:sz="0" w:space="0" w:color="auto"/>
        <w:bottom w:val="none" w:sz="0" w:space="0" w:color="auto"/>
        <w:right w:val="none" w:sz="0" w:space="0" w:color="auto"/>
      </w:divBdr>
    </w:div>
    <w:div w:id="636955522">
      <w:marLeft w:val="0"/>
      <w:marRight w:val="0"/>
      <w:marTop w:val="0"/>
      <w:marBottom w:val="0"/>
      <w:divBdr>
        <w:top w:val="none" w:sz="0" w:space="0" w:color="auto"/>
        <w:left w:val="none" w:sz="0" w:space="0" w:color="auto"/>
        <w:bottom w:val="none" w:sz="0" w:space="0" w:color="auto"/>
        <w:right w:val="none" w:sz="0" w:space="0" w:color="auto"/>
      </w:divBdr>
    </w:div>
    <w:div w:id="636955523">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636955525">
      <w:marLeft w:val="0"/>
      <w:marRight w:val="0"/>
      <w:marTop w:val="0"/>
      <w:marBottom w:val="0"/>
      <w:divBdr>
        <w:top w:val="none" w:sz="0" w:space="0" w:color="auto"/>
        <w:left w:val="none" w:sz="0" w:space="0" w:color="auto"/>
        <w:bottom w:val="none" w:sz="0" w:space="0" w:color="auto"/>
        <w:right w:val="none" w:sz="0" w:space="0" w:color="auto"/>
      </w:divBdr>
    </w:div>
    <w:div w:id="6369555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5D814-162D-4C4F-9470-6FB4070A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1870</Words>
  <Characters>10847</Characters>
  <Application>Microsoft Office Word</Application>
  <DocSecurity>0</DocSecurity>
  <Lines>90</Lines>
  <Paragraphs>25</Paragraphs>
  <ScaleCrop>false</ScaleCrop>
  <HeadingPairs>
    <vt:vector size="2" baseType="variant">
      <vt:variant>
        <vt:lpstr>Pealkiri</vt:lpstr>
      </vt:variant>
      <vt:variant>
        <vt:i4>1</vt:i4>
      </vt:variant>
    </vt:vector>
  </HeadingPairs>
  <TitlesOfParts>
    <vt:vector size="1" baseType="lpstr">
      <vt:lpstr> </vt:lpstr>
    </vt:vector>
  </TitlesOfParts>
  <Company>KESKKONNAAMET</Company>
  <LinksUpToDate>false</LinksUpToDate>
  <CharactersWithSpaces>12692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ENMOCAP</dc:creator>
  <cp:keywords/>
  <dc:description/>
  <cp:lastModifiedBy>Kaari Männikus-Nilson</cp:lastModifiedBy>
  <cp:revision>19</cp:revision>
  <cp:lastPrinted>2015-10-05T10:56:00Z</cp:lastPrinted>
  <dcterms:created xsi:type="dcterms:W3CDTF">2016-08-31T12:48:00Z</dcterms:created>
  <dcterms:modified xsi:type="dcterms:W3CDTF">2016-08-31T13:51:00Z</dcterms:modified>
</cp:coreProperties>
</file>