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69" w:rsidRPr="00433E69" w:rsidRDefault="00433E69" w:rsidP="0043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3E69">
        <w:rPr>
          <w:rFonts w:ascii="Arial-BoldMT" w:eastAsia="Times New Roman" w:hAnsi="Arial-BoldMT" w:cs="Times New Roman"/>
          <w:b/>
          <w:bCs/>
          <w:color w:val="000000"/>
          <w:sz w:val="32"/>
          <w:szCs w:val="32"/>
          <w:lang w:eastAsia="et-EE"/>
        </w:rPr>
        <w:t>KESKKONNAMÕJU STRATEEGILINE EELHINDAMINE</w:t>
      </w:r>
    </w:p>
    <w:p w:rsidR="00433E69" w:rsidRDefault="00433E69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Strateegilise planeerimisdokumendi koostamise korraldaja:</w:t>
            </w:r>
          </w:p>
        </w:tc>
      </w:tr>
    </w:tbl>
    <w:p w:rsidR="00433E69" w:rsidRPr="00433E69" w:rsidRDefault="00433E69" w:rsidP="00433E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Strateegilise planeerimisdokumendi nimi:</w:t>
            </w:r>
          </w:p>
        </w:tc>
      </w:tr>
    </w:tbl>
    <w:p w:rsidR="00433E69" w:rsidRDefault="00433E69" w:rsidP="00433E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Strateegilise planeerimisdokumendi koostaja: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F4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nimi:</w:t>
            </w:r>
            <w:r w:rsidR="00F4716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aadress: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F4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vastutav isik: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telefon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e-post:</w:t>
            </w:r>
          </w:p>
        </w:tc>
      </w:tr>
    </w:tbl>
    <w:p w:rsidR="00433E69" w:rsidRPr="00433E69" w:rsidRDefault="00433E69" w:rsidP="00433E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Keskkonnamõju strateegilise eelhindamise läbiviija: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nimi: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LandComposition</w:t>
            </w:r>
            <w:proofErr w:type="spellEnd"/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OÜ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aadress: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Uus 36-109, 50603, Tartu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vastutav isik: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Kati Soonvald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F47161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T</w:t>
            </w:r>
            <w:r w:rsidR="00433E69"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elefon</w:t>
            </w:r>
            <w:r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:</w:t>
            </w:r>
            <w:r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+37258507811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e-post: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info@landcomposition.ee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F47161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kuupäev:</w:t>
            </w:r>
            <w:r w:rsidR="00F907B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19</w:t>
            </w:r>
            <w:r w:rsidR="00F4716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.05.2017</w:t>
            </w:r>
          </w:p>
        </w:tc>
      </w:tr>
      <w:tr w:rsidR="00433E69" w:rsidRPr="00433E69" w:rsidTr="00433E6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69" w:rsidRPr="00433E69" w:rsidRDefault="00433E69" w:rsidP="0043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33E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vastutava eelhindaja allkiri:</w:t>
            </w:r>
          </w:p>
        </w:tc>
      </w:tr>
    </w:tbl>
    <w:p w:rsidR="00760A60" w:rsidRDefault="00433E69">
      <w:pPr>
        <w:rPr>
          <w:rFonts w:ascii="Arial-BoldMT" w:hAnsi="Arial-BoldMT"/>
          <w:b/>
          <w:bCs/>
          <w:color w:val="000000"/>
          <w:sz w:val="28"/>
          <w:szCs w:val="28"/>
        </w:rPr>
      </w:pPr>
      <w:r w:rsidRPr="00433E6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760A60" w:rsidRPr="00760A60">
        <w:rPr>
          <w:rFonts w:ascii="Arial-BoldMT" w:hAnsi="Arial-BoldMT"/>
          <w:b/>
          <w:bCs/>
          <w:color w:val="000000"/>
          <w:sz w:val="28"/>
          <w:szCs w:val="28"/>
        </w:rPr>
        <w:t>1 STRATEEGILISE PLANEERIMISDOKUMENDI LÜHIKIRJELDUS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60A60" w:rsidRPr="00760A60" w:rsidTr="00760A6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60" w:rsidRPr="00A368E4" w:rsidRDefault="00760A60" w:rsidP="00C4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60A6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Eesmärk:</w:t>
            </w:r>
            <w:r w:rsidR="00A368E4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D2730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Käesoleva töö eesmärgiks on anda ülevaade Pärnumaal Paikuse vallas </w:t>
            </w:r>
            <w:r w:rsidR="00C41DF8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Paikuse alevis Kadaka tee 2, Kadaka tee 4, Kadaka tee 6, Kadaka tee 8 ja Kadaka tee 10 maaüksustel </w:t>
            </w:r>
            <w:r w:rsidR="00BD2730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kavandatava </w:t>
            </w:r>
            <w:r w:rsidR="00C41DF8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elamuehitusega</w:t>
            </w:r>
            <w:r w:rsidR="00BD2730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seonduvatest keskkonnaaspektidest. </w:t>
            </w:r>
            <w:r w:rsidR="00A368E4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</w:tbl>
    <w:p w:rsidR="00760A60" w:rsidRPr="00433E69" w:rsidRDefault="00760A60" w:rsidP="00760A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60A60" w:rsidRPr="00760A60" w:rsidTr="00760A6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60" w:rsidRPr="00BD2730" w:rsidRDefault="00760A60" w:rsidP="00760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60A6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Käsitletav tasand (detailplaneering, teemaplaneering, arengukava jne)</w:t>
            </w:r>
            <w:r w:rsidR="00BD273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: </w:t>
            </w:r>
            <w:r w:rsidR="00BD2730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detailplaneering</w:t>
            </w:r>
          </w:p>
        </w:tc>
      </w:tr>
    </w:tbl>
    <w:p w:rsidR="00760A60" w:rsidRPr="00433E69" w:rsidRDefault="00760A60" w:rsidP="00760A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60A60" w:rsidRPr="00760A60" w:rsidTr="00760A6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60" w:rsidRPr="0098758E" w:rsidRDefault="00760A60" w:rsidP="006C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60A6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Käsitletav valdkond (transport, kasutusotstarbe määramine jne)</w:t>
            </w:r>
            <w:r w:rsidR="00BD273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: </w:t>
            </w:r>
            <w:r w:rsidR="006C01E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väikeelamud</w:t>
            </w:r>
          </w:p>
        </w:tc>
      </w:tr>
    </w:tbl>
    <w:p w:rsidR="00760A60" w:rsidRPr="00433E69" w:rsidRDefault="00760A60" w:rsidP="00760A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60A60" w:rsidRPr="00760A60" w:rsidTr="00760A6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60" w:rsidRPr="0098758E" w:rsidRDefault="00760A60" w:rsidP="00760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60A60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Kaetav (käsitletav) periood</w:t>
            </w:r>
            <w:r w:rsidR="00403569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: </w:t>
            </w:r>
            <w:r w:rsidR="0098758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määratlemata</w:t>
            </w:r>
          </w:p>
        </w:tc>
      </w:tr>
    </w:tbl>
    <w:p w:rsidR="00760A60" w:rsidRDefault="00760A60">
      <w:pPr>
        <w:rPr>
          <w:rFonts w:ascii="Arial-BoldMT" w:hAnsi="Arial-BoldMT"/>
          <w:b/>
          <w:bCs/>
          <w:color w:val="000000"/>
          <w:sz w:val="28"/>
          <w:szCs w:val="28"/>
        </w:rPr>
      </w:pPr>
      <w:r w:rsidRPr="00760A60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br/>
      </w:r>
      <w:r w:rsidRPr="00760A60">
        <w:rPr>
          <w:rFonts w:ascii="Arial-BoldMT" w:hAnsi="Arial-BoldMT"/>
          <w:b/>
          <w:bCs/>
          <w:color w:val="000000"/>
          <w:sz w:val="28"/>
          <w:szCs w:val="28"/>
        </w:rPr>
        <w:t>2 MÕJURID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</w:p>
    <w:p w:rsidR="003D2286" w:rsidRDefault="003D2286">
      <w:pPr>
        <w:rPr>
          <w:rFonts w:ascii="Arial-BoldMT" w:hAnsi="Arial-BoldMT"/>
          <w:b/>
          <w:bCs/>
          <w:color w:val="000000"/>
          <w:sz w:val="28"/>
          <w:szCs w:val="28"/>
        </w:rPr>
      </w:pPr>
      <w:r>
        <w:rPr>
          <w:rFonts w:ascii="Arial-BoldMT" w:hAnsi="Arial-BoldMT"/>
          <w:b/>
          <w:bCs/>
          <w:color w:val="000000"/>
          <w:sz w:val="28"/>
          <w:szCs w:val="28"/>
        </w:rPr>
        <w:t>Kas strateegiline planeerimisdokument puudutab: (lahtrisse märkida X):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3D2286" w:rsidTr="003D2286">
        <w:tc>
          <w:tcPr>
            <w:tcW w:w="6487" w:type="dxa"/>
          </w:tcPr>
          <w:p w:rsidR="003D2286" w:rsidRDefault="003D2286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OBJEKT</w:t>
            </w:r>
          </w:p>
        </w:tc>
        <w:tc>
          <w:tcPr>
            <w:tcW w:w="1559" w:type="dxa"/>
          </w:tcPr>
          <w:p w:rsidR="003D2286" w:rsidRDefault="003D2286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JAH</w:t>
            </w:r>
          </w:p>
        </w:tc>
        <w:tc>
          <w:tcPr>
            <w:tcW w:w="1418" w:type="dxa"/>
          </w:tcPr>
          <w:p w:rsidR="003D2286" w:rsidRDefault="003D2286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EI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3D2286" w:rsidRPr="003D2286" w:rsidTr="003D2286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Ressursid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maakasutus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635300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D2286" w:rsidRPr="003D2286" w:rsidTr="001C102D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635300" w:rsidRDefault="003D2286" w:rsidP="00C41DF8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C41DF8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elamumaa sihtotstarbega kruntidele planeeritakse ehitada elamud ja abi</w:t>
            </w:r>
            <w:r w:rsidR="0090182C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hooned, mille tulemusel maakasutus intensiivistub.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vee kasutus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41DF8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D2286" w:rsidRPr="003D2286" w:rsidTr="00B0523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CE26AE" w:rsidRDefault="003D2286" w:rsidP="003D2286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uute hoonete rajamine ei muuda veekasutust. 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muude loodusressursside kasutus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D530BF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D2286" w:rsidRPr="003D2286" w:rsidTr="007D007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CE26AE" w:rsidRDefault="003D2286" w:rsidP="00D530BF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toob kaasa mingil määral metsa maha võtmist, et ehitada planeeritavaid hooneid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muude ressursside kasutus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D530BF" w:rsidP="0090182C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D2286" w:rsidRPr="003D2286" w:rsidTr="00484E5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90182C" w:rsidRDefault="003D2286" w:rsidP="00C41DF8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kavandatav tegevuse elluviimiseks on vaja ehitusmaterjale, mida transporditakse mujalt planeeritavale alale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3D2286" w:rsidRPr="003D2286" w:rsidTr="003D2286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Ruumi ja otstarbe muutused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maastik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220601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D2286" w:rsidRPr="003D2286" w:rsidTr="00F5742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220601" w:rsidRDefault="003D2286" w:rsidP="0022060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22060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seoses uute hoonete rajamisega on vaja teostada mõningane kaevamine, et rajada vundamenti. Maastikupilti lisandub mõni hoone juurde.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Samas säilitatakse võimalikult palju olemasolevat metsa ja planeeritud hooned jäävad puude varju.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hajumistingimused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E26AE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D2286" w:rsidRPr="003D2286" w:rsidTr="00D7115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CE26AE" w:rsidRDefault="003D2286" w:rsidP="003D2286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too kaasa halvenemist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hüdroloogilised tingimused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E26AE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D2286" w:rsidRPr="003D2286" w:rsidTr="00D3414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CE26AE" w:rsidRDefault="003D2286" w:rsidP="003D2286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CE26AE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kavandatava tegevusega ei tehta maaparandust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liiklus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E26AE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D2286" w:rsidRPr="003D2286" w:rsidTr="00FA19C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692E75" w:rsidRDefault="003D2286" w:rsidP="003D2286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too kaasa suuri muutusi liikluses</w:t>
            </w:r>
            <w:r w:rsidR="00C41DF8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, kuna tegemist on 5 krundiga ja oletatav juurde tulevate autode arv on 10 autot (2 autot krundi kohta).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3D2286" w:rsidRPr="003D2286" w:rsidTr="003D2286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Hädaolukordade esinemine</w:t>
            </w:r>
          </w:p>
        </w:tc>
      </w:tr>
    </w:tbl>
    <w:p w:rsidR="003D2286" w:rsidRDefault="003D2286" w:rsidP="003D2286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õnnetuste tõenäosus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E26AE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D2286" w:rsidRPr="003D2286" w:rsidTr="0051355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692E75" w:rsidRDefault="003D2286" w:rsidP="003D2286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tegevusega ei kaasne ohtlike ainete transporti ega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hoiustamist</w:t>
            </w:r>
          </w:p>
        </w:tc>
      </w:tr>
      <w:tr w:rsidR="003D2286" w:rsidRPr="003D2286" w:rsidTr="003D228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3D2286" w:rsidRDefault="003D2286" w:rsidP="003D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228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tõrgete tõenäosus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3D2286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6" w:rsidRPr="003D2286" w:rsidRDefault="00CC0769" w:rsidP="003D2286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D2286" w:rsidRPr="003D2286" w:rsidTr="00291B1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86" w:rsidRPr="00692E75" w:rsidRDefault="003D2286" w:rsidP="00C41DF8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D2286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muuda tehnovõrkude toimekindlust, kuna </w:t>
            </w:r>
            <w:r w:rsidR="00C41DF8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olemasoleval teel on olemas tehnovõrgud ja iga krundi juures on olemas ka liitumispunktid. Seega on arvestatud tehnovõrkude toimekindlusega.  </w:t>
            </w:r>
          </w:p>
        </w:tc>
      </w:tr>
    </w:tbl>
    <w:p w:rsidR="003962F2" w:rsidRDefault="003962F2" w:rsidP="003962F2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3962F2" w:rsidRPr="003962F2" w:rsidTr="003962F2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3962F2" w:rsidRDefault="003962F2" w:rsidP="0039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962F2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Heited</w:t>
            </w:r>
          </w:p>
        </w:tc>
      </w:tr>
    </w:tbl>
    <w:p w:rsidR="003962F2" w:rsidRDefault="003962F2" w:rsidP="003962F2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3962F2" w:rsidRPr="003962F2" w:rsidTr="003962F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3962F2" w:rsidRDefault="003962F2" w:rsidP="0039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962F2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müra ja vibratsioon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3962F2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692E75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962F2" w:rsidRPr="003962F2" w:rsidTr="0018646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692E75" w:rsidRDefault="003962F2" w:rsidP="00D530BF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962F2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kavandatav tegevus ei põhjusta müra ja vibratsiooni kestvalt. Ajutine suurem müra  ja vibratsioon võib tekkida ehituse faasis. 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3962F2" w:rsidRPr="003962F2" w:rsidTr="003962F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3962F2" w:rsidRDefault="003962F2" w:rsidP="0039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962F2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õhusaaste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D530BF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3962F2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962F2" w:rsidRPr="003962F2" w:rsidTr="007010A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692E75" w:rsidRDefault="003962F2" w:rsidP="00D530BF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962F2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tegevusega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võib tekkida ajutist suuremat õhuheiteid (tolm)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D530B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ehituse faasis. Pikemas perspektiivis ei toimu </w:t>
            </w:r>
            <w:r w:rsidR="00CA282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olulist õhu reostamist.</w:t>
            </w:r>
          </w:p>
        </w:tc>
      </w:tr>
      <w:tr w:rsidR="003962F2" w:rsidRPr="003962F2" w:rsidTr="003962F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3962F2" w:rsidRDefault="003962F2" w:rsidP="0039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3962F2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nõrgvesi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3962F2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692E75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3962F2" w:rsidRPr="003962F2" w:rsidTr="003A631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692E75" w:rsidRDefault="003962F2" w:rsidP="003962F2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962F2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tegevusega ei kaasne </w:t>
            </w:r>
            <w:proofErr w:type="spellStart"/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nõrgvee</w:t>
            </w:r>
            <w:proofErr w:type="spellEnd"/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teket</w:t>
            </w:r>
          </w:p>
        </w:tc>
      </w:tr>
      <w:tr w:rsidR="003962F2" w:rsidRPr="003962F2" w:rsidTr="003962F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Pr="003962F2" w:rsidRDefault="003962F2" w:rsidP="0039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962F2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tahked jäätmed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692E75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F2" w:rsidRPr="003962F2" w:rsidRDefault="003962F2" w:rsidP="003962F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962F2" w:rsidRPr="003962F2" w:rsidTr="002A570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F2" w:rsidRDefault="003962F2" w:rsidP="00880BA4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3962F2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tegevusega kaasneb</w:t>
            </w:r>
            <w:r w:rsidR="00CA282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ehituse käigus tekkivate jäätmetega, mis on ajutine ning pikemas perspektiivis tekib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b</w:t>
            </w:r>
            <w:r w:rsidR="00CA282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iolagunevat ja olme jäätmeid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. </w:t>
            </w:r>
            <w:r w:rsidR="00CA282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Kohapeal tekkivad jäätmed 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ladustatakse</w:t>
            </w:r>
            <w:r w:rsidR="00880BA4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vastavatesse konteineritesse ja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880BA4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vastavalt jäätmehoolduseeskirjale viib need </w:t>
            </w:r>
            <w:r w:rsidR="00692E75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vastavat litsentsi omav firma ära.</w:t>
            </w:r>
          </w:p>
          <w:p w:rsidR="00880BA4" w:rsidRPr="00692E75" w:rsidRDefault="00880BA4" w:rsidP="00880BA4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676041" w:rsidRDefault="00676041" w:rsidP="00676041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6041" w:rsidRPr="00676041" w:rsidTr="0067604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Muud</w:t>
            </w:r>
          </w:p>
        </w:tc>
      </w:tr>
    </w:tbl>
    <w:p w:rsidR="00676041" w:rsidRDefault="00676041" w:rsidP="00676041">
      <w:pPr>
        <w:spacing w:after="0"/>
        <w:rPr>
          <w:rFonts w:ascii="Arial-BoldMT" w:hAnsi="Arial-BoldMT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muud mõjurid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880BA4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BB4F9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880BA4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880BA4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too kaasa muutusi selles valdkonnas</w:t>
            </w:r>
          </w:p>
        </w:tc>
      </w:tr>
    </w:tbl>
    <w:p w:rsidR="00760A60" w:rsidRDefault="00676041">
      <w:pPr>
        <w:rPr>
          <w:rFonts w:ascii="Arial-BoldMT" w:hAnsi="Arial-BoldMT"/>
          <w:b/>
          <w:bCs/>
          <w:color w:val="000000"/>
          <w:sz w:val="28"/>
          <w:szCs w:val="28"/>
        </w:rPr>
      </w:pPr>
      <w:r w:rsidRPr="0067604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676041">
        <w:rPr>
          <w:rFonts w:ascii="Arial-BoldMT" w:hAnsi="Arial-BoldMT"/>
          <w:b/>
          <w:bCs/>
          <w:color w:val="000000"/>
          <w:sz w:val="28"/>
          <w:szCs w:val="28"/>
        </w:rPr>
        <w:t>3 VASTAVUS ÕIGUSAKTIDELE</w:t>
      </w:r>
    </w:p>
    <w:p w:rsidR="00676041" w:rsidRPr="00676041" w:rsidRDefault="00676041" w:rsidP="0067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76041">
        <w:rPr>
          <w:rFonts w:ascii="ArialMT" w:eastAsia="Times New Roman" w:hAnsi="ArialMT" w:cs="Times New Roman"/>
          <w:color w:val="000000"/>
          <w:sz w:val="24"/>
          <w:szCs w:val="24"/>
          <w:lang w:eastAsia="et-EE"/>
        </w:rPr>
        <w:t>Vastuolud: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064"/>
      </w:tblGrid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Õigusakt: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Õigusakt: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lastRenderedPageBreak/>
              <w:t>Kirjeldus: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676041" w:rsidRDefault="00676041" w:rsidP="00676041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et-EE"/>
        </w:rPr>
      </w:pPr>
    </w:p>
    <w:p w:rsidR="00676041" w:rsidRPr="00676041" w:rsidRDefault="00676041" w:rsidP="0067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76041">
        <w:rPr>
          <w:rFonts w:ascii="ArialMT" w:eastAsia="Times New Roman" w:hAnsi="ArialMT" w:cs="Times New Roman"/>
          <w:color w:val="000000"/>
          <w:sz w:val="24"/>
          <w:szCs w:val="24"/>
          <w:lang w:eastAsia="et-EE"/>
        </w:rPr>
        <w:t>Toetavad tegevused: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064"/>
      </w:tblGrid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Õigusakt: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Õigusakt: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67604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4139F2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676041" w:rsidRDefault="00676041">
      <w:pPr>
        <w:rPr>
          <w:rFonts w:ascii="Arial-BoldMT" w:hAnsi="Arial-BoldMT"/>
          <w:b/>
          <w:bCs/>
          <w:color w:val="000000"/>
          <w:sz w:val="28"/>
          <w:szCs w:val="28"/>
        </w:rPr>
      </w:pPr>
      <w:r w:rsidRPr="0067604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67604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676041">
        <w:rPr>
          <w:rFonts w:ascii="Arial-BoldMT" w:hAnsi="Arial-BoldMT"/>
          <w:b/>
          <w:bCs/>
          <w:color w:val="000000"/>
          <w:sz w:val="28"/>
          <w:szCs w:val="28"/>
        </w:rPr>
        <w:t>SEOTUS TEISTE STRATEEGILISTE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76041">
        <w:rPr>
          <w:rFonts w:ascii="Arial-BoldMT" w:hAnsi="Arial-BoldMT"/>
          <w:b/>
          <w:bCs/>
          <w:color w:val="000000"/>
          <w:sz w:val="28"/>
          <w:szCs w:val="28"/>
        </w:rPr>
        <w:t>PLANEERIMISDOKUMENTIDEGA</w:t>
      </w:r>
    </w:p>
    <w:p w:rsidR="00676041" w:rsidRDefault="00676041">
      <w:pPr>
        <w:rPr>
          <w:rFonts w:ascii="ArialMT" w:hAnsi="ArialMT"/>
          <w:color w:val="000000"/>
          <w:sz w:val="24"/>
          <w:szCs w:val="24"/>
        </w:rPr>
      </w:pPr>
      <w:r w:rsidRPr="00676041">
        <w:rPr>
          <w:rFonts w:ascii="ArialMT" w:hAnsi="ArialMT"/>
          <w:color w:val="000000"/>
          <w:sz w:val="24"/>
          <w:szCs w:val="24"/>
        </w:rPr>
        <w:t>Horisontaalsed strateegilised planeerimisdokumendid, mis on seotud kavandatava</w:t>
      </w:r>
      <w:r w:rsidRPr="00676041">
        <w:rPr>
          <w:rFonts w:ascii="ArialMT" w:hAnsi="ArialMT"/>
          <w:color w:val="000000"/>
        </w:rPr>
        <w:br/>
      </w:r>
      <w:r w:rsidRPr="00676041">
        <w:rPr>
          <w:rFonts w:ascii="ArialMT" w:hAnsi="ArialMT"/>
          <w:color w:val="000000"/>
          <w:sz w:val="24"/>
          <w:szCs w:val="24"/>
        </w:rPr>
        <w:t>strateegilise planeerimisdokumendiga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DOKUMENT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TOETAB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VASTU</w:t>
            </w: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br/>
              <w:t>OLUS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41" w:rsidRPr="00676041" w:rsidRDefault="00F47161" w:rsidP="0067604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Paikuse valla üldplaneering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41" w:rsidRPr="00676041" w:rsidRDefault="00F47161" w:rsidP="0067604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41" w:rsidRPr="00676041" w:rsidRDefault="00676041" w:rsidP="0067604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676041" w:rsidRPr="00676041" w:rsidTr="0028444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76041" w:rsidRPr="00FC7F2F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FC7F2F" w:rsidRPr="00120561">
              <w:rPr>
                <w:rFonts w:ascii="Arial" w:hAnsi="Arial" w:cs="Arial"/>
              </w:rPr>
              <w:t xml:space="preserve"> </w:t>
            </w:r>
            <w:r w:rsidR="004139F2" w:rsidRPr="004139F2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Vastavalt kehtivale üldplaneeringule on ala reserveeritud elamuala E2 (ehitusõiguse annab kinnistu suurusega 2000 m2)</w:t>
            </w:r>
            <w:r w:rsidR="004139F2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. Samuti jääb planeeritav ala väljapoole kõrval asuva kalmistu kaitsevööndist. </w:t>
            </w:r>
          </w:p>
        </w:tc>
      </w:tr>
    </w:tbl>
    <w:p w:rsidR="006C01EF" w:rsidRDefault="006C01EF">
      <w:pPr>
        <w:rPr>
          <w:rFonts w:ascii="ArialMT" w:hAnsi="ArialMT"/>
          <w:color w:val="000000"/>
          <w:sz w:val="24"/>
          <w:szCs w:val="24"/>
        </w:rPr>
      </w:pPr>
    </w:p>
    <w:p w:rsidR="00676041" w:rsidRDefault="00676041">
      <w:pPr>
        <w:rPr>
          <w:rFonts w:ascii="ArialMT" w:hAnsi="ArialMT"/>
          <w:color w:val="000000"/>
          <w:sz w:val="24"/>
          <w:szCs w:val="24"/>
        </w:rPr>
      </w:pPr>
      <w:r w:rsidRPr="00676041">
        <w:rPr>
          <w:rFonts w:ascii="ArialMT" w:hAnsi="ArialMT"/>
          <w:color w:val="000000"/>
          <w:sz w:val="24"/>
          <w:szCs w:val="24"/>
        </w:rPr>
        <w:t>Vastuolu korral tuleb hinnata seotud dokumendis toimuvast muudatusest tuleneva</w:t>
      </w:r>
      <w:r w:rsidRPr="00676041">
        <w:rPr>
          <w:rFonts w:ascii="ArialMT" w:hAnsi="ArialMT"/>
          <w:color w:val="000000"/>
        </w:rPr>
        <w:br/>
      </w:r>
      <w:r w:rsidRPr="00676041">
        <w:rPr>
          <w:rFonts w:ascii="ArialMT" w:hAnsi="ArialMT"/>
          <w:color w:val="000000"/>
          <w:sz w:val="24"/>
          <w:szCs w:val="24"/>
        </w:rPr>
        <w:t>keskkonnamõju olulisust kasutades olemasolevat vormi.</w:t>
      </w:r>
    </w:p>
    <w:p w:rsidR="006C01EF" w:rsidRDefault="006C01EF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</w:p>
    <w:p w:rsidR="00676041" w:rsidRDefault="00676041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 kavandatav tegevus põhjustab olulist mõju (lahtrisse märkida X):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Tr="00656F89">
        <w:tc>
          <w:tcPr>
            <w:tcW w:w="6487" w:type="dxa"/>
          </w:tcPr>
          <w:p w:rsidR="00676041" w:rsidRDefault="00676041" w:rsidP="00656F89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OBJEKT</w:t>
            </w:r>
          </w:p>
        </w:tc>
        <w:tc>
          <w:tcPr>
            <w:tcW w:w="1559" w:type="dxa"/>
          </w:tcPr>
          <w:p w:rsidR="00676041" w:rsidRDefault="00676041" w:rsidP="00656F89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JAH</w:t>
            </w:r>
          </w:p>
        </w:tc>
        <w:tc>
          <w:tcPr>
            <w:tcW w:w="1418" w:type="dxa"/>
          </w:tcPr>
          <w:p w:rsidR="00676041" w:rsidRDefault="00676041" w:rsidP="00656F89">
            <w:pP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-BoldMT" w:hAnsi="Arial-BoldMT"/>
                <w:b/>
                <w:bCs/>
                <w:color w:val="000000"/>
                <w:sz w:val="28"/>
                <w:szCs w:val="28"/>
              </w:rPr>
              <w:t>EI</w:t>
            </w:r>
          </w:p>
        </w:tc>
      </w:tr>
    </w:tbl>
    <w:p w:rsidR="00676041" w:rsidRDefault="00676041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6041" w:rsidRPr="00676041" w:rsidTr="0067604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Elutu keskkond</w:t>
            </w:r>
          </w:p>
        </w:tc>
      </w:tr>
    </w:tbl>
    <w:p w:rsidR="00676041" w:rsidRPr="00433E69" w:rsidRDefault="00676041" w:rsidP="006760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pinnasele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67A76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9A614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0A3B21" w:rsidRDefault="00676041" w:rsidP="009E2B9F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0A3B2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põhjusta pinnase reostust, veerežiimi olulist muutust ja olulist mõju mullasti</w:t>
            </w:r>
            <w:r w:rsidR="004139F2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kule, kuna reovesi on suunatakse olemasolevasse ühiskanalisatsiooni, kruntidel </w:t>
            </w:r>
            <w:r w:rsidR="000A3B2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tekkivad jäätmed kogutakse kinnistesse kon</w:t>
            </w:r>
            <w:r w:rsidR="004139F2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teineritesse ja viiakse</w:t>
            </w:r>
            <w:r w:rsidR="000A3B2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ära vastavat litsentsi omava ettevõtte poolt. Samuti ei nõua kavandatav tegevust ala liigset niisutamist ega kuivendamist</w:t>
            </w:r>
            <w:r w:rsidR="009E2B9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.</w:t>
            </w:r>
            <w:r w:rsidR="000A3B2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9E2B9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Hoonete vundamentide rajamisega vähendatakse mingil määral </w:t>
            </w:r>
            <w:r w:rsidR="000A3B21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mulla kogust krundil. 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maavarade kasutusele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0A3B2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F0668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0A3B21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</w:t>
            </w:r>
            <w:r w:rsidR="00B67A76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a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tegevusega ei toimu maavarade kaevandamist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põhjaveele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4B0F3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</w:t>
            </w:r>
            <w:r w:rsidR="009E2B9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evus ei mõjuta oluliselt põhjavett. Tarbimine toimuks vaid joogivee ja olme tarbimiseks normide piires. </w:t>
            </w:r>
            <w:r w:rsidR="00B67A76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Liigset põhjaveevõttu</w:t>
            </w:r>
            <w:r w:rsidR="000A0DC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tegevuse käigus</w:t>
            </w:r>
            <w:r w:rsidR="00B67A76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ei toimu. 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pinnaveele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495DC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9E2B9F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9E2B9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planeeritavate hoonete katuselt tulev vihmavesi ei reosta maapinda. 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õhule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456A8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0A0DCE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9E2B9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põhjusta õhukvaliteedinormide ületamist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kliimale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0A0DCE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803D6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0A0DCE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</w:t>
            </w:r>
            <w:r w:rsidR="000A0DCE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: </w:t>
            </w:r>
            <w:r w:rsidR="00253B8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kavandatav tegevus ei mõjuta oluliselt kohakliimat</w:t>
            </w:r>
          </w:p>
        </w:tc>
      </w:tr>
    </w:tbl>
    <w:p w:rsidR="00676041" w:rsidRPr="00433E69" w:rsidRDefault="00676041" w:rsidP="006760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6041" w:rsidRPr="00676041" w:rsidTr="0067604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Kaitstavad objektid ja eluskeskkond</w:t>
            </w:r>
          </w:p>
        </w:tc>
      </w:tr>
    </w:tbl>
    <w:p w:rsidR="00676041" w:rsidRPr="00433E69" w:rsidRDefault="00676041" w:rsidP="006760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liikidele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214AE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 vahetu</w:t>
            </w:r>
            <w:r w:rsidR="006C01E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s 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läheduses ei ole kaitstavaid liike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elupaikadele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AF6B5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kavandatava tegevuse vahetus</w:t>
            </w:r>
            <w:r w:rsidR="006C01E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läheduses ei ole kaitse all olevaid elupaiku</w:t>
            </w:r>
          </w:p>
        </w:tc>
      </w:tr>
    </w:tbl>
    <w:p w:rsidR="00676041" w:rsidRPr="00433E69" w:rsidRDefault="00676041" w:rsidP="006760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6041" w:rsidRPr="00676041" w:rsidTr="0067604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>Inimese elukeskkond</w:t>
            </w:r>
          </w:p>
        </w:tc>
      </w:tr>
    </w:tbl>
    <w:p w:rsidR="00676041" w:rsidRPr="00433E69" w:rsidRDefault="00676041" w:rsidP="006760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Ilmes, ruumilises struktuuris, esteetilisuses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4C689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A31919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põhjusta </w:t>
            </w:r>
            <w:r w:rsidR="00A3191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naaber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elamute ülevalgustamist, kuna </w:t>
            </w:r>
            <w:r w:rsidR="00A3191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planeeritakse samuti ühepereelamuid, kus valgustatakse majade vahetus</w:t>
            </w:r>
            <w:r w:rsidR="006C01EF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A31919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>lähedust.  Samuti paikneb planeeritavate hoonete ümber puhverala metsa näol.</w:t>
            </w:r>
          </w:p>
        </w:tc>
      </w:tr>
      <w:tr w:rsidR="00676041" w:rsidRPr="00676041" w:rsidTr="0067604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676041" w:rsidRDefault="00676041" w:rsidP="0067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76041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teenustes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676041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1" w:rsidRPr="00676041" w:rsidRDefault="00B5229A" w:rsidP="00676041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et-EE"/>
              </w:rPr>
              <w:t>x</w:t>
            </w:r>
          </w:p>
        </w:tc>
      </w:tr>
      <w:tr w:rsidR="00676041" w:rsidRPr="00676041" w:rsidTr="00D427E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41" w:rsidRPr="00B5229A" w:rsidRDefault="00676041" w:rsidP="00676041">
            <w:pPr>
              <w:spacing w:after="0" w:line="240" w:lineRule="auto"/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</w:pPr>
            <w:r w:rsidRPr="00676041">
              <w:rPr>
                <w:rFonts w:ascii="Arial-ItalicMT" w:eastAsia="Times New Roman" w:hAnsi="Arial-ItalicMT" w:cs="Times New Roman"/>
                <w:i/>
                <w:iCs/>
                <w:color w:val="000000"/>
                <w:sz w:val="24"/>
                <w:szCs w:val="24"/>
                <w:lang w:eastAsia="et-EE"/>
              </w:rPr>
              <w:t>Kirjeldus: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kavandatav tegevus ei põhjusta inimese poolt tarbitavates</w:t>
            </w:r>
            <w:r w:rsidR="00B67A76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elutähtsates</w:t>
            </w:r>
            <w:r w:rsidR="00B5229A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 teenustes t</w:t>
            </w:r>
            <w:r w:rsidR="00B67A76">
              <w:rPr>
                <w:rFonts w:ascii="Arial-ItalicMT" w:eastAsia="Times New Roman" w:hAnsi="Arial-ItalicMT" w:cs="Times New Roman"/>
                <w:iCs/>
                <w:color w:val="000000"/>
                <w:sz w:val="24"/>
                <w:szCs w:val="24"/>
                <w:lang w:eastAsia="et-EE"/>
              </w:rPr>
              <w:t xml:space="preserve">akistusi. </w:t>
            </w:r>
          </w:p>
        </w:tc>
      </w:tr>
    </w:tbl>
    <w:p w:rsidR="00B46CD3" w:rsidRDefault="00676041">
      <w:pPr>
        <w:rPr>
          <w:rFonts w:ascii="Arial-BoldMT" w:hAnsi="Arial-BoldMT"/>
          <w:b/>
          <w:bCs/>
          <w:color w:val="000000"/>
          <w:sz w:val="28"/>
          <w:szCs w:val="28"/>
        </w:rPr>
      </w:pPr>
      <w:r w:rsidRPr="0067604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B46CD3" w:rsidRPr="00B46CD3">
        <w:rPr>
          <w:rFonts w:ascii="Arial-BoldMT" w:hAnsi="Arial-BoldMT"/>
          <w:b/>
          <w:bCs/>
          <w:color w:val="000000"/>
          <w:sz w:val="28"/>
          <w:szCs w:val="28"/>
        </w:rPr>
        <w:t>6 ASJAOMASTE ISIKUTE JA ASUTUSTE SEISUKOHAD</w:t>
      </w:r>
    </w:p>
    <w:p w:rsidR="00545901" w:rsidRDefault="00B46CD3">
      <w:r w:rsidRPr="00B46CD3">
        <w:rPr>
          <w:rFonts w:ascii="Arial-BoldMT" w:hAnsi="Arial-BoldMT"/>
          <w:b/>
          <w:bCs/>
          <w:color w:val="000000"/>
          <w:sz w:val="28"/>
          <w:szCs w:val="28"/>
        </w:rPr>
        <w:t>7 HINDAMISTULEMUSTE KOKKUVÕTE</w:t>
      </w:r>
      <w:r w:rsidR="00433E69" w:rsidRPr="00433E6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bookmarkStart w:id="0" w:name="_GoBack"/>
      <w:bookmarkEnd w:id="0"/>
      <w:r w:rsidR="00433E69" w:rsidRPr="00433E6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433E69" w:rsidRPr="00433E6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sectPr w:rsidR="0054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altName w:val="Cambria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altName w:val=" Helvetica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69"/>
    <w:rsid w:val="000A0DCE"/>
    <w:rsid w:val="000A3B21"/>
    <w:rsid w:val="000E0F15"/>
    <w:rsid w:val="00220601"/>
    <w:rsid w:val="00253B8F"/>
    <w:rsid w:val="003962F2"/>
    <w:rsid w:val="003D2286"/>
    <w:rsid w:val="00403569"/>
    <w:rsid w:val="004139F2"/>
    <w:rsid w:val="00433E69"/>
    <w:rsid w:val="00545901"/>
    <w:rsid w:val="005671DD"/>
    <w:rsid w:val="00635300"/>
    <w:rsid w:val="00676041"/>
    <w:rsid w:val="00692E75"/>
    <w:rsid w:val="006C01EF"/>
    <w:rsid w:val="00760A60"/>
    <w:rsid w:val="00880BA4"/>
    <w:rsid w:val="0090182C"/>
    <w:rsid w:val="0098758E"/>
    <w:rsid w:val="009E2B9F"/>
    <w:rsid w:val="00A31919"/>
    <w:rsid w:val="00A368E4"/>
    <w:rsid w:val="00B46CD3"/>
    <w:rsid w:val="00B5229A"/>
    <w:rsid w:val="00B67A76"/>
    <w:rsid w:val="00BD2730"/>
    <w:rsid w:val="00C41DF8"/>
    <w:rsid w:val="00C70D48"/>
    <w:rsid w:val="00CA2829"/>
    <w:rsid w:val="00CC0769"/>
    <w:rsid w:val="00CE26AE"/>
    <w:rsid w:val="00D530BF"/>
    <w:rsid w:val="00F47161"/>
    <w:rsid w:val="00F842B5"/>
    <w:rsid w:val="00F907BE"/>
    <w:rsid w:val="00F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48CF4-5EA7-4231-BEF9-DB259CE3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E69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33E69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D2286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5174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Reet Olev</cp:lastModifiedBy>
  <cp:revision>2</cp:revision>
  <cp:lastPrinted>2017-05-26T08:44:00Z</cp:lastPrinted>
  <dcterms:created xsi:type="dcterms:W3CDTF">2017-05-26T09:03:00Z</dcterms:created>
  <dcterms:modified xsi:type="dcterms:W3CDTF">2017-05-26T09:03:00Z</dcterms:modified>
</cp:coreProperties>
</file>