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A1F2" w14:textId="77777777" w:rsidR="00DE514C" w:rsidRPr="00823C04" w:rsidRDefault="00DE514C" w:rsidP="00A52E24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0" w:name="_Hlk119313143"/>
      <w:r w:rsidRPr="00823C04">
        <w:rPr>
          <w:rFonts w:ascii="Times New Roman" w:eastAsia="Times New Roman" w:hAnsi="Times New Roman" w:cs="Times New Roman"/>
          <w:sz w:val="24"/>
          <w:szCs w:val="24"/>
          <w:lang w:eastAsia="et-EE"/>
        </w:rPr>
        <w:t>Tarbijakaitse ja Tehnilise Järelevalve Ameti</w:t>
      </w:r>
    </w:p>
    <w:p w14:paraId="62798818" w14:textId="32439E40" w:rsidR="00DE514C" w:rsidRPr="00823C04" w:rsidRDefault="00DE514C" w:rsidP="00DE51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23C04"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  <w:tab/>
      </w:r>
      <w:r w:rsidRPr="00823C04"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  <w:tab/>
      </w:r>
      <w:r w:rsidRPr="0059400A">
        <w:rPr>
          <w:rFonts w:ascii="Times New Roman" w:eastAsia="Times New Roman" w:hAnsi="Times New Roman" w:cs="Times New Roman"/>
          <w:sz w:val="24"/>
          <w:szCs w:val="24"/>
          <w:lang w:eastAsia="et-EE"/>
        </w:rPr>
        <w:t>202</w:t>
      </w:r>
      <w:r w:rsidR="00E3472B" w:rsidRPr="0059400A"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59400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59400A" w:rsidRPr="0059400A">
        <w:rPr>
          <w:rFonts w:ascii="Times New Roman" w:eastAsia="Times New Roman" w:hAnsi="Times New Roman" w:cs="Times New Roman"/>
          <w:sz w:val="24"/>
          <w:szCs w:val="24"/>
          <w:lang w:eastAsia="et-EE"/>
        </w:rPr>
        <w:t>aasta</w:t>
      </w:r>
    </w:p>
    <w:p w14:paraId="6B66EFFC" w14:textId="0B3E00D8" w:rsidR="00DE514C" w:rsidRPr="00823C04" w:rsidRDefault="00DE514C" w:rsidP="00DE514C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823C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sidekaablitaristule juurdepääsu hulgiturul</w:t>
      </w:r>
    </w:p>
    <w:p w14:paraId="67118CA2" w14:textId="68F5C90B" w:rsidR="00DE514C" w:rsidRDefault="004D6C8E" w:rsidP="00DE514C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märkimisväärse turujõuga ettevõtja tunnistamise ja</w:t>
      </w:r>
    </w:p>
    <w:p w14:paraId="6F316ECE" w14:textId="301B7F97" w:rsidR="004D6C8E" w:rsidRPr="00823C04" w:rsidRDefault="004D6C8E" w:rsidP="00DE514C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kohustuste kehtestamise</w:t>
      </w:r>
    </w:p>
    <w:p w14:paraId="274D06E2" w14:textId="6EB926F7" w:rsidR="00DE514C" w:rsidRPr="00823C04" w:rsidRDefault="00DE514C" w:rsidP="00DE514C">
      <w:pPr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23C0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otsus</w:t>
      </w:r>
      <w:r w:rsidR="00DA2BA0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</w:t>
      </w:r>
    </w:p>
    <w:bookmarkEnd w:id="0"/>
    <w:p w14:paraId="20C10E27" w14:textId="77777777" w:rsidR="00DE514C" w:rsidRPr="00823C04" w:rsidRDefault="00DE514C" w:rsidP="00D004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D004D" w14:textId="22909C18" w:rsidR="00D004F6" w:rsidRPr="00FE3A90" w:rsidRDefault="00D004F6" w:rsidP="00D004F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E3A90">
        <w:rPr>
          <w:rFonts w:ascii="Times New Roman" w:hAnsi="Times New Roman" w:cs="Times New Roman"/>
          <w:b/>
          <w:bCs/>
          <w:sz w:val="28"/>
          <w:szCs w:val="28"/>
        </w:rPr>
        <w:t>LISA 1</w:t>
      </w:r>
    </w:p>
    <w:p w14:paraId="0A3A7A02" w14:textId="77777777" w:rsidR="00D004F6" w:rsidRPr="00823C04" w:rsidRDefault="00D004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2477D2" w14:textId="61E8D35A" w:rsidR="006B2D96" w:rsidRPr="00823C04" w:rsidRDefault="00F24A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C04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F255C" w:rsidRPr="00823C04">
        <w:rPr>
          <w:rFonts w:ascii="Times New Roman" w:hAnsi="Times New Roman" w:cs="Times New Roman"/>
          <w:b/>
          <w:bCs/>
          <w:sz w:val="24"/>
          <w:szCs w:val="24"/>
        </w:rPr>
        <w:t>ÕISTED JA LÜH</w:t>
      </w:r>
      <w:r w:rsidR="008B750D" w:rsidRPr="00823C0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F255C" w:rsidRPr="00823C04">
        <w:rPr>
          <w:rFonts w:ascii="Times New Roman" w:hAnsi="Times New Roman" w:cs="Times New Roman"/>
          <w:b/>
          <w:bCs/>
          <w:sz w:val="24"/>
          <w:szCs w:val="24"/>
        </w:rPr>
        <w:t>NDID</w:t>
      </w:r>
      <w:r w:rsidR="00E3179C" w:rsidRPr="00823C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79C" w:rsidRPr="00823C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79C" w:rsidRPr="00823C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79C" w:rsidRPr="00823C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79C" w:rsidRPr="00823C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79C" w:rsidRPr="00823C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79C" w:rsidRPr="00823C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79C" w:rsidRPr="00823C0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52C175E" w14:textId="50312634" w:rsidR="0046091E" w:rsidRPr="00823C04" w:rsidRDefault="0046091E">
      <w:pPr>
        <w:rPr>
          <w:rFonts w:ascii="Times New Roman" w:hAnsi="Times New Roman" w:cs="Times New Roman"/>
          <w:sz w:val="24"/>
          <w:szCs w:val="24"/>
        </w:rPr>
      </w:pPr>
    </w:p>
    <w:p w14:paraId="089375E1" w14:textId="77777777" w:rsidR="009E5A43" w:rsidRPr="00823C04" w:rsidRDefault="009E5A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FB03E6" w:rsidRPr="002A702F" w14:paraId="2F2C6552" w14:textId="77777777" w:rsidTr="00A52E24">
        <w:tc>
          <w:tcPr>
            <w:tcW w:w="2830" w:type="dxa"/>
          </w:tcPr>
          <w:p w14:paraId="575AAD90" w14:textId="129EB5C3" w:rsidR="00FB03E6" w:rsidRPr="00823C04" w:rsidRDefault="00626CED" w:rsidP="00FB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Aadressiobjekt</w:t>
            </w:r>
          </w:p>
        </w:tc>
        <w:tc>
          <w:tcPr>
            <w:tcW w:w="6232" w:type="dxa"/>
          </w:tcPr>
          <w:p w14:paraId="4CC15024" w14:textId="07E53E98" w:rsidR="00FB03E6" w:rsidRPr="00823C04" w:rsidRDefault="00626CED" w:rsidP="00FB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Geograafiline aadressiobjekt (edaspidi aadressiobjekt) on maaga seotud objekt, millele on määratud aadress või millele aadressi määramise kohustus või võimalus tuleneb õigusaktist ning millel on  aadressiobjekti identifikaator ehk ADS-OID. Peamiselt on need adresseeritud maaüksused, hooned ja hooneosad (sh korterid), vt ka </w:t>
            </w:r>
            <w:hyperlink r:id="rId5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https://maaamet.ee/ruumiandmed-ja-kaardid/aadressid-ja-kohanimed/aadressiandmete-kasiraamat/1-moisted</w:t>
              </w:r>
            </w:hyperlink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E8F" w:rsidRPr="002A702F" w14:paraId="2578342B" w14:textId="77777777" w:rsidTr="00A52E24">
        <w:tc>
          <w:tcPr>
            <w:tcW w:w="2830" w:type="dxa"/>
          </w:tcPr>
          <w:p w14:paraId="5A77EAB9" w14:textId="35AF1234" w:rsidR="00CA1E8F" w:rsidRPr="00CA1E8F" w:rsidRDefault="00CA1E8F" w:rsidP="00FB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Alamtoru</w:t>
            </w:r>
          </w:p>
        </w:tc>
        <w:tc>
          <w:tcPr>
            <w:tcW w:w="6232" w:type="dxa"/>
          </w:tcPr>
          <w:p w14:paraId="45749B57" w14:textId="5D4DD486" w:rsidR="00CA1E8F" w:rsidRPr="00CA1E8F" w:rsidRDefault="00466A62" w:rsidP="00FB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Alamtoru on sidetorusse paigaldatud </w:t>
            </w:r>
            <w:r w:rsidR="00985CE6" w:rsidRPr="00985CE6">
              <w:rPr>
                <w:rFonts w:ascii="Times New Roman" w:hAnsi="Times New Roman" w:cs="Times New Roman"/>
                <w:sz w:val="24"/>
                <w:szCs w:val="24"/>
              </w:rPr>
              <w:t xml:space="preserve">toru, millesse saab paigaldada sidekaabli sh </w:t>
            </w:r>
            <w:r w:rsidR="00656757">
              <w:rPr>
                <w:rFonts w:ascii="Times New Roman" w:hAnsi="Times New Roman" w:cs="Times New Roman"/>
                <w:sz w:val="24"/>
                <w:szCs w:val="24"/>
              </w:rPr>
              <w:t>mikro-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4B1">
              <w:rPr>
                <w:rFonts w:ascii="Times New Roman" w:hAnsi="Times New Roman" w:cs="Times New Roman"/>
                <w:sz w:val="24"/>
                <w:szCs w:val="24"/>
              </w:rPr>
              <w:t>ja/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või multitoru.</w:t>
            </w:r>
          </w:p>
        </w:tc>
      </w:tr>
      <w:tr w:rsidR="00626CED" w:rsidRPr="002A702F" w14:paraId="7F0E74E8" w14:textId="77777777" w:rsidTr="00A52E24">
        <w:tc>
          <w:tcPr>
            <w:tcW w:w="2830" w:type="dxa"/>
          </w:tcPr>
          <w:p w14:paraId="3D69DD54" w14:textId="6094D2D2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</w:p>
        </w:tc>
        <w:tc>
          <w:tcPr>
            <w:tcW w:w="6232" w:type="dxa"/>
          </w:tcPr>
          <w:p w14:paraId="215CC56C" w14:textId="4868B5D4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Euroopa Komisjon, vt ka </w:t>
            </w:r>
            <w:hyperlink r:id="rId6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https://ec.europa.eu/info/index_et</w:t>
              </w:r>
            </w:hyperlink>
          </w:p>
        </w:tc>
      </w:tr>
      <w:tr w:rsidR="00626CED" w:rsidRPr="002A702F" w14:paraId="70029229" w14:textId="77777777" w:rsidTr="00A52E24">
        <w:tc>
          <w:tcPr>
            <w:tcW w:w="2830" w:type="dxa"/>
          </w:tcPr>
          <w:p w14:paraId="4EB36900" w14:textId="0176B46A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EK 2014 </w:t>
            </w:r>
            <w:r w:rsidR="00674790">
              <w:rPr>
                <w:rFonts w:ascii="Times New Roman" w:hAnsi="Times New Roman" w:cs="Times New Roman"/>
                <w:sz w:val="24"/>
                <w:szCs w:val="24"/>
              </w:rPr>
              <w:t xml:space="preserve">turgude 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soovitus</w:t>
            </w:r>
          </w:p>
        </w:tc>
        <w:tc>
          <w:tcPr>
            <w:tcW w:w="6232" w:type="dxa"/>
          </w:tcPr>
          <w:p w14:paraId="53D00FFF" w14:textId="17444263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Euroopa Komisjoni </w:t>
            </w:r>
            <w:r w:rsidR="00A76FDA">
              <w:rPr>
                <w:rFonts w:ascii="Times New Roman" w:hAnsi="Times New Roman" w:cs="Times New Roman"/>
                <w:sz w:val="24"/>
                <w:szCs w:val="24"/>
              </w:rPr>
              <w:t xml:space="preserve">soovitus 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2014/710/EL, 9. oktoober 2014, elektroonilise side sektori asjaomaste toote- ja teenuseturgude kohta, mis vastavalt Euroopa Parlamendi ja nõukogu direktiivile 2002/21/EÜ (elektrooniliste sidevõrkude ja -teenuste ühise reguleeriva raamistiku kohta) vajavad eelnevat reguleerimist, viide allikale: </w:t>
            </w:r>
            <w:hyperlink r:id="rId7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https://eur-lex.europa.eu/legal-content/ET/TXT/?uri=CELEX:32014H0710</w:t>
              </w:r>
            </w:hyperlink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CED" w:rsidRPr="002A702F" w14:paraId="23185127" w14:textId="77777777" w:rsidTr="00A52E24">
        <w:tc>
          <w:tcPr>
            <w:tcW w:w="2830" w:type="dxa"/>
          </w:tcPr>
          <w:p w14:paraId="4F762494" w14:textId="5E25C107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7777240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EK 2018 </w:t>
            </w:r>
            <w:r w:rsidR="00674790">
              <w:rPr>
                <w:rFonts w:ascii="Times New Roman" w:hAnsi="Times New Roman" w:cs="Times New Roman"/>
                <w:sz w:val="24"/>
                <w:szCs w:val="24"/>
              </w:rPr>
              <w:t xml:space="preserve">turgude 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suunis</w:t>
            </w:r>
            <w:bookmarkEnd w:id="1"/>
          </w:p>
        </w:tc>
        <w:tc>
          <w:tcPr>
            <w:tcW w:w="6232" w:type="dxa"/>
          </w:tcPr>
          <w:p w14:paraId="1401EDC5" w14:textId="77777777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7777255"/>
            <w:bookmarkStart w:id="3" w:name="_Hlk117778767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Euroopa Komisjoni teatis 2018/C 159/01, suunised turuanalüüsi ja märkimisväärse turujõu hindamise kohta vastavalt ELi elektrooniliste sidevõrkude ja -teenuste reguleerivale raamistikule, viide allikale: </w:t>
            </w:r>
            <w:bookmarkEnd w:id="2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"https://eur-lex.europa.eu/legal-content/EN-ET/TXT/?uri=CELEX:52018XC0507(01)" </w:instrTex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23C04">
              <w:rPr>
                <w:rStyle w:val="Hperlink"/>
                <w:rFonts w:ascii="Times New Roman" w:hAnsi="Times New Roman" w:cs="Times New Roman"/>
                <w:sz w:val="24"/>
                <w:szCs w:val="24"/>
              </w:rPr>
              <w:t>https://eur-lex.europa.eu/legal-content/EN-ET/TXT/?uri=CELEX:52018XC0507(01)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66214E" w14:textId="1AE310A3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CED" w:rsidRPr="002A702F" w14:paraId="6EDE9DA7" w14:textId="77777777" w:rsidTr="00A52E24">
        <w:tc>
          <w:tcPr>
            <w:tcW w:w="2830" w:type="dxa"/>
          </w:tcPr>
          <w:p w14:paraId="76EE1843" w14:textId="1983C74C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EK 2020 </w:t>
            </w:r>
            <w:r w:rsidR="00674790">
              <w:rPr>
                <w:rFonts w:ascii="Times New Roman" w:hAnsi="Times New Roman" w:cs="Times New Roman"/>
                <w:sz w:val="24"/>
                <w:szCs w:val="24"/>
              </w:rPr>
              <w:t xml:space="preserve">turgude 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soovitus</w:t>
            </w:r>
          </w:p>
        </w:tc>
        <w:tc>
          <w:tcPr>
            <w:tcW w:w="6232" w:type="dxa"/>
          </w:tcPr>
          <w:p w14:paraId="2725C40B" w14:textId="0863574F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7778779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Euroopa Komisjoni soovitus (EL) 2020/2245, 18. detsember 2020, elektroonilise side sektori asjaomaste toote- ja teenuseturgude kohta, mis vastavalt Euroopa Parlamendi ja nõukogu direktiivile (EL) 2018/1972 (millega kehtestatakse Euroopa elektroonilise side seadustik) vajavad eelnevat reguleerimist, viide allikale: </w:t>
            </w:r>
            <w:hyperlink r:id="rId8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https://eur-lex.europa.eu/legal-content/EN-ET/TXT/?uri=CELEX:32020H2245</w:t>
              </w:r>
            </w:hyperlink>
            <w:bookmarkEnd w:id="4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E60" w:rsidRPr="002A702F" w14:paraId="214B0A92" w14:textId="77777777" w:rsidTr="00A52E24">
        <w:tc>
          <w:tcPr>
            <w:tcW w:w="2830" w:type="dxa"/>
          </w:tcPr>
          <w:p w14:paraId="772140C6" w14:textId="2569C6D9" w:rsidR="00951E60" w:rsidRPr="00823C04" w:rsidRDefault="00951E60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 2020 turgude soovituse selgitavad märkused</w:t>
            </w:r>
          </w:p>
        </w:tc>
        <w:tc>
          <w:tcPr>
            <w:tcW w:w="6232" w:type="dxa"/>
          </w:tcPr>
          <w:p w14:paraId="18358678" w14:textId="71D2CE22" w:rsidR="00951E60" w:rsidRPr="00951E60" w:rsidRDefault="00951E60" w:rsidP="00951E6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COMMISSION STAFF WORKING DOCUMENT EXPLANATORY NOTE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Accompanying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document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COMMISSION RECOMMENDATION on relevant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product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service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markets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within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electronic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communications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sector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susceptible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regulation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accordance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with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Directive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(EU) 2018/1972 of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European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Parliament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of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Council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11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December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2018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establishing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European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Electronic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Communications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Code, Brussels, 18.12.2020  </w:t>
            </w:r>
          </w:p>
          <w:p w14:paraId="51BED700" w14:textId="78421645" w:rsidR="00951E60" w:rsidRPr="00823C04" w:rsidRDefault="00951E60" w:rsidP="00951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SWD(2020) 337 </w:t>
            </w:r>
            <w:proofErr w:type="spellStart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final</w:t>
            </w:r>
            <w:proofErr w:type="spellEnd"/>
            <w:r w:rsidRPr="00951E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hyperlink r:id="rId9" w:history="1">
              <w:r w:rsidRPr="00951E60">
                <w:rPr>
                  <w:rStyle w:val="H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https://nkom.no/ekom-markedet/markeder/markeder-som-reguleres/_/attachment/download/e804f701-e342-448d-95f9-0b81f4b5d144:b3bff2ccf56262242fdd0f242205cf2ab0335fb0/Kommisjonens%20Explanatory%20Note%20til%20anbefalingen%20av%2018.%20desember%202020.pdf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6D26" w:rsidRPr="002A702F" w14:paraId="38EED711" w14:textId="77777777" w:rsidTr="00A52E24">
        <w:tc>
          <w:tcPr>
            <w:tcW w:w="2830" w:type="dxa"/>
          </w:tcPr>
          <w:p w14:paraId="0813BEBC" w14:textId="08359DCF" w:rsidR="00FD6D26" w:rsidRPr="00FD6D26" w:rsidRDefault="00FD6D26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 2024</w:t>
            </w:r>
            <w:r w:rsidR="00674790">
              <w:rPr>
                <w:rFonts w:ascii="Times New Roman" w:hAnsi="Times New Roman" w:cs="Times New Roman"/>
                <w:sz w:val="24"/>
                <w:szCs w:val="24"/>
              </w:rPr>
              <w:t xml:space="preserve"> kohustuste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soovitus</w:t>
            </w:r>
          </w:p>
        </w:tc>
        <w:tc>
          <w:tcPr>
            <w:tcW w:w="6232" w:type="dxa"/>
          </w:tcPr>
          <w:p w14:paraId="7B56FB7A" w14:textId="1844E05B" w:rsidR="00FD6D26" w:rsidRPr="00FD6D26" w:rsidRDefault="00FD6D26" w:rsidP="0082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2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uroopa Komisjoni</w:t>
            </w:r>
            <w:r w:rsidRPr="00FD6D26">
              <w:rPr>
                <w:rFonts w:ascii="Times New Roman" w:hAnsi="Times New Roman" w:cs="Times New Roman"/>
                <w:sz w:val="24"/>
                <w:szCs w:val="24"/>
              </w:rPr>
              <w:t xml:space="preserve"> soovitus (EL) 2024/539, 6. veebruar 2024, </w:t>
            </w:r>
            <w:proofErr w:type="spellStart"/>
            <w:r w:rsidRPr="00FD6D26">
              <w:rPr>
                <w:rFonts w:ascii="Times New Roman" w:hAnsi="Times New Roman" w:cs="Times New Roman"/>
                <w:sz w:val="24"/>
                <w:szCs w:val="24"/>
              </w:rPr>
              <w:t>gigabitiühenduvuse</w:t>
            </w:r>
            <w:proofErr w:type="spellEnd"/>
            <w:r w:rsidRPr="00FD6D26">
              <w:rPr>
                <w:rFonts w:ascii="Times New Roman" w:hAnsi="Times New Roman" w:cs="Times New Roman"/>
                <w:sz w:val="24"/>
                <w:szCs w:val="24"/>
              </w:rPr>
              <w:t xml:space="preserve"> regulatiivse edendamise kohta (edaspidi ka EK 2024 soovitus)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viide allikale </w:t>
            </w:r>
            <w:hyperlink r:id="rId10" w:history="1">
              <w:r w:rsidRPr="00117D5A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https://eur-lex.europa.eu/eli/reco/2024/539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D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88F368" w14:textId="77777777" w:rsidR="00FD6D26" w:rsidRPr="00FD6D26" w:rsidRDefault="00FD6D26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CED" w:rsidRPr="002A702F" w14:paraId="184CD270" w14:textId="77777777" w:rsidTr="00A52E24">
        <w:tc>
          <w:tcPr>
            <w:tcW w:w="2830" w:type="dxa"/>
          </w:tcPr>
          <w:p w14:paraId="36456FB5" w14:textId="4E3E6E6C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</w:p>
        </w:tc>
        <w:tc>
          <w:tcPr>
            <w:tcW w:w="6232" w:type="dxa"/>
          </w:tcPr>
          <w:p w14:paraId="20DB4E05" w14:textId="424DC4A7" w:rsidR="00626CED" w:rsidRPr="00823C04" w:rsidRDefault="00626CED" w:rsidP="00626CED">
            <w:pPr>
              <w:pStyle w:val="Allmrkuse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Euroopa Liit, vt ka </w:t>
            </w:r>
            <w:hyperlink r:id="rId11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https://european-union.europa.eu/index_et</w:t>
              </w:r>
            </w:hyperlink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CED" w:rsidRPr="002A702F" w14:paraId="6D1849DD" w14:textId="77777777" w:rsidTr="00A52E24">
        <w:tc>
          <w:tcPr>
            <w:tcW w:w="2830" w:type="dxa"/>
          </w:tcPr>
          <w:p w14:paraId="75C4ECB8" w14:textId="43619FFA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Elisa </w:t>
            </w:r>
          </w:p>
        </w:tc>
        <w:tc>
          <w:tcPr>
            <w:tcW w:w="6232" w:type="dxa"/>
          </w:tcPr>
          <w:p w14:paraId="1EBA533F" w14:textId="19B797F5" w:rsidR="00626CED" w:rsidRPr="00823C04" w:rsidRDefault="00626CED" w:rsidP="00626CED">
            <w:pPr>
              <w:pStyle w:val="Allmrkusetek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19668932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Elisa Eesti AS - 25.10.2022 a. kanti äriregistrisse Elisa Teleteenused AS ja Elisa Eesti AS ühinemine. Ühendava ühingu ärinimi Elisa Eesti AS, viide allikale </w:t>
            </w:r>
            <w:hyperlink r:id="rId12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https://www.elisa.ee/et/uudised/elisa-ettevotete-uhinemine-joustus-25102022</w:t>
              </w:r>
            </w:hyperlink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5"/>
          </w:p>
        </w:tc>
      </w:tr>
      <w:tr w:rsidR="00626CED" w:rsidRPr="002A702F" w14:paraId="438D3FDA" w14:textId="77777777" w:rsidTr="00A52E24">
        <w:tc>
          <w:tcPr>
            <w:tcW w:w="2830" w:type="dxa"/>
          </w:tcPr>
          <w:p w14:paraId="5D03D811" w14:textId="77777777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ESS</w:t>
            </w:r>
          </w:p>
        </w:tc>
        <w:tc>
          <w:tcPr>
            <w:tcW w:w="6232" w:type="dxa"/>
          </w:tcPr>
          <w:p w14:paraId="7784FA8F" w14:textId="77777777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Elektroonilise side seadus, viide allikale </w:t>
            </w:r>
            <w:hyperlink r:id="rId13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https://www.riigiteataja.ee/akt/127022022003?leiaKehtiv</w:t>
              </w:r>
            </w:hyperlink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2FA" w:rsidRPr="002A702F" w14:paraId="165D74CA" w14:textId="77777777" w:rsidTr="00A52E24">
        <w:tc>
          <w:tcPr>
            <w:tcW w:w="2830" w:type="dxa"/>
          </w:tcPr>
          <w:p w14:paraId="42D37DC3" w14:textId="25B3E7B2" w:rsidR="001862FA" w:rsidRPr="001862FA" w:rsidRDefault="001862FA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ESS-i turuanalüüsi määrus</w:t>
            </w:r>
          </w:p>
        </w:tc>
        <w:tc>
          <w:tcPr>
            <w:tcW w:w="6232" w:type="dxa"/>
          </w:tcPr>
          <w:p w14:paraId="468C7B27" w14:textId="6B2C4FDD" w:rsidR="001862FA" w:rsidRPr="001862FA" w:rsidRDefault="001862FA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2FA">
              <w:rPr>
                <w:rFonts w:ascii="Times New Roman" w:hAnsi="Times New Roman" w:cs="Times New Roman"/>
                <w:sz w:val="24"/>
                <w:szCs w:val="24"/>
              </w:rPr>
              <w:t>ESS § 44 alusel sätestab turuanalüüsi teostamise korra ja reguleeritava MTE teenuse näidispakkumise koosseisu ettevõtlus- ja infotehnoloogiaministri 16.12.2021 määrus nr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vt ka </w:t>
            </w:r>
            <w:hyperlink r:id="rId14" w:history="1">
              <w:r w:rsidRPr="001862FA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https://www.riigiteataja.ee/akt/118122021004</w:t>
              </w:r>
            </w:hyperlink>
          </w:p>
        </w:tc>
      </w:tr>
      <w:tr w:rsidR="00626CED" w:rsidRPr="002A702F" w14:paraId="140372D3" w14:textId="77777777" w:rsidTr="00A52E24">
        <w:tc>
          <w:tcPr>
            <w:tcW w:w="2830" w:type="dxa"/>
          </w:tcPr>
          <w:p w14:paraId="40B87EE8" w14:textId="54B72D5A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Euroopa Sideamet</w:t>
            </w:r>
          </w:p>
        </w:tc>
        <w:tc>
          <w:tcPr>
            <w:tcW w:w="6232" w:type="dxa"/>
          </w:tcPr>
          <w:p w14:paraId="00E95F8E" w14:textId="0FC2F68F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Euroopa Sideametiks on BEREC (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Body</w:t>
            </w:r>
            <w:proofErr w:type="spellEnd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European</w:t>
            </w:r>
            <w:proofErr w:type="spellEnd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Regulators</w:t>
            </w:r>
            <w:proofErr w:type="spellEnd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</w:t>
            </w:r>
            <w:proofErr w:type="spellEnd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Electronic</w:t>
            </w:r>
            <w:proofErr w:type="spellEnd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Communications</w:t>
            </w:r>
            <w:proofErr w:type="spellEnd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), kelle õiguslik alus on sätestatud Euroopa Parlamendi ja nõukogu 11. detsembri 2018. aasta määruses (EL) 2018/1971, vt ka </w:t>
            </w:r>
            <w:hyperlink r:id="rId15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https://www.berec.europa.eu/en</w:t>
              </w:r>
            </w:hyperlink>
          </w:p>
        </w:tc>
      </w:tr>
      <w:tr w:rsidR="00823C04" w:rsidRPr="002A702F" w14:paraId="15C09DFF" w14:textId="77777777" w:rsidTr="001576F5">
        <w:tc>
          <w:tcPr>
            <w:tcW w:w="2830" w:type="dxa"/>
          </w:tcPr>
          <w:p w14:paraId="76AE348C" w14:textId="77777777" w:rsidR="00823C04" w:rsidRPr="00DA75E0" w:rsidDel="00746976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Hulgiturg 1</w:t>
            </w:r>
          </w:p>
        </w:tc>
        <w:tc>
          <w:tcPr>
            <w:tcW w:w="6232" w:type="dxa"/>
          </w:tcPr>
          <w:p w14:paraId="1422CA89" w14:textId="77777777" w:rsidR="00823C04" w:rsidRPr="00DA75E0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Sidevõrgule kohaliku juurdepääsu hulgiturg</w:t>
            </w:r>
          </w:p>
        </w:tc>
      </w:tr>
      <w:tr w:rsidR="00823C04" w:rsidRPr="002A702F" w14:paraId="77B15BA9" w14:textId="77777777" w:rsidTr="001576F5">
        <w:tc>
          <w:tcPr>
            <w:tcW w:w="2830" w:type="dxa"/>
          </w:tcPr>
          <w:p w14:paraId="5F043310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Hulgiturg 2</w:t>
            </w:r>
          </w:p>
        </w:tc>
        <w:tc>
          <w:tcPr>
            <w:tcW w:w="6232" w:type="dxa"/>
          </w:tcPr>
          <w:p w14:paraId="3F27DF61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Sidevõrgu spetsiaalsetele võimsustele juurdepääsu hulgiturg</w:t>
            </w:r>
          </w:p>
        </w:tc>
      </w:tr>
      <w:tr w:rsidR="00823C04" w:rsidRPr="002A702F" w14:paraId="0C732DAE" w14:textId="77777777" w:rsidTr="001576F5">
        <w:tc>
          <w:tcPr>
            <w:tcW w:w="2830" w:type="dxa"/>
          </w:tcPr>
          <w:p w14:paraId="6A1650E9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Hulgiturg 3b</w:t>
            </w:r>
          </w:p>
        </w:tc>
        <w:tc>
          <w:tcPr>
            <w:tcW w:w="6232" w:type="dxa"/>
          </w:tcPr>
          <w:p w14:paraId="752AF7D9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Sidevõrgule keskse juurdepääsu hulgiturg</w:t>
            </w:r>
          </w:p>
        </w:tc>
      </w:tr>
      <w:tr w:rsidR="00823C04" w:rsidRPr="002A702F" w14:paraId="3B90EE38" w14:textId="77777777" w:rsidTr="001576F5">
        <w:tc>
          <w:tcPr>
            <w:tcW w:w="2830" w:type="dxa"/>
          </w:tcPr>
          <w:p w14:paraId="1244CF94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Järgmine turuanalüüs</w:t>
            </w:r>
          </w:p>
        </w:tc>
        <w:tc>
          <w:tcPr>
            <w:tcW w:w="6232" w:type="dxa"/>
          </w:tcPr>
          <w:p w14:paraId="74DC1EA7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Vastavalt ESS § 44</w:t>
            </w:r>
            <w:r w:rsidRPr="00823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lõikele 1 teostab TTJA turuanalüüsi regulaarselt, kuid mitte harvem kui kord viie aasta jooksul. Seega järgmine turuanalüüs leiab aset üldjuhul viis aastat pärast käesoleva turuanalüüsi kinnitamist TTJA poolt. </w:t>
            </w:r>
          </w:p>
        </w:tc>
      </w:tr>
      <w:tr w:rsidR="00823C04" w:rsidRPr="002A702F" w14:paraId="12812180" w14:textId="77777777" w:rsidTr="001576F5">
        <w:tc>
          <w:tcPr>
            <w:tcW w:w="2830" w:type="dxa"/>
          </w:tcPr>
          <w:p w14:paraId="420FB66E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Juurdepääsuvõrk</w:t>
            </w:r>
          </w:p>
        </w:tc>
        <w:tc>
          <w:tcPr>
            <w:tcW w:w="6232" w:type="dxa"/>
          </w:tcPr>
          <w:p w14:paraId="6FD67CDD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Koosneb peamiselt kliendiliinidest (ESS §2 lg14) ja kliendiliinide jaotuspunktidest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, mis ühenda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sidevõrgu lõpp-punkte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(ESS §2 lg70)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kohalike võrgusõlmedega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peajaotajatega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3C04" w:rsidRPr="002A702F" w14:paraId="673A6488" w14:textId="77777777" w:rsidTr="001576F5">
        <w:tc>
          <w:tcPr>
            <w:tcW w:w="2830" w:type="dxa"/>
          </w:tcPr>
          <w:p w14:paraId="04484BF0" w14:textId="77777777" w:rsidR="00823C04" w:rsidRPr="00857C4B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Kaablikanalisatsioon</w:t>
            </w:r>
          </w:p>
        </w:tc>
        <w:tc>
          <w:tcPr>
            <w:tcW w:w="6232" w:type="dxa"/>
          </w:tcPr>
          <w:p w14:paraId="6495F08E" w14:textId="7399C0A5" w:rsidR="00823C04" w:rsidRPr="00857C4B" w:rsidDel="00D3719E" w:rsidRDefault="00241716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23C04">
              <w:rPr>
                <w:rFonts w:ascii="Times New Roman" w:hAnsi="Times New Roman" w:cs="Times New Roman"/>
                <w:sz w:val="24"/>
                <w:szCs w:val="24"/>
              </w:rPr>
              <w:t>idetoru,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üldjuhul</w:t>
            </w:r>
            <w:r w:rsid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C04" w:rsidRPr="00CE6457">
              <w:rPr>
                <w:rFonts w:ascii="Times New Roman" w:hAnsi="Times New Roman" w:cs="Times New Roman"/>
                <w:sz w:val="24"/>
                <w:szCs w:val="24"/>
              </w:rPr>
              <w:t>välise läbimõõduga ≥ 50 mm</w:t>
            </w:r>
            <w:r w:rsidR="00823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3C04" w:rsidRPr="002A702F" w14:paraId="6BC8DE6F" w14:textId="77777777" w:rsidTr="001576F5">
        <w:tc>
          <w:tcPr>
            <w:tcW w:w="2830" w:type="dxa"/>
          </w:tcPr>
          <w:p w14:paraId="462F934B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MTE</w:t>
            </w:r>
          </w:p>
        </w:tc>
        <w:tc>
          <w:tcPr>
            <w:tcW w:w="6232" w:type="dxa"/>
          </w:tcPr>
          <w:p w14:paraId="2A326E94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Märkimisväärse turujõuga ettevõtja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(ESS 45 lg 2) - </w:t>
            </w:r>
            <w:r w:rsidRPr="005C4087">
              <w:rPr>
                <w:rFonts w:ascii="Times New Roman" w:hAnsi="Times New Roman" w:cs="Times New Roman"/>
                <w:sz w:val="24"/>
                <w:szCs w:val="24"/>
              </w:rPr>
              <w:t xml:space="preserve">sideettevõtja, kes omab eraldi või ühiselt koos teiste </w:t>
            </w:r>
            <w:r w:rsidRPr="005C4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ettevõtjatega märkimisväärset turujõudu, mis võimaldab tal tegutseda märkimisväärsel määral sõltumatult konkurentidest, lepingupartneritest ja lõppkasutajatest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3C04" w:rsidRPr="002A702F" w14:paraId="6FD4A3BB" w14:textId="77777777" w:rsidTr="001576F5">
        <w:tc>
          <w:tcPr>
            <w:tcW w:w="2830" w:type="dxa"/>
          </w:tcPr>
          <w:p w14:paraId="7358D27B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Multitoru</w:t>
            </w:r>
          </w:p>
        </w:tc>
        <w:tc>
          <w:tcPr>
            <w:tcW w:w="6232" w:type="dxa"/>
          </w:tcPr>
          <w:p w14:paraId="318FAC60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Sidetoru liik, mille väline läbimõõt on üldjuhul </w:t>
            </w:r>
            <w:r w:rsidRPr="00CE6457">
              <w:rPr>
                <w:rFonts w:ascii="Times New Roman" w:hAnsi="Times New Roman" w:cs="Times New Roman"/>
                <w:sz w:val="24"/>
                <w:szCs w:val="24"/>
              </w:rPr>
              <w:t>&lt;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mis sisaldab mikrotorusid, mille väline läbimõõt on üldjuhul </w:t>
            </w:r>
            <w:r w:rsidRPr="00CE6457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6457">
              <w:rPr>
                <w:rFonts w:ascii="Times New Roman" w:hAnsi="Times New Roman" w:cs="Times New Roman"/>
                <w:sz w:val="24"/>
                <w:szCs w:val="24"/>
              </w:rPr>
              <w:t>16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6757" w:rsidRPr="002A702F" w14:paraId="664E1ACA" w14:textId="77777777" w:rsidTr="001576F5">
        <w:tc>
          <w:tcPr>
            <w:tcW w:w="2830" w:type="dxa"/>
          </w:tcPr>
          <w:p w14:paraId="47FD060B" w14:textId="737F9AE6" w:rsidR="00656757" w:rsidRDefault="00656757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Paigalduskoht</w:t>
            </w:r>
          </w:p>
        </w:tc>
        <w:tc>
          <w:tcPr>
            <w:tcW w:w="6232" w:type="dxa"/>
          </w:tcPr>
          <w:p w14:paraId="50DDC151" w14:textId="35161322" w:rsidR="00656757" w:rsidRDefault="00656757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Sidekaabli ja/või alamtoru paigaldamiseks ette nähtud koht</w:t>
            </w:r>
            <w:r w:rsidR="00DB3B51">
              <w:rPr>
                <w:rFonts w:ascii="Times New Roman" w:hAnsi="Times New Roman" w:cs="Times New Roman"/>
                <w:sz w:val="24"/>
                <w:szCs w:val="24"/>
              </w:rPr>
              <w:t xml:space="preserve"> (kanal)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sidetorus ja/või sidepostil</w:t>
            </w:r>
            <w:r w:rsidR="001A13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B51">
              <w:rPr>
                <w:rFonts w:ascii="Times New Roman" w:hAnsi="Times New Roman" w:cs="Times New Roman"/>
                <w:sz w:val="24"/>
                <w:szCs w:val="24"/>
              </w:rPr>
              <w:t>Samuti sidekaabli paigaldamiseks ette nähtud koht (kanal) alamtorus.</w:t>
            </w:r>
          </w:p>
        </w:tc>
      </w:tr>
      <w:tr w:rsidR="00B440CD" w:rsidRPr="002A702F" w14:paraId="69C6DAB5" w14:textId="77777777" w:rsidTr="001576F5">
        <w:tc>
          <w:tcPr>
            <w:tcW w:w="2830" w:type="dxa"/>
          </w:tcPr>
          <w:p w14:paraId="624BF386" w14:textId="0A245D77" w:rsidR="00B440CD" w:rsidRDefault="00AD502A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Paigalduskoha taastamise remont</w:t>
            </w:r>
          </w:p>
        </w:tc>
        <w:tc>
          <w:tcPr>
            <w:tcW w:w="6232" w:type="dxa"/>
          </w:tcPr>
          <w:p w14:paraId="3C513D9E" w14:textId="2BA9ADCA" w:rsidR="00B440CD" w:rsidRDefault="00A631B4" w:rsidP="00A63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Sidekaabli paigaldamiseks taotletud v</w:t>
            </w:r>
            <w:r w:rsidR="00B440CD">
              <w:rPr>
                <w:rFonts w:ascii="Times New Roman" w:hAnsi="Times New Roman" w:cs="Times New Roman"/>
                <w:sz w:val="24"/>
                <w:szCs w:val="24"/>
              </w:rPr>
              <w:t xml:space="preserve">aba paigalduskoha taastamiseks vajalik sidetoru kahjustuse remontimine. </w:t>
            </w:r>
            <w:r w:rsidR="00B440CD" w:rsidRPr="00C56C57">
              <w:rPr>
                <w:rFonts w:ascii="Times New Roman" w:hAnsi="Times New Roman" w:cs="Times New Roman"/>
                <w:sz w:val="24"/>
                <w:szCs w:val="24"/>
              </w:rPr>
              <w:t xml:space="preserve">Selline remont seisneb üldjuhul näiteks sidetoru survepesus või sidetoru läbivajunud koha lahti kaevamises ning toru läbitavuse takistuse eemaldamises ning </w:t>
            </w:r>
            <w:r w:rsidR="00B440CD">
              <w:rPr>
                <w:rFonts w:ascii="Times New Roman" w:hAnsi="Times New Roman" w:cs="Times New Roman"/>
                <w:sz w:val="24"/>
                <w:szCs w:val="24"/>
              </w:rPr>
              <w:t xml:space="preserve">taotletud </w:t>
            </w:r>
            <w:r w:rsidR="00B440CD" w:rsidRPr="00C56C57">
              <w:rPr>
                <w:rFonts w:ascii="Times New Roman" w:hAnsi="Times New Roman" w:cs="Times New Roman"/>
                <w:sz w:val="24"/>
                <w:szCs w:val="24"/>
              </w:rPr>
              <w:t>täiendava sidekaabli või alamtoru paigaldamises ning toru purunenud koha taastamises näiteks poolitatava toruga. Selline remont ei eelda</w:t>
            </w:r>
            <w:r w:rsidR="00B440CD">
              <w:rPr>
                <w:rFonts w:ascii="Times New Roman" w:hAnsi="Times New Roman" w:cs="Times New Roman"/>
                <w:sz w:val="24"/>
                <w:szCs w:val="24"/>
              </w:rPr>
              <w:t xml:space="preserve"> taotletud lõigus uue paralleelse sidetoru rajamist ja sinna </w:t>
            </w:r>
            <w:r w:rsidR="00B440CD" w:rsidRPr="00C56C57">
              <w:rPr>
                <w:rFonts w:ascii="Times New Roman" w:hAnsi="Times New Roman" w:cs="Times New Roman"/>
                <w:sz w:val="24"/>
                <w:szCs w:val="24"/>
              </w:rPr>
              <w:t xml:space="preserve">olemasolevate sidekaablite ümbertõstmist. Selline remont sageli ei taga ka </w:t>
            </w:r>
            <w:r w:rsidR="00B440CD">
              <w:rPr>
                <w:rFonts w:ascii="Times New Roman" w:hAnsi="Times New Roman" w:cs="Times New Roman"/>
                <w:sz w:val="24"/>
                <w:szCs w:val="24"/>
              </w:rPr>
              <w:t>tulevastele</w:t>
            </w:r>
            <w:r w:rsidR="00B440CD" w:rsidRPr="00C56C57">
              <w:rPr>
                <w:rFonts w:ascii="Times New Roman" w:hAnsi="Times New Roman" w:cs="Times New Roman"/>
                <w:sz w:val="24"/>
                <w:szCs w:val="24"/>
              </w:rPr>
              <w:t xml:space="preserve"> taotlejatele piisavat vaba mahtu täiendavate sidekaablite</w:t>
            </w:r>
            <w:r w:rsidR="00B440CD">
              <w:rPr>
                <w:rFonts w:ascii="Times New Roman" w:hAnsi="Times New Roman" w:cs="Times New Roman"/>
                <w:sz w:val="24"/>
                <w:szCs w:val="24"/>
              </w:rPr>
              <w:t xml:space="preserve"> ja/või alamtorude</w:t>
            </w:r>
            <w:r w:rsidR="00B440CD" w:rsidRPr="00C56C57">
              <w:rPr>
                <w:rFonts w:ascii="Times New Roman" w:hAnsi="Times New Roman" w:cs="Times New Roman"/>
                <w:sz w:val="24"/>
                <w:szCs w:val="24"/>
              </w:rPr>
              <w:t xml:space="preserve"> paigaldamiseks, kuna selle käigus sageli ei taastata toru algset tehnilist seisukord ega parendata seda, vaid luuakse ainult võimalus taotletud sidekaabli</w:t>
            </w:r>
            <w:r w:rsidR="00B440CD">
              <w:rPr>
                <w:rFonts w:ascii="Times New Roman" w:hAnsi="Times New Roman" w:cs="Times New Roman"/>
                <w:sz w:val="24"/>
                <w:szCs w:val="24"/>
              </w:rPr>
              <w:t xml:space="preserve"> ja/või alamtoru</w:t>
            </w:r>
            <w:r w:rsidR="00B440CD" w:rsidRPr="00C56C57">
              <w:rPr>
                <w:rFonts w:ascii="Times New Roman" w:hAnsi="Times New Roman" w:cs="Times New Roman"/>
                <w:sz w:val="24"/>
                <w:szCs w:val="24"/>
              </w:rPr>
              <w:t xml:space="preserve"> paigaldamiseks.</w:t>
            </w:r>
          </w:p>
          <w:p w14:paraId="16CA4BB3" w14:textId="13B5A60D" w:rsidR="00B440CD" w:rsidRDefault="00B440CD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C04" w:rsidRPr="002A702F" w14:paraId="147B2552" w14:textId="77777777" w:rsidTr="001576F5">
        <w:tc>
          <w:tcPr>
            <w:tcW w:w="2830" w:type="dxa"/>
          </w:tcPr>
          <w:p w14:paraId="547CEBC3" w14:textId="77777777" w:rsidR="00823C04" w:rsidRPr="00D3777C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>Riigiabi määrused</w:t>
            </w:r>
          </w:p>
        </w:tc>
        <w:tc>
          <w:tcPr>
            <w:tcW w:w="6232" w:type="dxa"/>
          </w:tcPr>
          <w:p w14:paraId="576D78F2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>Riigiabiga rajatud sidevõrkudele rakenduvates määrustes on sätestatud riigiabiga rajatud sidevõrkudele (sh sidekaablitaristu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t>e</w: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>le)  läbipaistva ja mittediskrimineeriva ning kuludele orienteeritud hinnaga juurdepääsu osutamise kohustused. Vastavad määrused on:</w:t>
            </w:r>
          </w:p>
          <w:p w14:paraId="1DC5C557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R</w:t>
            </w:r>
            <w:r w:rsidRPr="00E504A2">
              <w:rPr>
                <w:rFonts w:ascii="Times New Roman" w:hAnsi="Times New Roman" w:cs="Times New Roman"/>
                <w:sz w:val="24"/>
                <w:szCs w:val="24"/>
              </w:rPr>
              <w:t xml:space="preserve">egionaalministri 10.02.2011 määrus nr 3, vt </w:t>
            </w:r>
            <w:hyperlink r:id="rId16" w:history="1">
              <w:r w:rsidRPr="00E504A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https://www.riigiteataja.ee/akt/119082015013?leiaKehtiv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473063E3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M</w:t>
            </w:r>
            <w:r w:rsidRPr="00E504A2">
              <w:rPr>
                <w:rFonts w:ascii="Times New Roman" w:hAnsi="Times New Roman" w:cs="Times New Roman"/>
                <w:sz w:val="24"/>
                <w:szCs w:val="24"/>
              </w:rPr>
              <w:t xml:space="preserve">ajandus- ja taristuministri 30.04.2015 määrus nr 37, vt </w:t>
            </w:r>
            <w:hyperlink r:id="rId17" w:history="1">
              <w:r w:rsidRPr="00E504A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https://www.riigiteataja.ee/akt/122062017007?leiaKehtiv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2674C7AB" w14:textId="77777777" w:rsidR="00823C04" w:rsidRPr="00D3777C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 xml:space="preserve">) Ettevõtlus- ja infotehnoloogiaministri 11.06.2018 määrus nr 30, vt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 "</w:instrText>
            </w:r>
            <w:r w:rsidRPr="00823C04">
              <w:instrText>https://www.riigiteataja.ee/akt/11406201800</w:instrTex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instrText xml:space="preserve">4 </w:instrText>
            </w:r>
            <w:r w:rsidRPr="00823C04">
              <w:instrText>.</w:instrTex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instrText xml:space="preserve">   </w:instrText>
            </w:r>
          </w:p>
          <w:p w14:paraId="691CBA8B" w14:textId="77777777" w:rsidR="00823C04" w:rsidRPr="00823C04" w:rsidRDefault="00823C04" w:rsidP="00283D7C">
            <w:pPr>
              <w:rPr>
                <w:rStyle w:val="Hperlink"/>
              </w:rPr>
            </w:pPr>
            <w:r w:rsidRPr="00823C04">
              <w:instrText>2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3777C">
              <w:rPr>
                <w:rStyle w:val="Hperlink"/>
                <w:rFonts w:ascii="Times New Roman" w:hAnsi="Times New Roman" w:cs="Times New Roman"/>
                <w:sz w:val="24"/>
                <w:szCs w:val="24"/>
              </w:rPr>
              <w:t>https://www.riigiteataja.ee/akt/11406201800</w:t>
            </w:r>
            <w:r w:rsidRPr="00823C04">
              <w:rPr>
                <w:rStyle w:val="Hperlink"/>
              </w:rPr>
              <w:t xml:space="preserve">4 </w:t>
            </w:r>
            <w:r w:rsidRPr="00D3777C">
              <w:rPr>
                <w:rStyle w:val="Hperlink"/>
                <w:rFonts w:ascii="Times New Roman" w:hAnsi="Times New Roman" w:cs="Times New Roman"/>
                <w:sz w:val="24"/>
                <w:szCs w:val="24"/>
              </w:rPr>
              <w:t>.</w:t>
            </w:r>
            <w:r w:rsidRPr="00823C04">
              <w:rPr>
                <w:rStyle w:val="Hperlink"/>
              </w:rPr>
              <w:t xml:space="preserve">   </w:t>
            </w:r>
          </w:p>
          <w:p w14:paraId="0E2D5505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>äliskaubandus- ja infotehnoloogiaministri 27.08.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>20 määrus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vt </w:t>
            </w:r>
            <w:hyperlink r:id="rId18" w:history="1">
              <w:r w:rsidRPr="000F265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https://www.riigiteataja.ee/akt/102092020002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7C235137" w14:textId="77777777" w:rsidR="00823C04" w:rsidRPr="00D3777C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E</w: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>ttevõtlus- ja infotehnoloogiaministri 03.05.2022 määrus nr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vt </w:t>
            </w:r>
            <w:r w:rsidRPr="00D3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6F478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https://www.riigiteataja.ee/akt/106052022011?leiaKehtiv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</w:p>
          <w:p w14:paraId="71EFB838" w14:textId="77777777" w:rsidR="00823C04" w:rsidRPr="00D3777C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C04" w:rsidRPr="002A702F" w14:paraId="1E408AA5" w14:textId="77777777" w:rsidTr="001576F5">
        <w:tc>
          <w:tcPr>
            <w:tcW w:w="2830" w:type="dxa"/>
          </w:tcPr>
          <w:p w14:paraId="5C0D018C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Sidekaablitaristu</w:t>
            </w:r>
          </w:p>
        </w:tc>
        <w:tc>
          <w:tcPr>
            <w:tcW w:w="6232" w:type="dxa"/>
          </w:tcPr>
          <w:p w14:paraId="7A014853" w14:textId="5368C674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Sidekaablite </w:t>
            </w:r>
            <w:r w:rsidR="007E19F8">
              <w:rPr>
                <w:rFonts w:ascii="Times New Roman" w:hAnsi="Times New Roman" w:cs="Times New Roman"/>
                <w:sz w:val="24"/>
                <w:szCs w:val="24"/>
              </w:rPr>
              <w:t>paigaldamise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tarbeks rajatud sidevõrgu füüsiline taristu, näiteks pinnases sidetorud olenemata läbimõõdust ja tehnoloogiast (sh multitorud) ning maapealsed sidepostid.</w:t>
            </w:r>
          </w:p>
        </w:tc>
      </w:tr>
      <w:tr w:rsidR="00822AA9" w:rsidRPr="002A702F" w14:paraId="5D38F230" w14:textId="77777777" w:rsidTr="001576F5">
        <w:tc>
          <w:tcPr>
            <w:tcW w:w="2830" w:type="dxa"/>
          </w:tcPr>
          <w:p w14:paraId="407845CE" w14:textId="70401669" w:rsidR="00822AA9" w:rsidRPr="00823C04" w:rsidRDefault="00125C8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Sidekaablitaristule juurdepääsu</w:t>
            </w:r>
            <w:r w:rsidR="00822AA9"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hulgiturg</w:t>
            </w:r>
          </w:p>
        </w:tc>
        <w:tc>
          <w:tcPr>
            <w:tcW w:w="6232" w:type="dxa"/>
          </w:tcPr>
          <w:p w14:paraId="611AD3B7" w14:textId="759235F7" w:rsidR="00822AA9" w:rsidRPr="00823C04" w:rsidRDefault="00F03E4A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Sidekaablite paigaldamiseks s</w:t>
            </w:r>
            <w:r w:rsidR="00822AA9" w:rsidRPr="00823C04"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võrgu</w:t>
            </w:r>
            <w:r w:rsidR="00822AA9"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füüsilisele taristule juurdepääsu hulgiturg</w:t>
            </w:r>
            <w:r w:rsidR="00C15AD2" w:rsidRPr="00823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40D">
              <w:rPr>
                <w:rFonts w:ascii="Times New Roman" w:hAnsi="Times New Roman" w:cs="Times New Roman"/>
                <w:sz w:val="24"/>
                <w:szCs w:val="24"/>
              </w:rPr>
              <w:t>Käesolevas otsuses n</w:t>
            </w:r>
            <w:r w:rsidR="001E41F3">
              <w:rPr>
                <w:rFonts w:ascii="Times New Roman" w:hAnsi="Times New Roman" w:cs="Times New Roman"/>
                <w:sz w:val="24"/>
                <w:szCs w:val="24"/>
              </w:rPr>
              <w:t>imetatakse ka ST</w:t>
            </w:r>
            <w:r w:rsidR="007E19F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1E41F3">
              <w:rPr>
                <w:rFonts w:ascii="Times New Roman" w:hAnsi="Times New Roman" w:cs="Times New Roman"/>
                <w:sz w:val="24"/>
                <w:szCs w:val="24"/>
              </w:rPr>
              <w:t xml:space="preserve"> hulgiturg</w:t>
            </w:r>
            <w:r w:rsidR="00726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13B" w:rsidRPr="002A702F" w14:paraId="0EB145FD" w14:textId="77777777" w:rsidTr="001576F5">
        <w:tc>
          <w:tcPr>
            <w:tcW w:w="2830" w:type="dxa"/>
          </w:tcPr>
          <w:p w14:paraId="2B89286D" w14:textId="1145E3D1" w:rsidR="00A4413B" w:rsidRDefault="00A4413B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Sidepost</w:t>
            </w:r>
          </w:p>
        </w:tc>
        <w:tc>
          <w:tcPr>
            <w:tcW w:w="6232" w:type="dxa"/>
          </w:tcPr>
          <w:p w14:paraId="47E09B43" w14:textId="32C3AB3B" w:rsidR="00A4413B" w:rsidRPr="00A4413B" w:rsidRDefault="00A4413B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Post, mille peamine otstarve on sidekaablite paigaldamise võimaldamine.</w:t>
            </w:r>
          </w:p>
        </w:tc>
      </w:tr>
      <w:tr w:rsidR="00A4413B" w:rsidRPr="002A702F" w14:paraId="1BD82AFD" w14:textId="77777777" w:rsidTr="001576F5">
        <w:tc>
          <w:tcPr>
            <w:tcW w:w="2830" w:type="dxa"/>
          </w:tcPr>
          <w:p w14:paraId="25DC41DC" w14:textId="34F39382" w:rsidR="00A4413B" w:rsidRDefault="00A4413B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Sidetoru</w:t>
            </w:r>
          </w:p>
        </w:tc>
        <w:tc>
          <w:tcPr>
            <w:tcW w:w="6232" w:type="dxa"/>
          </w:tcPr>
          <w:p w14:paraId="0DD768B2" w14:textId="02921FC4" w:rsidR="00A4413B" w:rsidRPr="00662216" w:rsidRDefault="00A4413B" w:rsidP="00626C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216">
              <w:rPr>
                <w:rFonts w:ascii="Times New Roman" w:hAnsi="Times New Roman" w:cs="Times New Roman"/>
                <w:bCs/>
                <w:sz w:val="24"/>
                <w:szCs w:val="24"/>
              </w:rPr>
              <w:t>Toru, mille peamine otstarve on sidekaablite paigaldamise võimaldamine, sh kaablikanalisatsioon, multitoru, mikrotoru.</w:t>
            </w:r>
            <w:r w:rsidR="00C36FE6" w:rsidRPr="00662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131B" w:rsidRPr="00662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Muu hulgas hõlmab sidetoru </w:t>
            </w:r>
            <w:r w:rsidR="001A131B" w:rsidRPr="001A131B">
              <w:rPr>
                <w:rFonts w:ascii="Times New Roman" w:hAnsi="Times New Roman" w:cs="Times New Roman"/>
                <w:bCs/>
                <w:sz w:val="24"/>
                <w:szCs w:val="24"/>
              </w:rPr>
              <w:t>hoonesse sisenevat sidetoru, see on sidetoru, mis on ühendatud hoonega ja mis võimaldab sidekaabli ja/või alamtoruga jõuda hoonesisese füüsilise taristuni</w:t>
            </w:r>
            <w:r w:rsidR="00C36FE6" w:rsidRPr="0066221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62216" w:rsidRPr="00662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60946" w:rsidRPr="002A702F" w14:paraId="2594CDCB" w14:textId="77777777" w:rsidTr="001576F5">
        <w:tc>
          <w:tcPr>
            <w:tcW w:w="2830" w:type="dxa"/>
          </w:tcPr>
          <w:p w14:paraId="4C231B6E" w14:textId="6149E345" w:rsidR="00360946" w:rsidRDefault="00360946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77047801"/>
            <w:r>
              <w:rPr>
                <w:rFonts w:ascii="Times New Roman" w:hAnsi="Times New Roman" w:cs="Times New Roman"/>
                <w:sz w:val="24"/>
                <w:szCs w:val="24"/>
              </w:rPr>
              <w:t>Sidetorudele juurdepääsu kuutasude arvestamise kulubaas</w:t>
            </w:r>
            <w:bookmarkEnd w:id="6"/>
          </w:p>
        </w:tc>
        <w:tc>
          <w:tcPr>
            <w:tcW w:w="6232" w:type="dxa"/>
          </w:tcPr>
          <w:p w14:paraId="79E01BBB" w14:textId="6179C42D" w:rsidR="00360946" w:rsidRDefault="00360946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Kulubaas, mille alusel Telia arvestab kuutasud sidetorus paigalduskohtade rendi teenusele vastavalt käesolevas otsuse</w:t>
            </w:r>
            <w:r w:rsidR="00A52E24">
              <w:rPr>
                <w:rFonts w:ascii="Times New Roman" w:hAnsi="Times New Roman" w:cs="Times New Roman"/>
                <w:sz w:val="24"/>
                <w:szCs w:val="24"/>
              </w:rPr>
              <w:t xml:space="preserve"> lisa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ptk </w:t>
            </w:r>
            <w:r w:rsidR="00A52E2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kehtestatud hinnaarvestuse kohustusele.</w:t>
            </w:r>
          </w:p>
        </w:tc>
      </w:tr>
      <w:tr w:rsidR="00626CED" w:rsidRPr="002A702F" w14:paraId="5E2E2BE3" w14:textId="77777777" w:rsidTr="001576F5">
        <w:tc>
          <w:tcPr>
            <w:tcW w:w="2830" w:type="dxa"/>
          </w:tcPr>
          <w:p w14:paraId="1722AF62" w14:textId="77099CA9" w:rsidR="00626CED" w:rsidRPr="00823C04" w:rsidRDefault="00125C8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Sidevõrgule kohaliku juurdepääsu hulgiturg</w:t>
            </w:r>
          </w:p>
        </w:tc>
        <w:tc>
          <w:tcPr>
            <w:tcW w:w="6232" w:type="dxa"/>
          </w:tcPr>
          <w:p w14:paraId="28AF0A62" w14:textId="1EEA32C3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EK 2020 soovituse kohaselt sidevõrgu kohaliku juurdepääsu hulgiturg, kus on peamiseks teenuseks kliendiliini</w:t>
            </w:r>
            <w:r w:rsidR="007E19F8">
              <w:rPr>
                <w:rFonts w:ascii="Times New Roman" w:hAnsi="Times New Roman" w:cs="Times New Roman"/>
                <w:sz w:val="24"/>
                <w:szCs w:val="24"/>
              </w:rPr>
              <w:t>le juurdepääs (selle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rent</w:t>
            </w:r>
            <w:r w:rsidR="007E19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teisele sideettevõtjale ning vajadusel tugiteenuseks </w:t>
            </w:r>
            <w:r w:rsidR="007E19F8">
              <w:rPr>
                <w:rFonts w:ascii="Times New Roman" w:hAnsi="Times New Roman" w:cs="Times New Roman"/>
                <w:sz w:val="24"/>
                <w:szCs w:val="24"/>
              </w:rPr>
              <w:t>sidetorule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juurdepääsu hulgiteenus, vt ka </w:t>
            </w:r>
            <w:hyperlink r:id="rId20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https://eur-lex.europa.eu/legal-content/EN-ET/TXT/?uri=CELEX:32020H2245</w:t>
              </w:r>
            </w:hyperlink>
            <w:r w:rsidR="00746976" w:rsidRPr="00823C04">
              <w:t>.</w:t>
            </w:r>
            <w:r w:rsidR="00746976" w:rsidRPr="00823C04">
              <w:rPr>
                <w:sz w:val="24"/>
                <w:szCs w:val="24"/>
              </w:rPr>
              <w:t xml:space="preserve"> </w:t>
            </w:r>
            <w:r w:rsidR="002A702F" w:rsidRPr="007E19F8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 w:rsidR="002A702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A702F" w:rsidRPr="007E19F8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2A702F">
              <w:rPr>
                <w:rFonts w:ascii="Times New Roman" w:hAnsi="Times New Roman" w:cs="Times New Roman"/>
                <w:sz w:val="24"/>
                <w:szCs w:val="24"/>
              </w:rPr>
              <w:t>takse ka hulgitur</w:t>
            </w:r>
            <w:r w:rsidR="00125C8D">
              <w:rPr>
                <w:rFonts w:ascii="Times New Roman" w:hAnsi="Times New Roman" w:cs="Times New Roman"/>
                <w:sz w:val="24"/>
                <w:szCs w:val="24"/>
              </w:rPr>
              <w:t>g 1</w:t>
            </w:r>
            <w:r w:rsidR="002A7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6CED" w:rsidRPr="002A702F" w14:paraId="3C8894DD" w14:textId="77777777" w:rsidTr="001576F5">
        <w:tc>
          <w:tcPr>
            <w:tcW w:w="2830" w:type="dxa"/>
          </w:tcPr>
          <w:p w14:paraId="6BFD2D05" w14:textId="46CC0870" w:rsidR="00626CED" w:rsidRPr="00823C04" w:rsidRDefault="00125C8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Sidevõrgule keskse juurdepääsu hulgiturg</w:t>
            </w:r>
          </w:p>
        </w:tc>
        <w:tc>
          <w:tcPr>
            <w:tcW w:w="6232" w:type="dxa"/>
          </w:tcPr>
          <w:p w14:paraId="6AB4FE31" w14:textId="1C6C9312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EK 2014 soovituse kohaselt sidevõrgu keskse juurdepääsu hulgiturg, kus on peamiseks teenuseks sidevõrgu keskselt tasemelt (ülekandevõrgust) kuni sidevõrgu lõpp-punktini (juurdepääsuvõrgus) virtuaalselt eraldatud internetiühendusele (bitivoole) juurdepääsu hulgiteenus (täpsemalt bitivoo rent teisele sideettevõtjale), vt ka </w:t>
            </w:r>
            <w:hyperlink r:id="rId21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https://eur-lex.europa.eu/legal-content/ET/TXT/?uri=CELEX:32014H0710</w:t>
              </w:r>
            </w:hyperlink>
            <w:r w:rsidR="007469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702F">
              <w:rPr>
                <w:rFonts w:ascii="Times New Roman" w:hAnsi="Times New Roman" w:cs="Times New Roman"/>
                <w:sz w:val="24"/>
                <w:szCs w:val="24"/>
              </w:rPr>
              <w:t>Nimetatakse ka hulgitur</w:t>
            </w:r>
            <w:r w:rsidR="00125C8D">
              <w:rPr>
                <w:rFonts w:ascii="Times New Roman" w:hAnsi="Times New Roman" w:cs="Times New Roman"/>
                <w:sz w:val="24"/>
                <w:szCs w:val="24"/>
              </w:rPr>
              <w:t>g 3b</w:t>
            </w:r>
            <w:r w:rsidR="002A70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26CED" w:rsidRPr="002A702F" w14:paraId="617E767A" w14:textId="77777777" w:rsidTr="001576F5">
        <w:tc>
          <w:tcPr>
            <w:tcW w:w="2830" w:type="dxa"/>
          </w:tcPr>
          <w:p w14:paraId="5C3E135E" w14:textId="18F73460" w:rsidR="00626CED" w:rsidRPr="00823C04" w:rsidRDefault="00746976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Sidevõrgu </w:t>
            </w:r>
            <w:bookmarkStart w:id="7" w:name="_Hlk187662894"/>
            <w:r w:rsidR="00516B4A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võimsustele </w:t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juurdepääsu hulgiturg</w:t>
            </w:r>
          </w:p>
        </w:tc>
        <w:tc>
          <w:tcPr>
            <w:tcW w:w="6232" w:type="dxa"/>
          </w:tcPr>
          <w:p w14:paraId="5479D8C9" w14:textId="724943A3" w:rsidR="00626CED" w:rsidRPr="00823C04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EK 2020 soovituse kohaselt sidevõrgu erivõimsustele juurdepääsu hulgiturg, kus on peamiseks teenusteks IP-VPN-</w:t>
            </w:r>
            <w:proofErr w:type="spellStart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, Ethernet-VPN-</w:t>
            </w:r>
            <w:proofErr w:type="spellStart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ja püsiliinidele juurdepääs vt ka </w:t>
            </w:r>
            <w:hyperlink r:id="rId22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https://eur-lex.europa.eu/legal-content/EN-ET/TXT/?uri=CELEX:32020H2245</w:t>
              </w:r>
            </w:hyperlink>
            <w:r w:rsidR="00746976">
              <w:rPr>
                <w:rStyle w:val="Hperlink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6976" w:rsidRPr="00FB0DC9">
              <w:rPr>
                <w:sz w:val="24"/>
                <w:szCs w:val="24"/>
              </w:rPr>
              <w:t>Nim</w:t>
            </w:r>
            <w:r w:rsidR="007469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46976" w:rsidRPr="00FB0DC9">
              <w:rPr>
                <w:sz w:val="24"/>
                <w:szCs w:val="24"/>
              </w:rPr>
              <w:t>ta</w:t>
            </w:r>
            <w:r w:rsidR="00746976">
              <w:rPr>
                <w:rFonts w:ascii="Times New Roman" w:hAnsi="Times New Roman" w:cs="Times New Roman"/>
                <w:sz w:val="24"/>
                <w:szCs w:val="24"/>
              </w:rPr>
              <w:t>takse ka hulgiturg 2.</w:t>
            </w:r>
          </w:p>
        </w:tc>
      </w:tr>
      <w:tr w:rsidR="00DA75E0" w:rsidRPr="002A702F" w14:paraId="109C5294" w14:textId="77777777" w:rsidTr="001576F5">
        <w:tc>
          <w:tcPr>
            <w:tcW w:w="2830" w:type="dxa"/>
          </w:tcPr>
          <w:p w14:paraId="27F71401" w14:textId="5EA0F33B" w:rsidR="00DA75E0" w:rsidRPr="00DA75E0" w:rsidDel="00746976" w:rsidRDefault="00DA75E0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516B4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hulgiturg</w:t>
            </w:r>
          </w:p>
        </w:tc>
        <w:tc>
          <w:tcPr>
            <w:tcW w:w="6232" w:type="dxa"/>
          </w:tcPr>
          <w:p w14:paraId="4CC7307F" w14:textId="0B4A8FFB" w:rsidR="00DA75E0" w:rsidRPr="00DA75E0" w:rsidRDefault="00DA75E0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Sidekaablitaristule juurdepääsu hulgiturg</w:t>
            </w:r>
          </w:p>
        </w:tc>
      </w:tr>
      <w:tr w:rsidR="00823C04" w:rsidRPr="002A702F" w14:paraId="5DE16A7A" w14:textId="77777777" w:rsidTr="001576F5">
        <w:tc>
          <w:tcPr>
            <w:tcW w:w="2830" w:type="dxa"/>
          </w:tcPr>
          <w:p w14:paraId="4AC96338" w14:textId="77777777" w:rsidR="00823C04" w:rsidRPr="00CE6457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Suuremõõtmeline sidetoru</w:t>
            </w:r>
          </w:p>
        </w:tc>
        <w:tc>
          <w:tcPr>
            <w:tcW w:w="6232" w:type="dxa"/>
          </w:tcPr>
          <w:p w14:paraId="2AF04059" w14:textId="55D83F8A" w:rsidR="00823C04" w:rsidRPr="00CE6457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E6457">
              <w:rPr>
                <w:rFonts w:ascii="Times New Roman" w:hAnsi="Times New Roman" w:cs="Times New Roman"/>
                <w:sz w:val="24"/>
                <w:szCs w:val="24"/>
              </w:rPr>
              <w:t>idetoru välise läbimõõduga ≥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23C04" w:rsidRPr="002A702F" w14:paraId="2D7A8FD0" w14:textId="77777777" w:rsidTr="001576F5">
        <w:tc>
          <w:tcPr>
            <w:tcW w:w="2830" w:type="dxa"/>
          </w:tcPr>
          <w:p w14:paraId="62288D1C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TD HC FDC</w:t>
            </w:r>
          </w:p>
        </w:tc>
        <w:tc>
          <w:tcPr>
            <w:tcW w:w="6232" w:type="dxa"/>
          </w:tcPr>
          <w:p w14:paraId="48BA4875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Ülevalt-alla täielikult jaotatud ajalooliste kulude arvestamise meetod ehk TD HC FDC (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top-town</w:t>
            </w:r>
            <w:proofErr w:type="spellEnd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full</w:t>
            </w:r>
            <w:proofErr w:type="spellEnd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distributed</w:t>
            </w:r>
            <w:proofErr w:type="spellEnd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historical</w:t>
            </w:r>
            <w:proofErr w:type="spellEnd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costs</w:t>
            </w:r>
            <w:proofErr w:type="spellEnd"/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) meetod</w:t>
            </w:r>
          </w:p>
        </w:tc>
      </w:tr>
      <w:tr w:rsidR="00656757" w:rsidRPr="002A702F" w14:paraId="59D8CF40" w14:textId="77777777" w:rsidTr="001576F5">
        <w:tc>
          <w:tcPr>
            <w:tcW w:w="2830" w:type="dxa"/>
          </w:tcPr>
          <w:p w14:paraId="16AB30B4" w14:textId="5448B6D4" w:rsidR="00656757" w:rsidRPr="00823C04" w:rsidRDefault="00656757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Tehniline reserv</w:t>
            </w:r>
          </w:p>
        </w:tc>
        <w:tc>
          <w:tcPr>
            <w:tcW w:w="6232" w:type="dxa"/>
          </w:tcPr>
          <w:p w14:paraId="40781560" w14:textId="5D678B40" w:rsidR="00656757" w:rsidRPr="00823C04" w:rsidRDefault="00656757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Tehniline reserv on sidekaabli avarii- ja remontöödeks ette nähtud paigalduskoht pinnases sidetorus või selle alamtorus.</w:t>
            </w:r>
          </w:p>
        </w:tc>
      </w:tr>
      <w:tr w:rsidR="00823C04" w:rsidRPr="002A702F" w14:paraId="0CF18E20" w14:textId="77777777" w:rsidTr="001576F5">
        <w:tc>
          <w:tcPr>
            <w:tcW w:w="2830" w:type="dxa"/>
          </w:tcPr>
          <w:p w14:paraId="51EBFA33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Telia</w:t>
            </w:r>
          </w:p>
        </w:tc>
        <w:tc>
          <w:tcPr>
            <w:tcW w:w="6232" w:type="dxa"/>
          </w:tcPr>
          <w:p w14:paraId="64EA55FC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Telia Eesti AS</w:t>
            </w:r>
          </w:p>
        </w:tc>
      </w:tr>
      <w:tr w:rsidR="00823C04" w:rsidRPr="002A702F" w14:paraId="45D4D61D" w14:textId="77777777" w:rsidTr="001576F5">
        <w:tc>
          <w:tcPr>
            <w:tcW w:w="2830" w:type="dxa"/>
          </w:tcPr>
          <w:p w14:paraId="29E6127B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TTJA</w:t>
            </w:r>
          </w:p>
        </w:tc>
        <w:tc>
          <w:tcPr>
            <w:tcW w:w="6232" w:type="dxa"/>
          </w:tcPr>
          <w:p w14:paraId="7A5FBCA4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Tarbijakaitse ja Tehnilise Järelevalve Amet, vt ka </w:t>
            </w:r>
            <w:hyperlink r:id="rId23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www.ttja.ee</w:t>
              </w:r>
            </w:hyperlink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3C04" w:rsidRPr="002A702F" w14:paraId="071A4422" w14:textId="77777777" w:rsidTr="001576F5">
        <w:tc>
          <w:tcPr>
            <w:tcW w:w="2830" w:type="dxa"/>
          </w:tcPr>
          <w:p w14:paraId="1126FE2A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TTJA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hulgituru 1 otsus</w:t>
            </w:r>
          </w:p>
        </w:tc>
        <w:tc>
          <w:tcPr>
            <w:tcW w:w="6232" w:type="dxa"/>
          </w:tcPr>
          <w:p w14:paraId="1FF14CC1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TTJA 16.06.2017 otsus nr 1-10/17-228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sidevõrgule kohaliku juurdepääsu hulgiturul valdkonnaspetsiifilise regulatsiooni kehtestamise kohta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, viide allikale: </w:t>
            </w:r>
            <w:hyperlink r:id="rId24" w:anchor="fuusiline-juurdepaas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https://www.ttja.ee/ariklient/side-ja-meediateenused/sideteenused/sideturg#fuusiline-juurdepaas</w:t>
              </w:r>
            </w:hyperlink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75F0" w:rsidRPr="002A702F" w14:paraId="0685121A" w14:textId="77777777" w:rsidTr="001576F5">
        <w:tc>
          <w:tcPr>
            <w:tcW w:w="2830" w:type="dxa"/>
          </w:tcPr>
          <w:p w14:paraId="6D50C69B" w14:textId="5B453531" w:rsidR="008B75F0" w:rsidRPr="00823C04" w:rsidRDefault="008B75F0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TTJA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hulgituru 3b otsus</w:t>
            </w:r>
          </w:p>
        </w:tc>
        <w:tc>
          <w:tcPr>
            <w:tcW w:w="6232" w:type="dxa"/>
          </w:tcPr>
          <w:p w14:paraId="4EE01B53" w14:textId="00F83FCC" w:rsidR="008B75F0" w:rsidRPr="00823C04" w:rsidRDefault="008B75F0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TTJA 16.06.2017 otsus nr 1-10/17-22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sidevõrgule kohaliku juurdepääsu hulgiturul valdkonnaspetsiifilise regulatsiooni kehtestamise kohta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, viide allikale: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anchor="lairiba-juurdepaas-f" w:history="1">
              <w:r w:rsidRPr="000C389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https://www.ttja.ee/ariklient/side-ja-meediateenused/sideteenused/sideturg#lairiba-juurdepaas-f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3C04" w:rsidRPr="002A702F" w14:paraId="21AF14AB" w14:textId="77777777" w:rsidTr="001576F5">
        <w:tc>
          <w:tcPr>
            <w:tcW w:w="2830" w:type="dxa"/>
          </w:tcPr>
          <w:p w14:paraId="15B492C9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TTJA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hulgituru 1 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otsuse eelnõu</w:t>
            </w:r>
          </w:p>
        </w:tc>
        <w:tc>
          <w:tcPr>
            <w:tcW w:w="6232" w:type="dxa"/>
          </w:tcPr>
          <w:p w14:paraId="4B6FF8F8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aasta märtsis rahvusvahelisel konsultatsioonil olnud TTJA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otsuse eelnõu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sidevõrgule kohaliku juurdepääsu hulgiturul valdkonnaspetsiifilise regulatsiooni kehtestamise kohta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, viide allikale: </w:t>
            </w:r>
            <w:hyperlink r:id="rId26" w:history="1">
              <w:r w:rsidRPr="00823C0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https://circabc.europa.eu/ui/group/2328c58f-1fed-4402-a6cc-0f0237699dc3/library/c565c8d6-d666-4981-b55d-fcaaaf533f65</w:t>
              </w:r>
            </w:hyperlink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3C04" w:rsidRPr="002A702F" w14:paraId="467E1B9A" w14:textId="77777777" w:rsidTr="001576F5">
        <w:tc>
          <w:tcPr>
            <w:tcW w:w="2830" w:type="dxa"/>
          </w:tcPr>
          <w:p w14:paraId="54B89E0A" w14:textId="182BFB6C" w:rsidR="00823C04" w:rsidRPr="001E41F3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4E5">
              <w:rPr>
                <w:rFonts w:ascii="Times New Roman" w:hAnsi="Times New Roman" w:cs="Times New Roman"/>
                <w:sz w:val="24"/>
                <w:szCs w:val="24"/>
              </w:rPr>
              <w:t>TTJA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6E5E7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hulgituru </w:t>
            </w:r>
            <w:r w:rsidRPr="00C754E5">
              <w:rPr>
                <w:rFonts w:ascii="Times New Roman" w:hAnsi="Times New Roman" w:cs="Times New Roman"/>
                <w:sz w:val="24"/>
                <w:szCs w:val="24"/>
              </w:rPr>
              <w:t xml:space="preserve">otsuse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kavand</w:t>
            </w:r>
          </w:p>
        </w:tc>
        <w:tc>
          <w:tcPr>
            <w:tcW w:w="6232" w:type="dxa"/>
          </w:tcPr>
          <w:p w14:paraId="4993CF22" w14:textId="77777777" w:rsidR="00823C04" w:rsidRPr="001E41F3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aasta jaanuaris riigisisesel konsultatsioonil olnud TTJA otsuse kavand sidekaablitaritule juurdepääsu hulgiturul valdkonnaspetsiifilise regulatsiooni kehtestamise kohta (koostatud 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07.12.2022)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viide allikale: </w:t>
            </w:r>
            <w:hyperlink r:id="rId27" w:anchor="sidekaabli-fuusilise" w:history="1">
              <w:r w:rsidRPr="0033612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https://www.ttja.ee/ariklient/ametist/avalikud-konkursid/avalikud-konkursid-ja-arutelud#sidekaabli-fuusilise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5E71" w:rsidRPr="002A702F" w14:paraId="06688A4B" w14:textId="77777777" w:rsidTr="001576F5">
        <w:tc>
          <w:tcPr>
            <w:tcW w:w="2830" w:type="dxa"/>
          </w:tcPr>
          <w:p w14:paraId="05FF49B5" w14:textId="10B50221" w:rsidR="006E5E71" w:rsidRPr="00C754E5" w:rsidRDefault="006E5E71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TTJA 2024 STJ hulgituru otsuse kavand</w:t>
            </w:r>
          </w:p>
        </w:tc>
        <w:tc>
          <w:tcPr>
            <w:tcW w:w="6232" w:type="dxa"/>
          </w:tcPr>
          <w:p w14:paraId="0820D259" w14:textId="10A7DBB7" w:rsidR="006E5E71" w:rsidRDefault="006E5E71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aasta juunis riigisisesel konsultatsioonil olnud TTJA otsuse kavand sidekaablitaritule juurdepääsu hulgiturul valdkonnaspetsiifilise regulatsiooni kehtestamise kohta (koostatud 21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viide allikale:</w:t>
            </w:r>
          </w:p>
          <w:p w14:paraId="2DBB52E9" w14:textId="70C384E0" w:rsidR="006E5E71" w:rsidRDefault="006E5E71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sidekaablitaristule-" w:history="1">
              <w:r w:rsidRPr="00A2648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https://www.ttja.ee/ariklient/ametist/avalikud-konkursid/avalikud-konkursid-ja-arutelud#sidekaablitaristule-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3667" w:rsidRPr="002A702F" w14:paraId="466A2F29" w14:textId="77777777" w:rsidTr="00951E60">
        <w:tc>
          <w:tcPr>
            <w:tcW w:w="2830" w:type="dxa"/>
          </w:tcPr>
          <w:p w14:paraId="7206357B" w14:textId="161893BE" w:rsidR="00F43667" w:rsidRDefault="00F43667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TTJA 2024 hulgituru 1 ja 3b otsuse kavand</w:t>
            </w:r>
          </w:p>
        </w:tc>
        <w:tc>
          <w:tcPr>
            <w:tcW w:w="6232" w:type="dxa"/>
          </w:tcPr>
          <w:p w14:paraId="6631AD77" w14:textId="33730F76" w:rsidR="00F43667" w:rsidRDefault="00F43667" w:rsidP="00F4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aasta septembris riigisisesel konsultatsioonil olnud TTJA otsuse kavand sidevõrgule kohaliku ja keskse juurdepääsu hulgiturul valdkonnaspetsiifilise regulatsiooni kehtestamise kohta (koostatud 16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viide allikale: </w:t>
            </w:r>
            <w:hyperlink r:id="rId29" w:anchor="sidevorgule-kohaliku" w:history="1">
              <w:r w:rsidRPr="001576F5">
                <w:rPr>
                  <w:rStyle w:val="Hperlink"/>
                  <w:rFonts w:ascii="Times New Roman" w:hAnsi="Times New Roman" w:cs="Times New Roman"/>
                </w:rPr>
                <w:t>https://www.ttja.ee/ariklient/ametist/avalikud-konkursid/avalikud-konkursid-ja-arutelud#sidevorgule-kohaliku</w:t>
              </w:r>
            </w:hyperlink>
            <w:r>
              <w:rPr>
                <w:rStyle w:val="Hperlink"/>
              </w:rPr>
              <w:t xml:space="preserve"> </w:t>
            </w:r>
          </w:p>
          <w:p w14:paraId="733EAC70" w14:textId="1AD89064" w:rsidR="00F43667" w:rsidRDefault="00F43667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C04" w:rsidRPr="002A702F" w14:paraId="10ED23AE" w14:textId="77777777" w:rsidTr="00F43667">
        <w:tc>
          <w:tcPr>
            <w:tcW w:w="2830" w:type="dxa"/>
          </w:tcPr>
          <w:p w14:paraId="6EF5AB06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Tuumvõrk</w:t>
            </w:r>
          </w:p>
        </w:tc>
        <w:tc>
          <w:tcPr>
            <w:tcW w:w="6232" w:type="dxa"/>
          </w:tcPr>
          <w:p w14:paraId="61AEFB57" w14:textId="77777777" w:rsidR="00823C04" w:rsidRP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Sidevõrgu tehniliste seademete kogu, mis ühendab sideettevõtja ülekandevõrke ning mille kaudu on sideettevõtja sidevõrk ühendatud teiste sideettevõtjate sidevõrkudega.</w:t>
            </w:r>
          </w:p>
        </w:tc>
      </w:tr>
      <w:tr w:rsidR="00626CED" w:rsidRPr="002A702F" w14:paraId="34237AF7" w14:textId="77777777" w:rsidTr="00F43667">
        <w:tc>
          <w:tcPr>
            <w:tcW w:w="2830" w:type="dxa"/>
          </w:tcPr>
          <w:p w14:paraId="41CC50BA" w14:textId="6E6A25C2" w:rsidR="00626CED" w:rsidRPr="00823C04" w:rsidRDefault="000F7142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Valdkonnaspetsiifiline</w:t>
            </w:r>
            <w:r w:rsidR="00626CED"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 regulatsioon</w:t>
            </w:r>
          </w:p>
        </w:tc>
        <w:tc>
          <w:tcPr>
            <w:tcW w:w="6232" w:type="dxa"/>
          </w:tcPr>
          <w:p w14:paraId="22A3998E" w14:textId="5D09527A" w:rsidR="000F7142" w:rsidRDefault="00626CED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ESS ptk 5 kohane sideteenuse turgude </w:t>
            </w:r>
            <w:r w:rsidR="00ED7805">
              <w:rPr>
                <w:rFonts w:ascii="Times New Roman" w:hAnsi="Times New Roman" w:cs="Times New Roman"/>
                <w:sz w:val="24"/>
                <w:szCs w:val="24"/>
              </w:rPr>
              <w:t>ette vaatav</w:t>
            </w:r>
            <w:r w:rsidR="001C6D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D78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D7805"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ex-ante</w:t>
            </w:r>
            <w:r w:rsidR="00ED78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valdkonnaspetsiifili</w:t>
            </w:r>
            <w:r w:rsidR="001C6D4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e reguleerimi</w:t>
            </w:r>
            <w:r w:rsidR="000F714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DA75E0" w:rsidRPr="00DA75E0">
              <w:rPr>
                <w:rFonts w:ascii="Times New Roman" w:hAnsi="Times New Roman" w:cs="Times New Roman"/>
                <w:sz w:val="24"/>
                <w:szCs w:val="24"/>
              </w:rPr>
              <w:t xml:space="preserve">eesmärk </w:t>
            </w:r>
            <w:r w:rsidR="00DA75E0">
              <w:rPr>
                <w:rFonts w:ascii="Times New Roman" w:hAnsi="Times New Roman" w:cs="Times New Roman"/>
                <w:sz w:val="24"/>
                <w:szCs w:val="24"/>
              </w:rPr>
              <w:t xml:space="preserve">(ESS § 40) </w:t>
            </w:r>
            <w:r w:rsidR="00DA75E0" w:rsidRPr="00DA75E0">
              <w:rPr>
                <w:rFonts w:ascii="Times New Roman" w:hAnsi="Times New Roman" w:cs="Times New Roman"/>
                <w:sz w:val="24"/>
                <w:szCs w:val="24"/>
              </w:rPr>
              <w:t>on tagada konkurentsi soodustamisega sideteenuse osutajate paljusus, nende võrdne ja mittediskrimineeriv kohtlemine ning osutatavate teenuste kvaliteet ja kättesaadavus lõppkasutajatele</w:t>
            </w:r>
            <w:r w:rsidR="00DA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7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D48">
              <w:rPr>
                <w:rFonts w:ascii="Times New Roman" w:hAnsi="Times New Roman" w:cs="Times New Roman"/>
                <w:sz w:val="24"/>
                <w:szCs w:val="24"/>
              </w:rPr>
              <w:t>Valdkonnaspetsiifilise regulatsiooni rakendamise menetlus koosneb järgmistest toimingutest: turu piiritlemine, piiritletud turul valdkonnaspetsiifilise regulatsiooni rakendamise põhjendatuse hindamine kolme kriteeriumi testi alusel, turuanalüüsi alusel MTE määramine või määramata jätmine, MTE-</w:t>
            </w:r>
            <w:proofErr w:type="spellStart"/>
            <w:r w:rsidR="001C6D48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1C6D48">
              <w:rPr>
                <w:rFonts w:ascii="Times New Roman" w:hAnsi="Times New Roman" w:cs="Times New Roman"/>
                <w:sz w:val="24"/>
                <w:szCs w:val="24"/>
              </w:rPr>
              <w:t xml:space="preserve"> kohustuste kehtestamine või olemasolevate kohustuste eemaldamine. </w:t>
            </w:r>
          </w:p>
          <w:p w14:paraId="5641C4B0" w14:textId="6CDBC1D7" w:rsidR="00626CED" w:rsidRPr="00823C04" w:rsidRDefault="000F7142" w:rsidP="0062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Otsuses on </w:t>
            </w:r>
            <w:r w:rsidR="001C6D48">
              <w:rPr>
                <w:rFonts w:ascii="Times New Roman" w:hAnsi="Times New Roman" w:cs="Times New Roman"/>
                <w:sz w:val="24"/>
                <w:szCs w:val="24"/>
              </w:rPr>
              <w:t xml:space="preserve">valdkonnaspetsiifilise regulatsiooni sünonüümina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kasutatud ka mõistet </w:t>
            </w:r>
            <w:r w:rsidRPr="00823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MTE regulatsioon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3C04" w:rsidRPr="002A702F" w14:paraId="4BC92B13" w14:textId="77777777" w:rsidTr="00F43667">
        <w:tc>
          <w:tcPr>
            <w:tcW w:w="2830" w:type="dxa"/>
          </w:tcPr>
          <w:p w14:paraId="69F7C4B6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8116591"/>
            <w:r>
              <w:rPr>
                <w:rFonts w:ascii="Times New Roman" w:hAnsi="Times New Roman" w:cs="Times New Roman"/>
                <w:sz w:val="24"/>
                <w:szCs w:val="24"/>
              </w:rPr>
              <w:t>Väiksemõõtmeline sidetoru</w:t>
            </w:r>
          </w:p>
        </w:tc>
        <w:tc>
          <w:tcPr>
            <w:tcW w:w="6232" w:type="dxa"/>
          </w:tcPr>
          <w:p w14:paraId="61426929" w14:textId="77777777" w:rsidR="00823C04" w:rsidRDefault="00823C04" w:rsidP="00283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E6457">
              <w:rPr>
                <w:rFonts w:ascii="Times New Roman" w:hAnsi="Times New Roman" w:cs="Times New Roman"/>
                <w:sz w:val="24"/>
                <w:szCs w:val="24"/>
              </w:rPr>
              <w:t>idetoru välise läbimõõduga &lt; 50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Välisest läbimõõdust lähtudes liigituvad siia sageli ka multitorud.</w:t>
            </w:r>
          </w:p>
        </w:tc>
      </w:tr>
      <w:tr w:rsidR="001E41F3" w:rsidRPr="002A702F" w14:paraId="184C720E" w14:textId="77777777" w:rsidTr="00F43667">
        <w:tc>
          <w:tcPr>
            <w:tcW w:w="2830" w:type="dxa"/>
          </w:tcPr>
          <w:p w14:paraId="441D9886" w14:textId="42F497C8" w:rsidR="001E41F3" w:rsidRPr="00823C04" w:rsidRDefault="001E41F3" w:rsidP="001E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Ülekandevõrk</w:t>
            </w:r>
          </w:p>
        </w:tc>
        <w:tc>
          <w:tcPr>
            <w:tcW w:w="6232" w:type="dxa"/>
          </w:tcPr>
          <w:p w14:paraId="3E7136B4" w14:textId="1B93CB72" w:rsidR="001E41F3" w:rsidRPr="00823C04" w:rsidRDefault="001E41F3" w:rsidP="001E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C04">
              <w:rPr>
                <w:rFonts w:ascii="Times New Roman" w:hAnsi="Times New Roman" w:cs="Times New Roman"/>
                <w:sz w:val="24"/>
                <w:szCs w:val="24"/>
              </w:rPr>
              <w:t>Sidevõrgu tehniliste seadmete kogum (nt sidekaablid), mis ühendab juurdepääsuvõrke.</w:t>
            </w:r>
          </w:p>
        </w:tc>
      </w:tr>
      <w:bookmarkEnd w:id="8"/>
    </w:tbl>
    <w:p w14:paraId="3F514A5D" w14:textId="77777777" w:rsidR="00F24A76" w:rsidRPr="00823C04" w:rsidRDefault="00F24A76">
      <w:pPr>
        <w:rPr>
          <w:rFonts w:ascii="Times New Roman" w:hAnsi="Times New Roman" w:cs="Times New Roman"/>
          <w:sz w:val="24"/>
          <w:szCs w:val="24"/>
        </w:rPr>
      </w:pPr>
    </w:p>
    <w:sectPr w:rsidR="00F24A76" w:rsidRPr="0082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4C09"/>
    <w:multiLevelType w:val="hybridMultilevel"/>
    <w:tmpl w:val="D248A6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07B2"/>
    <w:multiLevelType w:val="hybridMultilevel"/>
    <w:tmpl w:val="2C0C1D5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3997">
    <w:abstractNumId w:val="1"/>
  </w:num>
  <w:num w:numId="2" w16cid:durableId="18035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76"/>
    <w:rsid w:val="00040210"/>
    <w:rsid w:val="00064F00"/>
    <w:rsid w:val="0009665C"/>
    <w:rsid w:val="000A14B1"/>
    <w:rsid w:val="000F7142"/>
    <w:rsid w:val="0010374E"/>
    <w:rsid w:val="00115190"/>
    <w:rsid w:val="00125C8D"/>
    <w:rsid w:val="00132AD8"/>
    <w:rsid w:val="001330FC"/>
    <w:rsid w:val="001576F5"/>
    <w:rsid w:val="001862FA"/>
    <w:rsid w:val="001A131B"/>
    <w:rsid w:val="001C6D48"/>
    <w:rsid w:val="001E340B"/>
    <w:rsid w:val="001E41F3"/>
    <w:rsid w:val="00241716"/>
    <w:rsid w:val="0026174E"/>
    <w:rsid w:val="00272619"/>
    <w:rsid w:val="002A538E"/>
    <w:rsid w:val="002A702F"/>
    <w:rsid w:val="002C1B35"/>
    <w:rsid w:val="003078B0"/>
    <w:rsid w:val="0032201E"/>
    <w:rsid w:val="0032510A"/>
    <w:rsid w:val="00327C6A"/>
    <w:rsid w:val="00340786"/>
    <w:rsid w:val="00342E24"/>
    <w:rsid w:val="00360946"/>
    <w:rsid w:val="003810B6"/>
    <w:rsid w:val="003E3D79"/>
    <w:rsid w:val="003E5286"/>
    <w:rsid w:val="00410403"/>
    <w:rsid w:val="00435666"/>
    <w:rsid w:val="004450B2"/>
    <w:rsid w:val="0046091E"/>
    <w:rsid w:val="00466A62"/>
    <w:rsid w:val="0047553B"/>
    <w:rsid w:val="00480D76"/>
    <w:rsid w:val="004914E3"/>
    <w:rsid w:val="004970E8"/>
    <w:rsid w:val="004B553F"/>
    <w:rsid w:val="004B73EE"/>
    <w:rsid w:val="004C184E"/>
    <w:rsid w:val="004D6C8E"/>
    <w:rsid w:val="005062E1"/>
    <w:rsid w:val="00511F5F"/>
    <w:rsid w:val="00516B4A"/>
    <w:rsid w:val="0051735C"/>
    <w:rsid w:val="00564720"/>
    <w:rsid w:val="00572251"/>
    <w:rsid w:val="00573FB9"/>
    <w:rsid w:val="00590189"/>
    <w:rsid w:val="0059400A"/>
    <w:rsid w:val="005A2C2D"/>
    <w:rsid w:val="005A628B"/>
    <w:rsid w:val="005C4087"/>
    <w:rsid w:val="005E17BE"/>
    <w:rsid w:val="005F15B4"/>
    <w:rsid w:val="00626CED"/>
    <w:rsid w:val="00656757"/>
    <w:rsid w:val="00662216"/>
    <w:rsid w:val="00674790"/>
    <w:rsid w:val="006813BB"/>
    <w:rsid w:val="00691EE9"/>
    <w:rsid w:val="006A5446"/>
    <w:rsid w:val="006B2D96"/>
    <w:rsid w:val="006B42A6"/>
    <w:rsid w:val="006C33FC"/>
    <w:rsid w:val="006E5E71"/>
    <w:rsid w:val="006F478F"/>
    <w:rsid w:val="0072640D"/>
    <w:rsid w:val="007309A5"/>
    <w:rsid w:val="007420DE"/>
    <w:rsid w:val="00746976"/>
    <w:rsid w:val="00761738"/>
    <w:rsid w:val="007639B1"/>
    <w:rsid w:val="00786BBC"/>
    <w:rsid w:val="00791FB3"/>
    <w:rsid w:val="007B53A1"/>
    <w:rsid w:val="007E19F8"/>
    <w:rsid w:val="007F45AB"/>
    <w:rsid w:val="008133AE"/>
    <w:rsid w:val="00814D06"/>
    <w:rsid w:val="00815BED"/>
    <w:rsid w:val="00822AA9"/>
    <w:rsid w:val="00822E01"/>
    <w:rsid w:val="00823C04"/>
    <w:rsid w:val="00827AF5"/>
    <w:rsid w:val="00832502"/>
    <w:rsid w:val="00832DBA"/>
    <w:rsid w:val="008341DF"/>
    <w:rsid w:val="00857C4B"/>
    <w:rsid w:val="008745CB"/>
    <w:rsid w:val="008816A3"/>
    <w:rsid w:val="00887EE3"/>
    <w:rsid w:val="00895F02"/>
    <w:rsid w:val="008B750D"/>
    <w:rsid w:val="008B75F0"/>
    <w:rsid w:val="008D66B7"/>
    <w:rsid w:val="00951E60"/>
    <w:rsid w:val="00985CE6"/>
    <w:rsid w:val="009956D9"/>
    <w:rsid w:val="009C571E"/>
    <w:rsid w:val="009D1EEA"/>
    <w:rsid w:val="009E5A43"/>
    <w:rsid w:val="00A4413B"/>
    <w:rsid w:val="00A45000"/>
    <w:rsid w:val="00A52E24"/>
    <w:rsid w:val="00A631B4"/>
    <w:rsid w:val="00A631DC"/>
    <w:rsid w:val="00A76FDA"/>
    <w:rsid w:val="00A91918"/>
    <w:rsid w:val="00AA7316"/>
    <w:rsid w:val="00AD502A"/>
    <w:rsid w:val="00B2694E"/>
    <w:rsid w:val="00B440CD"/>
    <w:rsid w:val="00B7773A"/>
    <w:rsid w:val="00B812AC"/>
    <w:rsid w:val="00B81CBD"/>
    <w:rsid w:val="00BA306C"/>
    <w:rsid w:val="00BF29A9"/>
    <w:rsid w:val="00BF486E"/>
    <w:rsid w:val="00C15AD2"/>
    <w:rsid w:val="00C24FC8"/>
    <w:rsid w:val="00C36FE6"/>
    <w:rsid w:val="00C60821"/>
    <w:rsid w:val="00C84A1F"/>
    <w:rsid w:val="00CA1E8F"/>
    <w:rsid w:val="00CC2C37"/>
    <w:rsid w:val="00CE6457"/>
    <w:rsid w:val="00CF255C"/>
    <w:rsid w:val="00CF4C8E"/>
    <w:rsid w:val="00D004F6"/>
    <w:rsid w:val="00D22437"/>
    <w:rsid w:val="00D3719E"/>
    <w:rsid w:val="00D3777C"/>
    <w:rsid w:val="00D52761"/>
    <w:rsid w:val="00D83FEA"/>
    <w:rsid w:val="00D960AF"/>
    <w:rsid w:val="00DA2BA0"/>
    <w:rsid w:val="00DA75E0"/>
    <w:rsid w:val="00DB3B51"/>
    <w:rsid w:val="00DE514C"/>
    <w:rsid w:val="00E30441"/>
    <w:rsid w:val="00E3179C"/>
    <w:rsid w:val="00E3472B"/>
    <w:rsid w:val="00E504A2"/>
    <w:rsid w:val="00E61517"/>
    <w:rsid w:val="00E63624"/>
    <w:rsid w:val="00EA65F4"/>
    <w:rsid w:val="00EC08F4"/>
    <w:rsid w:val="00ED7805"/>
    <w:rsid w:val="00F03E4A"/>
    <w:rsid w:val="00F21D36"/>
    <w:rsid w:val="00F23508"/>
    <w:rsid w:val="00F24A76"/>
    <w:rsid w:val="00F43667"/>
    <w:rsid w:val="00F57C7E"/>
    <w:rsid w:val="00F7416B"/>
    <w:rsid w:val="00F94E2E"/>
    <w:rsid w:val="00FA4F17"/>
    <w:rsid w:val="00FB03E6"/>
    <w:rsid w:val="00FB2709"/>
    <w:rsid w:val="00FC626C"/>
    <w:rsid w:val="00FD6D26"/>
    <w:rsid w:val="00FE1BC9"/>
    <w:rsid w:val="00FE3A90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6DB7"/>
  <w15:chartTrackingRefBased/>
  <w15:docId w15:val="{5F88D5E8-0870-4974-B21E-30D96DAB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6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qFormat/>
    <w:rsid w:val="0046091E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46091E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6091E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unhideWhenUsed/>
    <w:rsid w:val="00D83FEA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D83FEA"/>
    <w:rPr>
      <w:sz w:val="20"/>
      <w:szCs w:val="20"/>
    </w:rPr>
  </w:style>
  <w:style w:type="paragraph" w:styleId="Redaktsioon">
    <w:name w:val="Revision"/>
    <w:hidden/>
    <w:uiPriority w:val="99"/>
    <w:semiHidden/>
    <w:rsid w:val="00115190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626CE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26CE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26CE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26CE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26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-ET/TXT/?uri=CELEX:32020H2245" TargetMode="External"/><Relationship Id="rId13" Type="http://schemas.openxmlformats.org/officeDocument/2006/relationships/hyperlink" Target="https://www.riigiteataja.ee/akt/127022022003?leiaKehtiv" TargetMode="External"/><Relationship Id="rId18" Type="http://schemas.openxmlformats.org/officeDocument/2006/relationships/hyperlink" Target="https://www.riigiteataja.ee/akt/102092020002" TargetMode="External"/><Relationship Id="rId26" Type="http://schemas.openxmlformats.org/officeDocument/2006/relationships/hyperlink" Target="https://circabc.europa.eu/ui/group/2328c58f-1fed-4402-a6cc-0f0237699dc3/library/c565c8d6-d666-4981-b55d-fcaaaf533f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CELEX:32014H0710" TargetMode="External"/><Relationship Id="rId7" Type="http://schemas.openxmlformats.org/officeDocument/2006/relationships/hyperlink" Target="https://eur-lex.europa.eu/legal-content/ET/TXT/?uri=CELEX:32014H0710" TargetMode="External"/><Relationship Id="rId12" Type="http://schemas.openxmlformats.org/officeDocument/2006/relationships/hyperlink" Target="https://www.elisa.ee/et/uudised/elisa-ettevotete-uhinemine-joustus-25102022" TargetMode="External"/><Relationship Id="rId17" Type="http://schemas.openxmlformats.org/officeDocument/2006/relationships/hyperlink" Target="https://www.riigiteataja.ee/akt/122062017007?leiaKehtiv" TargetMode="External"/><Relationship Id="rId25" Type="http://schemas.openxmlformats.org/officeDocument/2006/relationships/hyperlink" Target="https://www.ttja.ee/ariklient/side-ja-meediateenused/sideteenused/sidetu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iigiteataja.ee/akt/119082015013?leiaKehtiv" TargetMode="External"/><Relationship Id="rId20" Type="http://schemas.openxmlformats.org/officeDocument/2006/relationships/hyperlink" Target="https://eur-lex.europa.eu/legal-content/EN-ET/TXT/?uri=CELEX:32020H2245" TargetMode="External"/><Relationship Id="rId29" Type="http://schemas.openxmlformats.org/officeDocument/2006/relationships/hyperlink" Target="https://www.ttja.ee/ariklient/ametist/avalikud-konkursid/avalikud-konkursid-ja-arutelu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index_et" TargetMode="External"/><Relationship Id="rId11" Type="http://schemas.openxmlformats.org/officeDocument/2006/relationships/hyperlink" Target="https://european-union.europa.eu/index_et" TargetMode="External"/><Relationship Id="rId24" Type="http://schemas.openxmlformats.org/officeDocument/2006/relationships/hyperlink" Target="https://www.ttja.ee/ariklient/side-ja-meediateenused/sideteenused/sideturg" TargetMode="External"/><Relationship Id="rId5" Type="http://schemas.openxmlformats.org/officeDocument/2006/relationships/hyperlink" Target="https://maaamet.ee/ruumiandmed-ja-kaardid/aadressid-ja-kohanimed/aadressiandmete-kasiraamat/1-moisted" TargetMode="External"/><Relationship Id="rId15" Type="http://schemas.openxmlformats.org/officeDocument/2006/relationships/hyperlink" Target="https://www.berec.europa.eu/en" TargetMode="External"/><Relationship Id="rId23" Type="http://schemas.openxmlformats.org/officeDocument/2006/relationships/hyperlink" Target="http://www.ttja.ee" TargetMode="External"/><Relationship Id="rId28" Type="http://schemas.openxmlformats.org/officeDocument/2006/relationships/hyperlink" Target="https://www.ttja.ee/ariklient/ametist/avalikud-konkursid/avalikud-konkursid-ja-arutelud" TargetMode="External"/><Relationship Id="rId10" Type="http://schemas.openxmlformats.org/officeDocument/2006/relationships/hyperlink" Target="https://eur-lex.europa.eu/eli/reco/2024/539" TargetMode="External"/><Relationship Id="rId19" Type="http://schemas.openxmlformats.org/officeDocument/2006/relationships/hyperlink" Target="https://www.riigiteataja.ee/akt/106052022011?leiaKehtiv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kom.no/ekom-markedet/markeder/markeder-som-reguleres/_/attachment/download/e804f701-e342-448d-95f9-0b81f4b5d144:b3bff2ccf56262242fdd0f242205cf2ab0335fb0/Kommisjonens%20Explanatory%20Note%20til%20anbefalingen%20av%2018.%20desember%202020.pdf" TargetMode="External"/><Relationship Id="rId14" Type="http://schemas.openxmlformats.org/officeDocument/2006/relationships/hyperlink" Target="https://www.riigiteataja.ee/akt/118122021004" TargetMode="External"/><Relationship Id="rId22" Type="http://schemas.openxmlformats.org/officeDocument/2006/relationships/hyperlink" Target="https://eur-lex.europa.eu/legal-content/EN-ET/TXT/?uri=CELEX:32020H2245" TargetMode="External"/><Relationship Id="rId27" Type="http://schemas.openxmlformats.org/officeDocument/2006/relationships/hyperlink" Target="https://www.ttja.ee/ariklient/ametist/avalikud-konkursid/avalikud-konkursid-ja-arutelu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4255</TotalTime>
  <Pages>5</Pages>
  <Words>2242</Words>
  <Characters>13005</Characters>
  <Application>Microsoft Office Word</Application>
  <DocSecurity>0</DocSecurity>
  <Lines>108</Lines>
  <Paragraphs>30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Lutsoja</dc:creator>
  <cp:keywords/>
  <dc:description/>
  <cp:lastModifiedBy>Peeter Lutsoja</cp:lastModifiedBy>
  <cp:revision>32</cp:revision>
  <dcterms:created xsi:type="dcterms:W3CDTF">2024-09-12T06:03:00Z</dcterms:created>
  <dcterms:modified xsi:type="dcterms:W3CDTF">2025-01-29T07:32:00Z</dcterms:modified>
</cp:coreProperties>
</file>