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DE120" w14:textId="77777777" w:rsidR="00AD6A5C" w:rsidRPr="00862F29" w:rsidRDefault="00AD6A5C" w:rsidP="006F7F94">
      <w:pPr>
        <w:widowControl w:val="0"/>
        <w:autoSpaceDE w:val="0"/>
        <w:autoSpaceDN w:val="0"/>
        <w:adjustRightInd w:val="0"/>
        <w:spacing w:after="0" w:line="240" w:lineRule="auto"/>
        <w:jc w:val="right"/>
        <w:rPr>
          <w:sz w:val="20"/>
          <w:szCs w:val="20"/>
          <w:lang w:eastAsia="et-EE"/>
        </w:rPr>
      </w:pPr>
      <w:bookmarkStart w:id="0" w:name="_Hlk173245060"/>
      <w:r w:rsidRPr="00862F29">
        <w:rPr>
          <w:sz w:val="20"/>
          <w:szCs w:val="20"/>
          <w:lang w:eastAsia="et-EE"/>
        </w:rPr>
        <w:t xml:space="preserve">Tarbijakaitse ja Tehnilise Järelevalve Ameti </w:t>
      </w:r>
    </w:p>
    <w:p w14:paraId="1A677C17" w14:textId="422B4BF3" w:rsidR="00413573" w:rsidRDefault="00413573" w:rsidP="00720A98">
      <w:pPr>
        <w:widowControl w:val="0"/>
        <w:autoSpaceDE w:val="0"/>
        <w:autoSpaceDN w:val="0"/>
        <w:adjustRightInd w:val="0"/>
        <w:spacing w:after="0" w:line="240" w:lineRule="auto"/>
        <w:ind w:firstLine="720"/>
        <w:jc w:val="right"/>
        <w:rPr>
          <w:sz w:val="20"/>
          <w:szCs w:val="20"/>
          <w:lang w:eastAsia="et-EE"/>
        </w:rPr>
      </w:pPr>
      <w:r>
        <w:rPr>
          <w:sz w:val="20"/>
          <w:szCs w:val="20"/>
          <w:lang w:eastAsia="et-EE"/>
        </w:rPr>
        <w:t>202</w:t>
      </w:r>
      <w:r w:rsidR="004D03C6">
        <w:rPr>
          <w:sz w:val="20"/>
          <w:szCs w:val="20"/>
          <w:lang w:eastAsia="et-EE"/>
        </w:rPr>
        <w:t>5</w:t>
      </w:r>
      <w:r>
        <w:rPr>
          <w:sz w:val="20"/>
          <w:szCs w:val="20"/>
          <w:lang w:eastAsia="et-EE"/>
        </w:rPr>
        <w:t xml:space="preserve"> </w:t>
      </w:r>
      <w:r w:rsidR="00972393">
        <w:rPr>
          <w:sz w:val="20"/>
          <w:szCs w:val="20"/>
          <w:lang w:eastAsia="et-EE"/>
        </w:rPr>
        <w:t>aasta</w:t>
      </w:r>
    </w:p>
    <w:p w14:paraId="4F2505EA" w14:textId="6FBF1A2F" w:rsidR="00720A98" w:rsidRPr="00720A98" w:rsidRDefault="005D276D" w:rsidP="00720A98">
      <w:pPr>
        <w:widowControl w:val="0"/>
        <w:autoSpaceDE w:val="0"/>
        <w:autoSpaceDN w:val="0"/>
        <w:adjustRightInd w:val="0"/>
        <w:spacing w:after="0" w:line="240" w:lineRule="auto"/>
        <w:ind w:firstLine="720"/>
        <w:jc w:val="right"/>
        <w:rPr>
          <w:sz w:val="20"/>
          <w:szCs w:val="20"/>
          <w:lang w:eastAsia="et-EE"/>
        </w:rPr>
      </w:pPr>
      <w:r>
        <w:rPr>
          <w:sz w:val="20"/>
          <w:szCs w:val="20"/>
          <w:lang w:eastAsia="et-EE"/>
        </w:rPr>
        <w:t>s</w:t>
      </w:r>
      <w:r w:rsidR="00720A98" w:rsidRPr="00720A98">
        <w:rPr>
          <w:sz w:val="20"/>
          <w:szCs w:val="20"/>
          <w:lang w:eastAsia="et-EE"/>
        </w:rPr>
        <w:t xml:space="preserve">idevõrgule kohaliku ja keskse </w:t>
      </w:r>
    </w:p>
    <w:p w14:paraId="5DBDBA01" w14:textId="52959293" w:rsidR="00720A98" w:rsidRPr="00720A98" w:rsidRDefault="00720A98" w:rsidP="00720A98">
      <w:pPr>
        <w:widowControl w:val="0"/>
        <w:autoSpaceDE w:val="0"/>
        <w:autoSpaceDN w:val="0"/>
        <w:adjustRightInd w:val="0"/>
        <w:spacing w:after="0" w:line="240" w:lineRule="auto"/>
        <w:ind w:firstLine="720"/>
        <w:jc w:val="right"/>
        <w:rPr>
          <w:sz w:val="20"/>
          <w:szCs w:val="20"/>
          <w:lang w:eastAsia="et-EE"/>
        </w:rPr>
      </w:pPr>
      <w:r w:rsidRPr="00720A98">
        <w:rPr>
          <w:sz w:val="20"/>
          <w:szCs w:val="20"/>
          <w:lang w:eastAsia="et-EE"/>
        </w:rPr>
        <w:t xml:space="preserve">juurdepääsu hulgiturgudel </w:t>
      </w:r>
    </w:p>
    <w:p w14:paraId="4EAB47A1" w14:textId="77777777" w:rsidR="00720A98" w:rsidRPr="00720A98" w:rsidRDefault="00720A98" w:rsidP="00720A98">
      <w:pPr>
        <w:widowControl w:val="0"/>
        <w:autoSpaceDE w:val="0"/>
        <w:autoSpaceDN w:val="0"/>
        <w:adjustRightInd w:val="0"/>
        <w:spacing w:after="0" w:line="240" w:lineRule="auto"/>
        <w:ind w:firstLine="720"/>
        <w:jc w:val="right"/>
        <w:rPr>
          <w:sz w:val="20"/>
          <w:szCs w:val="20"/>
          <w:lang w:eastAsia="et-EE"/>
        </w:rPr>
      </w:pPr>
      <w:r w:rsidRPr="00720A98">
        <w:rPr>
          <w:sz w:val="20"/>
          <w:szCs w:val="20"/>
          <w:lang w:eastAsia="et-EE"/>
        </w:rPr>
        <w:t>märkimisväärse turujõuga ettevõtja</w:t>
      </w:r>
    </w:p>
    <w:p w14:paraId="2689CDAE" w14:textId="136BFE45" w:rsidR="00720A98" w:rsidRPr="00720A98" w:rsidRDefault="00720A98" w:rsidP="00720A98">
      <w:pPr>
        <w:widowControl w:val="0"/>
        <w:autoSpaceDE w:val="0"/>
        <w:autoSpaceDN w:val="0"/>
        <w:adjustRightInd w:val="0"/>
        <w:spacing w:after="0" w:line="240" w:lineRule="auto"/>
        <w:ind w:firstLine="720"/>
        <w:jc w:val="right"/>
        <w:rPr>
          <w:sz w:val="20"/>
          <w:szCs w:val="20"/>
          <w:lang w:eastAsia="et-EE"/>
        </w:rPr>
      </w:pPr>
      <w:r w:rsidRPr="00720A98">
        <w:rPr>
          <w:sz w:val="20"/>
          <w:szCs w:val="20"/>
          <w:lang w:eastAsia="et-EE"/>
        </w:rPr>
        <w:t xml:space="preserve"> määrami</w:t>
      </w:r>
      <w:r w:rsidR="00BB1551">
        <w:rPr>
          <w:sz w:val="20"/>
          <w:szCs w:val="20"/>
          <w:lang w:eastAsia="et-EE"/>
        </w:rPr>
        <w:t>s</w:t>
      </w:r>
      <w:r w:rsidRPr="00720A98">
        <w:rPr>
          <w:sz w:val="20"/>
          <w:szCs w:val="20"/>
          <w:lang w:eastAsia="et-EE"/>
        </w:rPr>
        <w:t>e ja määramata jätmi</w:t>
      </w:r>
      <w:r w:rsidR="00BB1551">
        <w:rPr>
          <w:sz w:val="20"/>
          <w:szCs w:val="20"/>
          <w:lang w:eastAsia="et-EE"/>
        </w:rPr>
        <w:t>s</w:t>
      </w:r>
      <w:r w:rsidRPr="00720A98">
        <w:rPr>
          <w:sz w:val="20"/>
          <w:szCs w:val="20"/>
          <w:lang w:eastAsia="et-EE"/>
        </w:rPr>
        <w:t xml:space="preserve">e </w:t>
      </w:r>
    </w:p>
    <w:p w14:paraId="21989AAD" w14:textId="5B410B2D" w:rsidR="00720A98" w:rsidRPr="00720A98" w:rsidRDefault="00720A98" w:rsidP="00720A98">
      <w:pPr>
        <w:widowControl w:val="0"/>
        <w:autoSpaceDE w:val="0"/>
        <w:autoSpaceDN w:val="0"/>
        <w:adjustRightInd w:val="0"/>
        <w:spacing w:after="0" w:line="240" w:lineRule="auto"/>
        <w:ind w:firstLine="720"/>
        <w:jc w:val="right"/>
        <w:rPr>
          <w:b/>
          <w:bCs/>
          <w:sz w:val="20"/>
          <w:szCs w:val="20"/>
          <w:lang w:eastAsia="et-EE"/>
        </w:rPr>
      </w:pPr>
      <w:r w:rsidRPr="00720A98">
        <w:rPr>
          <w:sz w:val="20"/>
          <w:szCs w:val="20"/>
          <w:lang w:eastAsia="et-EE"/>
        </w:rPr>
        <w:t>ning kohustuste kehtestami</w:t>
      </w:r>
      <w:r w:rsidR="00BB1551">
        <w:rPr>
          <w:sz w:val="20"/>
          <w:szCs w:val="20"/>
          <w:lang w:eastAsia="et-EE"/>
        </w:rPr>
        <w:t>s</w:t>
      </w:r>
      <w:r w:rsidRPr="00720A98">
        <w:rPr>
          <w:sz w:val="20"/>
          <w:szCs w:val="20"/>
          <w:lang w:eastAsia="et-EE"/>
        </w:rPr>
        <w:t>e</w:t>
      </w:r>
    </w:p>
    <w:p w14:paraId="16B5AD67" w14:textId="35FB8D71" w:rsidR="00AD6A5C" w:rsidRPr="00907431" w:rsidRDefault="00AD6A5C" w:rsidP="006F7F94">
      <w:pPr>
        <w:widowControl w:val="0"/>
        <w:autoSpaceDE w:val="0"/>
        <w:autoSpaceDN w:val="0"/>
        <w:adjustRightInd w:val="0"/>
        <w:spacing w:after="0" w:line="240" w:lineRule="auto"/>
        <w:jc w:val="right"/>
        <w:rPr>
          <w:sz w:val="20"/>
          <w:szCs w:val="20"/>
          <w:lang w:eastAsia="et-EE"/>
        </w:rPr>
      </w:pPr>
      <w:r w:rsidRPr="00907431">
        <w:rPr>
          <w:sz w:val="20"/>
          <w:szCs w:val="20"/>
          <w:lang w:eastAsia="et-EE"/>
        </w:rPr>
        <w:t xml:space="preserve"> otsuse  </w:t>
      </w:r>
      <w:r w:rsidRPr="00862F29">
        <w:rPr>
          <w:b/>
          <w:sz w:val="20"/>
          <w:szCs w:val="20"/>
          <w:lang w:eastAsia="et-EE"/>
        </w:rPr>
        <w:t xml:space="preserve">                                                                                                                                                                         </w:t>
      </w:r>
    </w:p>
    <w:p w14:paraId="52CA0063" w14:textId="77777777" w:rsidR="00AD6A5C" w:rsidRDefault="00AD6A5C" w:rsidP="006F7F94">
      <w:pPr>
        <w:widowControl w:val="0"/>
        <w:autoSpaceDE w:val="0"/>
        <w:autoSpaceDN w:val="0"/>
        <w:adjustRightInd w:val="0"/>
        <w:spacing w:after="0" w:line="240" w:lineRule="auto"/>
        <w:jc w:val="right"/>
        <w:rPr>
          <w:b/>
          <w:sz w:val="20"/>
          <w:szCs w:val="20"/>
          <w:lang w:eastAsia="et-EE"/>
        </w:rPr>
      </w:pPr>
      <w:r w:rsidRPr="00862F29">
        <w:rPr>
          <w:b/>
          <w:sz w:val="20"/>
          <w:szCs w:val="20"/>
          <w:lang w:eastAsia="et-EE"/>
        </w:rPr>
        <w:t xml:space="preserve">                                                                                                                                                                          </w:t>
      </w:r>
    </w:p>
    <w:p w14:paraId="60740DED" w14:textId="77777777" w:rsidR="00972393" w:rsidRDefault="00972393" w:rsidP="006F7F94">
      <w:pPr>
        <w:widowControl w:val="0"/>
        <w:autoSpaceDE w:val="0"/>
        <w:autoSpaceDN w:val="0"/>
        <w:adjustRightInd w:val="0"/>
        <w:spacing w:after="0" w:line="240" w:lineRule="auto"/>
        <w:jc w:val="right"/>
        <w:rPr>
          <w:b/>
          <w:sz w:val="20"/>
          <w:szCs w:val="20"/>
          <w:lang w:eastAsia="et-EE"/>
        </w:rPr>
      </w:pPr>
    </w:p>
    <w:p w14:paraId="2A7DCA1B" w14:textId="6874B5EC" w:rsidR="00AD6A5C" w:rsidRPr="00862F29" w:rsidRDefault="00AD6A5C" w:rsidP="006F7F94">
      <w:pPr>
        <w:widowControl w:val="0"/>
        <w:autoSpaceDE w:val="0"/>
        <w:autoSpaceDN w:val="0"/>
        <w:adjustRightInd w:val="0"/>
        <w:spacing w:after="0" w:line="240" w:lineRule="auto"/>
        <w:jc w:val="right"/>
        <w:rPr>
          <w:sz w:val="20"/>
          <w:szCs w:val="20"/>
          <w:lang w:eastAsia="et-EE"/>
        </w:rPr>
      </w:pPr>
      <w:r w:rsidRPr="00862F29">
        <w:rPr>
          <w:b/>
          <w:sz w:val="20"/>
          <w:szCs w:val="20"/>
          <w:lang w:eastAsia="et-EE"/>
        </w:rPr>
        <w:t xml:space="preserve"> Lisa 1                       </w:t>
      </w:r>
    </w:p>
    <w:p w14:paraId="36BF361E" w14:textId="77777777" w:rsidR="00AD6A5C" w:rsidRDefault="00AD6A5C" w:rsidP="00AD6A5C">
      <w:pPr>
        <w:widowControl w:val="0"/>
        <w:autoSpaceDE w:val="0"/>
        <w:autoSpaceDN w:val="0"/>
        <w:adjustRightInd w:val="0"/>
        <w:jc w:val="right"/>
        <w:rPr>
          <w:sz w:val="20"/>
          <w:szCs w:val="20"/>
          <w:lang w:eastAsia="et-EE"/>
        </w:rPr>
      </w:pPr>
    </w:p>
    <w:p w14:paraId="608BDB3D" w14:textId="77777777" w:rsidR="00AD6A5C" w:rsidRDefault="00AD6A5C" w:rsidP="00AD6A5C">
      <w:pPr>
        <w:widowControl w:val="0"/>
        <w:autoSpaceDE w:val="0"/>
        <w:autoSpaceDN w:val="0"/>
        <w:adjustRightInd w:val="0"/>
        <w:jc w:val="right"/>
        <w:rPr>
          <w:sz w:val="20"/>
          <w:szCs w:val="20"/>
          <w:lang w:eastAsia="et-EE"/>
        </w:rPr>
      </w:pPr>
    </w:p>
    <w:p w14:paraId="706691CB" w14:textId="77777777" w:rsidR="00AD6A5C" w:rsidRPr="00E876A3" w:rsidRDefault="00AD6A5C" w:rsidP="00AD6A5C">
      <w:pPr>
        <w:widowControl w:val="0"/>
        <w:autoSpaceDE w:val="0"/>
        <w:autoSpaceDN w:val="0"/>
        <w:adjustRightInd w:val="0"/>
        <w:spacing w:before="120" w:after="120"/>
        <w:rPr>
          <w:b/>
          <w:sz w:val="20"/>
          <w:szCs w:val="20"/>
          <w:lang w:eastAsia="et-EE"/>
        </w:rPr>
      </w:pPr>
      <w:r w:rsidRPr="00E876A3">
        <w:rPr>
          <w:b/>
          <w:sz w:val="20"/>
          <w:szCs w:val="20"/>
          <w:lang w:eastAsia="et-EE"/>
        </w:rPr>
        <w:t xml:space="preserve">                                                                                                                                                                         </w:t>
      </w:r>
    </w:p>
    <w:p w14:paraId="13D780BC" w14:textId="77777777" w:rsidR="00741CEA" w:rsidRDefault="006F7F94" w:rsidP="00F7100A">
      <w:pPr>
        <w:spacing w:after="0"/>
        <w:jc w:val="center"/>
        <w:rPr>
          <w:b/>
          <w:sz w:val="26"/>
          <w:szCs w:val="26"/>
        </w:rPr>
      </w:pPr>
      <w:bookmarkStart w:id="1" w:name="_Hlk126823808"/>
      <w:r>
        <w:rPr>
          <w:b/>
          <w:sz w:val="26"/>
          <w:szCs w:val="26"/>
        </w:rPr>
        <w:t>Sidevõrgus kohaliku ja</w:t>
      </w:r>
      <w:r w:rsidR="00AD6A5C" w:rsidRPr="00C34D49">
        <w:rPr>
          <w:b/>
          <w:sz w:val="26"/>
          <w:szCs w:val="26"/>
        </w:rPr>
        <w:t xml:space="preserve"> keskse juurdepääsu hulgitur</w:t>
      </w:r>
      <w:r w:rsidR="00133A01">
        <w:rPr>
          <w:b/>
          <w:sz w:val="26"/>
          <w:szCs w:val="26"/>
        </w:rPr>
        <w:t>g</w:t>
      </w:r>
      <w:r w:rsidR="00AD6A5C" w:rsidRPr="00C34D49">
        <w:rPr>
          <w:b/>
          <w:sz w:val="26"/>
          <w:szCs w:val="26"/>
        </w:rPr>
        <w:t>u</w:t>
      </w:r>
      <w:r w:rsidR="00133A01">
        <w:rPr>
          <w:b/>
          <w:sz w:val="26"/>
          <w:szCs w:val="26"/>
        </w:rPr>
        <w:t>de</w:t>
      </w:r>
      <w:r w:rsidR="00AD6A5C">
        <w:rPr>
          <w:b/>
          <w:sz w:val="26"/>
          <w:szCs w:val="26"/>
        </w:rPr>
        <w:t xml:space="preserve"> </w:t>
      </w:r>
      <w:bookmarkEnd w:id="1"/>
    </w:p>
    <w:p w14:paraId="4E83DFEC" w14:textId="6A451BFD" w:rsidR="00AD6A5C" w:rsidRPr="00C34D49" w:rsidRDefault="00C6644A" w:rsidP="00F7100A">
      <w:pPr>
        <w:spacing w:after="0"/>
        <w:jc w:val="center"/>
        <w:rPr>
          <w:b/>
          <w:sz w:val="26"/>
          <w:szCs w:val="26"/>
        </w:rPr>
      </w:pPr>
      <w:r>
        <w:rPr>
          <w:b/>
          <w:sz w:val="26"/>
          <w:szCs w:val="26"/>
        </w:rPr>
        <w:t>p</w:t>
      </w:r>
      <w:r w:rsidR="00AD6A5C">
        <w:rPr>
          <w:b/>
          <w:sz w:val="26"/>
          <w:szCs w:val="26"/>
        </w:rPr>
        <w:t>iiritlemi</w:t>
      </w:r>
      <w:r w:rsidR="00E17238">
        <w:rPr>
          <w:b/>
          <w:sz w:val="26"/>
          <w:szCs w:val="26"/>
        </w:rPr>
        <w:t>n</w:t>
      </w:r>
      <w:r w:rsidR="00AD6A5C">
        <w:rPr>
          <w:b/>
          <w:sz w:val="26"/>
          <w:szCs w:val="26"/>
        </w:rPr>
        <w:t>e</w:t>
      </w:r>
      <w:r>
        <w:rPr>
          <w:b/>
          <w:sz w:val="26"/>
          <w:szCs w:val="26"/>
        </w:rPr>
        <w:t xml:space="preserve"> ja</w:t>
      </w:r>
      <w:r w:rsidR="00741CEA">
        <w:rPr>
          <w:b/>
          <w:sz w:val="26"/>
          <w:szCs w:val="26"/>
        </w:rPr>
        <w:t xml:space="preserve"> konkurentsi olukorra</w:t>
      </w:r>
      <w:r>
        <w:rPr>
          <w:b/>
          <w:sz w:val="26"/>
          <w:szCs w:val="26"/>
        </w:rPr>
        <w:t xml:space="preserve"> analüüs ning</w:t>
      </w:r>
    </w:p>
    <w:p w14:paraId="22723B1F" w14:textId="77777777" w:rsidR="00C6644A" w:rsidRDefault="00C6644A" w:rsidP="00F7100A">
      <w:pPr>
        <w:spacing w:after="0"/>
        <w:jc w:val="center"/>
        <w:rPr>
          <w:b/>
          <w:sz w:val="26"/>
          <w:szCs w:val="26"/>
        </w:rPr>
      </w:pPr>
      <w:r>
        <w:rPr>
          <w:b/>
          <w:sz w:val="26"/>
          <w:szCs w:val="26"/>
        </w:rPr>
        <w:t xml:space="preserve">vastavatel turgudel </w:t>
      </w:r>
      <w:r w:rsidR="00AD6A5C" w:rsidRPr="00B932DA">
        <w:rPr>
          <w:b/>
          <w:sz w:val="26"/>
          <w:szCs w:val="26"/>
        </w:rPr>
        <w:t>märkimisväärse turujõuga ettevõtja</w:t>
      </w:r>
      <w:r w:rsidR="00133A01">
        <w:rPr>
          <w:b/>
          <w:sz w:val="26"/>
          <w:szCs w:val="26"/>
        </w:rPr>
        <w:t xml:space="preserve"> määrami</w:t>
      </w:r>
      <w:r w:rsidR="00741CEA">
        <w:rPr>
          <w:b/>
          <w:sz w:val="26"/>
          <w:szCs w:val="26"/>
        </w:rPr>
        <w:t>s</w:t>
      </w:r>
      <w:r w:rsidR="00133A01">
        <w:rPr>
          <w:b/>
          <w:sz w:val="26"/>
          <w:szCs w:val="26"/>
        </w:rPr>
        <w:t xml:space="preserve">e </w:t>
      </w:r>
    </w:p>
    <w:p w14:paraId="04689D50" w14:textId="7C7EAAFA" w:rsidR="00AD6A5C" w:rsidRPr="00084874" w:rsidRDefault="00133A01" w:rsidP="00F7100A">
      <w:pPr>
        <w:spacing w:after="0"/>
        <w:jc w:val="center"/>
        <w:rPr>
          <w:b/>
          <w:sz w:val="26"/>
          <w:szCs w:val="26"/>
        </w:rPr>
      </w:pPr>
      <w:r>
        <w:rPr>
          <w:b/>
          <w:sz w:val="26"/>
          <w:szCs w:val="26"/>
        </w:rPr>
        <w:t xml:space="preserve">ja määramata jätmise </w:t>
      </w:r>
      <w:r w:rsidR="00F7100A" w:rsidRPr="00F7100A">
        <w:rPr>
          <w:b/>
          <w:sz w:val="26"/>
          <w:szCs w:val="26"/>
        </w:rPr>
        <w:t>ning kohustuste kehtestami</w:t>
      </w:r>
      <w:r w:rsidR="00DE1044">
        <w:rPr>
          <w:b/>
          <w:sz w:val="26"/>
          <w:szCs w:val="26"/>
        </w:rPr>
        <w:t>s</w:t>
      </w:r>
      <w:r w:rsidR="00F7100A" w:rsidRPr="00F7100A">
        <w:rPr>
          <w:b/>
          <w:sz w:val="26"/>
          <w:szCs w:val="26"/>
        </w:rPr>
        <w:t>e</w:t>
      </w:r>
      <w:r w:rsidR="00DE1044">
        <w:rPr>
          <w:b/>
          <w:sz w:val="26"/>
          <w:szCs w:val="26"/>
        </w:rPr>
        <w:t xml:space="preserve"> analüüs</w:t>
      </w:r>
      <w:r w:rsidR="00AD6A5C" w:rsidRPr="00B932DA">
        <w:rPr>
          <w:b/>
          <w:sz w:val="26"/>
          <w:szCs w:val="26"/>
        </w:rPr>
        <w:t xml:space="preserve"> </w:t>
      </w:r>
      <w:r w:rsidR="00AD6A5C" w:rsidRPr="00C34D49">
        <w:rPr>
          <w:b/>
          <w:sz w:val="26"/>
          <w:szCs w:val="26"/>
        </w:rPr>
        <w:t xml:space="preserve">  </w:t>
      </w:r>
    </w:p>
    <w:p w14:paraId="3C67BEB5" w14:textId="77777777" w:rsidR="00AD6A5C" w:rsidRPr="00084874" w:rsidRDefault="00AD6A5C" w:rsidP="00AD6A5C">
      <w:pPr>
        <w:jc w:val="center"/>
        <w:rPr>
          <w:b/>
          <w:sz w:val="26"/>
          <w:szCs w:val="26"/>
        </w:rPr>
      </w:pPr>
    </w:p>
    <w:p w14:paraId="730C0BE1" w14:textId="77777777" w:rsidR="00AD6A5C" w:rsidRPr="00084874" w:rsidRDefault="00AD6A5C" w:rsidP="00AD6A5C">
      <w:pPr>
        <w:jc w:val="center"/>
        <w:rPr>
          <w:b/>
          <w:sz w:val="26"/>
          <w:szCs w:val="26"/>
        </w:rPr>
      </w:pPr>
    </w:p>
    <w:p w14:paraId="15483936" w14:textId="77777777" w:rsidR="00133A01" w:rsidRDefault="00133A01" w:rsidP="00AD6A5C">
      <w:pPr>
        <w:jc w:val="center"/>
        <w:rPr>
          <w:b/>
          <w:sz w:val="26"/>
          <w:szCs w:val="26"/>
        </w:rPr>
      </w:pPr>
    </w:p>
    <w:p w14:paraId="1992077A" w14:textId="77777777" w:rsidR="00133A01" w:rsidRDefault="00133A01" w:rsidP="00AD6A5C">
      <w:pPr>
        <w:jc w:val="center"/>
        <w:rPr>
          <w:b/>
          <w:sz w:val="26"/>
          <w:szCs w:val="26"/>
        </w:rPr>
      </w:pPr>
    </w:p>
    <w:p w14:paraId="2A6A12D1" w14:textId="77777777" w:rsidR="00133A01" w:rsidRPr="00084874" w:rsidRDefault="00133A01" w:rsidP="00AD6A5C">
      <w:pPr>
        <w:jc w:val="center"/>
        <w:rPr>
          <w:b/>
          <w:sz w:val="26"/>
          <w:szCs w:val="26"/>
        </w:rPr>
      </w:pPr>
    </w:p>
    <w:p w14:paraId="3030A6AF" w14:textId="77777777" w:rsidR="00AD6A5C" w:rsidRPr="00084874" w:rsidRDefault="00AD6A5C" w:rsidP="00AD6A5C">
      <w:pPr>
        <w:jc w:val="center"/>
        <w:rPr>
          <w:b/>
          <w:sz w:val="26"/>
          <w:szCs w:val="26"/>
        </w:rPr>
      </w:pPr>
      <w:r>
        <w:rPr>
          <w:b/>
          <w:sz w:val="26"/>
          <w:szCs w:val="26"/>
        </w:rPr>
        <w:t xml:space="preserve">Tarbijakaitse ja </w:t>
      </w:r>
      <w:r w:rsidRPr="00084874">
        <w:rPr>
          <w:b/>
          <w:sz w:val="26"/>
          <w:szCs w:val="26"/>
        </w:rPr>
        <w:t>Tehnilise Järelevalve Amet</w:t>
      </w:r>
    </w:p>
    <w:p w14:paraId="5577496F" w14:textId="77777777" w:rsidR="00AD6A5C" w:rsidRPr="00084874" w:rsidRDefault="00AD6A5C" w:rsidP="00AD6A5C">
      <w:pPr>
        <w:jc w:val="center"/>
        <w:rPr>
          <w:b/>
          <w:bCs/>
          <w:sz w:val="36"/>
          <w:szCs w:val="36"/>
          <w:lang w:eastAsia="et-EE"/>
        </w:rPr>
      </w:pPr>
    </w:p>
    <w:p w14:paraId="5C491A90" w14:textId="77777777" w:rsidR="00AD6A5C" w:rsidRPr="00084874" w:rsidRDefault="00AD6A5C" w:rsidP="00AD6A5C">
      <w:pPr>
        <w:widowControl w:val="0"/>
        <w:autoSpaceDE w:val="0"/>
        <w:autoSpaceDN w:val="0"/>
        <w:adjustRightInd w:val="0"/>
        <w:jc w:val="center"/>
        <w:rPr>
          <w:b/>
          <w:bCs/>
          <w:sz w:val="36"/>
          <w:szCs w:val="36"/>
        </w:rPr>
      </w:pPr>
    </w:p>
    <w:p w14:paraId="7B8CEE16" w14:textId="77777777" w:rsidR="00AD6A5C" w:rsidRPr="00084874" w:rsidRDefault="00AD6A5C" w:rsidP="00AD6A5C">
      <w:pPr>
        <w:widowControl w:val="0"/>
        <w:autoSpaceDE w:val="0"/>
        <w:autoSpaceDN w:val="0"/>
        <w:adjustRightInd w:val="0"/>
        <w:jc w:val="center"/>
        <w:rPr>
          <w:b/>
          <w:bCs/>
          <w:sz w:val="36"/>
          <w:szCs w:val="36"/>
        </w:rPr>
      </w:pPr>
    </w:p>
    <w:p w14:paraId="6896B1C8" w14:textId="77777777" w:rsidR="00AD6A5C" w:rsidRPr="00084874" w:rsidRDefault="00AD6A5C" w:rsidP="00AD6A5C">
      <w:pPr>
        <w:widowControl w:val="0"/>
        <w:autoSpaceDE w:val="0"/>
        <w:autoSpaceDN w:val="0"/>
        <w:adjustRightInd w:val="0"/>
        <w:jc w:val="center"/>
        <w:rPr>
          <w:b/>
          <w:bCs/>
          <w:sz w:val="36"/>
          <w:szCs w:val="36"/>
        </w:rPr>
      </w:pPr>
    </w:p>
    <w:p w14:paraId="3DC37A52" w14:textId="77777777" w:rsidR="00AD6A5C" w:rsidRPr="00084874" w:rsidRDefault="00AD6A5C" w:rsidP="00AD6A5C">
      <w:pPr>
        <w:widowControl w:val="0"/>
        <w:autoSpaceDE w:val="0"/>
        <w:autoSpaceDN w:val="0"/>
        <w:adjustRightInd w:val="0"/>
        <w:jc w:val="center"/>
        <w:rPr>
          <w:b/>
          <w:bCs/>
          <w:sz w:val="36"/>
          <w:szCs w:val="36"/>
        </w:rPr>
      </w:pPr>
    </w:p>
    <w:p w14:paraId="5826DDB5" w14:textId="72E08E0C" w:rsidR="00AD6A5C" w:rsidRPr="00C65AD7" w:rsidRDefault="00AD6A5C" w:rsidP="00AD6A5C">
      <w:pPr>
        <w:widowControl w:val="0"/>
        <w:autoSpaceDE w:val="0"/>
        <w:autoSpaceDN w:val="0"/>
        <w:adjustRightInd w:val="0"/>
        <w:rPr>
          <w:sz w:val="26"/>
          <w:szCs w:val="26"/>
        </w:rPr>
      </w:pPr>
      <w:r w:rsidRPr="00084874">
        <w:rPr>
          <w:b/>
          <w:bCs/>
          <w:sz w:val="36"/>
          <w:szCs w:val="36"/>
        </w:rPr>
        <w:t xml:space="preserve">                               </w:t>
      </w:r>
      <w:r>
        <w:rPr>
          <w:b/>
          <w:bCs/>
          <w:sz w:val="36"/>
          <w:szCs w:val="36"/>
        </w:rPr>
        <w:tab/>
      </w:r>
      <w:r>
        <w:rPr>
          <w:b/>
          <w:bCs/>
          <w:sz w:val="36"/>
          <w:szCs w:val="36"/>
        </w:rPr>
        <w:tab/>
      </w:r>
      <w:r>
        <w:rPr>
          <w:b/>
          <w:bCs/>
          <w:sz w:val="36"/>
          <w:szCs w:val="36"/>
        </w:rPr>
        <w:tab/>
      </w:r>
    </w:p>
    <w:p w14:paraId="354DFD15" w14:textId="66144A15" w:rsidR="007822B1" w:rsidRDefault="007822B1" w:rsidP="00AA241E">
      <w:pPr>
        <w:jc w:val="both"/>
        <w:rPr>
          <w:rFonts w:eastAsia="Times New Roman" w:cs="Times New Roman"/>
          <w:b/>
          <w:sz w:val="28"/>
          <w:szCs w:val="28"/>
          <w:lang w:eastAsia="lv-LV"/>
        </w:rPr>
      </w:pPr>
    </w:p>
    <w:sdt>
      <w:sdtPr>
        <w:rPr>
          <w:rFonts w:eastAsiaTheme="minorEastAsia" w:cstheme="minorBidi"/>
          <w:b w:val="0"/>
          <w:sz w:val="24"/>
          <w:szCs w:val="24"/>
          <w:lang w:eastAsia="ja-JP"/>
        </w:rPr>
        <w:id w:val="61451601"/>
        <w:docPartObj>
          <w:docPartGallery w:val="Table of Contents"/>
          <w:docPartUnique/>
        </w:docPartObj>
      </w:sdtPr>
      <w:sdtEndPr>
        <w:rPr>
          <w:bCs/>
        </w:rPr>
      </w:sdtEndPr>
      <w:sdtContent>
        <w:p w14:paraId="0BF2E134" w14:textId="178FC712" w:rsidR="007822B1" w:rsidRDefault="007822B1" w:rsidP="00AA241E">
          <w:pPr>
            <w:pStyle w:val="Sisukorrapealkiri"/>
            <w:numPr>
              <w:ilvl w:val="0"/>
              <w:numId w:val="0"/>
            </w:numPr>
            <w:ind w:left="360"/>
          </w:pPr>
          <w:r>
            <w:t>Sisukord</w:t>
          </w:r>
        </w:p>
        <w:p w14:paraId="65B233A4" w14:textId="5C2AB5A4" w:rsidR="00A212D3" w:rsidRDefault="007822B1">
          <w:pPr>
            <w:pStyle w:val="SK1"/>
            <w:tabs>
              <w:tab w:val="right" w:leader="dot" w:pos="9350"/>
            </w:tabs>
            <w:rPr>
              <w:rFonts w:asciiTheme="minorHAnsi" w:hAnsiTheme="minorHAnsi"/>
              <w:noProof/>
              <w:kern w:val="2"/>
              <w:sz w:val="22"/>
              <w:szCs w:val="22"/>
              <w:lang w:eastAsia="et-EE"/>
              <w14:ligatures w14:val="standardContextual"/>
            </w:rPr>
          </w:pPr>
          <w:r>
            <w:fldChar w:fldCharType="begin"/>
          </w:r>
          <w:r>
            <w:instrText xml:space="preserve"> TOC \o "1-3" \h \z \u </w:instrText>
          </w:r>
          <w:r>
            <w:fldChar w:fldCharType="separate"/>
          </w:r>
          <w:hyperlink w:anchor="_Toc174710682" w:history="1">
            <w:r w:rsidR="00A212D3" w:rsidRPr="0053297C">
              <w:rPr>
                <w:rStyle w:val="Hperlink"/>
                <w:noProof/>
              </w:rPr>
              <w:t>KOKKUVÕTE</w:t>
            </w:r>
            <w:r w:rsidR="00A212D3">
              <w:rPr>
                <w:noProof/>
                <w:webHidden/>
              </w:rPr>
              <w:tab/>
            </w:r>
            <w:r w:rsidR="00A212D3">
              <w:rPr>
                <w:noProof/>
                <w:webHidden/>
              </w:rPr>
              <w:fldChar w:fldCharType="begin"/>
            </w:r>
            <w:r w:rsidR="00A212D3">
              <w:rPr>
                <w:noProof/>
                <w:webHidden/>
              </w:rPr>
              <w:instrText xml:space="preserve"> PAGEREF _Toc174710682 \h </w:instrText>
            </w:r>
            <w:r w:rsidR="00A212D3">
              <w:rPr>
                <w:noProof/>
                <w:webHidden/>
              </w:rPr>
            </w:r>
            <w:r w:rsidR="00A212D3">
              <w:rPr>
                <w:noProof/>
                <w:webHidden/>
              </w:rPr>
              <w:fldChar w:fldCharType="separate"/>
            </w:r>
            <w:r w:rsidR="00D2135F">
              <w:rPr>
                <w:noProof/>
                <w:webHidden/>
              </w:rPr>
              <w:t>7</w:t>
            </w:r>
            <w:r w:rsidR="00A212D3">
              <w:rPr>
                <w:noProof/>
                <w:webHidden/>
              </w:rPr>
              <w:fldChar w:fldCharType="end"/>
            </w:r>
          </w:hyperlink>
        </w:p>
        <w:p w14:paraId="00740009" w14:textId="77FAFA4C" w:rsidR="00A212D3" w:rsidRDefault="00A212D3">
          <w:pPr>
            <w:pStyle w:val="SK1"/>
            <w:tabs>
              <w:tab w:val="left" w:pos="440"/>
              <w:tab w:val="right" w:leader="dot" w:pos="9350"/>
            </w:tabs>
            <w:rPr>
              <w:rFonts w:asciiTheme="minorHAnsi" w:hAnsiTheme="minorHAnsi"/>
              <w:noProof/>
              <w:kern w:val="2"/>
              <w:sz w:val="22"/>
              <w:szCs w:val="22"/>
              <w:lang w:eastAsia="et-EE"/>
              <w14:ligatures w14:val="standardContextual"/>
            </w:rPr>
          </w:pPr>
          <w:hyperlink w:anchor="_Toc174710683" w:history="1">
            <w:r w:rsidRPr="0053297C">
              <w:rPr>
                <w:rStyle w:val="Hperlink"/>
                <w:noProof/>
              </w:rPr>
              <w:t>1.</w:t>
            </w:r>
            <w:r>
              <w:rPr>
                <w:rFonts w:asciiTheme="minorHAnsi" w:hAnsiTheme="minorHAnsi"/>
                <w:noProof/>
                <w:kern w:val="2"/>
                <w:sz w:val="22"/>
                <w:szCs w:val="22"/>
                <w:lang w:eastAsia="et-EE"/>
                <w14:ligatures w14:val="standardContextual"/>
              </w:rPr>
              <w:tab/>
            </w:r>
            <w:r w:rsidRPr="0053297C">
              <w:rPr>
                <w:rStyle w:val="Hperlink"/>
                <w:noProof/>
              </w:rPr>
              <w:t>TURUANALÜÜSI ÕIGUSLIKUD ALUSED JA ÜLDINE EESMÄRK</w:t>
            </w:r>
            <w:r>
              <w:rPr>
                <w:noProof/>
                <w:webHidden/>
              </w:rPr>
              <w:tab/>
            </w:r>
            <w:r>
              <w:rPr>
                <w:noProof/>
                <w:webHidden/>
              </w:rPr>
              <w:fldChar w:fldCharType="begin"/>
            </w:r>
            <w:r>
              <w:rPr>
                <w:noProof/>
                <w:webHidden/>
              </w:rPr>
              <w:instrText xml:space="preserve"> PAGEREF _Toc174710683 \h </w:instrText>
            </w:r>
            <w:r>
              <w:rPr>
                <w:noProof/>
                <w:webHidden/>
              </w:rPr>
            </w:r>
            <w:r>
              <w:rPr>
                <w:noProof/>
                <w:webHidden/>
              </w:rPr>
              <w:fldChar w:fldCharType="separate"/>
            </w:r>
            <w:r w:rsidR="00D2135F">
              <w:rPr>
                <w:noProof/>
                <w:webHidden/>
              </w:rPr>
              <w:t>9</w:t>
            </w:r>
            <w:r>
              <w:rPr>
                <w:noProof/>
                <w:webHidden/>
              </w:rPr>
              <w:fldChar w:fldCharType="end"/>
            </w:r>
          </w:hyperlink>
        </w:p>
        <w:p w14:paraId="7D320A7E" w14:textId="13915E63"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684" w:history="1">
            <w:r w:rsidRPr="0053297C">
              <w:rPr>
                <w:rStyle w:val="Hperlink"/>
                <w:noProof/>
              </w:rPr>
              <w:t>1.1</w:t>
            </w:r>
            <w:r>
              <w:rPr>
                <w:rFonts w:asciiTheme="minorHAnsi" w:eastAsiaTheme="minorEastAsia" w:hAnsiTheme="minorHAnsi"/>
                <w:noProof/>
                <w:kern w:val="2"/>
                <w:lang w:eastAsia="et-EE"/>
                <w14:ligatures w14:val="standardContextual"/>
              </w:rPr>
              <w:tab/>
            </w:r>
            <w:r w:rsidRPr="0053297C">
              <w:rPr>
                <w:rStyle w:val="Hperlink"/>
                <w:noProof/>
              </w:rPr>
              <w:t>Hulgiturgude 3 b ja 1 analüüside üldine õiguslik raamistik</w:t>
            </w:r>
            <w:r>
              <w:rPr>
                <w:noProof/>
                <w:webHidden/>
              </w:rPr>
              <w:tab/>
            </w:r>
            <w:r>
              <w:rPr>
                <w:noProof/>
                <w:webHidden/>
              </w:rPr>
              <w:fldChar w:fldCharType="begin"/>
            </w:r>
            <w:r>
              <w:rPr>
                <w:noProof/>
                <w:webHidden/>
              </w:rPr>
              <w:instrText xml:space="preserve"> PAGEREF _Toc174710684 \h </w:instrText>
            </w:r>
            <w:r>
              <w:rPr>
                <w:noProof/>
                <w:webHidden/>
              </w:rPr>
            </w:r>
            <w:r>
              <w:rPr>
                <w:noProof/>
                <w:webHidden/>
              </w:rPr>
              <w:fldChar w:fldCharType="separate"/>
            </w:r>
            <w:r w:rsidR="00D2135F">
              <w:rPr>
                <w:noProof/>
                <w:webHidden/>
              </w:rPr>
              <w:t>9</w:t>
            </w:r>
            <w:r>
              <w:rPr>
                <w:noProof/>
                <w:webHidden/>
              </w:rPr>
              <w:fldChar w:fldCharType="end"/>
            </w:r>
          </w:hyperlink>
        </w:p>
        <w:p w14:paraId="03C990F2" w14:textId="5AE96023"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685" w:history="1">
            <w:r w:rsidRPr="0053297C">
              <w:rPr>
                <w:rStyle w:val="Hperlink"/>
                <w:noProof/>
              </w:rPr>
              <w:t>1.2</w:t>
            </w:r>
            <w:r>
              <w:rPr>
                <w:rFonts w:asciiTheme="minorHAnsi" w:eastAsiaTheme="minorEastAsia" w:hAnsiTheme="minorHAnsi"/>
                <w:noProof/>
                <w:kern w:val="2"/>
                <w:lang w:eastAsia="et-EE"/>
                <w14:ligatures w14:val="standardContextual"/>
              </w:rPr>
              <w:tab/>
            </w:r>
            <w:r w:rsidRPr="0053297C">
              <w:rPr>
                <w:rStyle w:val="Hperlink"/>
                <w:noProof/>
              </w:rPr>
              <w:t>Kolme kriteeriumi testi rakendamise alused</w:t>
            </w:r>
            <w:r>
              <w:rPr>
                <w:noProof/>
                <w:webHidden/>
              </w:rPr>
              <w:tab/>
            </w:r>
            <w:r>
              <w:rPr>
                <w:noProof/>
                <w:webHidden/>
              </w:rPr>
              <w:fldChar w:fldCharType="begin"/>
            </w:r>
            <w:r>
              <w:rPr>
                <w:noProof/>
                <w:webHidden/>
              </w:rPr>
              <w:instrText xml:space="preserve"> PAGEREF _Toc174710685 \h </w:instrText>
            </w:r>
            <w:r>
              <w:rPr>
                <w:noProof/>
                <w:webHidden/>
              </w:rPr>
            </w:r>
            <w:r>
              <w:rPr>
                <w:noProof/>
                <w:webHidden/>
              </w:rPr>
              <w:fldChar w:fldCharType="separate"/>
            </w:r>
            <w:r w:rsidR="00D2135F">
              <w:rPr>
                <w:noProof/>
                <w:webHidden/>
              </w:rPr>
              <w:t>12</w:t>
            </w:r>
            <w:r>
              <w:rPr>
                <w:noProof/>
                <w:webHidden/>
              </w:rPr>
              <w:fldChar w:fldCharType="end"/>
            </w:r>
          </w:hyperlink>
        </w:p>
        <w:p w14:paraId="66CA34A8" w14:textId="6F1BDD57"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686" w:history="1">
            <w:r w:rsidRPr="0053297C">
              <w:rPr>
                <w:rStyle w:val="Hperlink"/>
                <w:noProof/>
              </w:rPr>
              <w:t>1.3</w:t>
            </w:r>
            <w:r>
              <w:rPr>
                <w:rFonts w:asciiTheme="minorHAnsi" w:eastAsiaTheme="minorEastAsia" w:hAnsiTheme="minorHAnsi"/>
                <w:noProof/>
                <w:kern w:val="2"/>
                <w:lang w:eastAsia="et-EE"/>
                <w14:ligatures w14:val="standardContextual"/>
              </w:rPr>
              <w:tab/>
            </w:r>
            <w:r w:rsidRPr="0053297C">
              <w:rPr>
                <w:rStyle w:val="Hperlink"/>
                <w:noProof/>
              </w:rPr>
              <w:t>Koostöö Konkurentsiametiga</w:t>
            </w:r>
            <w:r>
              <w:rPr>
                <w:noProof/>
                <w:webHidden/>
              </w:rPr>
              <w:tab/>
            </w:r>
            <w:r>
              <w:rPr>
                <w:noProof/>
                <w:webHidden/>
              </w:rPr>
              <w:fldChar w:fldCharType="begin"/>
            </w:r>
            <w:r>
              <w:rPr>
                <w:noProof/>
                <w:webHidden/>
              </w:rPr>
              <w:instrText xml:space="preserve"> PAGEREF _Toc174710686 \h </w:instrText>
            </w:r>
            <w:r>
              <w:rPr>
                <w:noProof/>
                <w:webHidden/>
              </w:rPr>
            </w:r>
            <w:r>
              <w:rPr>
                <w:noProof/>
                <w:webHidden/>
              </w:rPr>
              <w:fldChar w:fldCharType="separate"/>
            </w:r>
            <w:r w:rsidR="00D2135F">
              <w:rPr>
                <w:noProof/>
                <w:webHidden/>
              </w:rPr>
              <w:t>12</w:t>
            </w:r>
            <w:r>
              <w:rPr>
                <w:noProof/>
                <w:webHidden/>
              </w:rPr>
              <w:fldChar w:fldCharType="end"/>
            </w:r>
          </w:hyperlink>
        </w:p>
        <w:p w14:paraId="7652F954" w14:textId="7FD045AC"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687" w:history="1">
            <w:r w:rsidRPr="0053297C">
              <w:rPr>
                <w:rStyle w:val="Hperlink"/>
                <w:noProof/>
              </w:rPr>
              <w:t>1.4</w:t>
            </w:r>
            <w:r>
              <w:rPr>
                <w:rFonts w:asciiTheme="minorHAnsi" w:eastAsiaTheme="minorEastAsia" w:hAnsiTheme="minorHAnsi"/>
                <w:noProof/>
                <w:kern w:val="2"/>
                <w:lang w:eastAsia="et-EE"/>
                <w14:ligatures w14:val="standardContextual"/>
              </w:rPr>
              <w:tab/>
            </w:r>
            <w:r w:rsidRPr="0053297C">
              <w:rPr>
                <w:rStyle w:val="Hperlink"/>
                <w:noProof/>
              </w:rPr>
              <w:t>Riigisisene konsulteerimine</w:t>
            </w:r>
            <w:r>
              <w:rPr>
                <w:noProof/>
                <w:webHidden/>
              </w:rPr>
              <w:tab/>
            </w:r>
            <w:r>
              <w:rPr>
                <w:noProof/>
                <w:webHidden/>
              </w:rPr>
              <w:fldChar w:fldCharType="begin"/>
            </w:r>
            <w:r>
              <w:rPr>
                <w:noProof/>
                <w:webHidden/>
              </w:rPr>
              <w:instrText xml:space="preserve"> PAGEREF _Toc174710687 \h </w:instrText>
            </w:r>
            <w:r>
              <w:rPr>
                <w:noProof/>
                <w:webHidden/>
              </w:rPr>
            </w:r>
            <w:r>
              <w:rPr>
                <w:noProof/>
                <w:webHidden/>
              </w:rPr>
              <w:fldChar w:fldCharType="separate"/>
            </w:r>
            <w:r w:rsidR="00D2135F">
              <w:rPr>
                <w:noProof/>
                <w:webHidden/>
              </w:rPr>
              <w:t>12</w:t>
            </w:r>
            <w:r>
              <w:rPr>
                <w:noProof/>
                <w:webHidden/>
              </w:rPr>
              <w:fldChar w:fldCharType="end"/>
            </w:r>
          </w:hyperlink>
        </w:p>
        <w:p w14:paraId="683405B9" w14:textId="503E0219"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688" w:history="1">
            <w:r w:rsidRPr="0053297C">
              <w:rPr>
                <w:rStyle w:val="Hperlink"/>
                <w:noProof/>
              </w:rPr>
              <w:t>1.5</w:t>
            </w:r>
            <w:r>
              <w:rPr>
                <w:rFonts w:asciiTheme="minorHAnsi" w:eastAsiaTheme="minorEastAsia" w:hAnsiTheme="minorHAnsi"/>
                <w:noProof/>
                <w:kern w:val="2"/>
                <w:lang w:eastAsia="et-EE"/>
                <w14:ligatures w14:val="standardContextual"/>
              </w:rPr>
              <w:tab/>
            </w:r>
            <w:r w:rsidRPr="0053297C">
              <w:rPr>
                <w:rStyle w:val="Hperlink"/>
                <w:noProof/>
              </w:rPr>
              <w:t>Elektroonilise side võrkudes kasutusel olevad võrguarhitektuurid</w:t>
            </w:r>
            <w:r>
              <w:rPr>
                <w:noProof/>
                <w:webHidden/>
              </w:rPr>
              <w:tab/>
            </w:r>
            <w:r>
              <w:rPr>
                <w:noProof/>
                <w:webHidden/>
              </w:rPr>
              <w:fldChar w:fldCharType="begin"/>
            </w:r>
            <w:r>
              <w:rPr>
                <w:noProof/>
                <w:webHidden/>
              </w:rPr>
              <w:instrText xml:space="preserve"> PAGEREF _Toc174710688 \h </w:instrText>
            </w:r>
            <w:r>
              <w:rPr>
                <w:noProof/>
                <w:webHidden/>
              </w:rPr>
            </w:r>
            <w:r>
              <w:rPr>
                <w:noProof/>
                <w:webHidden/>
              </w:rPr>
              <w:fldChar w:fldCharType="separate"/>
            </w:r>
            <w:r w:rsidR="00D2135F">
              <w:rPr>
                <w:noProof/>
                <w:webHidden/>
              </w:rPr>
              <w:t>13</w:t>
            </w:r>
            <w:r>
              <w:rPr>
                <w:noProof/>
                <w:webHidden/>
              </w:rPr>
              <w:fldChar w:fldCharType="end"/>
            </w:r>
          </w:hyperlink>
        </w:p>
        <w:p w14:paraId="2ECC6DF0" w14:textId="2D63F43C" w:rsidR="00A212D3" w:rsidRDefault="00A212D3">
          <w:pPr>
            <w:pStyle w:val="SK1"/>
            <w:tabs>
              <w:tab w:val="left" w:pos="440"/>
              <w:tab w:val="right" w:leader="dot" w:pos="9350"/>
            </w:tabs>
            <w:rPr>
              <w:rFonts w:asciiTheme="minorHAnsi" w:hAnsiTheme="minorHAnsi"/>
              <w:noProof/>
              <w:kern w:val="2"/>
              <w:sz w:val="22"/>
              <w:szCs w:val="22"/>
              <w:lang w:eastAsia="et-EE"/>
              <w14:ligatures w14:val="standardContextual"/>
            </w:rPr>
          </w:pPr>
          <w:hyperlink w:anchor="_Toc174710689" w:history="1">
            <w:r w:rsidRPr="0053297C">
              <w:rPr>
                <w:rStyle w:val="Hperlink"/>
                <w:noProof/>
              </w:rPr>
              <w:t>2.</w:t>
            </w:r>
            <w:r>
              <w:rPr>
                <w:rFonts w:asciiTheme="minorHAnsi" w:hAnsiTheme="minorHAnsi"/>
                <w:noProof/>
                <w:kern w:val="2"/>
                <w:sz w:val="22"/>
                <w:szCs w:val="22"/>
                <w:lang w:eastAsia="et-EE"/>
                <w14:ligatures w14:val="standardContextual"/>
              </w:rPr>
              <w:tab/>
            </w:r>
            <w:r w:rsidRPr="0053297C">
              <w:rPr>
                <w:rStyle w:val="Hperlink"/>
                <w:noProof/>
              </w:rPr>
              <w:t>JAETURU PIIRITLEMINE</w:t>
            </w:r>
            <w:r>
              <w:rPr>
                <w:noProof/>
                <w:webHidden/>
              </w:rPr>
              <w:tab/>
            </w:r>
            <w:r>
              <w:rPr>
                <w:noProof/>
                <w:webHidden/>
              </w:rPr>
              <w:fldChar w:fldCharType="begin"/>
            </w:r>
            <w:r>
              <w:rPr>
                <w:noProof/>
                <w:webHidden/>
              </w:rPr>
              <w:instrText xml:space="preserve"> PAGEREF _Toc174710689 \h </w:instrText>
            </w:r>
            <w:r>
              <w:rPr>
                <w:noProof/>
                <w:webHidden/>
              </w:rPr>
            </w:r>
            <w:r>
              <w:rPr>
                <w:noProof/>
                <w:webHidden/>
              </w:rPr>
              <w:fldChar w:fldCharType="separate"/>
            </w:r>
            <w:r w:rsidR="00D2135F">
              <w:rPr>
                <w:noProof/>
                <w:webHidden/>
              </w:rPr>
              <w:t>19</w:t>
            </w:r>
            <w:r>
              <w:rPr>
                <w:noProof/>
                <w:webHidden/>
              </w:rPr>
              <w:fldChar w:fldCharType="end"/>
            </w:r>
          </w:hyperlink>
        </w:p>
        <w:p w14:paraId="65789030" w14:textId="28DC8210"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02" w:history="1">
            <w:r w:rsidRPr="0053297C">
              <w:rPr>
                <w:rStyle w:val="Hperlink"/>
                <w:noProof/>
              </w:rPr>
              <w:t>2.1.1</w:t>
            </w:r>
            <w:r>
              <w:rPr>
                <w:rFonts w:asciiTheme="minorHAnsi" w:eastAsiaTheme="minorEastAsia" w:hAnsiTheme="minorHAnsi"/>
                <w:noProof/>
                <w:kern w:val="2"/>
                <w:lang w:eastAsia="et-EE"/>
                <w14:ligatures w14:val="standardContextual"/>
              </w:rPr>
              <w:tab/>
            </w:r>
            <w:r w:rsidRPr="0053297C">
              <w:rPr>
                <w:rStyle w:val="Hperlink"/>
                <w:noProof/>
              </w:rPr>
              <w:t>Internetiühenduste jaeturu konkurentsi analüüsi õiguslikud alused</w:t>
            </w:r>
            <w:r>
              <w:rPr>
                <w:noProof/>
                <w:webHidden/>
              </w:rPr>
              <w:tab/>
            </w:r>
            <w:r>
              <w:rPr>
                <w:noProof/>
                <w:webHidden/>
              </w:rPr>
              <w:fldChar w:fldCharType="begin"/>
            </w:r>
            <w:r>
              <w:rPr>
                <w:noProof/>
                <w:webHidden/>
              </w:rPr>
              <w:instrText xml:space="preserve"> PAGEREF _Toc174710702 \h </w:instrText>
            </w:r>
            <w:r>
              <w:rPr>
                <w:noProof/>
                <w:webHidden/>
              </w:rPr>
            </w:r>
            <w:r>
              <w:rPr>
                <w:noProof/>
                <w:webHidden/>
              </w:rPr>
              <w:fldChar w:fldCharType="separate"/>
            </w:r>
            <w:r w:rsidR="00D2135F">
              <w:rPr>
                <w:noProof/>
                <w:webHidden/>
              </w:rPr>
              <w:t>20</w:t>
            </w:r>
            <w:r>
              <w:rPr>
                <w:noProof/>
                <w:webHidden/>
              </w:rPr>
              <w:fldChar w:fldCharType="end"/>
            </w:r>
          </w:hyperlink>
        </w:p>
        <w:p w14:paraId="5D407D71" w14:textId="10B5DDE6"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03" w:history="1">
            <w:r w:rsidRPr="0053297C">
              <w:rPr>
                <w:rStyle w:val="Hperlink"/>
                <w:noProof/>
              </w:rPr>
              <w:t>2.1.2</w:t>
            </w:r>
            <w:r>
              <w:rPr>
                <w:rFonts w:asciiTheme="minorHAnsi" w:eastAsiaTheme="minorEastAsia" w:hAnsiTheme="minorHAnsi"/>
                <w:noProof/>
                <w:kern w:val="2"/>
                <w:lang w:eastAsia="et-EE"/>
                <w14:ligatures w14:val="standardContextual"/>
              </w:rPr>
              <w:tab/>
            </w:r>
            <w:r w:rsidRPr="0053297C">
              <w:rPr>
                <w:rStyle w:val="Hperlink"/>
                <w:noProof/>
              </w:rPr>
              <w:t>Internetiühenduse jaeturu konkurentsi analüüsi üldine eesmärk</w:t>
            </w:r>
            <w:r>
              <w:rPr>
                <w:noProof/>
                <w:webHidden/>
              </w:rPr>
              <w:tab/>
            </w:r>
            <w:r>
              <w:rPr>
                <w:noProof/>
                <w:webHidden/>
              </w:rPr>
              <w:fldChar w:fldCharType="begin"/>
            </w:r>
            <w:r>
              <w:rPr>
                <w:noProof/>
                <w:webHidden/>
              </w:rPr>
              <w:instrText xml:space="preserve"> PAGEREF _Toc174710703 \h </w:instrText>
            </w:r>
            <w:r>
              <w:rPr>
                <w:noProof/>
                <w:webHidden/>
              </w:rPr>
            </w:r>
            <w:r>
              <w:rPr>
                <w:noProof/>
                <w:webHidden/>
              </w:rPr>
              <w:fldChar w:fldCharType="separate"/>
            </w:r>
            <w:r w:rsidR="00D2135F">
              <w:rPr>
                <w:noProof/>
                <w:webHidden/>
              </w:rPr>
              <w:t>21</w:t>
            </w:r>
            <w:r>
              <w:rPr>
                <w:noProof/>
                <w:webHidden/>
              </w:rPr>
              <w:fldChar w:fldCharType="end"/>
            </w:r>
          </w:hyperlink>
        </w:p>
        <w:p w14:paraId="0E19497F" w14:textId="4004F9E8"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705" w:history="1">
            <w:r w:rsidRPr="0053297C">
              <w:rPr>
                <w:rStyle w:val="Hperlink"/>
                <w:noProof/>
              </w:rPr>
              <w:t>2.2</w:t>
            </w:r>
            <w:r>
              <w:rPr>
                <w:rFonts w:asciiTheme="minorHAnsi" w:eastAsiaTheme="minorEastAsia" w:hAnsiTheme="minorHAnsi"/>
                <w:noProof/>
                <w:kern w:val="2"/>
                <w:lang w:eastAsia="et-EE"/>
                <w14:ligatures w14:val="standardContextual"/>
              </w:rPr>
              <w:tab/>
            </w:r>
            <w:r w:rsidRPr="0053297C">
              <w:rPr>
                <w:rStyle w:val="Hperlink"/>
                <w:noProof/>
              </w:rPr>
              <w:t>JAETURU TOODETE PIIRITLEMINE</w:t>
            </w:r>
            <w:r>
              <w:rPr>
                <w:noProof/>
                <w:webHidden/>
              </w:rPr>
              <w:tab/>
            </w:r>
            <w:r>
              <w:rPr>
                <w:noProof/>
                <w:webHidden/>
              </w:rPr>
              <w:fldChar w:fldCharType="begin"/>
            </w:r>
            <w:r>
              <w:rPr>
                <w:noProof/>
                <w:webHidden/>
              </w:rPr>
              <w:instrText xml:space="preserve"> PAGEREF _Toc174710705 \h </w:instrText>
            </w:r>
            <w:r>
              <w:rPr>
                <w:noProof/>
                <w:webHidden/>
              </w:rPr>
            </w:r>
            <w:r>
              <w:rPr>
                <w:noProof/>
                <w:webHidden/>
              </w:rPr>
              <w:fldChar w:fldCharType="separate"/>
            </w:r>
            <w:r w:rsidR="00D2135F">
              <w:rPr>
                <w:noProof/>
                <w:webHidden/>
              </w:rPr>
              <w:t>26</w:t>
            </w:r>
            <w:r>
              <w:rPr>
                <w:noProof/>
                <w:webHidden/>
              </w:rPr>
              <w:fldChar w:fldCharType="end"/>
            </w:r>
          </w:hyperlink>
        </w:p>
        <w:p w14:paraId="7B2540C2" w14:textId="45C1C496"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08" w:history="1">
            <w:r w:rsidRPr="0053297C">
              <w:rPr>
                <w:rStyle w:val="Hperlink"/>
                <w:noProof/>
              </w:rPr>
              <w:t>2.2.1</w:t>
            </w:r>
            <w:r>
              <w:rPr>
                <w:rFonts w:asciiTheme="minorHAnsi" w:eastAsiaTheme="minorEastAsia" w:hAnsiTheme="minorHAnsi"/>
                <w:noProof/>
                <w:kern w:val="2"/>
                <w:lang w:eastAsia="et-EE"/>
                <w14:ligatures w14:val="standardContextual"/>
              </w:rPr>
              <w:tab/>
            </w:r>
            <w:r w:rsidRPr="0053297C">
              <w:rPr>
                <w:rStyle w:val="Hperlink"/>
                <w:noProof/>
              </w:rPr>
              <w:t>Jaeturu toote piiritlemise eesmärk ja alused</w:t>
            </w:r>
            <w:r>
              <w:rPr>
                <w:noProof/>
                <w:webHidden/>
              </w:rPr>
              <w:tab/>
            </w:r>
            <w:r>
              <w:rPr>
                <w:noProof/>
                <w:webHidden/>
              </w:rPr>
              <w:fldChar w:fldCharType="begin"/>
            </w:r>
            <w:r>
              <w:rPr>
                <w:noProof/>
                <w:webHidden/>
              </w:rPr>
              <w:instrText xml:space="preserve"> PAGEREF _Toc174710708 \h </w:instrText>
            </w:r>
            <w:r>
              <w:rPr>
                <w:noProof/>
                <w:webHidden/>
              </w:rPr>
            </w:r>
            <w:r>
              <w:rPr>
                <w:noProof/>
                <w:webHidden/>
              </w:rPr>
              <w:fldChar w:fldCharType="separate"/>
            </w:r>
            <w:r w:rsidR="00D2135F">
              <w:rPr>
                <w:noProof/>
                <w:webHidden/>
              </w:rPr>
              <w:t>26</w:t>
            </w:r>
            <w:r>
              <w:rPr>
                <w:noProof/>
                <w:webHidden/>
              </w:rPr>
              <w:fldChar w:fldCharType="end"/>
            </w:r>
          </w:hyperlink>
        </w:p>
        <w:p w14:paraId="4E1EE89C" w14:textId="43DC3AF3"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17" w:history="1">
            <w:r w:rsidRPr="0053297C">
              <w:rPr>
                <w:rStyle w:val="Hperlink"/>
                <w:noProof/>
              </w:rPr>
              <w:t>2.2.2</w:t>
            </w:r>
            <w:r>
              <w:rPr>
                <w:rFonts w:asciiTheme="minorHAnsi" w:eastAsiaTheme="minorEastAsia" w:hAnsiTheme="minorHAnsi"/>
                <w:noProof/>
                <w:kern w:val="2"/>
                <w:lang w:eastAsia="et-EE"/>
                <w14:ligatures w14:val="standardContextual"/>
              </w:rPr>
              <w:tab/>
            </w:r>
            <w:r w:rsidRPr="0053297C">
              <w:rPr>
                <w:rStyle w:val="Hperlink"/>
                <w:noProof/>
              </w:rPr>
              <w:t>Hulgiturgude 1 ja 3b toodetel baseeruvad jaeturu tooted</w:t>
            </w:r>
            <w:r>
              <w:rPr>
                <w:noProof/>
                <w:webHidden/>
              </w:rPr>
              <w:tab/>
            </w:r>
            <w:r>
              <w:rPr>
                <w:noProof/>
                <w:webHidden/>
              </w:rPr>
              <w:fldChar w:fldCharType="begin"/>
            </w:r>
            <w:r>
              <w:rPr>
                <w:noProof/>
                <w:webHidden/>
              </w:rPr>
              <w:instrText xml:space="preserve"> PAGEREF _Toc174710717 \h </w:instrText>
            </w:r>
            <w:r>
              <w:rPr>
                <w:noProof/>
                <w:webHidden/>
              </w:rPr>
            </w:r>
            <w:r>
              <w:rPr>
                <w:noProof/>
                <w:webHidden/>
              </w:rPr>
              <w:fldChar w:fldCharType="separate"/>
            </w:r>
            <w:r w:rsidR="00D2135F">
              <w:rPr>
                <w:noProof/>
                <w:webHidden/>
              </w:rPr>
              <w:t>26</w:t>
            </w:r>
            <w:r>
              <w:rPr>
                <w:noProof/>
                <w:webHidden/>
              </w:rPr>
              <w:fldChar w:fldCharType="end"/>
            </w:r>
          </w:hyperlink>
        </w:p>
        <w:p w14:paraId="12CE983E" w14:textId="6EB9A65D"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18" w:history="1">
            <w:r w:rsidRPr="0053297C">
              <w:rPr>
                <w:rStyle w:val="Hperlink"/>
                <w:noProof/>
              </w:rPr>
              <w:t>2.2.3</w:t>
            </w:r>
            <w:r>
              <w:rPr>
                <w:rFonts w:asciiTheme="minorHAnsi" w:eastAsiaTheme="minorEastAsia" w:hAnsiTheme="minorHAnsi"/>
                <w:noProof/>
                <w:kern w:val="2"/>
                <w:lang w:eastAsia="et-EE"/>
                <w14:ligatures w14:val="standardContextual"/>
              </w:rPr>
              <w:tab/>
            </w:r>
            <w:r w:rsidRPr="0053297C">
              <w:rPr>
                <w:rStyle w:val="Hperlink"/>
                <w:noProof/>
              </w:rPr>
              <w:t>Jaeturu konkurentsi analüüsi kaasatavad sidevõrkude tehnoloogiad</w:t>
            </w:r>
            <w:r>
              <w:rPr>
                <w:noProof/>
                <w:webHidden/>
              </w:rPr>
              <w:tab/>
            </w:r>
            <w:r>
              <w:rPr>
                <w:noProof/>
                <w:webHidden/>
              </w:rPr>
              <w:fldChar w:fldCharType="begin"/>
            </w:r>
            <w:r>
              <w:rPr>
                <w:noProof/>
                <w:webHidden/>
              </w:rPr>
              <w:instrText xml:space="preserve"> PAGEREF _Toc174710718 \h </w:instrText>
            </w:r>
            <w:r>
              <w:rPr>
                <w:noProof/>
                <w:webHidden/>
              </w:rPr>
            </w:r>
            <w:r>
              <w:rPr>
                <w:noProof/>
                <w:webHidden/>
              </w:rPr>
              <w:fldChar w:fldCharType="separate"/>
            </w:r>
            <w:r w:rsidR="00D2135F">
              <w:rPr>
                <w:noProof/>
                <w:webHidden/>
              </w:rPr>
              <w:t>27</w:t>
            </w:r>
            <w:r>
              <w:rPr>
                <w:noProof/>
                <w:webHidden/>
              </w:rPr>
              <w:fldChar w:fldCharType="end"/>
            </w:r>
          </w:hyperlink>
        </w:p>
        <w:p w14:paraId="1AB347C3" w14:textId="4B6274B1"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19" w:history="1">
            <w:r w:rsidRPr="0053297C">
              <w:rPr>
                <w:rStyle w:val="Hperlink"/>
                <w:noProof/>
              </w:rPr>
              <w:t>2.2.4</w:t>
            </w:r>
            <w:r>
              <w:rPr>
                <w:rFonts w:asciiTheme="minorHAnsi" w:eastAsiaTheme="minorEastAsia" w:hAnsiTheme="minorHAnsi"/>
                <w:noProof/>
                <w:kern w:val="2"/>
                <w:lang w:eastAsia="et-EE"/>
                <w14:ligatures w14:val="standardContextual"/>
              </w:rPr>
              <w:tab/>
            </w:r>
            <w:r w:rsidRPr="0053297C">
              <w:rPr>
                <w:rStyle w:val="Hperlink"/>
                <w:noProof/>
              </w:rPr>
              <w:t>Jaeturu tooteturgude piiritlemine sidevõrgu tehnoloogiate alusel</w:t>
            </w:r>
            <w:r>
              <w:rPr>
                <w:noProof/>
                <w:webHidden/>
              </w:rPr>
              <w:tab/>
            </w:r>
            <w:r>
              <w:rPr>
                <w:noProof/>
                <w:webHidden/>
              </w:rPr>
              <w:fldChar w:fldCharType="begin"/>
            </w:r>
            <w:r>
              <w:rPr>
                <w:noProof/>
                <w:webHidden/>
              </w:rPr>
              <w:instrText xml:space="preserve"> PAGEREF _Toc174710719 \h </w:instrText>
            </w:r>
            <w:r>
              <w:rPr>
                <w:noProof/>
                <w:webHidden/>
              </w:rPr>
            </w:r>
            <w:r>
              <w:rPr>
                <w:noProof/>
                <w:webHidden/>
              </w:rPr>
              <w:fldChar w:fldCharType="separate"/>
            </w:r>
            <w:r w:rsidR="00D2135F">
              <w:rPr>
                <w:noProof/>
                <w:webHidden/>
              </w:rPr>
              <w:t>32</w:t>
            </w:r>
            <w:r>
              <w:rPr>
                <w:noProof/>
                <w:webHidden/>
              </w:rPr>
              <w:fldChar w:fldCharType="end"/>
            </w:r>
          </w:hyperlink>
        </w:p>
        <w:p w14:paraId="6AD4B105" w14:textId="3F62AA4A"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20" w:history="1">
            <w:r w:rsidRPr="0053297C">
              <w:rPr>
                <w:rStyle w:val="Hperlink"/>
                <w:noProof/>
              </w:rPr>
              <w:t>2.2.5</w:t>
            </w:r>
            <w:r>
              <w:rPr>
                <w:rFonts w:asciiTheme="minorHAnsi" w:eastAsiaTheme="minorEastAsia" w:hAnsiTheme="minorHAnsi"/>
                <w:noProof/>
                <w:kern w:val="2"/>
                <w:lang w:eastAsia="et-EE"/>
                <w14:ligatures w14:val="standardContextual"/>
              </w:rPr>
              <w:tab/>
            </w:r>
            <w:r w:rsidRPr="0053297C">
              <w:rPr>
                <w:rStyle w:val="Hperlink"/>
                <w:noProof/>
              </w:rPr>
              <w:t>Standardsete ja eriotstarbeliste kõrge kvaliteediga internetiühenduste piiritlemine ning jaeturule kaasamise analüüs</w:t>
            </w:r>
            <w:r>
              <w:rPr>
                <w:noProof/>
                <w:webHidden/>
              </w:rPr>
              <w:tab/>
            </w:r>
            <w:r>
              <w:rPr>
                <w:noProof/>
                <w:webHidden/>
              </w:rPr>
              <w:fldChar w:fldCharType="begin"/>
            </w:r>
            <w:r>
              <w:rPr>
                <w:noProof/>
                <w:webHidden/>
              </w:rPr>
              <w:instrText xml:space="preserve"> PAGEREF _Toc174710720 \h </w:instrText>
            </w:r>
            <w:r>
              <w:rPr>
                <w:noProof/>
                <w:webHidden/>
              </w:rPr>
            </w:r>
            <w:r>
              <w:rPr>
                <w:noProof/>
                <w:webHidden/>
              </w:rPr>
              <w:fldChar w:fldCharType="separate"/>
            </w:r>
            <w:r w:rsidR="00D2135F">
              <w:rPr>
                <w:noProof/>
                <w:webHidden/>
              </w:rPr>
              <w:t>41</w:t>
            </w:r>
            <w:r>
              <w:rPr>
                <w:noProof/>
                <w:webHidden/>
              </w:rPr>
              <w:fldChar w:fldCharType="end"/>
            </w:r>
          </w:hyperlink>
        </w:p>
        <w:p w14:paraId="7C97FAF5" w14:textId="72999332"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21" w:history="1">
            <w:r w:rsidRPr="0053297C">
              <w:rPr>
                <w:rStyle w:val="Hperlink"/>
                <w:noProof/>
              </w:rPr>
              <w:t>2.2.6</w:t>
            </w:r>
            <w:r>
              <w:rPr>
                <w:rFonts w:asciiTheme="minorHAnsi" w:eastAsiaTheme="minorEastAsia" w:hAnsiTheme="minorHAnsi"/>
                <w:noProof/>
                <w:kern w:val="2"/>
                <w:lang w:eastAsia="et-EE"/>
                <w14:ligatures w14:val="standardContextual"/>
              </w:rPr>
              <w:tab/>
            </w:r>
            <w:r w:rsidRPr="0053297C">
              <w:rPr>
                <w:rStyle w:val="Hperlink"/>
                <w:noProof/>
              </w:rPr>
              <w:t>Era- ja äriklientide internetiühenduste segmentide piiritlemine ja jaeturule kaasamise analüüs</w:t>
            </w:r>
            <w:r>
              <w:rPr>
                <w:noProof/>
                <w:webHidden/>
              </w:rPr>
              <w:tab/>
            </w:r>
            <w:r>
              <w:rPr>
                <w:noProof/>
                <w:webHidden/>
              </w:rPr>
              <w:fldChar w:fldCharType="begin"/>
            </w:r>
            <w:r>
              <w:rPr>
                <w:noProof/>
                <w:webHidden/>
              </w:rPr>
              <w:instrText xml:space="preserve"> PAGEREF _Toc174710721 \h </w:instrText>
            </w:r>
            <w:r>
              <w:rPr>
                <w:noProof/>
                <w:webHidden/>
              </w:rPr>
            </w:r>
            <w:r>
              <w:rPr>
                <w:noProof/>
                <w:webHidden/>
              </w:rPr>
              <w:fldChar w:fldCharType="separate"/>
            </w:r>
            <w:r w:rsidR="00D2135F">
              <w:rPr>
                <w:noProof/>
                <w:webHidden/>
              </w:rPr>
              <w:t>42</w:t>
            </w:r>
            <w:r>
              <w:rPr>
                <w:noProof/>
                <w:webHidden/>
              </w:rPr>
              <w:fldChar w:fldCharType="end"/>
            </w:r>
          </w:hyperlink>
        </w:p>
        <w:p w14:paraId="6D8389CE" w14:textId="03035401"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22" w:history="1">
            <w:r w:rsidRPr="0053297C">
              <w:rPr>
                <w:rStyle w:val="Hperlink"/>
                <w:noProof/>
              </w:rPr>
              <w:t>2.2.7</w:t>
            </w:r>
            <w:r>
              <w:rPr>
                <w:rFonts w:asciiTheme="minorHAnsi" w:eastAsiaTheme="minorEastAsia" w:hAnsiTheme="minorHAnsi"/>
                <w:noProof/>
                <w:kern w:val="2"/>
                <w:lang w:eastAsia="et-EE"/>
                <w14:ligatures w14:val="standardContextual"/>
              </w:rPr>
              <w:tab/>
            </w:r>
            <w:r w:rsidRPr="0053297C">
              <w:rPr>
                <w:rStyle w:val="Hperlink"/>
                <w:noProof/>
              </w:rPr>
              <w:t>Internetiühenduste peamised pakkujad</w:t>
            </w:r>
            <w:r>
              <w:rPr>
                <w:noProof/>
                <w:webHidden/>
              </w:rPr>
              <w:tab/>
            </w:r>
            <w:r>
              <w:rPr>
                <w:noProof/>
                <w:webHidden/>
              </w:rPr>
              <w:fldChar w:fldCharType="begin"/>
            </w:r>
            <w:r>
              <w:rPr>
                <w:noProof/>
                <w:webHidden/>
              </w:rPr>
              <w:instrText xml:space="preserve"> PAGEREF _Toc174710722 \h </w:instrText>
            </w:r>
            <w:r>
              <w:rPr>
                <w:noProof/>
                <w:webHidden/>
              </w:rPr>
            </w:r>
            <w:r>
              <w:rPr>
                <w:noProof/>
                <w:webHidden/>
              </w:rPr>
              <w:fldChar w:fldCharType="separate"/>
            </w:r>
            <w:r w:rsidR="00D2135F">
              <w:rPr>
                <w:noProof/>
                <w:webHidden/>
              </w:rPr>
              <w:t>47</w:t>
            </w:r>
            <w:r>
              <w:rPr>
                <w:noProof/>
                <w:webHidden/>
              </w:rPr>
              <w:fldChar w:fldCharType="end"/>
            </w:r>
          </w:hyperlink>
        </w:p>
        <w:p w14:paraId="6A4A86F7" w14:textId="548C7FD7"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23" w:history="1">
            <w:r w:rsidRPr="0053297C">
              <w:rPr>
                <w:rStyle w:val="Hperlink"/>
                <w:noProof/>
              </w:rPr>
              <w:t>2.2.8</w:t>
            </w:r>
            <w:r>
              <w:rPr>
                <w:rFonts w:asciiTheme="minorHAnsi" w:eastAsiaTheme="minorEastAsia" w:hAnsiTheme="minorHAnsi"/>
                <w:noProof/>
                <w:kern w:val="2"/>
                <w:lang w:eastAsia="et-EE"/>
                <w14:ligatures w14:val="standardContextual"/>
              </w:rPr>
              <w:tab/>
            </w:r>
            <w:r w:rsidRPr="0053297C">
              <w:rPr>
                <w:rStyle w:val="Hperlink"/>
                <w:noProof/>
              </w:rPr>
              <w:t>Jaeturu tooteturgude piiritlemise kokkuvõte</w:t>
            </w:r>
            <w:r>
              <w:rPr>
                <w:noProof/>
                <w:webHidden/>
              </w:rPr>
              <w:tab/>
            </w:r>
            <w:r>
              <w:rPr>
                <w:noProof/>
                <w:webHidden/>
              </w:rPr>
              <w:fldChar w:fldCharType="begin"/>
            </w:r>
            <w:r>
              <w:rPr>
                <w:noProof/>
                <w:webHidden/>
              </w:rPr>
              <w:instrText xml:space="preserve"> PAGEREF _Toc174710723 \h </w:instrText>
            </w:r>
            <w:r>
              <w:rPr>
                <w:noProof/>
                <w:webHidden/>
              </w:rPr>
            </w:r>
            <w:r>
              <w:rPr>
                <w:noProof/>
                <w:webHidden/>
              </w:rPr>
              <w:fldChar w:fldCharType="separate"/>
            </w:r>
            <w:r w:rsidR="00D2135F">
              <w:rPr>
                <w:noProof/>
                <w:webHidden/>
              </w:rPr>
              <w:t>48</w:t>
            </w:r>
            <w:r>
              <w:rPr>
                <w:noProof/>
                <w:webHidden/>
              </w:rPr>
              <w:fldChar w:fldCharType="end"/>
            </w:r>
          </w:hyperlink>
        </w:p>
        <w:p w14:paraId="584B1D05" w14:textId="0AACDC9F"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728" w:history="1">
            <w:r w:rsidRPr="0053297C">
              <w:rPr>
                <w:rStyle w:val="Hperlink"/>
                <w:noProof/>
              </w:rPr>
              <w:t>2.3</w:t>
            </w:r>
            <w:r>
              <w:rPr>
                <w:rFonts w:asciiTheme="minorHAnsi" w:eastAsiaTheme="minorEastAsia" w:hAnsiTheme="minorHAnsi"/>
                <w:noProof/>
                <w:kern w:val="2"/>
                <w:lang w:eastAsia="et-EE"/>
                <w14:ligatures w14:val="standardContextual"/>
              </w:rPr>
              <w:tab/>
            </w:r>
            <w:r w:rsidRPr="0053297C">
              <w:rPr>
                <w:rStyle w:val="Hperlink"/>
                <w:noProof/>
              </w:rPr>
              <w:t>JAETURU GEOGRAAFILINE PIIRITLEMINE</w:t>
            </w:r>
            <w:r>
              <w:rPr>
                <w:noProof/>
                <w:webHidden/>
              </w:rPr>
              <w:tab/>
            </w:r>
            <w:r>
              <w:rPr>
                <w:noProof/>
                <w:webHidden/>
              </w:rPr>
              <w:fldChar w:fldCharType="begin"/>
            </w:r>
            <w:r>
              <w:rPr>
                <w:noProof/>
                <w:webHidden/>
              </w:rPr>
              <w:instrText xml:space="preserve"> PAGEREF _Toc174710728 \h </w:instrText>
            </w:r>
            <w:r>
              <w:rPr>
                <w:noProof/>
                <w:webHidden/>
              </w:rPr>
            </w:r>
            <w:r>
              <w:rPr>
                <w:noProof/>
                <w:webHidden/>
              </w:rPr>
              <w:fldChar w:fldCharType="separate"/>
            </w:r>
            <w:r w:rsidR="00D2135F">
              <w:rPr>
                <w:noProof/>
                <w:webHidden/>
              </w:rPr>
              <w:t>49</w:t>
            </w:r>
            <w:r>
              <w:rPr>
                <w:noProof/>
                <w:webHidden/>
              </w:rPr>
              <w:fldChar w:fldCharType="end"/>
            </w:r>
          </w:hyperlink>
        </w:p>
        <w:p w14:paraId="54A51B03" w14:textId="071C81C0"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34" w:history="1">
            <w:r w:rsidRPr="0053297C">
              <w:rPr>
                <w:rStyle w:val="Hperlink"/>
                <w:noProof/>
              </w:rPr>
              <w:t>2.3.1</w:t>
            </w:r>
            <w:r>
              <w:rPr>
                <w:rFonts w:asciiTheme="minorHAnsi" w:eastAsiaTheme="minorEastAsia" w:hAnsiTheme="minorHAnsi"/>
                <w:noProof/>
                <w:kern w:val="2"/>
                <w:lang w:eastAsia="et-EE"/>
                <w14:ligatures w14:val="standardContextual"/>
              </w:rPr>
              <w:tab/>
            </w:r>
            <w:r w:rsidRPr="0053297C">
              <w:rPr>
                <w:rStyle w:val="Hperlink"/>
                <w:noProof/>
              </w:rPr>
              <w:t>Jaeturu geograafilise piiritlemise eesmärk ja alused</w:t>
            </w:r>
            <w:r>
              <w:rPr>
                <w:noProof/>
                <w:webHidden/>
              </w:rPr>
              <w:tab/>
            </w:r>
            <w:r>
              <w:rPr>
                <w:noProof/>
                <w:webHidden/>
              </w:rPr>
              <w:fldChar w:fldCharType="begin"/>
            </w:r>
            <w:r>
              <w:rPr>
                <w:noProof/>
                <w:webHidden/>
              </w:rPr>
              <w:instrText xml:space="preserve"> PAGEREF _Toc174710734 \h </w:instrText>
            </w:r>
            <w:r>
              <w:rPr>
                <w:noProof/>
                <w:webHidden/>
              </w:rPr>
            </w:r>
            <w:r>
              <w:rPr>
                <w:noProof/>
                <w:webHidden/>
              </w:rPr>
              <w:fldChar w:fldCharType="separate"/>
            </w:r>
            <w:r w:rsidR="00D2135F">
              <w:rPr>
                <w:noProof/>
                <w:webHidden/>
              </w:rPr>
              <w:t>49</w:t>
            </w:r>
            <w:r>
              <w:rPr>
                <w:noProof/>
                <w:webHidden/>
              </w:rPr>
              <w:fldChar w:fldCharType="end"/>
            </w:r>
          </w:hyperlink>
        </w:p>
        <w:p w14:paraId="5D0A25E5" w14:textId="01223C17"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35" w:history="1">
            <w:r w:rsidRPr="0053297C">
              <w:rPr>
                <w:rStyle w:val="Hperlink"/>
                <w:noProof/>
              </w:rPr>
              <w:t>2.3.2</w:t>
            </w:r>
            <w:r>
              <w:rPr>
                <w:rFonts w:asciiTheme="minorHAnsi" w:eastAsiaTheme="minorEastAsia" w:hAnsiTheme="minorHAnsi"/>
                <w:noProof/>
                <w:kern w:val="2"/>
                <w:lang w:eastAsia="et-EE"/>
                <w14:ligatures w14:val="standardContextual"/>
              </w:rPr>
              <w:tab/>
            </w:r>
            <w:r w:rsidRPr="0053297C">
              <w:rPr>
                <w:rStyle w:val="Hperlink"/>
                <w:noProof/>
              </w:rPr>
              <w:t>Geograafiliste üksuste piiritlemine</w:t>
            </w:r>
            <w:r>
              <w:rPr>
                <w:noProof/>
                <w:webHidden/>
              </w:rPr>
              <w:tab/>
            </w:r>
            <w:r>
              <w:rPr>
                <w:noProof/>
                <w:webHidden/>
              </w:rPr>
              <w:fldChar w:fldCharType="begin"/>
            </w:r>
            <w:r>
              <w:rPr>
                <w:noProof/>
                <w:webHidden/>
              </w:rPr>
              <w:instrText xml:space="preserve"> PAGEREF _Toc174710735 \h </w:instrText>
            </w:r>
            <w:r>
              <w:rPr>
                <w:noProof/>
                <w:webHidden/>
              </w:rPr>
            </w:r>
            <w:r>
              <w:rPr>
                <w:noProof/>
                <w:webHidden/>
              </w:rPr>
              <w:fldChar w:fldCharType="separate"/>
            </w:r>
            <w:r w:rsidR="00D2135F">
              <w:rPr>
                <w:noProof/>
                <w:webHidden/>
              </w:rPr>
              <w:t>49</w:t>
            </w:r>
            <w:r>
              <w:rPr>
                <w:noProof/>
                <w:webHidden/>
              </w:rPr>
              <w:fldChar w:fldCharType="end"/>
            </w:r>
          </w:hyperlink>
        </w:p>
        <w:p w14:paraId="695C99EE" w14:textId="446D41C6"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36" w:history="1">
            <w:r w:rsidRPr="0053297C">
              <w:rPr>
                <w:rStyle w:val="Hperlink"/>
                <w:noProof/>
              </w:rPr>
              <w:t>2.3.3</w:t>
            </w:r>
            <w:r>
              <w:rPr>
                <w:rFonts w:asciiTheme="minorHAnsi" w:eastAsiaTheme="minorEastAsia" w:hAnsiTheme="minorHAnsi"/>
                <w:noProof/>
                <w:kern w:val="2"/>
                <w:lang w:eastAsia="et-EE"/>
                <w14:ligatures w14:val="standardContextual"/>
              </w:rPr>
              <w:tab/>
            </w:r>
            <w:r w:rsidRPr="0053297C">
              <w:rPr>
                <w:rStyle w:val="Hperlink"/>
                <w:noProof/>
              </w:rPr>
              <w:t>Geograafilistes üksuste konkurentsitingimuste hindamise näitajad ja lävendid</w:t>
            </w:r>
            <w:r>
              <w:rPr>
                <w:noProof/>
                <w:webHidden/>
              </w:rPr>
              <w:tab/>
            </w:r>
            <w:r>
              <w:rPr>
                <w:noProof/>
                <w:webHidden/>
              </w:rPr>
              <w:fldChar w:fldCharType="begin"/>
            </w:r>
            <w:r>
              <w:rPr>
                <w:noProof/>
                <w:webHidden/>
              </w:rPr>
              <w:instrText xml:space="preserve"> PAGEREF _Toc174710736 \h </w:instrText>
            </w:r>
            <w:r>
              <w:rPr>
                <w:noProof/>
                <w:webHidden/>
              </w:rPr>
            </w:r>
            <w:r>
              <w:rPr>
                <w:noProof/>
                <w:webHidden/>
              </w:rPr>
              <w:fldChar w:fldCharType="separate"/>
            </w:r>
            <w:r w:rsidR="00D2135F">
              <w:rPr>
                <w:noProof/>
                <w:webHidden/>
              </w:rPr>
              <w:t>54</w:t>
            </w:r>
            <w:r>
              <w:rPr>
                <w:noProof/>
                <w:webHidden/>
              </w:rPr>
              <w:fldChar w:fldCharType="end"/>
            </w:r>
          </w:hyperlink>
        </w:p>
        <w:p w14:paraId="208A3434" w14:textId="2D7FA5ED"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37" w:history="1">
            <w:r w:rsidRPr="0053297C">
              <w:rPr>
                <w:rStyle w:val="Hperlink"/>
                <w:noProof/>
              </w:rPr>
              <w:t>2.3.4</w:t>
            </w:r>
            <w:r>
              <w:rPr>
                <w:rFonts w:asciiTheme="minorHAnsi" w:eastAsiaTheme="minorEastAsia" w:hAnsiTheme="minorHAnsi"/>
                <w:noProof/>
                <w:kern w:val="2"/>
                <w:lang w:eastAsia="et-EE"/>
                <w14:ligatures w14:val="standardContextual"/>
              </w:rPr>
              <w:tab/>
            </w:r>
            <w:r w:rsidRPr="0053297C">
              <w:rPr>
                <w:rStyle w:val="Hperlink"/>
                <w:noProof/>
              </w:rPr>
              <w:t>Ainult kaabelsidevõrke sisaldaval tooteturul konkurentsitingimuste alusel geograafiliste piirkondade piiritlemine</w:t>
            </w:r>
            <w:r>
              <w:rPr>
                <w:noProof/>
                <w:webHidden/>
              </w:rPr>
              <w:tab/>
            </w:r>
            <w:r>
              <w:rPr>
                <w:noProof/>
                <w:webHidden/>
              </w:rPr>
              <w:fldChar w:fldCharType="begin"/>
            </w:r>
            <w:r>
              <w:rPr>
                <w:noProof/>
                <w:webHidden/>
              </w:rPr>
              <w:instrText xml:space="preserve"> PAGEREF _Toc174710737 \h </w:instrText>
            </w:r>
            <w:r>
              <w:rPr>
                <w:noProof/>
                <w:webHidden/>
              </w:rPr>
            </w:r>
            <w:r>
              <w:rPr>
                <w:noProof/>
                <w:webHidden/>
              </w:rPr>
              <w:fldChar w:fldCharType="separate"/>
            </w:r>
            <w:r w:rsidR="00D2135F">
              <w:rPr>
                <w:noProof/>
                <w:webHidden/>
              </w:rPr>
              <w:t>58</w:t>
            </w:r>
            <w:r>
              <w:rPr>
                <w:noProof/>
                <w:webHidden/>
              </w:rPr>
              <w:fldChar w:fldCharType="end"/>
            </w:r>
          </w:hyperlink>
        </w:p>
        <w:p w14:paraId="71016237" w14:textId="36EB4947"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38" w:history="1">
            <w:r w:rsidRPr="0053297C">
              <w:rPr>
                <w:rStyle w:val="Hperlink"/>
                <w:noProof/>
              </w:rPr>
              <w:t>2.3.5</w:t>
            </w:r>
            <w:r>
              <w:rPr>
                <w:rFonts w:asciiTheme="minorHAnsi" w:eastAsiaTheme="minorEastAsia" w:hAnsiTheme="minorHAnsi"/>
                <w:noProof/>
                <w:kern w:val="2"/>
                <w:lang w:eastAsia="et-EE"/>
                <w14:ligatures w14:val="standardContextual"/>
              </w:rPr>
              <w:tab/>
            </w:r>
            <w:r w:rsidRPr="0053297C">
              <w:rPr>
                <w:rStyle w:val="Hperlink"/>
                <w:noProof/>
              </w:rPr>
              <w:t>Mobiilsidevõrke sisaldaval tooteturul konkurentsitingimuste alusel geograafiliste piirkondade piiritlemine</w:t>
            </w:r>
            <w:r>
              <w:rPr>
                <w:noProof/>
                <w:webHidden/>
              </w:rPr>
              <w:tab/>
            </w:r>
            <w:r>
              <w:rPr>
                <w:noProof/>
                <w:webHidden/>
              </w:rPr>
              <w:fldChar w:fldCharType="begin"/>
            </w:r>
            <w:r>
              <w:rPr>
                <w:noProof/>
                <w:webHidden/>
              </w:rPr>
              <w:instrText xml:space="preserve"> PAGEREF _Toc174710738 \h </w:instrText>
            </w:r>
            <w:r>
              <w:rPr>
                <w:noProof/>
                <w:webHidden/>
              </w:rPr>
            </w:r>
            <w:r>
              <w:rPr>
                <w:noProof/>
                <w:webHidden/>
              </w:rPr>
              <w:fldChar w:fldCharType="separate"/>
            </w:r>
            <w:r w:rsidR="00D2135F">
              <w:rPr>
                <w:noProof/>
                <w:webHidden/>
              </w:rPr>
              <w:t>59</w:t>
            </w:r>
            <w:r>
              <w:rPr>
                <w:noProof/>
                <w:webHidden/>
              </w:rPr>
              <w:fldChar w:fldCharType="end"/>
            </w:r>
          </w:hyperlink>
        </w:p>
        <w:p w14:paraId="5D21C214" w14:textId="7B2B5774"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39" w:history="1">
            <w:r w:rsidRPr="0053297C">
              <w:rPr>
                <w:rStyle w:val="Hperlink"/>
                <w:noProof/>
              </w:rPr>
              <w:t>2.3.6</w:t>
            </w:r>
            <w:r>
              <w:rPr>
                <w:rFonts w:asciiTheme="minorHAnsi" w:eastAsiaTheme="minorEastAsia" w:hAnsiTheme="minorHAnsi"/>
                <w:noProof/>
                <w:kern w:val="2"/>
                <w:lang w:eastAsia="et-EE"/>
                <w14:ligatures w14:val="standardContextual"/>
              </w:rPr>
              <w:tab/>
            </w:r>
            <w:r w:rsidRPr="0053297C">
              <w:rPr>
                <w:rStyle w:val="Hperlink"/>
                <w:noProof/>
              </w:rPr>
              <w:t>Vaskkaabli- ja mobiilsidevõrgu jae internetiühenduste tooteturu geograafilise piirkonna piiritlemine</w:t>
            </w:r>
            <w:r>
              <w:rPr>
                <w:noProof/>
                <w:webHidden/>
              </w:rPr>
              <w:tab/>
            </w:r>
            <w:r>
              <w:rPr>
                <w:noProof/>
                <w:webHidden/>
              </w:rPr>
              <w:fldChar w:fldCharType="begin"/>
            </w:r>
            <w:r>
              <w:rPr>
                <w:noProof/>
                <w:webHidden/>
              </w:rPr>
              <w:instrText xml:space="preserve"> PAGEREF _Toc174710739 \h </w:instrText>
            </w:r>
            <w:r>
              <w:rPr>
                <w:noProof/>
                <w:webHidden/>
              </w:rPr>
            </w:r>
            <w:r>
              <w:rPr>
                <w:noProof/>
                <w:webHidden/>
              </w:rPr>
              <w:fldChar w:fldCharType="separate"/>
            </w:r>
            <w:r w:rsidR="00D2135F">
              <w:rPr>
                <w:noProof/>
                <w:webHidden/>
              </w:rPr>
              <w:t>60</w:t>
            </w:r>
            <w:r>
              <w:rPr>
                <w:noProof/>
                <w:webHidden/>
              </w:rPr>
              <w:fldChar w:fldCharType="end"/>
            </w:r>
          </w:hyperlink>
        </w:p>
        <w:p w14:paraId="731F5AE5" w14:textId="74C08FE0"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40" w:history="1">
            <w:r w:rsidRPr="0053297C">
              <w:rPr>
                <w:rStyle w:val="Hperlink"/>
                <w:noProof/>
              </w:rPr>
              <w:t>2.3.7</w:t>
            </w:r>
            <w:r>
              <w:rPr>
                <w:rFonts w:asciiTheme="minorHAnsi" w:eastAsiaTheme="minorEastAsia" w:hAnsiTheme="minorHAnsi"/>
                <w:noProof/>
                <w:kern w:val="2"/>
                <w:lang w:eastAsia="et-EE"/>
                <w14:ligatures w14:val="standardContextual"/>
              </w:rPr>
              <w:tab/>
            </w:r>
            <w:r w:rsidRPr="0053297C">
              <w:rPr>
                <w:rStyle w:val="Hperlink"/>
                <w:noProof/>
              </w:rPr>
              <w:t>Valguskaabelvõrgu jae internetiühenduste tooteturu geograafilise piirkonna piiritlemine</w:t>
            </w:r>
            <w:r>
              <w:rPr>
                <w:noProof/>
                <w:webHidden/>
              </w:rPr>
              <w:tab/>
            </w:r>
            <w:r>
              <w:rPr>
                <w:noProof/>
                <w:webHidden/>
              </w:rPr>
              <w:fldChar w:fldCharType="begin"/>
            </w:r>
            <w:r>
              <w:rPr>
                <w:noProof/>
                <w:webHidden/>
              </w:rPr>
              <w:instrText xml:space="preserve"> PAGEREF _Toc174710740 \h </w:instrText>
            </w:r>
            <w:r>
              <w:rPr>
                <w:noProof/>
                <w:webHidden/>
              </w:rPr>
            </w:r>
            <w:r>
              <w:rPr>
                <w:noProof/>
                <w:webHidden/>
              </w:rPr>
              <w:fldChar w:fldCharType="separate"/>
            </w:r>
            <w:r w:rsidR="00D2135F">
              <w:rPr>
                <w:noProof/>
                <w:webHidden/>
              </w:rPr>
              <w:t>61</w:t>
            </w:r>
            <w:r>
              <w:rPr>
                <w:noProof/>
                <w:webHidden/>
              </w:rPr>
              <w:fldChar w:fldCharType="end"/>
            </w:r>
          </w:hyperlink>
        </w:p>
        <w:p w14:paraId="14EEF709" w14:textId="6B4E3F51"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41" w:history="1">
            <w:r w:rsidRPr="0053297C">
              <w:rPr>
                <w:rStyle w:val="Hperlink"/>
                <w:noProof/>
              </w:rPr>
              <w:t>2.3.8</w:t>
            </w:r>
            <w:r>
              <w:rPr>
                <w:rFonts w:asciiTheme="minorHAnsi" w:eastAsiaTheme="minorEastAsia" w:hAnsiTheme="minorHAnsi"/>
                <w:noProof/>
                <w:kern w:val="2"/>
                <w:lang w:eastAsia="et-EE"/>
                <w14:ligatures w14:val="standardContextual"/>
              </w:rPr>
              <w:tab/>
            </w:r>
            <w:r w:rsidRPr="0053297C">
              <w:rPr>
                <w:rStyle w:val="Hperlink"/>
                <w:noProof/>
              </w:rPr>
              <w:t>Jaeturu geograafilise piiritlemise kokkuvõte</w:t>
            </w:r>
            <w:r>
              <w:rPr>
                <w:noProof/>
                <w:webHidden/>
              </w:rPr>
              <w:tab/>
            </w:r>
            <w:r>
              <w:rPr>
                <w:noProof/>
                <w:webHidden/>
              </w:rPr>
              <w:fldChar w:fldCharType="begin"/>
            </w:r>
            <w:r>
              <w:rPr>
                <w:noProof/>
                <w:webHidden/>
              </w:rPr>
              <w:instrText xml:space="preserve"> PAGEREF _Toc174710741 \h </w:instrText>
            </w:r>
            <w:r>
              <w:rPr>
                <w:noProof/>
                <w:webHidden/>
              </w:rPr>
            </w:r>
            <w:r>
              <w:rPr>
                <w:noProof/>
                <w:webHidden/>
              </w:rPr>
              <w:fldChar w:fldCharType="separate"/>
            </w:r>
            <w:r w:rsidR="00D2135F">
              <w:rPr>
                <w:noProof/>
                <w:webHidden/>
              </w:rPr>
              <w:t>66</w:t>
            </w:r>
            <w:r>
              <w:rPr>
                <w:noProof/>
                <w:webHidden/>
              </w:rPr>
              <w:fldChar w:fldCharType="end"/>
            </w:r>
          </w:hyperlink>
        </w:p>
        <w:p w14:paraId="2E87C0DA" w14:textId="319F6083"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742" w:history="1">
            <w:r w:rsidRPr="0053297C">
              <w:rPr>
                <w:rStyle w:val="Hperlink"/>
                <w:noProof/>
              </w:rPr>
              <w:t>2.4</w:t>
            </w:r>
            <w:r>
              <w:rPr>
                <w:rFonts w:asciiTheme="minorHAnsi" w:eastAsiaTheme="minorEastAsia" w:hAnsiTheme="minorHAnsi"/>
                <w:noProof/>
                <w:kern w:val="2"/>
                <w:lang w:eastAsia="et-EE"/>
                <w14:ligatures w14:val="standardContextual"/>
              </w:rPr>
              <w:tab/>
            </w:r>
            <w:r w:rsidRPr="0053297C">
              <w:rPr>
                <w:rStyle w:val="Hperlink"/>
                <w:noProof/>
              </w:rPr>
              <w:t>JAETURU PIIRITLEMISE KOKKUVÕTE</w:t>
            </w:r>
            <w:r>
              <w:rPr>
                <w:noProof/>
                <w:webHidden/>
              </w:rPr>
              <w:tab/>
            </w:r>
            <w:r>
              <w:rPr>
                <w:noProof/>
                <w:webHidden/>
              </w:rPr>
              <w:fldChar w:fldCharType="begin"/>
            </w:r>
            <w:r>
              <w:rPr>
                <w:noProof/>
                <w:webHidden/>
              </w:rPr>
              <w:instrText xml:space="preserve"> PAGEREF _Toc174710742 \h </w:instrText>
            </w:r>
            <w:r>
              <w:rPr>
                <w:noProof/>
                <w:webHidden/>
              </w:rPr>
            </w:r>
            <w:r>
              <w:rPr>
                <w:noProof/>
                <w:webHidden/>
              </w:rPr>
              <w:fldChar w:fldCharType="separate"/>
            </w:r>
            <w:r w:rsidR="00D2135F">
              <w:rPr>
                <w:noProof/>
                <w:webHidden/>
              </w:rPr>
              <w:t>67</w:t>
            </w:r>
            <w:r>
              <w:rPr>
                <w:noProof/>
                <w:webHidden/>
              </w:rPr>
              <w:fldChar w:fldCharType="end"/>
            </w:r>
          </w:hyperlink>
        </w:p>
        <w:p w14:paraId="28FE47F5" w14:textId="08C0F60A" w:rsidR="00A212D3" w:rsidRDefault="00A212D3">
          <w:pPr>
            <w:pStyle w:val="SK1"/>
            <w:tabs>
              <w:tab w:val="left" w:pos="440"/>
              <w:tab w:val="right" w:leader="dot" w:pos="9350"/>
            </w:tabs>
            <w:rPr>
              <w:rFonts w:asciiTheme="minorHAnsi" w:hAnsiTheme="minorHAnsi"/>
              <w:noProof/>
              <w:kern w:val="2"/>
              <w:sz w:val="22"/>
              <w:szCs w:val="22"/>
              <w:lang w:eastAsia="et-EE"/>
              <w14:ligatures w14:val="standardContextual"/>
            </w:rPr>
          </w:pPr>
          <w:hyperlink w:anchor="_Toc174710743" w:history="1">
            <w:r w:rsidRPr="0053297C">
              <w:rPr>
                <w:rStyle w:val="Hperlink"/>
                <w:noProof/>
              </w:rPr>
              <w:t>3.</w:t>
            </w:r>
            <w:r>
              <w:rPr>
                <w:rFonts w:asciiTheme="minorHAnsi" w:hAnsiTheme="minorHAnsi"/>
                <w:noProof/>
                <w:kern w:val="2"/>
                <w:sz w:val="22"/>
                <w:szCs w:val="22"/>
                <w:lang w:eastAsia="et-EE"/>
                <w14:ligatures w14:val="standardContextual"/>
              </w:rPr>
              <w:tab/>
            </w:r>
            <w:r w:rsidRPr="0053297C">
              <w:rPr>
                <w:rStyle w:val="Hperlink"/>
                <w:noProof/>
              </w:rPr>
              <w:t>JAETURGUDE KONKURENTSI ANALÜÜS</w:t>
            </w:r>
            <w:r>
              <w:rPr>
                <w:noProof/>
                <w:webHidden/>
              </w:rPr>
              <w:tab/>
            </w:r>
            <w:r>
              <w:rPr>
                <w:noProof/>
                <w:webHidden/>
              </w:rPr>
              <w:fldChar w:fldCharType="begin"/>
            </w:r>
            <w:r>
              <w:rPr>
                <w:noProof/>
                <w:webHidden/>
              </w:rPr>
              <w:instrText xml:space="preserve"> PAGEREF _Toc174710743 \h </w:instrText>
            </w:r>
            <w:r>
              <w:rPr>
                <w:noProof/>
                <w:webHidden/>
              </w:rPr>
            </w:r>
            <w:r>
              <w:rPr>
                <w:noProof/>
                <w:webHidden/>
              </w:rPr>
              <w:fldChar w:fldCharType="separate"/>
            </w:r>
            <w:r w:rsidR="00D2135F">
              <w:rPr>
                <w:noProof/>
                <w:webHidden/>
              </w:rPr>
              <w:t>68</w:t>
            </w:r>
            <w:r>
              <w:rPr>
                <w:noProof/>
                <w:webHidden/>
              </w:rPr>
              <w:fldChar w:fldCharType="end"/>
            </w:r>
          </w:hyperlink>
        </w:p>
        <w:p w14:paraId="3E1B56E6" w14:textId="528A56A1"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745" w:history="1">
            <w:r w:rsidRPr="0053297C">
              <w:rPr>
                <w:rStyle w:val="Hperlink"/>
                <w:noProof/>
              </w:rPr>
              <w:t>3.1</w:t>
            </w:r>
            <w:r>
              <w:rPr>
                <w:rFonts w:asciiTheme="minorHAnsi" w:eastAsiaTheme="minorEastAsia" w:hAnsiTheme="minorHAnsi"/>
                <w:noProof/>
                <w:kern w:val="2"/>
                <w:lang w:eastAsia="et-EE"/>
                <w14:ligatures w14:val="standardContextual"/>
              </w:rPr>
              <w:tab/>
            </w:r>
            <w:r w:rsidRPr="0053297C">
              <w:rPr>
                <w:rStyle w:val="Hperlink"/>
                <w:noProof/>
              </w:rPr>
              <w:t>Vaskkaabli- ja mobiilsidevõrgu internetiühenduste üleriigilisel jaeturu konkurentsi analüüs</w:t>
            </w:r>
            <w:r>
              <w:rPr>
                <w:noProof/>
                <w:webHidden/>
              </w:rPr>
              <w:tab/>
            </w:r>
            <w:r>
              <w:rPr>
                <w:noProof/>
                <w:webHidden/>
              </w:rPr>
              <w:fldChar w:fldCharType="begin"/>
            </w:r>
            <w:r>
              <w:rPr>
                <w:noProof/>
                <w:webHidden/>
              </w:rPr>
              <w:instrText xml:space="preserve"> PAGEREF _Toc174710745 \h </w:instrText>
            </w:r>
            <w:r>
              <w:rPr>
                <w:noProof/>
                <w:webHidden/>
              </w:rPr>
            </w:r>
            <w:r>
              <w:rPr>
                <w:noProof/>
                <w:webHidden/>
              </w:rPr>
              <w:fldChar w:fldCharType="separate"/>
            </w:r>
            <w:r w:rsidR="00D2135F">
              <w:rPr>
                <w:noProof/>
                <w:webHidden/>
              </w:rPr>
              <w:t>69</w:t>
            </w:r>
            <w:r>
              <w:rPr>
                <w:noProof/>
                <w:webHidden/>
              </w:rPr>
              <w:fldChar w:fldCharType="end"/>
            </w:r>
          </w:hyperlink>
        </w:p>
        <w:p w14:paraId="1C1ED4B0" w14:textId="4AC99604"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48" w:history="1">
            <w:r w:rsidRPr="0053297C">
              <w:rPr>
                <w:rStyle w:val="Hperlink"/>
                <w:noProof/>
              </w:rPr>
              <w:t>3.1.1</w:t>
            </w:r>
            <w:r>
              <w:rPr>
                <w:rFonts w:asciiTheme="minorHAnsi" w:eastAsiaTheme="minorEastAsia" w:hAnsiTheme="minorHAnsi"/>
                <w:noProof/>
                <w:kern w:val="2"/>
                <w:lang w:eastAsia="et-EE"/>
                <w14:ligatures w14:val="standardContextual"/>
              </w:rPr>
              <w:tab/>
            </w:r>
            <w:r w:rsidRPr="0053297C">
              <w:rPr>
                <w:rStyle w:val="Hperlink"/>
                <w:noProof/>
              </w:rPr>
              <w:t>Turuosad</w:t>
            </w:r>
            <w:r>
              <w:rPr>
                <w:noProof/>
                <w:webHidden/>
              </w:rPr>
              <w:tab/>
            </w:r>
            <w:r>
              <w:rPr>
                <w:noProof/>
                <w:webHidden/>
              </w:rPr>
              <w:fldChar w:fldCharType="begin"/>
            </w:r>
            <w:r>
              <w:rPr>
                <w:noProof/>
                <w:webHidden/>
              </w:rPr>
              <w:instrText xml:space="preserve"> PAGEREF _Toc174710748 \h </w:instrText>
            </w:r>
            <w:r>
              <w:rPr>
                <w:noProof/>
                <w:webHidden/>
              </w:rPr>
            </w:r>
            <w:r>
              <w:rPr>
                <w:noProof/>
                <w:webHidden/>
              </w:rPr>
              <w:fldChar w:fldCharType="separate"/>
            </w:r>
            <w:r w:rsidR="00D2135F">
              <w:rPr>
                <w:noProof/>
                <w:webHidden/>
              </w:rPr>
              <w:t>69</w:t>
            </w:r>
            <w:r>
              <w:rPr>
                <w:noProof/>
                <w:webHidden/>
              </w:rPr>
              <w:fldChar w:fldCharType="end"/>
            </w:r>
          </w:hyperlink>
        </w:p>
        <w:p w14:paraId="65D2196F" w14:textId="629ECC99"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49" w:history="1">
            <w:r w:rsidRPr="0053297C">
              <w:rPr>
                <w:rStyle w:val="Hperlink"/>
                <w:noProof/>
              </w:rPr>
              <w:t>3.1.2</w:t>
            </w:r>
            <w:r>
              <w:rPr>
                <w:rFonts w:asciiTheme="minorHAnsi" w:eastAsiaTheme="minorEastAsia" w:hAnsiTheme="minorHAnsi"/>
                <w:noProof/>
                <w:kern w:val="2"/>
                <w:lang w:eastAsia="et-EE"/>
                <w14:ligatures w14:val="standardContextual"/>
              </w:rPr>
              <w:tab/>
            </w:r>
            <w:r w:rsidRPr="0053297C">
              <w:rPr>
                <w:rStyle w:val="Hperlink"/>
                <w:noProof/>
              </w:rPr>
              <w:t>Turule sisenemise tõkked</w:t>
            </w:r>
            <w:r>
              <w:rPr>
                <w:noProof/>
                <w:webHidden/>
              </w:rPr>
              <w:tab/>
            </w:r>
            <w:r>
              <w:rPr>
                <w:noProof/>
                <w:webHidden/>
              </w:rPr>
              <w:fldChar w:fldCharType="begin"/>
            </w:r>
            <w:r>
              <w:rPr>
                <w:noProof/>
                <w:webHidden/>
              </w:rPr>
              <w:instrText xml:space="preserve"> PAGEREF _Toc174710749 \h </w:instrText>
            </w:r>
            <w:r>
              <w:rPr>
                <w:noProof/>
                <w:webHidden/>
              </w:rPr>
            </w:r>
            <w:r>
              <w:rPr>
                <w:noProof/>
                <w:webHidden/>
              </w:rPr>
              <w:fldChar w:fldCharType="separate"/>
            </w:r>
            <w:r w:rsidR="00D2135F">
              <w:rPr>
                <w:noProof/>
                <w:webHidden/>
              </w:rPr>
              <w:t>69</w:t>
            </w:r>
            <w:r>
              <w:rPr>
                <w:noProof/>
                <w:webHidden/>
              </w:rPr>
              <w:fldChar w:fldCharType="end"/>
            </w:r>
          </w:hyperlink>
        </w:p>
        <w:p w14:paraId="4826ABB0" w14:textId="60456335"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50" w:history="1">
            <w:r w:rsidRPr="0053297C">
              <w:rPr>
                <w:rStyle w:val="Hperlink"/>
                <w:noProof/>
              </w:rPr>
              <w:t>3.1.3</w:t>
            </w:r>
            <w:r>
              <w:rPr>
                <w:rFonts w:asciiTheme="minorHAnsi" w:eastAsiaTheme="minorEastAsia" w:hAnsiTheme="minorHAnsi"/>
                <w:noProof/>
                <w:kern w:val="2"/>
                <w:lang w:eastAsia="et-EE"/>
                <w14:ligatures w14:val="standardContextual"/>
              </w:rPr>
              <w:tab/>
            </w:r>
            <w:r w:rsidRPr="0053297C">
              <w:rPr>
                <w:rStyle w:val="Hperlink"/>
                <w:noProof/>
              </w:rPr>
              <w:t xml:space="preserve">Tasakaalustav </w:t>
            </w:r>
            <w:r w:rsidR="00EE71F9">
              <w:rPr>
                <w:rStyle w:val="Hperlink"/>
                <w:noProof/>
              </w:rPr>
              <w:t>ostjaj</w:t>
            </w:r>
            <w:r w:rsidRPr="0053297C">
              <w:rPr>
                <w:rStyle w:val="Hperlink"/>
                <w:noProof/>
              </w:rPr>
              <w:t>õud</w:t>
            </w:r>
            <w:r>
              <w:rPr>
                <w:noProof/>
                <w:webHidden/>
              </w:rPr>
              <w:tab/>
            </w:r>
            <w:r>
              <w:rPr>
                <w:noProof/>
                <w:webHidden/>
              </w:rPr>
              <w:fldChar w:fldCharType="begin"/>
            </w:r>
            <w:r>
              <w:rPr>
                <w:noProof/>
                <w:webHidden/>
              </w:rPr>
              <w:instrText xml:space="preserve"> PAGEREF _Toc174710750 \h </w:instrText>
            </w:r>
            <w:r>
              <w:rPr>
                <w:noProof/>
                <w:webHidden/>
              </w:rPr>
            </w:r>
            <w:r>
              <w:rPr>
                <w:noProof/>
                <w:webHidden/>
              </w:rPr>
              <w:fldChar w:fldCharType="separate"/>
            </w:r>
            <w:r w:rsidR="00D2135F">
              <w:rPr>
                <w:noProof/>
                <w:webHidden/>
              </w:rPr>
              <w:t>70</w:t>
            </w:r>
            <w:r>
              <w:rPr>
                <w:noProof/>
                <w:webHidden/>
              </w:rPr>
              <w:fldChar w:fldCharType="end"/>
            </w:r>
          </w:hyperlink>
        </w:p>
        <w:p w14:paraId="0E955C27" w14:textId="3B7CC002"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51" w:history="1">
            <w:r w:rsidRPr="0053297C">
              <w:rPr>
                <w:rStyle w:val="Hperlink"/>
                <w:noProof/>
              </w:rPr>
              <w:t>3.1.4</w:t>
            </w:r>
            <w:r>
              <w:rPr>
                <w:rFonts w:asciiTheme="minorHAnsi" w:eastAsiaTheme="minorEastAsia" w:hAnsiTheme="minorHAnsi"/>
                <w:noProof/>
                <w:kern w:val="2"/>
                <w:lang w:eastAsia="et-EE"/>
                <w14:ligatures w14:val="standardContextual"/>
              </w:rPr>
              <w:tab/>
            </w:r>
            <w:r w:rsidRPr="0053297C">
              <w:rPr>
                <w:rStyle w:val="Hperlink"/>
                <w:noProof/>
              </w:rPr>
              <w:t>Järeldused</w:t>
            </w:r>
            <w:r>
              <w:rPr>
                <w:noProof/>
                <w:webHidden/>
              </w:rPr>
              <w:tab/>
            </w:r>
            <w:r>
              <w:rPr>
                <w:noProof/>
                <w:webHidden/>
              </w:rPr>
              <w:fldChar w:fldCharType="begin"/>
            </w:r>
            <w:r>
              <w:rPr>
                <w:noProof/>
                <w:webHidden/>
              </w:rPr>
              <w:instrText xml:space="preserve"> PAGEREF _Toc174710751 \h </w:instrText>
            </w:r>
            <w:r>
              <w:rPr>
                <w:noProof/>
                <w:webHidden/>
              </w:rPr>
            </w:r>
            <w:r>
              <w:rPr>
                <w:noProof/>
                <w:webHidden/>
              </w:rPr>
              <w:fldChar w:fldCharType="separate"/>
            </w:r>
            <w:r w:rsidR="00D2135F">
              <w:rPr>
                <w:noProof/>
                <w:webHidden/>
              </w:rPr>
              <w:t>71</w:t>
            </w:r>
            <w:r>
              <w:rPr>
                <w:noProof/>
                <w:webHidden/>
              </w:rPr>
              <w:fldChar w:fldCharType="end"/>
            </w:r>
          </w:hyperlink>
        </w:p>
        <w:p w14:paraId="12FCF626" w14:textId="72C878A8"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752" w:history="1">
            <w:r w:rsidRPr="0053297C">
              <w:rPr>
                <w:rStyle w:val="Hperlink"/>
                <w:noProof/>
              </w:rPr>
              <w:t>3.2</w:t>
            </w:r>
            <w:r>
              <w:rPr>
                <w:rFonts w:asciiTheme="minorHAnsi" w:eastAsiaTheme="minorEastAsia" w:hAnsiTheme="minorHAnsi"/>
                <w:noProof/>
                <w:kern w:val="2"/>
                <w:lang w:eastAsia="et-EE"/>
                <w14:ligatures w14:val="standardContextual"/>
              </w:rPr>
              <w:tab/>
            </w:r>
            <w:r w:rsidRPr="0053297C">
              <w:rPr>
                <w:rStyle w:val="Hperlink"/>
                <w:noProof/>
              </w:rPr>
              <w:t>Valguskaabelvõrgu internetiühenduste A piirkonna jaeturu konkurentsi analüüs</w:t>
            </w:r>
            <w:r>
              <w:rPr>
                <w:noProof/>
                <w:webHidden/>
              </w:rPr>
              <w:tab/>
            </w:r>
            <w:r>
              <w:rPr>
                <w:noProof/>
                <w:webHidden/>
              </w:rPr>
              <w:fldChar w:fldCharType="begin"/>
            </w:r>
            <w:r>
              <w:rPr>
                <w:noProof/>
                <w:webHidden/>
              </w:rPr>
              <w:instrText xml:space="preserve"> PAGEREF _Toc174710752 \h </w:instrText>
            </w:r>
            <w:r>
              <w:rPr>
                <w:noProof/>
                <w:webHidden/>
              </w:rPr>
            </w:r>
            <w:r>
              <w:rPr>
                <w:noProof/>
                <w:webHidden/>
              </w:rPr>
              <w:fldChar w:fldCharType="separate"/>
            </w:r>
            <w:r w:rsidR="00D2135F">
              <w:rPr>
                <w:noProof/>
                <w:webHidden/>
              </w:rPr>
              <w:t>71</w:t>
            </w:r>
            <w:r>
              <w:rPr>
                <w:noProof/>
                <w:webHidden/>
              </w:rPr>
              <w:fldChar w:fldCharType="end"/>
            </w:r>
          </w:hyperlink>
        </w:p>
        <w:p w14:paraId="0D7BC934" w14:textId="4639933D"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54" w:history="1">
            <w:r w:rsidRPr="0053297C">
              <w:rPr>
                <w:rStyle w:val="Hperlink"/>
                <w:noProof/>
              </w:rPr>
              <w:t>3.2.1</w:t>
            </w:r>
            <w:r>
              <w:rPr>
                <w:rFonts w:asciiTheme="minorHAnsi" w:eastAsiaTheme="minorEastAsia" w:hAnsiTheme="minorHAnsi"/>
                <w:noProof/>
                <w:kern w:val="2"/>
                <w:lang w:eastAsia="et-EE"/>
                <w14:ligatures w14:val="standardContextual"/>
              </w:rPr>
              <w:tab/>
            </w:r>
            <w:r w:rsidRPr="0053297C">
              <w:rPr>
                <w:rStyle w:val="Hperlink"/>
                <w:noProof/>
              </w:rPr>
              <w:t>Turuosad</w:t>
            </w:r>
            <w:r>
              <w:rPr>
                <w:noProof/>
                <w:webHidden/>
              </w:rPr>
              <w:tab/>
            </w:r>
            <w:r>
              <w:rPr>
                <w:noProof/>
                <w:webHidden/>
              </w:rPr>
              <w:fldChar w:fldCharType="begin"/>
            </w:r>
            <w:r>
              <w:rPr>
                <w:noProof/>
                <w:webHidden/>
              </w:rPr>
              <w:instrText xml:space="preserve"> PAGEREF _Toc174710754 \h </w:instrText>
            </w:r>
            <w:r>
              <w:rPr>
                <w:noProof/>
                <w:webHidden/>
              </w:rPr>
            </w:r>
            <w:r>
              <w:rPr>
                <w:noProof/>
                <w:webHidden/>
              </w:rPr>
              <w:fldChar w:fldCharType="separate"/>
            </w:r>
            <w:r w:rsidR="00D2135F">
              <w:rPr>
                <w:noProof/>
                <w:webHidden/>
              </w:rPr>
              <w:t>71</w:t>
            </w:r>
            <w:r>
              <w:rPr>
                <w:noProof/>
                <w:webHidden/>
              </w:rPr>
              <w:fldChar w:fldCharType="end"/>
            </w:r>
          </w:hyperlink>
        </w:p>
        <w:p w14:paraId="60E2889C" w14:textId="0914902F"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55" w:history="1">
            <w:r w:rsidRPr="0053297C">
              <w:rPr>
                <w:rStyle w:val="Hperlink"/>
                <w:noProof/>
              </w:rPr>
              <w:t>3.2.2</w:t>
            </w:r>
            <w:r>
              <w:rPr>
                <w:rFonts w:asciiTheme="minorHAnsi" w:eastAsiaTheme="minorEastAsia" w:hAnsiTheme="minorHAnsi"/>
                <w:noProof/>
                <w:kern w:val="2"/>
                <w:lang w:eastAsia="et-EE"/>
                <w14:ligatures w14:val="standardContextual"/>
              </w:rPr>
              <w:tab/>
            </w:r>
            <w:r w:rsidRPr="0053297C">
              <w:rPr>
                <w:rStyle w:val="Hperlink"/>
                <w:noProof/>
              </w:rPr>
              <w:t>Turule sisenemise tõkked</w:t>
            </w:r>
            <w:r>
              <w:rPr>
                <w:noProof/>
                <w:webHidden/>
              </w:rPr>
              <w:tab/>
            </w:r>
            <w:r>
              <w:rPr>
                <w:noProof/>
                <w:webHidden/>
              </w:rPr>
              <w:fldChar w:fldCharType="begin"/>
            </w:r>
            <w:r>
              <w:rPr>
                <w:noProof/>
                <w:webHidden/>
              </w:rPr>
              <w:instrText xml:space="preserve"> PAGEREF _Toc174710755 \h </w:instrText>
            </w:r>
            <w:r>
              <w:rPr>
                <w:noProof/>
                <w:webHidden/>
              </w:rPr>
            </w:r>
            <w:r>
              <w:rPr>
                <w:noProof/>
                <w:webHidden/>
              </w:rPr>
              <w:fldChar w:fldCharType="separate"/>
            </w:r>
            <w:r w:rsidR="00D2135F">
              <w:rPr>
                <w:noProof/>
                <w:webHidden/>
              </w:rPr>
              <w:t>72</w:t>
            </w:r>
            <w:r>
              <w:rPr>
                <w:noProof/>
                <w:webHidden/>
              </w:rPr>
              <w:fldChar w:fldCharType="end"/>
            </w:r>
          </w:hyperlink>
        </w:p>
        <w:p w14:paraId="6D9FB5C4" w14:textId="4AA8E7E4"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56" w:history="1">
            <w:r w:rsidRPr="0053297C">
              <w:rPr>
                <w:rStyle w:val="Hperlink"/>
                <w:noProof/>
              </w:rPr>
              <w:t>3.2.3</w:t>
            </w:r>
            <w:r>
              <w:rPr>
                <w:rFonts w:asciiTheme="minorHAnsi" w:eastAsiaTheme="minorEastAsia" w:hAnsiTheme="minorHAnsi"/>
                <w:noProof/>
                <w:kern w:val="2"/>
                <w:lang w:eastAsia="et-EE"/>
                <w14:ligatures w14:val="standardContextual"/>
              </w:rPr>
              <w:tab/>
            </w:r>
            <w:r w:rsidRPr="0053297C">
              <w:rPr>
                <w:rStyle w:val="Hperlink"/>
                <w:noProof/>
              </w:rPr>
              <w:t xml:space="preserve">Tasakaalustav </w:t>
            </w:r>
            <w:r w:rsidR="00EE71F9">
              <w:rPr>
                <w:rStyle w:val="Hperlink"/>
                <w:noProof/>
              </w:rPr>
              <w:t>ostjaj</w:t>
            </w:r>
            <w:r w:rsidRPr="0053297C">
              <w:rPr>
                <w:rStyle w:val="Hperlink"/>
                <w:noProof/>
              </w:rPr>
              <w:t>õud</w:t>
            </w:r>
            <w:r>
              <w:rPr>
                <w:noProof/>
                <w:webHidden/>
              </w:rPr>
              <w:tab/>
            </w:r>
            <w:r>
              <w:rPr>
                <w:noProof/>
                <w:webHidden/>
              </w:rPr>
              <w:fldChar w:fldCharType="begin"/>
            </w:r>
            <w:r>
              <w:rPr>
                <w:noProof/>
                <w:webHidden/>
              </w:rPr>
              <w:instrText xml:space="preserve"> PAGEREF _Toc174710756 \h </w:instrText>
            </w:r>
            <w:r>
              <w:rPr>
                <w:noProof/>
                <w:webHidden/>
              </w:rPr>
            </w:r>
            <w:r>
              <w:rPr>
                <w:noProof/>
                <w:webHidden/>
              </w:rPr>
              <w:fldChar w:fldCharType="separate"/>
            </w:r>
            <w:r w:rsidR="00D2135F">
              <w:rPr>
                <w:noProof/>
                <w:webHidden/>
              </w:rPr>
              <w:t>74</w:t>
            </w:r>
            <w:r>
              <w:rPr>
                <w:noProof/>
                <w:webHidden/>
              </w:rPr>
              <w:fldChar w:fldCharType="end"/>
            </w:r>
          </w:hyperlink>
        </w:p>
        <w:p w14:paraId="230D0C07" w14:textId="2E71B57F"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57" w:history="1">
            <w:r w:rsidRPr="0053297C">
              <w:rPr>
                <w:rStyle w:val="Hperlink"/>
                <w:noProof/>
              </w:rPr>
              <w:t>3.2.4</w:t>
            </w:r>
            <w:r>
              <w:rPr>
                <w:rFonts w:asciiTheme="minorHAnsi" w:eastAsiaTheme="minorEastAsia" w:hAnsiTheme="minorHAnsi"/>
                <w:noProof/>
                <w:kern w:val="2"/>
                <w:lang w:eastAsia="et-EE"/>
                <w14:ligatures w14:val="standardContextual"/>
              </w:rPr>
              <w:tab/>
            </w:r>
            <w:r w:rsidRPr="0053297C">
              <w:rPr>
                <w:rStyle w:val="Hperlink"/>
                <w:noProof/>
              </w:rPr>
              <w:t>Järeldused</w:t>
            </w:r>
            <w:r>
              <w:rPr>
                <w:noProof/>
                <w:webHidden/>
              </w:rPr>
              <w:tab/>
            </w:r>
            <w:r>
              <w:rPr>
                <w:noProof/>
                <w:webHidden/>
              </w:rPr>
              <w:fldChar w:fldCharType="begin"/>
            </w:r>
            <w:r>
              <w:rPr>
                <w:noProof/>
                <w:webHidden/>
              </w:rPr>
              <w:instrText xml:space="preserve"> PAGEREF _Toc174710757 \h </w:instrText>
            </w:r>
            <w:r>
              <w:rPr>
                <w:noProof/>
                <w:webHidden/>
              </w:rPr>
            </w:r>
            <w:r>
              <w:rPr>
                <w:noProof/>
                <w:webHidden/>
              </w:rPr>
              <w:fldChar w:fldCharType="separate"/>
            </w:r>
            <w:r w:rsidR="00D2135F">
              <w:rPr>
                <w:noProof/>
                <w:webHidden/>
              </w:rPr>
              <w:t>75</w:t>
            </w:r>
            <w:r>
              <w:rPr>
                <w:noProof/>
                <w:webHidden/>
              </w:rPr>
              <w:fldChar w:fldCharType="end"/>
            </w:r>
          </w:hyperlink>
        </w:p>
        <w:p w14:paraId="46932AB4" w14:textId="266B5E9D"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758" w:history="1">
            <w:r w:rsidRPr="0053297C">
              <w:rPr>
                <w:rStyle w:val="Hperlink"/>
                <w:noProof/>
              </w:rPr>
              <w:t>3.3</w:t>
            </w:r>
            <w:r>
              <w:rPr>
                <w:rFonts w:asciiTheme="minorHAnsi" w:eastAsiaTheme="minorEastAsia" w:hAnsiTheme="minorHAnsi"/>
                <w:noProof/>
                <w:kern w:val="2"/>
                <w:lang w:eastAsia="et-EE"/>
                <w14:ligatures w14:val="standardContextual"/>
              </w:rPr>
              <w:tab/>
            </w:r>
            <w:r w:rsidRPr="0053297C">
              <w:rPr>
                <w:rStyle w:val="Hperlink"/>
                <w:noProof/>
              </w:rPr>
              <w:t>Valguskaabelvõrgu internetiühenduste B piirkonna jaeturu konkurentsi analüüs</w:t>
            </w:r>
            <w:r>
              <w:rPr>
                <w:noProof/>
                <w:webHidden/>
              </w:rPr>
              <w:tab/>
            </w:r>
            <w:r>
              <w:rPr>
                <w:noProof/>
                <w:webHidden/>
              </w:rPr>
              <w:fldChar w:fldCharType="begin"/>
            </w:r>
            <w:r>
              <w:rPr>
                <w:noProof/>
                <w:webHidden/>
              </w:rPr>
              <w:instrText xml:space="preserve"> PAGEREF _Toc174710758 \h </w:instrText>
            </w:r>
            <w:r>
              <w:rPr>
                <w:noProof/>
                <w:webHidden/>
              </w:rPr>
            </w:r>
            <w:r>
              <w:rPr>
                <w:noProof/>
                <w:webHidden/>
              </w:rPr>
              <w:fldChar w:fldCharType="separate"/>
            </w:r>
            <w:r w:rsidR="00D2135F">
              <w:rPr>
                <w:noProof/>
                <w:webHidden/>
              </w:rPr>
              <w:t>75</w:t>
            </w:r>
            <w:r>
              <w:rPr>
                <w:noProof/>
                <w:webHidden/>
              </w:rPr>
              <w:fldChar w:fldCharType="end"/>
            </w:r>
          </w:hyperlink>
        </w:p>
        <w:p w14:paraId="16DA2425" w14:textId="6CFF2090"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60" w:history="1">
            <w:r w:rsidRPr="0053297C">
              <w:rPr>
                <w:rStyle w:val="Hperlink"/>
                <w:noProof/>
              </w:rPr>
              <w:t>3.3.1</w:t>
            </w:r>
            <w:r>
              <w:rPr>
                <w:rFonts w:asciiTheme="minorHAnsi" w:eastAsiaTheme="minorEastAsia" w:hAnsiTheme="minorHAnsi"/>
                <w:noProof/>
                <w:kern w:val="2"/>
                <w:lang w:eastAsia="et-EE"/>
                <w14:ligatures w14:val="standardContextual"/>
              </w:rPr>
              <w:tab/>
            </w:r>
            <w:r w:rsidRPr="0053297C">
              <w:rPr>
                <w:rStyle w:val="Hperlink"/>
                <w:noProof/>
              </w:rPr>
              <w:t>Turuosad</w:t>
            </w:r>
            <w:r>
              <w:rPr>
                <w:noProof/>
                <w:webHidden/>
              </w:rPr>
              <w:tab/>
            </w:r>
            <w:r>
              <w:rPr>
                <w:noProof/>
                <w:webHidden/>
              </w:rPr>
              <w:fldChar w:fldCharType="begin"/>
            </w:r>
            <w:r>
              <w:rPr>
                <w:noProof/>
                <w:webHidden/>
              </w:rPr>
              <w:instrText xml:space="preserve"> PAGEREF _Toc174710760 \h </w:instrText>
            </w:r>
            <w:r>
              <w:rPr>
                <w:noProof/>
                <w:webHidden/>
              </w:rPr>
            </w:r>
            <w:r>
              <w:rPr>
                <w:noProof/>
                <w:webHidden/>
              </w:rPr>
              <w:fldChar w:fldCharType="separate"/>
            </w:r>
            <w:r w:rsidR="00D2135F">
              <w:rPr>
                <w:noProof/>
                <w:webHidden/>
              </w:rPr>
              <w:t>75</w:t>
            </w:r>
            <w:r>
              <w:rPr>
                <w:noProof/>
                <w:webHidden/>
              </w:rPr>
              <w:fldChar w:fldCharType="end"/>
            </w:r>
          </w:hyperlink>
        </w:p>
        <w:p w14:paraId="49A9505F" w14:textId="66E6535A"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61" w:history="1">
            <w:r w:rsidRPr="0053297C">
              <w:rPr>
                <w:rStyle w:val="Hperlink"/>
                <w:noProof/>
              </w:rPr>
              <w:t>3.3.2</w:t>
            </w:r>
            <w:r>
              <w:rPr>
                <w:rFonts w:asciiTheme="minorHAnsi" w:eastAsiaTheme="minorEastAsia" w:hAnsiTheme="minorHAnsi"/>
                <w:noProof/>
                <w:kern w:val="2"/>
                <w:lang w:eastAsia="et-EE"/>
                <w14:ligatures w14:val="standardContextual"/>
              </w:rPr>
              <w:tab/>
            </w:r>
            <w:r w:rsidRPr="0053297C">
              <w:rPr>
                <w:rStyle w:val="Hperlink"/>
                <w:noProof/>
              </w:rPr>
              <w:t>Turule sisenemise tõkked</w:t>
            </w:r>
            <w:r>
              <w:rPr>
                <w:noProof/>
                <w:webHidden/>
              </w:rPr>
              <w:tab/>
            </w:r>
            <w:r>
              <w:rPr>
                <w:noProof/>
                <w:webHidden/>
              </w:rPr>
              <w:fldChar w:fldCharType="begin"/>
            </w:r>
            <w:r>
              <w:rPr>
                <w:noProof/>
                <w:webHidden/>
              </w:rPr>
              <w:instrText xml:space="preserve"> PAGEREF _Toc174710761 \h </w:instrText>
            </w:r>
            <w:r>
              <w:rPr>
                <w:noProof/>
                <w:webHidden/>
              </w:rPr>
            </w:r>
            <w:r>
              <w:rPr>
                <w:noProof/>
                <w:webHidden/>
              </w:rPr>
              <w:fldChar w:fldCharType="separate"/>
            </w:r>
            <w:r w:rsidR="00D2135F">
              <w:rPr>
                <w:noProof/>
                <w:webHidden/>
              </w:rPr>
              <w:t>76</w:t>
            </w:r>
            <w:r>
              <w:rPr>
                <w:noProof/>
                <w:webHidden/>
              </w:rPr>
              <w:fldChar w:fldCharType="end"/>
            </w:r>
          </w:hyperlink>
        </w:p>
        <w:p w14:paraId="7F7D1770" w14:textId="1C14309D"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62" w:history="1">
            <w:r w:rsidRPr="0053297C">
              <w:rPr>
                <w:rStyle w:val="Hperlink"/>
                <w:noProof/>
              </w:rPr>
              <w:t>3.3.3</w:t>
            </w:r>
            <w:r>
              <w:rPr>
                <w:rFonts w:asciiTheme="minorHAnsi" w:eastAsiaTheme="minorEastAsia" w:hAnsiTheme="minorHAnsi"/>
                <w:noProof/>
                <w:kern w:val="2"/>
                <w:lang w:eastAsia="et-EE"/>
                <w14:ligatures w14:val="standardContextual"/>
              </w:rPr>
              <w:tab/>
            </w:r>
            <w:r w:rsidRPr="0053297C">
              <w:rPr>
                <w:rStyle w:val="Hperlink"/>
                <w:noProof/>
              </w:rPr>
              <w:t xml:space="preserve">Tasakaalustav </w:t>
            </w:r>
            <w:r w:rsidR="00EE71F9">
              <w:rPr>
                <w:rStyle w:val="Hperlink"/>
                <w:noProof/>
              </w:rPr>
              <w:t>ostjaj</w:t>
            </w:r>
            <w:r w:rsidRPr="0053297C">
              <w:rPr>
                <w:rStyle w:val="Hperlink"/>
                <w:noProof/>
              </w:rPr>
              <w:t>õud</w:t>
            </w:r>
            <w:r>
              <w:rPr>
                <w:noProof/>
                <w:webHidden/>
              </w:rPr>
              <w:tab/>
            </w:r>
            <w:r>
              <w:rPr>
                <w:noProof/>
                <w:webHidden/>
              </w:rPr>
              <w:fldChar w:fldCharType="begin"/>
            </w:r>
            <w:r>
              <w:rPr>
                <w:noProof/>
                <w:webHidden/>
              </w:rPr>
              <w:instrText xml:space="preserve"> PAGEREF _Toc174710762 \h </w:instrText>
            </w:r>
            <w:r>
              <w:rPr>
                <w:noProof/>
                <w:webHidden/>
              </w:rPr>
            </w:r>
            <w:r>
              <w:rPr>
                <w:noProof/>
                <w:webHidden/>
              </w:rPr>
              <w:fldChar w:fldCharType="separate"/>
            </w:r>
            <w:r w:rsidR="00D2135F">
              <w:rPr>
                <w:noProof/>
                <w:webHidden/>
              </w:rPr>
              <w:t>77</w:t>
            </w:r>
            <w:r>
              <w:rPr>
                <w:noProof/>
                <w:webHidden/>
              </w:rPr>
              <w:fldChar w:fldCharType="end"/>
            </w:r>
          </w:hyperlink>
        </w:p>
        <w:p w14:paraId="7CF9161A" w14:textId="1A48438A"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63" w:history="1">
            <w:r w:rsidRPr="0053297C">
              <w:rPr>
                <w:rStyle w:val="Hperlink"/>
                <w:noProof/>
              </w:rPr>
              <w:t>3.3.4</w:t>
            </w:r>
            <w:r>
              <w:rPr>
                <w:rFonts w:asciiTheme="minorHAnsi" w:eastAsiaTheme="minorEastAsia" w:hAnsiTheme="minorHAnsi"/>
                <w:noProof/>
                <w:kern w:val="2"/>
                <w:lang w:eastAsia="et-EE"/>
                <w14:ligatures w14:val="standardContextual"/>
              </w:rPr>
              <w:tab/>
            </w:r>
            <w:r w:rsidRPr="0053297C">
              <w:rPr>
                <w:rStyle w:val="Hperlink"/>
                <w:noProof/>
              </w:rPr>
              <w:t>Järeldused</w:t>
            </w:r>
            <w:r>
              <w:rPr>
                <w:noProof/>
                <w:webHidden/>
              </w:rPr>
              <w:tab/>
            </w:r>
            <w:r>
              <w:rPr>
                <w:noProof/>
                <w:webHidden/>
              </w:rPr>
              <w:fldChar w:fldCharType="begin"/>
            </w:r>
            <w:r>
              <w:rPr>
                <w:noProof/>
                <w:webHidden/>
              </w:rPr>
              <w:instrText xml:space="preserve"> PAGEREF _Toc174710763 \h </w:instrText>
            </w:r>
            <w:r>
              <w:rPr>
                <w:noProof/>
                <w:webHidden/>
              </w:rPr>
            </w:r>
            <w:r>
              <w:rPr>
                <w:noProof/>
                <w:webHidden/>
              </w:rPr>
              <w:fldChar w:fldCharType="separate"/>
            </w:r>
            <w:r w:rsidR="00D2135F">
              <w:rPr>
                <w:noProof/>
                <w:webHidden/>
              </w:rPr>
              <w:t>80</w:t>
            </w:r>
            <w:r>
              <w:rPr>
                <w:noProof/>
                <w:webHidden/>
              </w:rPr>
              <w:fldChar w:fldCharType="end"/>
            </w:r>
          </w:hyperlink>
        </w:p>
        <w:p w14:paraId="7AD1CB5E" w14:textId="6317B344" w:rsidR="00A212D3" w:rsidRDefault="00A212D3">
          <w:pPr>
            <w:pStyle w:val="SK1"/>
            <w:tabs>
              <w:tab w:val="left" w:pos="440"/>
              <w:tab w:val="right" w:leader="dot" w:pos="9350"/>
            </w:tabs>
            <w:rPr>
              <w:rFonts w:asciiTheme="minorHAnsi" w:hAnsiTheme="minorHAnsi"/>
              <w:noProof/>
              <w:kern w:val="2"/>
              <w:sz w:val="22"/>
              <w:szCs w:val="22"/>
              <w:lang w:eastAsia="et-EE"/>
              <w14:ligatures w14:val="standardContextual"/>
            </w:rPr>
          </w:pPr>
          <w:hyperlink w:anchor="_Toc174710764" w:history="1">
            <w:r w:rsidRPr="0053297C">
              <w:rPr>
                <w:rStyle w:val="Hperlink"/>
                <w:noProof/>
              </w:rPr>
              <w:t>4.</w:t>
            </w:r>
            <w:r>
              <w:rPr>
                <w:rFonts w:asciiTheme="minorHAnsi" w:hAnsiTheme="minorHAnsi"/>
                <w:noProof/>
                <w:kern w:val="2"/>
                <w:sz w:val="22"/>
                <w:szCs w:val="22"/>
                <w:lang w:eastAsia="et-EE"/>
                <w14:ligatures w14:val="standardContextual"/>
              </w:rPr>
              <w:tab/>
            </w:r>
            <w:r w:rsidRPr="0053297C">
              <w:rPr>
                <w:rStyle w:val="Hperlink"/>
                <w:noProof/>
              </w:rPr>
              <w:t>HULGITURG 1 ja HULGITURG 3b ÜLEVAADE</w:t>
            </w:r>
            <w:r>
              <w:rPr>
                <w:noProof/>
                <w:webHidden/>
              </w:rPr>
              <w:tab/>
            </w:r>
            <w:r>
              <w:rPr>
                <w:noProof/>
                <w:webHidden/>
              </w:rPr>
              <w:fldChar w:fldCharType="begin"/>
            </w:r>
            <w:r>
              <w:rPr>
                <w:noProof/>
                <w:webHidden/>
              </w:rPr>
              <w:instrText xml:space="preserve"> PAGEREF _Toc174710764 \h </w:instrText>
            </w:r>
            <w:r>
              <w:rPr>
                <w:noProof/>
                <w:webHidden/>
              </w:rPr>
            </w:r>
            <w:r>
              <w:rPr>
                <w:noProof/>
                <w:webHidden/>
              </w:rPr>
              <w:fldChar w:fldCharType="separate"/>
            </w:r>
            <w:r w:rsidR="00D2135F">
              <w:rPr>
                <w:noProof/>
                <w:webHidden/>
              </w:rPr>
              <w:t>80</w:t>
            </w:r>
            <w:r>
              <w:rPr>
                <w:noProof/>
                <w:webHidden/>
              </w:rPr>
              <w:fldChar w:fldCharType="end"/>
            </w:r>
          </w:hyperlink>
        </w:p>
        <w:p w14:paraId="3E0919C3" w14:textId="3A0C18A8"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770" w:history="1">
            <w:r w:rsidRPr="0053297C">
              <w:rPr>
                <w:rStyle w:val="Hperlink"/>
                <w:noProof/>
              </w:rPr>
              <w:t>4.1</w:t>
            </w:r>
            <w:r>
              <w:rPr>
                <w:rFonts w:asciiTheme="minorHAnsi" w:eastAsiaTheme="minorEastAsia" w:hAnsiTheme="minorHAnsi"/>
                <w:noProof/>
                <w:kern w:val="2"/>
                <w:lang w:eastAsia="et-EE"/>
                <w14:ligatures w14:val="standardContextual"/>
              </w:rPr>
              <w:tab/>
            </w:r>
            <w:r w:rsidRPr="0053297C">
              <w:rPr>
                <w:rStyle w:val="Hperlink"/>
                <w:noProof/>
              </w:rPr>
              <w:t>Skemaatiline erinevus hulgituru 1 ja hulgituru 3b vahel</w:t>
            </w:r>
            <w:r>
              <w:rPr>
                <w:noProof/>
                <w:webHidden/>
              </w:rPr>
              <w:tab/>
            </w:r>
            <w:r>
              <w:rPr>
                <w:noProof/>
                <w:webHidden/>
              </w:rPr>
              <w:fldChar w:fldCharType="begin"/>
            </w:r>
            <w:r>
              <w:rPr>
                <w:noProof/>
                <w:webHidden/>
              </w:rPr>
              <w:instrText xml:space="preserve"> PAGEREF _Toc174710770 \h </w:instrText>
            </w:r>
            <w:r>
              <w:rPr>
                <w:noProof/>
                <w:webHidden/>
              </w:rPr>
            </w:r>
            <w:r>
              <w:rPr>
                <w:noProof/>
                <w:webHidden/>
              </w:rPr>
              <w:fldChar w:fldCharType="separate"/>
            </w:r>
            <w:r w:rsidR="00D2135F">
              <w:rPr>
                <w:noProof/>
                <w:webHidden/>
              </w:rPr>
              <w:t>81</w:t>
            </w:r>
            <w:r>
              <w:rPr>
                <w:noProof/>
                <w:webHidden/>
              </w:rPr>
              <w:fldChar w:fldCharType="end"/>
            </w:r>
          </w:hyperlink>
        </w:p>
        <w:p w14:paraId="494B0BB0" w14:textId="05E864E3"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73" w:history="1">
            <w:r w:rsidRPr="0053297C">
              <w:rPr>
                <w:rStyle w:val="Hperlink"/>
                <w:noProof/>
              </w:rPr>
              <w:t>4.1.1</w:t>
            </w:r>
            <w:r>
              <w:rPr>
                <w:rFonts w:asciiTheme="minorHAnsi" w:eastAsiaTheme="minorEastAsia" w:hAnsiTheme="minorHAnsi"/>
                <w:noProof/>
                <w:kern w:val="2"/>
                <w:lang w:eastAsia="et-EE"/>
                <w14:ligatures w14:val="standardContextual"/>
              </w:rPr>
              <w:tab/>
            </w:r>
            <w:r w:rsidRPr="0053297C">
              <w:rPr>
                <w:rStyle w:val="Hperlink"/>
                <w:noProof/>
              </w:rPr>
              <w:t>Hulgiturg 1 selgitus</w:t>
            </w:r>
            <w:r>
              <w:rPr>
                <w:noProof/>
                <w:webHidden/>
              </w:rPr>
              <w:tab/>
            </w:r>
            <w:r>
              <w:rPr>
                <w:noProof/>
                <w:webHidden/>
              </w:rPr>
              <w:fldChar w:fldCharType="begin"/>
            </w:r>
            <w:r>
              <w:rPr>
                <w:noProof/>
                <w:webHidden/>
              </w:rPr>
              <w:instrText xml:space="preserve"> PAGEREF _Toc174710773 \h </w:instrText>
            </w:r>
            <w:r>
              <w:rPr>
                <w:noProof/>
                <w:webHidden/>
              </w:rPr>
            </w:r>
            <w:r>
              <w:rPr>
                <w:noProof/>
                <w:webHidden/>
              </w:rPr>
              <w:fldChar w:fldCharType="separate"/>
            </w:r>
            <w:r w:rsidR="00D2135F">
              <w:rPr>
                <w:noProof/>
                <w:webHidden/>
              </w:rPr>
              <w:t>81</w:t>
            </w:r>
            <w:r>
              <w:rPr>
                <w:noProof/>
                <w:webHidden/>
              </w:rPr>
              <w:fldChar w:fldCharType="end"/>
            </w:r>
          </w:hyperlink>
        </w:p>
        <w:p w14:paraId="5F0C3C12" w14:textId="3A8FBA61"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74" w:history="1">
            <w:r w:rsidRPr="0053297C">
              <w:rPr>
                <w:rStyle w:val="Hperlink"/>
                <w:noProof/>
              </w:rPr>
              <w:t>4.1.2</w:t>
            </w:r>
            <w:r>
              <w:rPr>
                <w:rFonts w:asciiTheme="minorHAnsi" w:eastAsiaTheme="minorEastAsia" w:hAnsiTheme="minorHAnsi"/>
                <w:noProof/>
                <w:kern w:val="2"/>
                <w:lang w:eastAsia="et-EE"/>
                <w14:ligatures w14:val="standardContextual"/>
              </w:rPr>
              <w:tab/>
            </w:r>
            <w:r w:rsidRPr="0053297C">
              <w:rPr>
                <w:rStyle w:val="Hperlink"/>
                <w:noProof/>
              </w:rPr>
              <w:t>Hulgiturg 3b selgitus</w:t>
            </w:r>
            <w:r>
              <w:rPr>
                <w:noProof/>
                <w:webHidden/>
              </w:rPr>
              <w:tab/>
            </w:r>
            <w:r>
              <w:rPr>
                <w:noProof/>
                <w:webHidden/>
              </w:rPr>
              <w:fldChar w:fldCharType="begin"/>
            </w:r>
            <w:r>
              <w:rPr>
                <w:noProof/>
                <w:webHidden/>
              </w:rPr>
              <w:instrText xml:space="preserve"> PAGEREF _Toc174710774 \h </w:instrText>
            </w:r>
            <w:r>
              <w:rPr>
                <w:noProof/>
                <w:webHidden/>
              </w:rPr>
            </w:r>
            <w:r>
              <w:rPr>
                <w:noProof/>
                <w:webHidden/>
              </w:rPr>
              <w:fldChar w:fldCharType="separate"/>
            </w:r>
            <w:r w:rsidR="00D2135F">
              <w:rPr>
                <w:noProof/>
                <w:webHidden/>
              </w:rPr>
              <w:t>85</w:t>
            </w:r>
            <w:r>
              <w:rPr>
                <w:noProof/>
                <w:webHidden/>
              </w:rPr>
              <w:fldChar w:fldCharType="end"/>
            </w:r>
          </w:hyperlink>
        </w:p>
        <w:p w14:paraId="73697646" w14:textId="625E4C3F" w:rsidR="00A212D3" w:rsidRDefault="00A212D3">
          <w:pPr>
            <w:pStyle w:val="SK1"/>
            <w:tabs>
              <w:tab w:val="left" w:pos="440"/>
              <w:tab w:val="right" w:leader="dot" w:pos="9350"/>
            </w:tabs>
            <w:rPr>
              <w:rFonts w:asciiTheme="minorHAnsi" w:hAnsiTheme="minorHAnsi"/>
              <w:noProof/>
              <w:kern w:val="2"/>
              <w:sz w:val="22"/>
              <w:szCs w:val="22"/>
              <w:lang w:eastAsia="et-EE"/>
              <w14:ligatures w14:val="standardContextual"/>
            </w:rPr>
          </w:pPr>
          <w:hyperlink w:anchor="_Toc174710775" w:history="1">
            <w:r w:rsidRPr="0053297C">
              <w:rPr>
                <w:rStyle w:val="Hperlink"/>
                <w:noProof/>
              </w:rPr>
              <w:t>5.</w:t>
            </w:r>
            <w:r>
              <w:rPr>
                <w:rFonts w:asciiTheme="minorHAnsi" w:hAnsiTheme="minorHAnsi"/>
                <w:noProof/>
                <w:kern w:val="2"/>
                <w:sz w:val="22"/>
                <w:szCs w:val="22"/>
                <w:lang w:eastAsia="et-EE"/>
                <w14:ligatures w14:val="standardContextual"/>
              </w:rPr>
              <w:tab/>
            </w:r>
            <w:r w:rsidRPr="0053297C">
              <w:rPr>
                <w:rStyle w:val="Hperlink"/>
                <w:noProof/>
              </w:rPr>
              <w:t>HULGITURG 1 ANALÜÜS</w:t>
            </w:r>
            <w:r>
              <w:rPr>
                <w:noProof/>
                <w:webHidden/>
              </w:rPr>
              <w:tab/>
            </w:r>
            <w:r>
              <w:rPr>
                <w:noProof/>
                <w:webHidden/>
              </w:rPr>
              <w:fldChar w:fldCharType="begin"/>
            </w:r>
            <w:r>
              <w:rPr>
                <w:noProof/>
                <w:webHidden/>
              </w:rPr>
              <w:instrText xml:space="preserve"> PAGEREF _Toc174710775 \h </w:instrText>
            </w:r>
            <w:r>
              <w:rPr>
                <w:noProof/>
                <w:webHidden/>
              </w:rPr>
            </w:r>
            <w:r>
              <w:rPr>
                <w:noProof/>
                <w:webHidden/>
              </w:rPr>
              <w:fldChar w:fldCharType="separate"/>
            </w:r>
            <w:r w:rsidR="00D2135F">
              <w:rPr>
                <w:noProof/>
                <w:webHidden/>
              </w:rPr>
              <w:t>87</w:t>
            </w:r>
            <w:r>
              <w:rPr>
                <w:noProof/>
                <w:webHidden/>
              </w:rPr>
              <w:fldChar w:fldCharType="end"/>
            </w:r>
          </w:hyperlink>
        </w:p>
        <w:p w14:paraId="2FEB3F4F" w14:textId="50E46DE9"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778" w:history="1">
            <w:r w:rsidRPr="0053297C">
              <w:rPr>
                <w:rStyle w:val="Hperlink"/>
                <w:noProof/>
              </w:rPr>
              <w:t>5.1</w:t>
            </w:r>
            <w:r>
              <w:rPr>
                <w:rFonts w:asciiTheme="minorHAnsi" w:eastAsiaTheme="minorEastAsia" w:hAnsiTheme="minorHAnsi"/>
                <w:noProof/>
                <w:kern w:val="2"/>
                <w:lang w:eastAsia="et-EE"/>
                <w14:ligatures w14:val="standardContextual"/>
              </w:rPr>
              <w:tab/>
            </w:r>
            <w:r w:rsidRPr="0053297C">
              <w:rPr>
                <w:rStyle w:val="Hperlink"/>
                <w:noProof/>
              </w:rPr>
              <w:t>Hulgituru 1 analüüs jaetasandil</w:t>
            </w:r>
            <w:r>
              <w:rPr>
                <w:noProof/>
                <w:webHidden/>
              </w:rPr>
              <w:tab/>
            </w:r>
            <w:r>
              <w:rPr>
                <w:noProof/>
                <w:webHidden/>
              </w:rPr>
              <w:fldChar w:fldCharType="begin"/>
            </w:r>
            <w:r>
              <w:rPr>
                <w:noProof/>
                <w:webHidden/>
              </w:rPr>
              <w:instrText xml:space="preserve"> PAGEREF _Toc174710778 \h </w:instrText>
            </w:r>
            <w:r>
              <w:rPr>
                <w:noProof/>
                <w:webHidden/>
              </w:rPr>
            </w:r>
            <w:r>
              <w:rPr>
                <w:noProof/>
                <w:webHidden/>
              </w:rPr>
              <w:fldChar w:fldCharType="separate"/>
            </w:r>
            <w:r w:rsidR="00D2135F">
              <w:rPr>
                <w:noProof/>
                <w:webHidden/>
              </w:rPr>
              <w:t>87</w:t>
            </w:r>
            <w:r>
              <w:rPr>
                <w:noProof/>
                <w:webHidden/>
              </w:rPr>
              <w:fldChar w:fldCharType="end"/>
            </w:r>
          </w:hyperlink>
        </w:p>
        <w:p w14:paraId="537A9302" w14:textId="593AAFE0"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83" w:history="1">
            <w:r w:rsidRPr="0053297C">
              <w:rPr>
                <w:rStyle w:val="Hperlink"/>
                <w:noProof/>
              </w:rPr>
              <w:t>5.1.1</w:t>
            </w:r>
            <w:r>
              <w:rPr>
                <w:rFonts w:asciiTheme="minorHAnsi" w:eastAsiaTheme="minorEastAsia" w:hAnsiTheme="minorHAnsi"/>
                <w:noProof/>
                <w:kern w:val="2"/>
                <w:lang w:eastAsia="et-EE"/>
                <w14:ligatures w14:val="standardContextual"/>
              </w:rPr>
              <w:tab/>
            </w:r>
            <w:r w:rsidRPr="0053297C">
              <w:rPr>
                <w:rStyle w:val="Hperlink"/>
                <w:noProof/>
              </w:rPr>
              <w:t>Vaskkaabli- ja mobiilsidevõrgu internetiühenduste üleriigiline jaeturg</w:t>
            </w:r>
            <w:r>
              <w:rPr>
                <w:noProof/>
                <w:webHidden/>
              </w:rPr>
              <w:tab/>
            </w:r>
            <w:r>
              <w:rPr>
                <w:noProof/>
                <w:webHidden/>
              </w:rPr>
              <w:fldChar w:fldCharType="begin"/>
            </w:r>
            <w:r>
              <w:rPr>
                <w:noProof/>
                <w:webHidden/>
              </w:rPr>
              <w:instrText xml:space="preserve"> PAGEREF _Toc174710783 \h </w:instrText>
            </w:r>
            <w:r>
              <w:rPr>
                <w:noProof/>
                <w:webHidden/>
              </w:rPr>
            </w:r>
            <w:r>
              <w:rPr>
                <w:noProof/>
                <w:webHidden/>
              </w:rPr>
              <w:fldChar w:fldCharType="separate"/>
            </w:r>
            <w:r w:rsidR="00D2135F">
              <w:rPr>
                <w:noProof/>
                <w:webHidden/>
              </w:rPr>
              <w:t>88</w:t>
            </w:r>
            <w:r>
              <w:rPr>
                <w:noProof/>
                <w:webHidden/>
              </w:rPr>
              <w:fldChar w:fldCharType="end"/>
            </w:r>
          </w:hyperlink>
        </w:p>
        <w:p w14:paraId="20669AC1" w14:textId="6EC82CA9"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84" w:history="1">
            <w:r w:rsidRPr="0053297C">
              <w:rPr>
                <w:rStyle w:val="Hperlink"/>
                <w:noProof/>
              </w:rPr>
              <w:t>5.1.2</w:t>
            </w:r>
            <w:r>
              <w:rPr>
                <w:rFonts w:asciiTheme="minorHAnsi" w:eastAsiaTheme="minorEastAsia" w:hAnsiTheme="minorHAnsi"/>
                <w:noProof/>
                <w:kern w:val="2"/>
                <w:lang w:eastAsia="et-EE"/>
                <w14:ligatures w14:val="standardContextual"/>
              </w:rPr>
              <w:tab/>
            </w:r>
            <w:r w:rsidRPr="0053297C">
              <w:rPr>
                <w:rStyle w:val="Hperlink"/>
                <w:rFonts w:cs="Times New Roman"/>
                <w:noProof/>
              </w:rPr>
              <w:t>Valguskaabelvõrgu internetiühenduste A ja B piirkonna jaeturud</w:t>
            </w:r>
            <w:r>
              <w:rPr>
                <w:noProof/>
                <w:webHidden/>
              </w:rPr>
              <w:tab/>
            </w:r>
            <w:r>
              <w:rPr>
                <w:noProof/>
                <w:webHidden/>
              </w:rPr>
              <w:fldChar w:fldCharType="begin"/>
            </w:r>
            <w:r>
              <w:rPr>
                <w:noProof/>
                <w:webHidden/>
              </w:rPr>
              <w:instrText xml:space="preserve"> PAGEREF _Toc174710784 \h </w:instrText>
            </w:r>
            <w:r>
              <w:rPr>
                <w:noProof/>
                <w:webHidden/>
              </w:rPr>
            </w:r>
            <w:r>
              <w:rPr>
                <w:noProof/>
                <w:webHidden/>
              </w:rPr>
              <w:fldChar w:fldCharType="separate"/>
            </w:r>
            <w:r w:rsidR="00D2135F">
              <w:rPr>
                <w:noProof/>
                <w:webHidden/>
              </w:rPr>
              <w:t>105</w:t>
            </w:r>
            <w:r>
              <w:rPr>
                <w:noProof/>
                <w:webHidden/>
              </w:rPr>
              <w:fldChar w:fldCharType="end"/>
            </w:r>
          </w:hyperlink>
        </w:p>
        <w:p w14:paraId="1B4BAE97" w14:textId="3E76046F"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785" w:history="1">
            <w:r w:rsidRPr="0053297C">
              <w:rPr>
                <w:rStyle w:val="Hperlink"/>
                <w:noProof/>
              </w:rPr>
              <w:t>5.2</w:t>
            </w:r>
            <w:r>
              <w:rPr>
                <w:rFonts w:asciiTheme="minorHAnsi" w:eastAsiaTheme="minorEastAsia" w:hAnsiTheme="minorHAnsi"/>
                <w:noProof/>
                <w:kern w:val="2"/>
                <w:lang w:eastAsia="et-EE"/>
                <w14:ligatures w14:val="standardContextual"/>
              </w:rPr>
              <w:tab/>
            </w:r>
            <w:r w:rsidRPr="0053297C">
              <w:rPr>
                <w:rStyle w:val="Hperlink"/>
                <w:noProof/>
              </w:rPr>
              <w:t>Hulgiturg 1: piiritlemine ja analüüs valguskaablivõrgu B piirkonna hulgiturul 1</w:t>
            </w:r>
            <w:r>
              <w:rPr>
                <w:noProof/>
                <w:webHidden/>
              </w:rPr>
              <w:tab/>
            </w:r>
            <w:r>
              <w:rPr>
                <w:noProof/>
                <w:webHidden/>
              </w:rPr>
              <w:fldChar w:fldCharType="begin"/>
            </w:r>
            <w:r>
              <w:rPr>
                <w:noProof/>
                <w:webHidden/>
              </w:rPr>
              <w:instrText xml:space="preserve"> PAGEREF _Toc174710785 \h </w:instrText>
            </w:r>
            <w:r>
              <w:rPr>
                <w:noProof/>
                <w:webHidden/>
              </w:rPr>
            </w:r>
            <w:r>
              <w:rPr>
                <w:noProof/>
                <w:webHidden/>
              </w:rPr>
              <w:fldChar w:fldCharType="separate"/>
            </w:r>
            <w:r w:rsidR="00D2135F">
              <w:rPr>
                <w:noProof/>
                <w:webHidden/>
              </w:rPr>
              <w:t>123</w:t>
            </w:r>
            <w:r>
              <w:rPr>
                <w:noProof/>
                <w:webHidden/>
              </w:rPr>
              <w:fldChar w:fldCharType="end"/>
            </w:r>
          </w:hyperlink>
        </w:p>
        <w:p w14:paraId="78374A04" w14:textId="7E01DF17"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96" w:history="1">
            <w:r w:rsidRPr="0053297C">
              <w:rPr>
                <w:rStyle w:val="Hperlink"/>
                <w:noProof/>
              </w:rPr>
              <w:t>5.2.1</w:t>
            </w:r>
            <w:r>
              <w:rPr>
                <w:rFonts w:asciiTheme="minorHAnsi" w:eastAsiaTheme="minorEastAsia" w:hAnsiTheme="minorHAnsi"/>
                <w:noProof/>
                <w:kern w:val="2"/>
                <w:lang w:eastAsia="et-EE"/>
                <w14:ligatures w14:val="standardContextual"/>
              </w:rPr>
              <w:tab/>
            </w:r>
            <w:r w:rsidRPr="0053297C">
              <w:rPr>
                <w:rStyle w:val="Hperlink"/>
                <w:noProof/>
              </w:rPr>
              <w:t>Valguskaablivõrgu B piirkonna hulgiturg 1</w:t>
            </w:r>
            <w:r>
              <w:rPr>
                <w:noProof/>
                <w:webHidden/>
              </w:rPr>
              <w:tab/>
            </w:r>
            <w:r>
              <w:rPr>
                <w:noProof/>
                <w:webHidden/>
              </w:rPr>
              <w:fldChar w:fldCharType="begin"/>
            </w:r>
            <w:r>
              <w:rPr>
                <w:noProof/>
                <w:webHidden/>
              </w:rPr>
              <w:instrText xml:space="preserve"> PAGEREF _Toc174710796 \h </w:instrText>
            </w:r>
            <w:r>
              <w:rPr>
                <w:noProof/>
                <w:webHidden/>
              </w:rPr>
            </w:r>
            <w:r>
              <w:rPr>
                <w:noProof/>
                <w:webHidden/>
              </w:rPr>
              <w:fldChar w:fldCharType="separate"/>
            </w:r>
            <w:r w:rsidR="00D2135F">
              <w:rPr>
                <w:noProof/>
                <w:webHidden/>
              </w:rPr>
              <w:t>123</w:t>
            </w:r>
            <w:r>
              <w:rPr>
                <w:noProof/>
                <w:webHidden/>
              </w:rPr>
              <w:fldChar w:fldCharType="end"/>
            </w:r>
          </w:hyperlink>
        </w:p>
        <w:p w14:paraId="7C1F7FC6" w14:textId="103A421F"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797" w:history="1">
            <w:r w:rsidRPr="0053297C">
              <w:rPr>
                <w:rStyle w:val="Hperlink"/>
                <w:noProof/>
              </w:rPr>
              <w:t>5.2.2</w:t>
            </w:r>
            <w:r>
              <w:rPr>
                <w:rFonts w:asciiTheme="minorHAnsi" w:eastAsiaTheme="minorEastAsia" w:hAnsiTheme="minorHAnsi"/>
                <w:noProof/>
                <w:kern w:val="2"/>
                <w:lang w:eastAsia="et-EE"/>
                <w14:ligatures w14:val="standardContextual"/>
              </w:rPr>
              <w:tab/>
            </w:r>
            <w:r w:rsidRPr="0053297C">
              <w:rPr>
                <w:rStyle w:val="Hperlink"/>
                <w:noProof/>
              </w:rPr>
              <w:t>Turu 1. valguskaabli alamturu analüüs hulgimüük B piirkonnas</w:t>
            </w:r>
            <w:r>
              <w:rPr>
                <w:noProof/>
                <w:webHidden/>
              </w:rPr>
              <w:tab/>
            </w:r>
            <w:r>
              <w:rPr>
                <w:noProof/>
                <w:webHidden/>
              </w:rPr>
              <w:fldChar w:fldCharType="begin"/>
            </w:r>
            <w:r>
              <w:rPr>
                <w:noProof/>
                <w:webHidden/>
              </w:rPr>
              <w:instrText xml:space="preserve"> PAGEREF _Toc174710797 \h </w:instrText>
            </w:r>
            <w:r>
              <w:rPr>
                <w:noProof/>
                <w:webHidden/>
              </w:rPr>
            </w:r>
            <w:r>
              <w:rPr>
                <w:noProof/>
                <w:webHidden/>
              </w:rPr>
              <w:fldChar w:fldCharType="separate"/>
            </w:r>
            <w:r w:rsidR="00D2135F">
              <w:rPr>
                <w:noProof/>
                <w:webHidden/>
              </w:rPr>
              <w:t>127</w:t>
            </w:r>
            <w:r>
              <w:rPr>
                <w:noProof/>
                <w:webHidden/>
              </w:rPr>
              <w:fldChar w:fldCharType="end"/>
            </w:r>
          </w:hyperlink>
        </w:p>
        <w:p w14:paraId="5F75C6BD" w14:textId="00E71AE1" w:rsidR="00A212D3" w:rsidRDefault="00A212D3">
          <w:pPr>
            <w:pStyle w:val="SK1"/>
            <w:tabs>
              <w:tab w:val="left" w:pos="440"/>
              <w:tab w:val="right" w:leader="dot" w:pos="9350"/>
            </w:tabs>
            <w:rPr>
              <w:rFonts w:asciiTheme="minorHAnsi" w:hAnsiTheme="minorHAnsi"/>
              <w:noProof/>
              <w:kern w:val="2"/>
              <w:sz w:val="22"/>
              <w:szCs w:val="22"/>
              <w:lang w:eastAsia="et-EE"/>
              <w14:ligatures w14:val="standardContextual"/>
            </w:rPr>
          </w:pPr>
          <w:hyperlink w:anchor="_Toc174710798" w:history="1">
            <w:r w:rsidRPr="0053297C">
              <w:rPr>
                <w:rStyle w:val="Hperlink"/>
                <w:noProof/>
              </w:rPr>
              <w:t>6.</w:t>
            </w:r>
            <w:r>
              <w:rPr>
                <w:rFonts w:asciiTheme="minorHAnsi" w:hAnsiTheme="minorHAnsi"/>
                <w:noProof/>
                <w:kern w:val="2"/>
                <w:sz w:val="22"/>
                <w:szCs w:val="22"/>
                <w:lang w:eastAsia="et-EE"/>
                <w14:ligatures w14:val="standardContextual"/>
              </w:rPr>
              <w:tab/>
            </w:r>
            <w:r w:rsidRPr="0053297C">
              <w:rPr>
                <w:rStyle w:val="Hperlink"/>
                <w:noProof/>
              </w:rPr>
              <w:t>HULGITURU 3b ANALÜÜS</w:t>
            </w:r>
            <w:r>
              <w:rPr>
                <w:noProof/>
                <w:webHidden/>
              </w:rPr>
              <w:tab/>
            </w:r>
            <w:r>
              <w:rPr>
                <w:noProof/>
                <w:webHidden/>
              </w:rPr>
              <w:fldChar w:fldCharType="begin"/>
            </w:r>
            <w:r>
              <w:rPr>
                <w:noProof/>
                <w:webHidden/>
              </w:rPr>
              <w:instrText xml:space="preserve"> PAGEREF _Toc174710798 \h </w:instrText>
            </w:r>
            <w:r>
              <w:rPr>
                <w:noProof/>
                <w:webHidden/>
              </w:rPr>
            </w:r>
            <w:r>
              <w:rPr>
                <w:noProof/>
                <w:webHidden/>
              </w:rPr>
              <w:fldChar w:fldCharType="separate"/>
            </w:r>
            <w:r w:rsidR="00D2135F">
              <w:rPr>
                <w:noProof/>
                <w:webHidden/>
              </w:rPr>
              <w:t>132</w:t>
            </w:r>
            <w:r>
              <w:rPr>
                <w:noProof/>
                <w:webHidden/>
              </w:rPr>
              <w:fldChar w:fldCharType="end"/>
            </w:r>
          </w:hyperlink>
        </w:p>
        <w:p w14:paraId="44562B95" w14:textId="1AD21DA1"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801" w:history="1">
            <w:r w:rsidRPr="0053297C">
              <w:rPr>
                <w:rStyle w:val="Hperlink"/>
                <w:noProof/>
              </w:rPr>
              <w:t>6.1</w:t>
            </w:r>
            <w:r>
              <w:rPr>
                <w:rFonts w:asciiTheme="minorHAnsi" w:eastAsiaTheme="minorEastAsia" w:hAnsiTheme="minorHAnsi"/>
                <w:noProof/>
                <w:kern w:val="2"/>
                <w:lang w:eastAsia="et-EE"/>
                <w14:ligatures w14:val="standardContextual"/>
              </w:rPr>
              <w:tab/>
            </w:r>
            <w:r w:rsidRPr="0053297C">
              <w:rPr>
                <w:rStyle w:val="Hperlink"/>
                <w:noProof/>
              </w:rPr>
              <w:t>Hulgituru 3b analüüs jaeturu tasandil</w:t>
            </w:r>
            <w:r>
              <w:rPr>
                <w:noProof/>
                <w:webHidden/>
              </w:rPr>
              <w:tab/>
            </w:r>
            <w:r>
              <w:rPr>
                <w:noProof/>
                <w:webHidden/>
              </w:rPr>
              <w:fldChar w:fldCharType="begin"/>
            </w:r>
            <w:r>
              <w:rPr>
                <w:noProof/>
                <w:webHidden/>
              </w:rPr>
              <w:instrText xml:space="preserve"> PAGEREF _Toc174710801 \h </w:instrText>
            </w:r>
            <w:r>
              <w:rPr>
                <w:noProof/>
                <w:webHidden/>
              </w:rPr>
            </w:r>
            <w:r>
              <w:rPr>
                <w:noProof/>
                <w:webHidden/>
              </w:rPr>
              <w:fldChar w:fldCharType="separate"/>
            </w:r>
            <w:r w:rsidR="00D2135F">
              <w:rPr>
                <w:noProof/>
                <w:webHidden/>
              </w:rPr>
              <w:t>132</w:t>
            </w:r>
            <w:r>
              <w:rPr>
                <w:noProof/>
                <w:webHidden/>
              </w:rPr>
              <w:fldChar w:fldCharType="end"/>
            </w:r>
          </w:hyperlink>
        </w:p>
        <w:p w14:paraId="0B362A73" w14:textId="18679A65"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04" w:history="1">
            <w:r w:rsidRPr="0053297C">
              <w:rPr>
                <w:rStyle w:val="Hperlink"/>
                <w:noProof/>
              </w:rPr>
              <w:t>6.1.1</w:t>
            </w:r>
            <w:r>
              <w:rPr>
                <w:rFonts w:asciiTheme="minorHAnsi" w:eastAsiaTheme="minorEastAsia" w:hAnsiTheme="minorHAnsi"/>
                <w:noProof/>
                <w:kern w:val="2"/>
                <w:lang w:eastAsia="et-EE"/>
                <w14:ligatures w14:val="standardContextual"/>
              </w:rPr>
              <w:tab/>
            </w:r>
            <w:r w:rsidRPr="0053297C">
              <w:rPr>
                <w:rStyle w:val="Hperlink"/>
                <w:noProof/>
              </w:rPr>
              <w:t>Vaskkaabli- ja mobiilsidevõrgu internetiühenduste üleriigiline jaeturg</w:t>
            </w:r>
            <w:r>
              <w:rPr>
                <w:noProof/>
                <w:webHidden/>
              </w:rPr>
              <w:tab/>
            </w:r>
            <w:r>
              <w:rPr>
                <w:noProof/>
                <w:webHidden/>
              </w:rPr>
              <w:fldChar w:fldCharType="begin"/>
            </w:r>
            <w:r>
              <w:rPr>
                <w:noProof/>
                <w:webHidden/>
              </w:rPr>
              <w:instrText xml:space="preserve"> PAGEREF _Toc174710804 \h </w:instrText>
            </w:r>
            <w:r>
              <w:rPr>
                <w:noProof/>
                <w:webHidden/>
              </w:rPr>
            </w:r>
            <w:r>
              <w:rPr>
                <w:noProof/>
                <w:webHidden/>
              </w:rPr>
              <w:fldChar w:fldCharType="separate"/>
            </w:r>
            <w:r w:rsidR="00D2135F">
              <w:rPr>
                <w:noProof/>
                <w:webHidden/>
              </w:rPr>
              <w:t>133</w:t>
            </w:r>
            <w:r>
              <w:rPr>
                <w:noProof/>
                <w:webHidden/>
              </w:rPr>
              <w:fldChar w:fldCharType="end"/>
            </w:r>
          </w:hyperlink>
        </w:p>
        <w:p w14:paraId="38072E55" w14:textId="663DB364"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05" w:history="1">
            <w:r w:rsidRPr="0053297C">
              <w:rPr>
                <w:rStyle w:val="Hperlink"/>
                <w:noProof/>
              </w:rPr>
              <w:t>6.1.2</w:t>
            </w:r>
            <w:r>
              <w:rPr>
                <w:rFonts w:asciiTheme="minorHAnsi" w:eastAsiaTheme="minorEastAsia" w:hAnsiTheme="minorHAnsi"/>
                <w:noProof/>
                <w:kern w:val="2"/>
                <w:lang w:eastAsia="et-EE"/>
                <w14:ligatures w14:val="standardContextual"/>
              </w:rPr>
              <w:tab/>
            </w:r>
            <w:r w:rsidRPr="0053297C">
              <w:rPr>
                <w:rStyle w:val="Hperlink"/>
                <w:noProof/>
              </w:rPr>
              <w:t>Valguskaabelvõrgu internetiühenduste A ja B piirkonna jaeturg</w:t>
            </w:r>
            <w:r>
              <w:rPr>
                <w:noProof/>
                <w:webHidden/>
              </w:rPr>
              <w:tab/>
            </w:r>
            <w:r>
              <w:rPr>
                <w:noProof/>
                <w:webHidden/>
              </w:rPr>
              <w:fldChar w:fldCharType="begin"/>
            </w:r>
            <w:r>
              <w:rPr>
                <w:noProof/>
                <w:webHidden/>
              </w:rPr>
              <w:instrText xml:space="preserve"> PAGEREF _Toc174710805 \h </w:instrText>
            </w:r>
            <w:r>
              <w:rPr>
                <w:noProof/>
                <w:webHidden/>
              </w:rPr>
            </w:r>
            <w:r>
              <w:rPr>
                <w:noProof/>
                <w:webHidden/>
              </w:rPr>
              <w:fldChar w:fldCharType="separate"/>
            </w:r>
            <w:r w:rsidR="00D2135F">
              <w:rPr>
                <w:noProof/>
                <w:webHidden/>
              </w:rPr>
              <w:t>143</w:t>
            </w:r>
            <w:r>
              <w:rPr>
                <w:noProof/>
                <w:webHidden/>
              </w:rPr>
              <w:fldChar w:fldCharType="end"/>
            </w:r>
          </w:hyperlink>
        </w:p>
        <w:p w14:paraId="06894155" w14:textId="78867587"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806" w:history="1">
            <w:r w:rsidRPr="0053297C">
              <w:rPr>
                <w:rStyle w:val="Hperlink"/>
                <w:noProof/>
              </w:rPr>
              <w:t>6.2</w:t>
            </w:r>
            <w:r>
              <w:rPr>
                <w:rFonts w:asciiTheme="minorHAnsi" w:eastAsiaTheme="minorEastAsia" w:hAnsiTheme="minorHAnsi"/>
                <w:noProof/>
                <w:kern w:val="2"/>
                <w:lang w:eastAsia="et-EE"/>
                <w14:ligatures w14:val="standardContextual"/>
              </w:rPr>
              <w:tab/>
            </w:r>
            <w:r w:rsidRPr="0053297C">
              <w:rPr>
                <w:rStyle w:val="Hperlink"/>
                <w:rFonts w:cs="Times New Roman"/>
                <w:noProof/>
              </w:rPr>
              <w:t>Hulgiturg 3b: piiritlemine ja analüüs valguskaablivõrgu B piirkonna hulgiturul 3b</w:t>
            </w:r>
            <w:r w:rsidRPr="0053297C">
              <w:rPr>
                <w:rStyle w:val="Hperlink"/>
                <w:noProof/>
              </w:rPr>
              <w:t xml:space="preserve"> analüüs</w:t>
            </w:r>
            <w:r>
              <w:rPr>
                <w:noProof/>
                <w:webHidden/>
              </w:rPr>
              <w:tab/>
            </w:r>
            <w:r>
              <w:rPr>
                <w:noProof/>
                <w:webHidden/>
              </w:rPr>
              <w:fldChar w:fldCharType="begin"/>
            </w:r>
            <w:r>
              <w:rPr>
                <w:noProof/>
                <w:webHidden/>
              </w:rPr>
              <w:instrText xml:space="preserve"> PAGEREF _Toc174710806 \h </w:instrText>
            </w:r>
            <w:r>
              <w:rPr>
                <w:noProof/>
                <w:webHidden/>
              </w:rPr>
            </w:r>
            <w:r>
              <w:rPr>
                <w:noProof/>
                <w:webHidden/>
              </w:rPr>
              <w:fldChar w:fldCharType="separate"/>
            </w:r>
            <w:r w:rsidR="00D2135F">
              <w:rPr>
                <w:noProof/>
                <w:webHidden/>
              </w:rPr>
              <w:t>156</w:t>
            </w:r>
            <w:r>
              <w:rPr>
                <w:noProof/>
                <w:webHidden/>
              </w:rPr>
              <w:fldChar w:fldCharType="end"/>
            </w:r>
          </w:hyperlink>
        </w:p>
        <w:p w14:paraId="5A9C142C" w14:textId="16564934"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09" w:history="1">
            <w:r w:rsidRPr="0053297C">
              <w:rPr>
                <w:rStyle w:val="Hperlink"/>
                <w:noProof/>
              </w:rPr>
              <w:t>6.2.1</w:t>
            </w:r>
            <w:r>
              <w:rPr>
                <w:rFonts w:asciiTheme="minorHAnsi" w:eastAsiaTheme="minorEastAsia" w:hAnsiTheme="minorHAnsi"/>
                <w:noProof/>
                <w:kern w:val="2"/>
                <w:lang w:eastAsia="et-EE"/>
                <w14:ligatures w14:val="standardContextual"/>
              </w:rPr>
              <w:tab/>
            </w:r>
            <w:r w:rsidRPr="0053297C">
              <w:rPr>
                <w:rStyle w:val="Hperlink"/>
                <w:noProof/>
              </w:rPr>
              <w:t>Valguskaablivõrgu B piirkonna hulgituru 3b määratlemine</w:t>
            </w:r>
            <w:r>
              <w:rPr>
                <w:noProof/>
                <w:webHidden/>
              </w:rPr>
              <w:tab/>
            </w:r>
            <w:r>
              <w:rPr>
                <w:noProof/>
                <w:webHidden/>
              </w:rPr>
              <w:fldChar w:fldCharType="begin"/>
            </w:r>
            <w:r>
              <w:rPr>
                <w:noProof/>
                <w:webHidden/>
              </w:rPr>
              <w:instrText xml:space="preserve"> PAGEREF _Toc174710809 \h </w:instrText>
            </w:r>
            <w:r>
              <w:rPr>
                <w:noProof/>
                <w:webHidden/>
              </w:rPr>
            </w:r>
            <w:r>
              <w:rPr>
                <w:noProof/>
                <w:webHidden/>
              </w:rPr>
              <w:fldChar w:fldCharType="separate"/>
            </w:r>
            <w:r w:rsidR="00D2135F">
              <w:rPr>
                <w:noProof/>
                <w:webHidden/>
              </w:rPr>
              <w:t>156</w:t>
            </w:r>
            <w:r>
              <w:rPr>
                <w:noProof/>
                <w:webHidden/>
              </w:rPr>
              <w:fldChar w:fldCharType="end"/>
            </w:r>
          </w:hyperlink>
        </w:p>
        <w:p w14:paraId="30BEC1F7" w14:textId="34ADB33D"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10" w:history="1">
            <w:r w:rsidRPr="0053297C">
              <w:rPr>
                <w:rStyle w:val="Hperlink"/>
                <w:noProof/>
              </w:rPr>
              <w:t>6.2.2</w:t>
            </w:r>
            <w:r>
              <w:rPr>
                <w:rFonts w:asciiTheme="minorHAnsi" w:eastAsiaTheme="minorEastAsia" w:hAnsiTheme="minorHAnsi"/>
                <w:noProof/>
                <w:kern w:val="2"/>
                <w:lang w:eastAsia="et-EE"/>
                <w14:ligatures w14:val="standardContextual"/>
              </w:rPr>
              <w:tab/>
            </w:r>
            <w:r w:rsidRPr="0053297C">
              <w:rPr>
                <w:rStyle w:val="Hperlink"/>
                <w:noProof/>
              </w:rPr>
              <w:t>Valguskaablivõrgu B piirkonna hulgiturg 3b</w:t>
            </w:r>
            <w:r>
              <w:rPr>
                <w:noProof/>
                <w:webHidden/>
              </w:rPr>
              <w:tab/>
            </w:r>
            <w:r>
              <w:rPr>
                <w:noProof/>
                <w:webHidden/>
              </w:rPr>
              <w:fldChar w:fldCharType="begin"/>
            </w:r>
            <w:r>
              <w:rPr>
                <w:noProof/>
                <w:webHidden/>
              </w:rPr>
              <w:instrText xml:space="preserve"> PAGEREF _Toc174710810 \h </w:instrText>
            </w:r>
            <w:r>
              <w:rPr>
                <w:noProof/>
                <w:webHidden/>
              </w:rPr>
            </w:r>
            <w:r>
              <w:rPr>
                <w:noProof/>
                <w:webHidden/>
              </w:rPr>
              <w:fldChar w:fldCharType="separate"/>
            </w:r>
            <w:r w:rsidR="00D2135F">
              <w:rPr>
                <w:noProof/>
                <w:webHidden/>
              </w:rPr>
              <w:t>158</w:t>
            </w:r>
            <w:r>
              <w:rPr>
                <w:noProof/>
                <w:webHidden/>
              </w:rPr>
              <w:fldChar w:fldCharType="end"/>
            </w:r>
          </w:hyperlink>
        </w:p>
        <w:p w14:paraId="2123DC60" w14:textId="5B0D50C4" w:rsidR="00A212D3" w:rsidRDefault="00A212D3">
          <w:pPr>
            <w:pStyle w:val="SK1"/>
            <w:tabs>
              <w:tab w:val="left" w:pos="440"/>
              <w:tab w:val="right" w:leader="dot" w:pos="9350"/>
            </w:tabs>
            <w:rPr>
              <w:rFonts w:asciiTheme="minorHAnsi" w:hAnsiTheme="minorHAnsi"/>
              <w:noProof/>
              <w:kern w:val="2"/>
              <w:sz w:val="22"/>
              <w:szCs w:val="22"/>
              <w:lang w:eastAsia="et-EE"/>
              <w14:ligatures w14:val="standardContextual"/>
            </w:rPr>
          </w:pPr>
          <w:hyperlink w:anchor="_Toc174710811" w:history="1">
            <w:r w:rsidRPr="0053297C">
              <w:rPr>
                <w:rStyle w:val="Hperlink"/>
                <w:noProof/>
              </w:rPr>
              <w:t>7.</w:t>
            </w:r>
            <w:r>
              <w:rPr>
                <w:rFonts w:asciiTheme="minorHAnsi" w:hAnsiTheme="minorHAnsi"/>
                <w:noProof/>
                <w:kern w:val="2"/>
                <w:sz w:val="22"/>
                <w:szCs w:val="22"/>
                <w:lang w:eastAsia="et-EE"/>
                <w14:ligatures w14:val="standardContextual"/>
              </w:rPr>
              <w:tab/>
            </w:r>
            <w:r w:rsidRPr="0053297C">
              <w:rPr>
                <w:rStyle w:val="Hperlink"/>
                <w:noProof/>
              </w:rPr>
              <w:t>HULGITURG 1 KOHUSTUSED</w:t>
            </w:r>
            <w:r>
              <w:rPr>
                <w:noProof/>
                <w:webHidden/>
              </w:rPr>
              <w:tab/>
            </w:r>
            <w:r>
              <w:rPr>
                <w:noProof/>
                <w:webHidden/>
              </w:rPr>
              <w:fldChar w:fldCharType="begin"/>
            </w:r>
            <w:r>
              <w:rPr>
                <w:noProof/>
                <w:webHidden/>
              </w:rPr>
              <w:instrText xml:space="preserve"> PAGEREF _Toc174710811 \h </w:instrText>
            </w:r>
            <w:r>
              <w:rPr>
                <w:noProof/>
                <w:webHidden/>
              </w:rPr>
            </w:r>
            <w:r>
              <w:rPr>
                <w:noProof/>
                <w:webHidden/>
              </w:rPr>
              <w:fldChar w:fldCharType="separate"/>
            </w:r>
            <w:r w:rsidR="00D2135F">
              <w:rPr>
                <w:noProof/>
                <w:webHidden/>
              </w:rPr>
              <w:t>162</w:t>
            </w:r>
            <w:r>
              <w:rPr>
                <w:noProof/>
                <w:webHidden/>
              </w:rPr>
              <w:fldChar w:fldCharType="end"/>
            </w:r>
          </w:hyperlink>
        </w:p>
        <w:p w14:paraId="77CA18D3" w14:textId="43612E80"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813" w:history="1">
            <w:r w:rsidRPr="0053297C">
              <w:rPr>
                <w:rStyle w:val="Hperlink"/>
                <w:noProof/>
              </w:rPr>
              <w:t>7.1</w:t>
            </w:r>
            <w:r>
              <w:rPr>
                <w:rFonts w:asciiTheme="minorHAnsi" w:eastAsiaTheme="minorEastAsia" w:hAnsiTheme="minorHAnsi"/>
                <w:noProof/>
                <w:kern w:val="2"/>
                <w:lang w:eastAsia="et-EE"/>
                <w14:ligatures w14:val="standardContextual"/>
              </w:rPr>
              <w:tab/>
            </w:r>
            <w:r w:rsidRPr="0053297C">
              <w:rPr>
                <w:rStyle w:val="Hperlink"/>
                <w:noProof/>
              </w:rPr>
              <w:t>Sissejuhatus</w:t>
            </w:r>
            <w:r>
              <w:rPr>
                <w:noProof/>
                <w:webHidden/>
              </w:rPr>
              <w:tab/>
            </w:r>
            <w:r>
              <w:rPr>
                <w:noProof/>
                <w:webHidden/>
              </w:rPr>
              <w:fldChar w:fldCharType="begin"/>
            </w:r>
            <w:r>
              <w:rPr>
                <w:noProof/>
                <w:webHidden/>
              </w:rPr>
              <w:instrText xml:space="preserve"> PAGEREF _Toc174710813 \h </w:instrText>
            </w:r>
            <w:r>
              <w:rPr>
                <w:noProof/>
                <w:webHidden/>
              </w:rPr>
            </w:r>
            <w:r>
              <w:rPr>
                <w:noProof/>
                <w:webHidden/>
              </w:rPr>
              <w:fldChar w:fldCharType="separate"/>
            </w:r>
            <w:r w:rsidR="00D2135F">
              <w:rPr>
                <w:noProof/>
                <w:webHidden/>
              </w:rPr>
              <w:t>162</w:t>
            </w:r>
            <w:r>
              <w:rPr>
                <w:noProof/>
                <w:webHidden/>
              </w:rPr>
              <w:fldChar w:fldCharType="end"/>
            </w:r>
          </w:hyperlink>
        </w:p>
        <w:p w14:paraId="44D6EEE3" w14:textId="2D1C1934"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16" w:history="1">
            <w:r w:rsidRPr="0053297C">
              <w:rPr>
                <w:rStyle w:val="Hperlink"/>
                <w:noProof/>
              </w:rPr>
              <w:t>7.1.1</w:t>
            </w:r>
            <w:r>
              <w:rPr>
                <w:rFonts w:asciiTheme="minorHAnsi" w:eastAsiaTheme="minorEastAsia" w:hAnsiTheme="minorHAnsi"/>
                <w:noProof/>
                <w:kern w:val="2"/>
                <w:lang w:eastAsia="et-EE"/>
                <w14:ligatures w14:val="standardContextual"/>
              </w:rPr>
              <w:tab/>
            </w:r>
            <w:r w:rsidRPr="0053297C">
              <w:rPr>
                <w:rStyle w:val="Hperlink"/>
                <w:noProof/>
              </w:rPr>
              <w:t>Hulgiturg 1 kohustuste subjekt ja objekt</w:t>
            </w:r>
            <w:r>
              <w:rPr>
                <w:noProof/>
                <w:webHidden/>
              </w:rPr>
              <w:tab/>
            </w:r>
            <w:r>
              <w:rPr>
                <w:noProof/>
                <w:webHidden/>
              </w:rPr>
              <w:fldChar w:fldCharType="begin"/>
            </w:r>
            <w:r>
              <w:rPr>
                <w:noProof/>
                <w:webHidden/>
              </w:rPr>
              <w:instrText xml:space="preserve"> PAGEREF _Toc174710816 \h </w:instrText>
            </w:r>
            <w:r>
              <w:rPr>
                <w:noProof/>
                <w:webHidden/>
              </w:rPr>
            </w:r>
            <w:r>
              <w:rPr>
                <w:noProof/>
                <w:webHidden/>
              </w:rPr>
              <w:fldChar w:fldCharType="separate"/>
            </w:r>
            <w:r w:rsidR="00D2135F">
              <w:rPr>
                <w:noProof/>
                <w:webHidden/>
              </w:rPr>
              <w:t>162</w:t>
            </w:r>
            <w:r>
              <w:rPr>
                <w:noProof/>
                <w:webHidden/>
              </w:rPr>
              <w:fldChar w:fldCharType="end"/>
            </w:r>
          </w:hyperlink>
        </w:p>
        <w:p w14:paraId="049753EF" w14:textId="51B90CCA"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17" w:history="1">
            <w:r w:rsidRPr="0053297C">
              <w:rPr>
                <w:rStyle w:val="Hperlink"/>
                <w:noProof/>
              </w:rPr>
              <w:t>7.1.2</w:t>
            </w:r>
            <w:r>
              <w:rPr>
                <w:rFonts w:asciiTheme="minorHAnsi" w:eastAsiaTheme="minorEastAsia" w:hAnsiTheme="minorHAnsi"/>
                <w:noProof/>
                <w:kern w:val="2"/>
                <w:lang w:eastAsia="et-EE"/>
                <w14:ligatures w14:val="standardContextual"/>
              </w:rPr>
              <w:tab/>
            </w:r>
            <w:r w:rsidRPr="0053297C">
              <w:rPr>
                <w:rStyle w:val="Hperlink"/>
                <w:noProof/>
              </w:rPr>
              <w:t>TTJA 2017 hulgituru 1 otsuse ja selles kehtestatud kohustuste kehtetuks tunnistamine</w:t>
            </w:r>
            <w:r>
              <w:rPr>
                <w:noProof/>
                <w:webHidden/>
              </w:rPr>
              <w:tab/>
            </w:r>
            <w:r>
              <w:rPr>
                <w:noProof/>
                <w:webHidden/>
              </w:rPr>
              <w:fldChar w:fldCharType="begin"/>
            </w:r>
            <w:r>
              <w:rPr>
                <w:noProof/>
                <w:webHidden/>
              </w:rPr>
              <w:instrText xml:space="preserve"> PAGEREF _Toc174710817 \h </w:instrText>
            </w:r>
            <w:r>
              <w:rPr>
                <w:noProof/>
                <w:webHidden/>
              </w:rPr>
            </w:r>
            <w:r>
              <w:rPr>
                <w:noProof/>
                <w:webHidden/>
              </w:rPr>
              <w:fldChar w:fldCharType="separate"/>
            </w:r>
            <w:r w:rsidR="00D2135F">
              <w:rPr>
                <w:noProof/>
                <w:webHidden/>
              </w:rPr>
              <w:t>164</w:t>
            </w:r>
            <w:r>
              <w:rPr>
                <w:noProof/>
                <w:webHidden/>
              </w:rPr>
              <w:fldChar w:fldCharType="end"/>
            </w:r>
          </w:hyperlink>
        </w:p>
        <w:p w14:paraId="3C7BA6A8" w14:textId="1EADB24B"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818" w:history="1">
            <w:r w:rsidRPr="0053297C">
              <w:rPr>
                <w:rStyle w:val="Hperlink"/>
                <w:noProof/>
              </w:rPr>
              <w:t>7.2</w:t>
            </w:r>
            <w:r>
              <w:rPr>
                <w:rFonts w:asciiTheme="minorHAnsi" w:eastAsiaTheme="minorEastAsia" w:hAnsiTheme="minorHAnsi"/>
                <w:noProof/>
                <w:kern w:val="2"/>
                <w:lang w:eastAsia="et-EE"/>
                <w14:ligatures w14:val="standardContextual"/>
              </w:rPr>
              <w:tab/>
            </w:r>
            <w:r w:rsidRPr="0053297C">
              <w:rPr>
                <w:rStyle w:val="Hperlink"/>
                <w:noProof/>
              </w:rPr>
              <w:t>Hulgiturg 1 kohustuste eesmärk, alused ja ajalugu</w:t>
            </w:r>
            <w:r>
              <w:rPr>
                <w:noProof/>
                <w:webHidden/>
              </w:rPr>
              <w:tab/>
            </w:r>
            <w:r>
              <w:rPr>
                <w:noProof/>
                <w:webHidden/>
              </w:rPr>
              <w:fldChar w:fldCharType="begin"/>
            </w:r>
            <w:r>
              <w:rPr>
                <w:noProof/>
                <w:webHidden/>
              </w:rPr>
              <w:instrText xml:space="preserve"> PAGEREF _Toc174710818 \h </w:instrText>
            </w:r>
            <w:r>
              <w:rPr>
                <w:noProof/>
                <w:webHidden/>
              </w:rPr>
            </w:r>
            <w:r>
              <w:rPr>
                <w:noProof/>
                <w:webHidden/>
              </w:rPr>
              <w:fldChar w:fldCharType="separate"/>
            </w:r>
            <w:r w:rsidR="00D2135F">
              <w:rPr>
                <w:noProof/>
                <w:webHidden/>
              </w:rPr>
              <w:t>164</w:t>
            </w:r>
            <w:r>
              <w:rPr>
                <w:noProof/>
                <w:webHidden/>
              </w:rPr>
              <w:fldChar w:fldCharType="end"/>
            </w:r>
          </w:hyperlink>
        </w:p>
        <w:p w14:paraId="6EB542A9" w14:textId="221FF30D"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20" w:history="1">
            <w:r w:rsidRPr="0053297C">
              <w:rPr>
                <w:rStyle w:val="Hperlink"/>
                <w:noProof/>
              </w:rPr>
              <w:t>7.2.1</w:t>
            </w:r>
            <w:r>
              <w:rPr>
                <w:rFonts w:asciiTheme="minorHAnsi" w:eastAsiaTheme="minorEastAsia" w:hAnsiTheme="minorHAnsi"/>
                <w:noProof/>
                <w:kern w:val="2"/>
                <w:lang w:eastAsia="et-EE"/>
                <w14:ligatures w14:val="standardContextual"/>
              </w:rPr>
              <w:tab/>
            </w:r>
            <w:r w:rsidRPr="0053297C">
              <w:rPr>
                <w:rStyle w:val="Hperlink"/>
                <w:noProof/>
              </w:rPr>
              <w:t>Kohustuste eesmärk</w:t>
            </w:r>
            <w:r>
              <w:rPr>
                <w:noProof/>
                <w:webHidden/>
              </w:rPr>
              <w:tab/>
            </w:r>
            <w:r>
              <w:rPr>
                <w:noProof/>
                <w:webHidden/>
              </w:rPr>
              <w:fldChar w:fldCharType="begin"/>
            </w:r>
            <w:r>
              <w:rPr>
                <w:noProof/>
                <w:webHidden/>
              </w:rPr>
              <w:instrText xml:space="preserve"> PAGEREF _Toc174710820 \h </w:instrText>
            </w:r>
            <w:r>
              <w:rPr>
                <w:noProof/>
                <w:webHidden/>
              </w:rPr>
            </w:r>
            <w:r>
              <w:rPr>
                <w:noProof/>
                <w:webHidden/>
              </w:rPr>
              <w:fldChar w:fldCharType="separate"/>
            </w:r>
            <w:r w:rsidR="00D2135F">
              <w:rPr>
                <w:noProof/>
                <w:webHidden/>
              </w:rPr>
              <w:t>164</w:t>
            </w:r>
            <w:r>
              <w:rPr>
                <w:noProof/>
                <w:webHidden/>
              </w:rPr>
              <w:fldChar w:fldCharType="end"/>
            </w:r>
          </w:hyperlink>
        </w:p>
        <w:p w14:paraId="3ACB401C" w14:textId="4F4498A0"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21" w:history="1">
            <w:r w:rsidRPr="0053297C">
              <w:rPr>
                <w:rStyle w:val="Hperlink"/>
                <w:noProof/>
              </w:rPr>
              <w:t>7.2.2</w:t>
            </w:r>
            <w:r>
              <w:rPr>
                <w:rFonts w:asciiTheme="minorHAnsi" w:eastAsiaTheme="minorEastAsia" w:hAnsiTheme="minorHAnsi"/>
                <w:noProof/>
                <w:kern w:val="2"/>
                <w:lang w:eastAsia="et-EE"/>
                <w14:ligatures w14:val="standardContextual"/>
              </w:rPr>
              <w:tab/>
            </w:r>
            <w:r w:rsidRPr="0053297C">
              <w:rPr>
                <w:rStyle w:val="Hperlink"/>
                <w:noProof/>
              </w:rPr>
              <w:t>Kohustuste kehtestamise alused</w:t>
            </w:r>
            <w:r>
              <w:rPr>
                <w:noProof/>
                <w:webHidden/>
              </w:rPr>
              <w:tab/>
            </w:r>
            <w:r>
              <w:rPr>
                <w:noProof/>
                <w:webHidden/>
              </w:rPr>
              <w:fldChar w:fldCharType="begin"/>
            </w:r>
            <w:r>
              <w:rPr>
                <w:noProof/>
                <w:webHidden/>
              </w:rPr>
              <w:instrText xml:space="preserve"> PAGEREF _Toc174710821 \h </w:instrText>
            </w:r>
            <w:r>
              <w:rPr>
                <w:noProof/>
                <w:webHidden/>
              </w:rPr>
            </w:r>
            <w:r>
              <w:rPr>
                <w:noProof/>
                <w:webHidden/>
              </w:rPr>
              <w:fldChar w:fldCharType="separate"/>
            </w:r>
            <w:r w:rsidR="00D2135F">
              <w:rPr>
                <w:noProof/>
                <w:webHidden/>
              </w:rPr>
              <w:t>165</w:t>
            </w:r>
            <w:r>
              <w:rPr>
                <w:noProof/>
                <w:webHidden/>
              </w:rPr>
              <w:fldChar w:fldCharType="end"/>
            </w:r>
          </w:hyperlink>
        </w:p>
        <w:p w14:paraId="22674F9C" w14:textId="35FDEB2A"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22" w:history="1">
            <w:r w:rsidRPr="0053297C">
              <w:rPr>
                <w:rStyle w:val="Hperlink"/>
                <w:noProof/>
              </w:rPr>
              <w:t>7.2.3</w:t>
            </w:r>
            <w:r>
              <w:rPr>
                <w:rFonts w:asciiTheme="minorHAnsi" w:eastAsiaTheme="minorEastAsia" w:hAnsiTheme="minorHAnsi"/>
                <w:noProof/>
                <w:kern w:val="2"/>
                <w:lang w:eastAsia="et-EE"/>
                <w14:ligatures w14:val="standardContextual"/>
              </w:rPr>
              <w:tab/>
            </w:r>
            <w:r w:rsidRPr="0053297C">
              <w:rPr>
                <w:rStyle w:val="Hperlink"/>
                <w:noProof/>
              </w:rPr>
              <w:t>Kehtivad kohustused ja nende muutmise ajalugu</w:t>
            </w:r>
            <w:r>
              <w:rPr>
                <w:noProof/>
                <w:webHidden/>
              </w:rPr>
              <w:tab/>
            </w:r>
            <w:r>
              <w:rPr>
                <w:noProof/>
                <w:webHidden/>
              </w:rPr>
              <w:fldChar w:fldCharType="begin"/>
            </w:r>
            <w:r>
              <w:rPr>
                <w:noProof/>
                <w:webHidden/>
              </w:rPr>
              <w:instrText xml:space="preserve"> PAGEREF _Toc174710822 \h </w:instrText>
            </w:r>
            <w:r>
              <w:rPr>
                <w:noProof/>
                <w:webHidden/>
              </w:rPr>
            </w:r>
            <w:r>
              <w:rPr>
                <w:noProof/>
                <w:webHidden/>
              </w:rPr>
              <w:fldChar w:fldCharType="separate"/>
            </w:r>
            <w:r w:rsidR="00D2135F">
              <w:rPr>
                <w:noProof/>
                <w:webHidden/>
              </w:rPr>
              <w:t>166</w:t>
            </w:r>
            <w:r>
              <w:rPr>
                <w:noProof/>
                <w:webHidden/>
              </w:rPr>
              <w:fldChar w:fldCharType="end"/>
            </w:r>
          </w:hyperlink>
        </w:p>
        <w:p w14:paraId="7065DA8D" w14:textId="77C44BBC"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823" w:history="1">
            <w:r w:rsidRPr="0053297C">
              <w:rPr>
                <w:rStyle w:val="Hperlink"/>
                <w:noProof/>
              </w:rPr>
              <w:t>7.3</w:t>
            </w:r>
            <w:r>
              <w:rPr>
                <w:rFonts w:asciiTheme="minorHAnsi" w:eastAsiaTheme="minorEastAsia" w:hAnsiTheme="minorHAnsi"/>
                <w:noProof/>
                <w:kern w:val="2"/>
                <w:lang w:eastAsia="et-EE"/>
                <w14:ligatures w14:val="standardContextual"/>
              </w:rPr>
              <w:tab/>
            </w:r>
            <w:r w:rsidRPr="0053297C">
              <w:rPr>
                <w:rStyle w:val="Hperlink"/>
                <w:noProof/>
              </w:rPr>
              <w:t>Juurdepääsu kohustused</w:t>
            </w:r>
            <w:r>
              <w:rPr>
                <w:noProof/>
                <w:webHidden/>
              </w:rPr>
              <w:tab/>
            </w:r>
            <w:r>
              <w:rPr>
                <w:noProof/>
                <w:webHidden/>
              </w:rPr>
              <w:fldChar w:fldCharType="begin"/>
            </w:r>
            <w:r>
              <w:rPr>
                <w:noProof/>
                <w:webHidden/>
              </w:rPr>
              <w:instrText xml:space="preserve"> PAGEREF _Toc174710823 \h </w:instrText>
            </w:r>
            <w:r>
              <w:rPr>
                <w:noProof/>
                <w:webHidden/>
              </w:rPr>
            </w:r>
            <w:r>
              <w:rPr>
                <w:noProof/>
                <w:webHidden/>
              </w:rPr>
              <w:fldChar w:fldCharType="separate"/>
            </w:r>
            <w:r w:rsidR="00D2135F">
              <w:rPr>
                <w:noProof/>
                <w:webHidden/>
              </w:rPr>
              <w:t>167</w:t>
            </w:r>
            <w:r>
              <w:rPr>
                <w:noProof/>
                <w:webHidden/>
              </w:rPr>
              <w:fldChar w:fldCharType="end"/>
            </w:r>
          </w:hyperlink>
        </w:p>
        <w:p w14:paraId="0E7E4CFC" w14:textId="7DE46D36"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25" w:history="1">
            <w:r w:rsidRPr="0053297C">
              <w:rPr>
                <w:rStyle w:val="Hperlink"/>
                <w:noProof/>
              </w:rPr>
              <w:t>7.3.1</w:t>
            </w:r>
            <w:r>
              <w:rPr>
                <w:rFonts w:asciiTheme="minorHAnsi" w:eastAsiaTheme="minorEastAsia" w:hAnsiTheme="minorHAnsi"/>
                <w:noProof/>
                <w:kern w:val="2"/>
                <w:lang w:eastAsia="et-EE"/>
                <w14:ligatures w14:val="standardContextual"/>
              </w:rPr>
              <w:tab/>
            </w:r>
            <w:r w:rsidRPr="0053297C">
              <w:rPr>
                <w:rStyle w:val="Hperlink"/>
                <w:noProof/>
              </w:rPr>
              <w:t>Juurdepääsu kohustuste eesmärk ja alused</w:t>
            </w:r>
            <w:r>
              <w:rPr>
                <w:noProof/>
                <w:webHidden/>
              </w:rPr>
              <w:tab/>
            </w:r>
            <w:r>
              <w:rPr>
                <w:noProof/>
                <w:webHidden/>
              </w:rPr>
              <w:fldChar w:fldCharType="begin"/>
            </w:r>
            <w:r>
              <w:rPr>
                <w:noProof/>
                <w:webHidden/>
              </w:rPr>
              <w:instrText xml:space="preserve"> PAGEREF _Toc174710825 \h </w:instrText>
            </w:r>
            <w:r>
              <w:rPr>
                <w:noProof/>
                <w:webHidden/>
              </w:rPr>
            </w:r>
            <w:r>
              <w:rPr>
                <w:noProof/>
                <w:webHidden/>
              </w:rPr>
              <w:fldChar w:fldCharType="separate"/>
            </w:r>
            <w:r w:rsidR="00D2135F">
              <w:rPr>
                <w:noProof/>
                <w:webHidden/>
              </w:rPr>
              <w:t>169</w:t>
            </w:r>
            <w:r>
              <w:rPr>
                <w:noProof/>
                <w:webHidden/>
              </w:rPr>
              <w:fldChar w:fldCharType="end"/>
            </w:r>
          </w:hyperlink>
        </w:p>
        <w:p w14:paraId="1E5C1978" w14:textId="61C1E93D"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26" w:history="1">
            <w:r w:rsidRPr="0053297C">
              <w:rPr>
                <w:rStyle w:val="Hperlink"/>
                <w:noProof/>
              </w:rPr>
              <w:t>7.3.2</w:t>
            </w:r>
            <w:r>
              <w:rPr>
                <w:rFonts w:asciiTheme="minorHAnsi" w:eastAsiaTheme="minorEastAsia" w:hAnsiTheme="minorHAnsi"/>
                <w:noProof/>
                <w:kern w:val="2"/>
                <w:lang w:eastAsia="et-EE"/>
                <w14:ligatures w14:val="standardContextual"/>
              </w:rPr>
              <w:tab/>
            </w:r>
            <w:r w:rsidRPr="0053297C">
              <w:rPr>
                <w:rStyle w:val="Hperlink"/>
                <w:noProof/>
              </w:rPr>
              <w:t>Juurdepääsuga seotud konkurentsiprobleemid</w:t>
            </w:r>
            <w:r>
              <w:rPr>
                <w:noProof/>
                <w:webHidden/>
              </w:rPr>
              <w:tab/>
            </w:r>
            <w:r>
              <w:rPr>
                <w:noProof/>
                <w:webHidden/>
              </w:rPr>
              <w:fldChar w:fldCharType="begin"/>
            </w:r>
            <w:r>
              <w:rPr>
                <w:noProof/>
                <w:webHidden/>
              </w:rPr>
              <w:instrText xml:space="preserve"> PAGEREF _Toc174710826 \h </w:instrText>
            </w:r>
            <w:r>
              <w:rPr>
                <w:noProof/>
                <w:webHidden/>
              </w:rPr>
            </w:r>
            <w:r>
              <w:rPr>
                <w:noProof/>
                <w:webHidden/>
              </w:rPr>
              <w:fldChar w:fldCharType="separate"/>
            </w:r>
            <w:r w:rsidR="00D2135F">
              <w:rPr>
                <w:noProof/>
                <w:webHidden/>
              </w:rPr>
              <w:t>172</w:t>
            </w:r>
            <w:r>
              <w:rPr>
                <w:noProof/>
                <w:webHidden/>
              </w:rPr>
              <w:fldChar w:fldCharType="end"/>
            </w:r>
          </w:hyperlink>
        </w:p>
        <w:p w14:paraId="4E49D3BB" w14:textId="7C4CEBC2"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27" w:history="1">
            <w:r w:rsidRPr="0053297C">
              <w:rPr>
                <w:rStyle w:val="Hperlink"/>
                <w:noProof/>
              </w:rPr>
              <w:t>7.3.3</w:t>
            </w:r>
            <w:r>
              <w:rPr>
                <w:rFonts w:asciiTheme="minorHAnsi" w:eastAsiaTheme="minorEastAsia" w:hAnsiTheme="minorHAnsi"/>
                <w:noProof/>
                <w:kern w:val="2"/>
                <w:lang w:eastAsia="et-EE"/>
                <w14:ligatures w14:val="standardContextual"/>
              </w:rPr>
              <w:tab/>
            </w:r>
            <w:r w:rsidRPr="0053297C">
              <w:rPr>
                <w:rStyle w:val="Hperlink"/>
                <w:noProof/>
              </w:rPr>
              <w:t>Juurdepääsu kohustuse asendamine läbipaistvuse-, mittediskrimineerimisekohuste või hinnakohustusega</w:t>
            </w:r>
            <w:r>
              <w:rPr>
                <w:noProof/>
                <w:webHidden/>
              </w:rPr>
              <w:tab/>
            </w:r>
            <w:r>
              <w:rPr>
                <w:noProof/>
                <w:webHidden/>
              </w:rPr>
              <w:fldChar w:fldCharType="begin"/>
            </w:r>
            <w:r>
              <w:rPr>
                <w:noProof/>
                <w:webHidden/>
              </w:rPr>
              <w:instrText xml:space="preserve"> PAGEREF _Toc174710827 \h </w:instrText>
            </w:r>
            <w:r>
              <w:rPr>
                <w:noProof/>
                <w:webHidden/>
              </w:rPr>
            </w:r>
            <w:r>
              <w:rPr>
                <w:noProof/>
                <w:webHidden/>
              </w:rPr>
              <w:fldChar w:fldCharType="separate"/>
            </w:r>
            <w:r w:rsidR="00D2135F">
              <w:rPr>
                <w:noProof/>
                <w:webHidden/>
              </w:rPr>
              <w:t>173</w:t>
            </w:r>
            <w:r>
              <w:rPr>
                <w:noProof/>
                <w:webHidden/>
              </w:rPr>
              <w:fldChar w:fldCharType="end"/>
            </w:r>
          </w:hyperlink>
        </w:p>
        <w:p w14:paraId="014C7D30" w14:textId="6B80FA1A"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28" w:history="1">
            <w:r w:rsidRPr="0053297C">
              <w:rPr>
                <w:rStyle w:val="Hperlink"/>
                <w:noProof/>
              </w:rPr>
              <w:t>7.3.4</w:t>
            </w:r>
            <w:r>
              <w:rPr>
                <w:rFonts w:asciiTheme="minorHAnsi" w:eastAsiaTheme="minorEastAsia" w:hAnsiTheme="minorHAnsi"/>
                <w:noProof/>
                <w:kern w:val="2"/>
                <w:lang w:eastAsia="et-EE"/>
                <w14:ligatures w14:val="standardContextual"/>
              </w:rPr>
              <w:tab/>
            </w:r>
            <w:r w:rsidRPr="0053297C">
              <w:rPr>
                <w:rStyle w:val="Hperlink"/>
                <w:noProof/>
              </w:rPr>
              <w:t>Juurdepääsu kohustuste vajalikkus ja proportsionaalsus ESS §-s 134 seatud eesmärkidega</w:t>
            </w:r>
            <w:r>
              <w:rPr>
                <w:noProof/>
                <w:webHidden/>
              </w:rPr>
              <w:tab/>
            </w:r>
            <w:r>
              <w:rPr>
                <w:noProof/>
                <w:webHidden/>
              </w:rPr>
              <w:fldChar w:fldCharType="begin"/>
            </w:r>
            <w:r>
              <w:rPr>
                <w:noProof/>
                <w:webHidden/>
              </w:rPr>
              <w:instrText xml:space="preserve"> PAGEREF _Toc174710828 \h </w:instrText>
            </w:r>
            <w:r>
              <w:rPr>
                <w:noProof/>
                <w:webHidden/>
              </w:rPr>
            </w:r>
            <w:r>
              <w:rPr>
                <w:noProof/>
                <w:webHidden/>
              </w:rPr>
              <w:fldChar w:fldCharType="separate"/>
            </w:r>
            <w:r w:rsidR="00D2135F">
              <w:rPr>
                <w:noProof/>
                <w:webHidden/>
              </w:rPr>
              <w:t>174</w:t>
            </w:r>
            <w:r>
              <w:rPr>
                <w:noProof/>
                <w:webHidden/>
              </w:rPr>
              <w:fldChar w:fldCharType="end"/>
            </w:r>
          </w:hyperlink>
        </w:p>
        <w:p w14:paraId="6E6B3C27" w14:textId="15A4F517"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29" w:history="1">
            <w:r w:rsidRPr="0053297C">
              <w:rPr>
                <w:rStyle w:val="Hperlink"/>
                <w:noProof/>
              </w:rPr>
              <w:t>7.3.5</w:t>
            </w:r>
            <w:r>
              <w:rPr>
                <w:rFonts w:asciiTheme="minorHAnsi" w:eastAsiaTheme="minorEastAsia" w:hAnsiTheme="minorHAnsi"/>
                <w:noProof/>
                <w:kern w:val="2"/>
                <w:lang w:eastAsia="et-EE"/>
                <w14:ligatures w14:val="standardContextual"/>
              </w:rPr>
              <w:tab/>
            </w:r>
            <w:r w:rsidRPr="0053297C">
              <w:rPr>
                <w:rStyle w:val="Hperlink"/>
                <w:noProof/>
              </w:rPr>
              <w:t>Juurdepääsu kohustuste kehtestamine</w:t>
            </w:r>
            <w:r>
              <w:rPr>
                <w:noProof/>
                <w:webHidden/>
              </w:rPr>
              <w:tab/>
            </w:r>
            <w:r>
              <w:rPr>
                <w:noProof/>
                <w:webHidden/>
              </w:rPr>
              <w:fldChar w:fldCharType="begin"/>
            </w:r>
            <w:r>
              <w:rPr>
                <w:noProof/>
                <w:webHidden/>
              </w:rPr>
              <w:instrText xml:space="preserve"> PAGEREF _Toc174710829 \h </w:instrText>
            </w:r>
            <w:r>
              <w:rPr>
                <w:noProof/>
                <w:webHidden/>
              </w:rPr>
            </w:r>
            <w:r>
              <w:rPr>
                <w:noProof/>
                <w:webHidden/>
              </w:rPr>
              <w:fldChar w:fldCharType="separate"/>
            </w:r>
            <w:r w:rsidR="00D2135F">
              <w:rPr>
                <w:noProof/>
                <w:webHidden/>
              </w:rPr>
              <w:t>177</w:t>
            </w:r>
            <w:r>
              <w:rPr>
                <w:noProof/>
                <w:webHidden/>
              </w:rPr>
              <w:fldChar w:fldCharType="end"/>
            </w:r>
          </w:hyperlink>
        </w:p>
        <w:p w14:paraId="22EF9A55" w14:textId="6B0F86F7"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830" w:history="1">
            <w:r w:rsidRPr="0053297C">
              <w:rPr>
                <w:rStyle w:val="Hperlink"/>
                <w:noProof/>
              </w:rPr>
              <w:t>7.4</w:t>
            </w:r>
            <w:r>
              <w:rPr>
                <w:rFonts w:asciiTheme="minorHAnsi" w:eastAsiaTheme="minorEastAsia" w:hAnsiTheme="minorHAnsi"/>
                <w:noProof/>
                <w:kern w:val="2"/>
                <w:lang w:eastAsia="et-EE"/>
                <w14:ligatures w14:val="standardContextual"/>
              </w:rPr>
              <w:tab/>
            </w:r>
            <w:r w:rsidRPr="0053297C">
              <w:rPr>
                <w:rStyle w:val="Hperlink"/>
                <w:noProof/>
              </w:rPr>
              <w:t>Mittediskrimineerimise kohustused</w:t>
            </w:r>
            <w:r>
              <w:rPr>
                <w:noProof/>
                <w:webHidden/>
              </w:rPr>
              <w:tab/>
            </w:r>
            <w:r>
              <w:rPr>
                <w:noProof/>
                <w:webHidden/>
              </w:rPr>
              <w:fldChar w:fldCharType="begin"/>
            </w:r>
            <w:r>
              <w:rPr>
                <w:noProof/>
                <w:webHidden/>
              </w:rPr>
              <w:instrText xml:space="preserve"> PAGEREF _Toc174710830 \h </w:instrText>
            </w:r>
            <w:r>
              <w:rPr>
                <w:noProof/>
                <w:webHidden/>
              </w:rPr>
            </w:r>
            <w:r>
              <w:rPr>
                <w:noProof/>
                <w:webHidden/>
              </w:rPr>
              <w:fldChar w:fldCharType="separate"/>
            </w:r>
            <w:r w:rsidR="00D2135F">
              <w:rPr>
                <w:noProof/>
                <w:webHidden/>
              </w:rPr>
              <w:t>180</w:t>
            </w:r>
            <w:r>
              <w:rPr>
                <w:noProof/>
                <w:webHidden/>
              </w:rPr>
              <w:fldChar w:fldCharType="end"/>
            </w:r>
          </w:hyperlink>
        </w:p>
        <w:p w14:paraId="5D007F20" w14:textId="6808AE47"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32" w:history="1">
            <w:r w:rsidRPr="0053297C">
              <w:rPr>
                <w:rStyle w:val="Hperlink"/>
                <w:noProof/>
              </w:rPr>
              <w:t>7.4.1</w:t>
            </w:r>
            <w:r>
              <w:rPr>
                <w:rFonts w:asciiTheme="minorHAnsi" w:eastAsiaTheme="minorEastAsia" w:hAnsiTheme="minorHAnsi"/>
                <w:noProof/>
                <w:kern w:val="2"/>
                <w:lang w:eastAsia="et-EE"/>
                <w14:ligatures w14:val="standardContextual"/>
              </w:rPr>
              <w:tab/>
            </w:r>
            <w:r w:rsidRPr="0053297C">
              <w:rPr>
                <w:rStyle w:val="Hperlink"/>
                <w:noProof/>
              </w:rPr>
              <w:t>Mittediskrimineerimise kohustuse eesmärk ja alused</w:t>
            </w:r>
            <w:r>
              <w:rPr>
                <w:noProof/>
                <w:webHidden/>
              </w:rPr>
              <w:tab/>
            </w:r>
            <w:r>
              <w:rPr>
                <w:noProof/>
                <w:webHidden/>
              </w:rPr>
              <w:fldChar w:fldCharType="begin"/>
            </w:r>
            <w:r>
              <w:rPr>
                <w:noProof/>
                <w:webHidden/>
              </w:rPr>
              <w:instrText xml:space="preserve"> PAGEREF _Toc174710832 \h </w:instrText>
            </w:r>
            <w:r>
              <w:rPr>
                <w:noProof/>
                <w:webHidden/>
              </w:rPr>
            </w:r>
            <w:r>
              <w:rPr>
                <w:noProof/>
                <w:webHidden/>
              </w:rPr>
              <w:fldChar w:fldCharType="separate"/>
            </w:r>
            <w:r w:rsidR="00D2135F">
              <w:rPr>
                <w:noProof/>
                <w:webHidden/>
              </w:rPr>
              <w:t>181</w:t>
            </w:r>
            <w:r>
              <w:rPr>
                <w:noProof/>
                <w:webHidden/>
              </w:rPr>
              <w:fldChar w:fldCharType="end"/>
            </w:r>
          </w:hyperlink>
        </w:p>
        <w:p w14:paraId="7719DD11" w14:textId="590EF92F"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33" w:history="1">
            <w:r w:rsidRPr="0053297C">
              <w:rPr>
                <w:rStyle w:val="Hperlink"/>
                <w:noProof/>
              </w:rPr>
              <w:t>7.4.2</w:t>
            </w:r>
            <w:r>
              <w:rPr>
                <w:rFonts w:asciiTheme="minorHAnsi" w:eastAsiaTheme="minorEastAsia" w:hAnsiTheme="minorHAnsi"/>
                <w:noProof/>
                <w:kern w:val="2"/>
                <w:lang w:eastAsia="et-EE"/>
                <w14:ligatures w14:val="standardContextual"/>
              </w:rPr>
              <w:tab/>
            </w:r>
            <w:r w:rsidRPr="0053297C">
              <w:rPr>
                <w:rStyle w:val="Hperlink"/>
                <w:noProof/>
              </w:rPr>
              <w:t>Diskrimineerimisega seotud konkurentsiprobleemid</w:t>
            </w:r>
            <w:r>
              <w:rPr>
                <w:noProof/>
                <w:webHidden/>
              </w:rPr>
              <w:tab/>
            </w:r>
            <w:r>
              <w:rPr>
                <w:noProof/>
                <w:webHidden/>
              </w:rPr>
              <w:fldChar w:fldCharType="begin"/>
            </w:r>
            <w:r>
              <w:rPr>
                <w:noProof/>
                <w:webHidden/>
              </w:rPr>
              <w:instrText xml:space="preserve"> PAGEREF _Toc174710833 \h </w:instrText>
            </w:r>
            <w:r>
              <w:rPr>
                <w:noProof/>
                <w:webHidden/>
              </w:rPr>
            </w:r>
            <w:r>
              <w:rPr>
                <w:noProof/>
                <w:webHidden/>
              </w:rPr>
              <w:fldChar w:fldCharType="separate"/>
            </w:r>
            <w:r w:rsidR="00D2135F">
              <w:rPr>
                <w:noProof/>
                <w:webHidden/>
              </w:rPr>
              <w:t>181</w:t>
            </w:r>
            <w:r>
              <w:rPr>
                <w:noProof/>
                <w:webHidden/>
              </w:rPr>
              <w:fldChar w:fldCharType="end"/>
            </w:r>
          </w:hyperlink>
        </w:p>
        <w:p w14:paraId="3642CB57" w14:textId="2B02A7B4"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34" w:history="1">
            <w:r w:rsidRPr="0053297C">
              <w:rPr>
                <w:rStyle w:val="Hperlink"/>
                <w:noProof/>
              </w:rPr>
              <w:t>7.4.3</w:t>
            </w:r>
            <w:r>
              <w:rPr>
                <w:rFonts w:asciiTheme="minorHAnsi" w:eastAsiaTheme="minorEastAsia" w:hAnsiTheme="minorHAnsi"/>
                <w:noProof/>
                <w:kern w:val="2"/>
                <w:lang w:eastAsia="et-EE"/>
                <w14:ligatures w14:val="standardContextual"/>
              </w:rPr>
              <w:tab/>
            </w:r>
            <w:r w:rsidRPr="0053297C">
              <w:rPr>
                <w:rStyle w:val="Hperlink"/>
                <w:noProof/>
              </w:rPr>
              <w:t>Mittediskrimineerimise kohustuse asendamine juurdepääsu-, läbipaistvuse-, või hinnakohustusega</w:t>
            </w:r>
            <w:r>
              <w:rPr>
                <w:noProof/>
                <w:webHidden/>
              </w:rPr>
              <w:tab/>
            </w:r>
            <w:r>
              <w:rPr>
                <w:noProof/>
                <w:webHidden/>
              </w:rPr>
              <w:fldChar w:fldCharType="begin"/>
            </w:r>
            <w:r>
              <w:rPr>
                <w:noProof/>
                <w:webHidden/>
              </w:rPr>
              <w:instrText xml:space="preserve"> PAGEREF _Toc174710834 \h </w:instrText>
            </w:r>
            <w:r>
              <w:rPr>
                <w:noProof/>
                <w:webHidden/>
              </w:rPr>
            </w:r>
            <w:r>
              <w:rPr>
                <w:noProof/>
                <w:webHidden/>
              </w:rPr>
              <w:fldChar w:fldCharType="separate"/>
            </w:r>
            <w:r w:rsidR="00D2135F">
              <w:rPr>
                <w:noProof/>
                <w:webHidden/>
              </w:rPr>
              <w:t>183</w:t>
            </w:r>
            <w:r>
              <w:rPr>
                <w:noProof/>
                <w:webHidden/>
              </w:rPr>
              <w:fldChar w:fldCharType="end"/>
            </w:r>
          </w:hyperlink>
        </w:p>
        <w:p w14:paraId="3B7F8D51" w14:textId="30460866"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35" w:history="1">
            <w:r w:rsidRPr="0053297C">
              <w:rPr>
                <w:rStyle w:val="Hperlink"/>
                <w:noProof/>
              </w:rPr>
              <w:t>7.4.4</w:t>
            </w:r>
            <w:r>
              <w:rPr>
                <w:rFonts w:asciiTheme="minorHAnsi" w:eastAsiaTheme="minorEastAsia" w:hAnsiTheme="minorHAnsi"/>
                <w:noProof/>
                <w:kern w:val="2"/>
                <w:lang w:eastAsia="et-EE"/>
                <w14:ligatures w14:val="standardContextual"/>
              </w:rPr>
              <w:tab/>
            </w:r>
            <w:r w:rsidRPr="0053297C">
              <w:rPr>
                <w:rStyle w:val="Hperlink"/>
                <w:noProof/>
              </w:rPr>
              <w:t>Sisendite või väljundite võrdväärsus</w:t>
            </w:r>
            <w:r>
              <w:rPr>
                <w:noProof/>
                <w:webHidden/>
              </w:rPr>
              <w:tab/>
            </w:r>
            <w:r>
              <w:rPr>
                <w:noProof/>
                <w:webHidden/>
              </w:rPr>
              <w:fldChar w:fldCharType="begin"/>
            </w:r>
            <w:r>
              <w:rPr>
                <w:noProof/>
                <w:webHidden/>
              </w:rPr>
              <w:instrText xml:space="preserve"> PAGEREF _Toc174710835 \h </w:instrText>
            </w:r>
            <w:r>
              <w:rPr>
                <w:noProof/>
                <w:webHidden/>
              </w:rPr>
            </w:r>
            <w:r>
              <w:rPr>
                <w:noProof/>
                <w:webHidden/>
              </w:rPr>
              <w:fldChar w:fldCharType="separate"/>
            </w:r>
            <w:r w:rsidR="00D2135F">
              <w:rPr>
                <w:noProof/>
                <w:webHidden/>
              </w:rPr>
              <w:t>183</w:t>
            </w:r>
            <w:r>
              <w:rPr>
                <w:noProof/>
                <w:webHidden/>
              </w:rPr>
              <w:fldChar w:fldCharType="end"/>
            </w:r>
          </w:hyperlink>
        </w:p>
        <w:p w14:paraId="275D258F" w14:textId="31E800EE"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36" w:history="1">
            <w:r w:rsidRPr="0053297C">
              <w:rPr>
                <w:rStyle w:val="Hperlink"/>
                <w:noProof/>
              </w:rPr>
              <w:t>7.4.5</w:t>
            </w:r>
            <w:r>
              <w:rPr>
                <w:rFonts w:asciiTheme="minorHAnsi" w:eastAsiaTheme="minorEastAsia" w:hAnsiTheme="minorHAnsi"/>
                <w:noProof/>
                <w:kern w:val="2"/>
                <w:lang w:eastAsia="et-EE"/>
                <w14:ligatures w14:val="standardContextual"/>
              </w:rPr>
              <w:tab/>
            </w:r>
            <w:r w:rsidRPr="0053297C">
              <w:rPr>
                <w:rStyle w:val="Hperlink"/>
                <w:noProof/>
              </w:rPr>
              <w:t>Tulemusnäitajad, teenustaseme kokkulepped ja garantiid</w:t>
            </w:r>
            <w:r>
              <w:rPr>
                <w:noProof/>
                <w:webHidden/>
              </w:rPr>
              <w:tab/>
            </w:r>
            <w:r>
              <w:rPr>
                <w:noProof/>
                <w:webHidden/>
              </w:rPr>
              <w:fldChar w:fldCharType="begin"/>
            </w:r>
            <w:r>
              <w:rPr>
                <w:noProof/>
                <w:webHidden/>
              </w:rPr>
              <w:instrText xml:space="preserve"> PAGEREF _Toc174710836 \h </w:instrText>
            </w:r>
            <w:r>
              <w:rPr>
                <w:noProof/>
                <w:webHidden/>
              </w:rPr>
            </w:r>
            <w:r>
              <w:rPr>
                <w:noProof/>
                <w:webHidden/>
              </w:rPr>
              <w:fldChar w:fldCharType="separate"/>
            </w:r>
            <w:r w:rsidR="00D2135F">
              <w:rPr>
                <w:noProof/>
                <w:webHidden/>
              </w:rPr>
              <w:t>186</w:t>
            </w:r>
            <w:r>
              <w:rPr>
                <w:noProof/>
                <w:webHidden/>
              </w:rPr>
              <w:fldChar w:fldCharType="end"/>
            </w:r>
          </w:hyperlink>
        </w:p>
        <w:p w14:paraId="3B769D37" w14:textId="22705E13"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37" w:history="1">
            <w:r w:rsidRPr="0053297C">
              <w:rPr>
                <w:rStyle w:val="Hperlink"/>
                <w:noProof/>
              </w:rPr>
              <w:t>7.4.6</w:t>
            </w:r>
            <w:r>
              <w:rPr>
                <w:rFonts w:asciiTheme="minorHAnsi" w:eastAsiaTheme="minorEastAsia" w:hAnsiTheme="minorHAnsi"/>
                <w:noProof/>
                <w:kern w:val="2"/>
                <w:lang w:eastAsia="et-EE"/>
                <w14:ligatures w14:val="standardContextual"/>
              </w:rPr>
              <w:tab/>
            </w:r>
            <w:r w:rsidRPr="0053297C">
              <w:rPr>
                <w:rStyle w:val="Hperlink"/>
                <w:noProof/>
              </w:rPr>
              <w:t>Uute jaemüügipakkumiste tehnilise jäljendatavuse test</w:t>
            </w:r>
            <w:r>
              <w:rPr>
                <w:noProof/>
                <w:webHidden/>
              </w:rPr>
              <w:tab/>
            </w:r>
            <w:r>
              <w:rPr>
                <w:noProof/>
                <w:webHidden/>
              </w:rPr>
              <w:fldChar w:fldCharType="begin"/>
            </w:r>
            <w:r>
              <w:rPr>
                <w:noProof/>
                <w:webHidden/>
              </w:rPr>
              <w:instrText xml:space="preserve"> PAGEREF _Toc174710837 \h </w:instrText>
            </w:r>
            <w:r>
              <w:rPr>
                <w:noProof/>
                <w:webHidden/>
              </w:rPr>
            </w:r>
            <w:r>
              <w:rPr>
                <w:noProof/>
                <w:webHidden/>
              </w:rPr>
              <w:fldChar w:fldCharType="separate"/>
            </w:r>
            <w:r w:rsidR="00D2135F">
              <w:rPr>
                <w:noProof/>
                <w:webHidden/>
              </w:rPr>
              <w:t>189</w:t>
            </w:r>
            <w:r>
              <w:rPr>
                <w:noProof/>
                <w:webHidden/>
              </w:rPr>
              <w:fldChar w:fldCharType="end"/>
            </w:r>
          </w:hyperlink>
        </w:p>
        <w:p w14:paraId="507A1EA5" w14:textId="6356804F"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38" w:history="1">
            <w:r w:rsidRPr="0053297C">
              <w:rPr>
                <w:rStyle w:val="Hperlink"/>
                <w:noProof/>
              </w:rPr>
              <w:t>7.4.7</w:t>
            </w:r>
            <w:r>
              <w:rPr>
                <w:rFonts w:asciiTheme="minorHAnsi" w:eastAsiaTheme="minorEastAsia" w:hAnsiTheme="minorHAnsi"/>
                <w:noProof/>
                <w:kern w:val="2"/>
                <w:lang w:eastAsia="et-EE"/>
                <w14:ligatures w14:val="standardContextual"/>
              </w:rPr>
              <w:tab/>
            </w:r>
            <w:r w:rsidRPr="0053297C">
              <w:rPr>
                <w:rStyle w:val="Hperlink"/>
                <w:noProof/>
              </w:rPr>
              <w:t>Teabe asümmeetria</w:t>
            </w:r>
            <w:r>
              <w:rPr>
                <w:noProof/>
                <w:webHidden/>
              </w:rPr>
              <w:tab/>
            </w:r>
            <w:r>
              <w:rPr>
                <w:noProof/>
                <w:webHidden/>
              </w:rPr>
              <w:fldChar w:fldCharType="begin"/>
            </w:r>
            <w:r>
              <w:rPr>
                <w:noProof/>
                <w:webHidden/>
              </w:rPr>
              <w:instrText xml:space="preserve"> PAGEREF _Toc174710838 \h </w:instrText>
            </w:r>
            <w:r>
              <w:rPr>
                <w:noProof/>
                <w:webHidden/>
              </w:rPr>
            </w:r>
            <w:r>
              <w:rPr>
                <w:noProof/>
                <w:webHidden/>
              </w:rPr>
              <w:fldChar w:fldCharType="separate"/>
            </w:r>
            <w:r w:rsidR="00D2135F">
              <w:rPr>
                <w:noProof/>
                <w:webHidden/>
              </w:rPr>
              <w:t>191</w:t>
            </w:r>
            <w:r>
              <w:rPr>
                <w:noProof/>
                <w:webHidden/>
              </w:rPr>
              <w:fldChar w:fldCharType="end"/>
            </w:r>
          </w:hyperlink>
        </w:p>
        <w:p w14:paraId="77F68DB5" w14:textId="7C0528E0"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39" w:history="1">
            <w:r w:rsidRPr="0053297C">
              <w:rPr>
                <w:rStyle w:val="Hperlink"/>
                <w:noProof/>
              </w:rPr>
              <w:t>7.4.8</w:t>
            </w:r>
            <w:r>
              <w:rPr>
                <w:rFonts w:asciiTheme="minorHAnsi" w:eastAsiaTheme="minorEastAsia" w:hAnsiTheme="minorHAnsi"/>
                <w:noProof/>
                <w:kern w:val="2"/>
                <w:lang w:eastAsia="et-EE"/>
                <w14:ligatures w14:val="standardContextual"/>
              </w:rPr>
              <w:tab/>
            </w:r>
            <w:r w:rsidRPr="0053297C">
              <w:rPr>
                <w:rStyle w:val="Hperlink"/>
                <w:noProof/>
              </w:rPr>
              <w:t>Vaskpaarvõrkude kasutusest kõrvaldamine</w:t>
            </w:r>
            <w:r>
              <w:rPr>
                <w:noProof/>
                <w:webHidden/>
              </w:rPr>
              <w:tab/>
            </w:r>
            <w:r>
              <w:rPr>
                <w:noProof/>
                <w:webHidden/>
              </w:rPr>
              <w:fldChar w:fldCharType="begin"/>
            </w:r>
            <w:r>
              <w:rPr>
                <w:noProof/>
                <w:webHidden/>
              </w:rPr>
              <w:instrText xml:space="preserve"> PAGEREF _Toc174710839 \h </w:instrText>
            </w:r>
            <w:r>
              <w:rPr>
                <w:noProof/>
                <w:webHidden/>
              </w:rPr>
            </w:r>
            <w:r>
              <w:rPr>
                <w:noProof/>
                <w:webHidden/>
              </w:rPr>
              <w:fldChar w:fldCharType="separate"/>
            </w:r>
            <w:r w:rsidR="00D2135F">
              <w:rPr>
                <w:noProof/>
                <w:webHidden/>
              </w:rPr>
              <w:t>193</w:t>
            </w:r>
            <w:r>
              <w:rPr>
                <w:noProof/>
                <w:webHidden/>
              </w:rPr>
              <w:fldChar w:fldCharType="end"/>
            </w:r>
          </w:hyperlink>
        </w:p>
        <w:p w14:paraId="48A75CED" w14:textId="692B4B7A"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40" w:history="1">
            <w:r w:rsidRPr="0053297C">
              <w:rPr>
                <w:rStyle w:val="Hperlink"/>
                <w:noProof/>
              </w:rPr>
              <w:t>7.4.9</w:t>
            </w:r>
            <w:r>
              <w:rPr>
                <w:rFonts w:asciiTheme="minorHAnsi" w:eastAsiaTheme="minorEastAsia" w:hAnsiTheme="minorHAnsi"/>
                <w:noProof/>
                <w:kern w:val="2"/>
                <w:lang w:eastAsia="et-EE"/>
                <w14:ligatures w14:val="standardContextual"/>
              </w:rPr>
              <w:tab/>
            </w:r>
            <w:r w:rsidRPr="0053297C">
              <w:rPr>
                <w:rStyle w:val="Hperlink"/>
                <w:noProof/>
              </w:rPr>
              <w:t>Mittediskrimineerimise  kohustuse kooskõla ESS §-ga 135</w:t>
            </w:r>
            <w:r>
              <w:rPr>
                <w:noProof/>
                <w:webHidden/>
              </w:rPr>
              <w:tab/>
            </w:r>
            <w:r>
              <w:rPr>
                <w:noProof/>
                <w:webHidden/>
              </w:rPr>
              <w:fldChar w:fldCharType="begin"/>
            </w:r>
            <w:r>
              <w:rPr>
                <w:noProof/>
                <w:webHidden/>
              </w:rPr>
              <w:instrText xml:space="preserve"> PAGEREF _Toc174710840 \h </w:instrText>
            </w:r>
            <w:r>
              <w:rPr>
                <w:noProof/>
                <w:webHidden/>
              </w:rPr>
            </w:r>
            <w:r>
              <w:rPr>
                <w:noProof/>
                <w:webHidden/>
              </w:rPr>
              <w:fldChar w:fldCharType="separate"/>
            </w:r>
            <w:r w:rsidR="00D2135F">
              <w:rPr>
                <w:noProof/>
                <w:webHidden/>
              </w:rPr>
              <w:t>196</w:t>
            </w:r>
            <w:r>
              <w:rPr>
                <w:noProof/>
                <w:webHidden/>
              </w:rPr>
              <w:fldChar w:fldCharType="end"/>
            </w:r>
          </w:hyperlink>
        </w:p>
        <w:p w14:paraId="57A4D9D2" w14:textId="14E79B42"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41" w:history="1">
            <w:r w:rsidRPr="0053297C">
              <w:rPr>
                <w:rStyle w:val="Hperlink"/>
                <w:noProof/>
              </w:rPr>
              <w:t>7.4.10</w:t>
            </w:r>
            <w:r>
              <w:rPr>
                <w:rFonts w:asciiTheme="minorHAnsi" w:eastAsiaTheme="minorEastAsia" w:hAnsiTheme="minorHAnsi"/>
                <w:noProof/>
                <w:kern w:val="2"/>
                <w:lang w:eastAsia="et-EE"/>
                <w14:ligatures w14:val="standardContextual"/>
              </w:rPr>
              <w:tab/>
            </w:r>
            <w:r w:rsidRPr="0053297C">
              <w:rPr>
                <w:rStyle w:val="Hperlink"/>
                <w:noProof/>
              </w:rPr>
              <w:t>Mittediskrimineerimise kohustuste kehtestamine</w:t>
            </w:r>
            <w:r>
              <w:rPr>
                <w:noProof/>
                <w:webHidden/>
              </w:rPr>
              <w:tab/>
            </w:r>
            <w:r>
              <w:rPr>
                <w:noProof/>
                <w:webHidden/>
              </w:rPr>
              <w:fldChar w:fldCharType="begin"/>
            </w:r>
            <w:r>
              <w:rPr>
                <w:noProof/>
                <w:webHidden/>
              </w:rPr>
              <w:instrText xml:space="preserve"> PAGEREF _Toc174710841 \h </w:instrText>
            </w:r>
            <w:r>
              <w:rPr>
                <w:noProof/>
                <w:webHidden/>
              </w:rPr>
            </w:r>
            <w:r>
              <w:rPr>
                <w:noProof/>
                <w:webHidden/>
              </w:rPr>
              <w:fldChar w:fldCharType="separate"/>
            </w:r>
            <w:r w:rsidR="00D2135F">
              <w:rPr>
                <w:noProof/>
                <w:webHidden/>
              </w:rPr>
              <w:t>196</w:t>
            </w:r>
            <w:r>
              <w:rPr>
                <w:noProof/>
                <w:webHidden/>
              </w:rPr>
              <w:fldChar w:fldCharType="end"/>
            </w:r>
          </w:hyperlink>
        </w:p>
        <w:p w14:paraId="6A453271" w14:textId="57D40F85"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842" w:history="1">
            <w:r w:rsidRPr="0053297C">
              <w:rPr>
                <w:rStyle w:val="Hperlink"/>
                <w:noProof/>
              </w:rPr>
              <w:t>7.5</w:t>
            </w:r>
            <w:r>
              <w:rPr>
                <w:rFonts w:asciiTheme="minorHAnsi" w:eastAsiaTheme="minorEastAsia" w:hAnsiTheme="minorHAnsi"/>
                <w:noProof/>
                <w:kern w:val="2"/>
                <w:lang w:eastAsia="et-EE"/>
                <w14:ligatures w14:val="standardContextual"/>
              </w:rPr>
              <w:tab/>
            </w:r>
            <w:r w:rsidRPr="0053297C">
              <w:rPr>
                <w:rStyle w:val="Hperlink"/>
                <w:noProof/>
              </w:rPr>
              <w:t>Läbipaistvuskohustused</w:t>
            </w:r>
            <w:r>
              <w:rPr>
                <w:noProof/>
                <w:webHidden/>
              </w:rPr>
              <w:tab/>
            </w:r>
            <w:r>
              <w:rPr>
                <w:noProof/>
                <w:webHidden/>
              </w:rPr>
              <w:fldChar w:fldCharType="begin"/>
            </w:r>
            <w:r>
              <w:rPr>
                <w:noProof/>
                <w:webHidden/>
              </w:rPr>
              <w:instrText xml:space="preserve"> PAGEREF _Toc174710842 \h </w:instrText>
            </w:r>
            <w:r>
              <w:rPr>
                <w:noProof/>
                <w:webHidden/>
              </w:rPr>
            </w:r>
            <w:r>
              <w:rPr>
                <w:noProof/>
                <w:webHidden/>
              </w:rPr>
              <w:fldChar w:fldCharType="separate"/>
            </w:r>
            <w:r w:rsidR="00D2135F">
              <w:rPr>
                <w:noProof/>
                <w:webHidden/>
              </w:rPr>
              <w:t>198</w:t>
            </w:r>
            <w:r>
              <w:rPr>
                <w:noProof/>
                <w:webHidden/>
              </w:rPr>
              <w:fldChar w:fldCharType="end"/>
            </w:r>
          </w:hyperlink>
        </w:p>
        <w:p w14:paraId="7BACFB21" w14:textId="0B662660"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44" w:history="1">
            <w:r w:rsidRPr="0053297C">
              <w:rPr>
                <w:rStyle w:val="Hperlink"/>
                <w:noProof/>
              </w:rPr>
              <w:t>7.5.1</w:t>
            </w:r>
            <w:r>
              <w:rPr>
                <w:rFonts w:asciiTheme="minorHAnsi" w:eastAsiaTheme="minorEastAsia" w:hAnsiTheme="minorHAnsi"/>
                <w:noProof/>
                <w:kern w:val="2"/>
                <w:lang w:eastAsia="et-EE"/>
                <w14:ligatures w14:val="standardContextual"/>
              </w:rPr>
              <w:tab/>
            </w:r>
            <w:r w:rsidRPr="0053297C">
              <w:rPr>
                <w:rStyle w:val="Hperlink"/>
                <w:noProof/>
              </w:rPr>
              <w:t>Läbipaistvuskohustuste eesmärk ja alused</w:t>
            </w:r>
            <w:r>
              <w:rPr>
                <w:noProof/>
                <w:webHidden/>
              </w:rPr>
              <w:tab/>
            </w:r>
            <w:r>
              <w:rPr>
                <w:noProof/>
                <w:webHidden/>
              </w:rPr>
              <w:fldChar w:fldCharType="begin"/>
            </w:r>
            <w:r>
              <w:rPr>
                <w:noProof/>
                <w:webHidden/>
              </w:rPr>
              <w:instrText xml:space="preserve"> PAGEREF _Toc174710844 \h </w:instrText>
            </w:r>
            <w:r>
              <w:rPr>
                <w:noProof/>
                <w:webHidden/>
              </w:rPr>
            </w:r>
            <w:r>
              <w:rPr>
                <w:noProof/>
                <w:webHidden/>
              </w:rPr>
              <w:fldChar w:fldCharType="separate"/>
            </w:r>
            <w:r w:rsidR="00D2135F">
              <w:rPr>
                <w:noProof/>
                <w:webHidden/>
              </w:rPr>
              <w:t>200</w:t>
            </w:r>
            <w:r>
              <w:rPr>
                <w:noProof/>
                <w:webHidden/>
              </w:rPr>
              <w:fldChar w:fldCharType="end"/>
            </w:r>
          </w:hyperlink>
        </w:p>
        <w:p w14:paraId="362B1846" w14:textId="32938A0E"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45" w:history="1">
            <w:r w:rsidRPr="0053297C">
              <w:rPr>
                <w:rStyle w:val="Hperlink"/>
                <w:noProof/>
              </w:rPr>
              <w:t>7.5.2</w:t>
            </w:r>
            <w:r>
              <w:rPr>
                <w:rFonts w:asciiTheme="minorHAnsi" w:eastAsiaTheme="minorEastAsia" w:hAnsiTheme="minorHAnsi"/>
                <w:noProof/>
                <w:kern w:val="2"/>
                <w:lang w:eastAsia="et-EE"/>
                <w14:ligatures w14:val="standardContextual"/>
              </w:rPr>
              <w:tab/>
            </w:r>
            <w:r w:rsidRPr="0053297C">
              <w:rPr>
                <w:rStyle w:val="Hperlink"/>
                <w:noProof/>
              </w:rPr>
              <w:t>Läbipaistvusega seotud konkurentsiprobleemid</w:t>
            </w:r>
            <w:r>
              <w:rPr>
                <w:noProof/>
                <w:webHidden/>
              </w:rPr>
              <w:tab/>
            </w:r>
            <w:r>
              <w:rPr>
                <w:noProof/>
                <w:webHidden/>
              </w:rPr>
              <w:fldChar w:fldCharType="begin"/>
            </w:r>
            <w:r>
              <w:rPr>
                <w:noProof/>
                <w:webHidden/>
              </w:rPr>
              <w:instrText xml:space="preserve"> PAGEREF _Toc174710845 \h </w:instrText>
            </w:r>
            <w:r>
              <w:rPr>
                <w:noProof/>
                <w:webHidden/>
              </w:rPr>
            </w:r>
            <w:r>
              <w:rPr>
                <w:noProof/>
                <w:webHidden/>
              </w:rPr>
              <w:fldChar w:fldCharType="separate"/>
            </w:r>
            <w:r w:rsidR="00D2135F">
              <w:rPr>
                <w:noProof/>
                <w:webHidden/>
              </w:rPr>
              <w:t>201</w:t>
            </w:r>
            <w:r>
              <w:rPr>
                <w:noProof/>
                <w:webHidden/>
              </w:rPr>
              <w:fldChar w:fldCharType="end"/>
            </w:r>
          </w:hyperlink>
        </w:p>
        <w:p w14:paraId="2E4F15DD" w14:textId="3F12E77A"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46" w:history="1">
            <w:r w:rsidRPr="0053297C">
              <w:rPr>
                <w:rStyle w:val="Hperlink"/>
                <w:noProof/>
              </w:rPr>
              <w:t>7.5.3</w:t>
            </w:r>
            <w:r>
              <w:rPr>
                <w:rFonts w:asciiTheme="minorHAnsi" w:eastAsiaTheme="minorEastAsia" w:hAnsiTheme="minorHAnsi"/>
                <w:noProof/>
                <w:kern w:val="2"/>
                <w:lang w:eastAsia="et-EE"/>
                <w14:ligatures w14:val="standardContextual"/>
              </w:rPr>
              <w:tab/>
            </w:r>
            <w:r w:rsidRPr="0053297C">
              <w:rPr>
                <w:rStyle w:val="Hperlink"/>
                <w:noProof/>
              </w:rPr>
              <w:t>Läbipaistvuskohustuse asendamine juurdepääsu- või mittediskrimineerimise- või hinnakohustusega</w:t>
            </w:r>
            <w:r>
              <w:rPr>
                <w:noProof/>
                <w:webHidden/>
              </w:rPr>
              <w:tab/>
            </w:r>
            <w:r>
              <w:rPr>
                <w:noProof/>
                <w:webHidden/>
              </w:rPr>
              <w:fldChar w:fldCharType="begin"/>
            </w:r>
            <w:r>
              <w:rPr>
                <w:noProof/>
                <w:webHidden/>
              </w:rPr>
              <w:instrText xml:space="preserve"> PAGEREF _Toc174710846 \h </w:instrText>
            </w:r>
            <w:r>
              <w:rPr>
                <w:noProof/>
                <w:webHidden/>
              </w:rPr>
            </w:r>
            <w:r>
              <w:rPr>
                <w:noProof/>
                <w:webHidden/>
              </w:rPr>
              <w:fldChar w:fldCharType="separate"/>
            </w:r>
            <w:r w:rsidR="00D2135F">
              <w:rPr>
                <w:noProof/>
                <w:webHidden/>
              </w:rPr>
              <w:t>202</w:t>
            </w:r>
            <w:r>
              <w:rPr>
                <w:noProof/>
                <w:webHidden/>
              </w:rPr>
              <w:fldChar w:fldCharType="end"/>
            </w:r>
          </w:hyperlink>
        </w:p>
        <w:p w14:paraId="2B06905C" w14:textId="69F896BC"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47" w:history="1">
            <w:r w:rsidRPr="0053297C">
              <w:rPr>
                <w:rStyle w:val="Hperlink"/>
                <w:noProof/>
              </w:rPr>
              <w:t>7.5.4</w:t>
            </w:r>
            <w:r>
              <w:rPr>
                <w:rFonts w:asciiTheme="minorHAnsi" w:eastAsiaTheme="minorEastAsia" w:hAnsiTheme="minorHAnsi"/>
                <w:noProof/>
                <w:kern w:val="2"/>
                <w:lang w:eastAsia="et-EE"/>
                <w14:ligatures w14:val="standardContextual"/>
              </w:rPr>
              <w:tab/>
            </w:r>
            <w:r w:rsidRPr="0053297C">
              <w:rPr>
                <w:rStyle w:val="Hperlink"/>
                <w:noProof/>
              </w:rPr>
              <w:t>Läbipaistvuskohustuse  kohustuse kooskõla ESS §-ga 135</w:t>
            </w:r>
            <w:r>
              <w:rPr>
                <w:noProof/>
                <w:webHidden/>
              </w:rPr>
              <w:tab/>
            </w:r>
            <w:r>
              <w:rPr>
                <w:noProof/>
                <w:webHidden/>
              </w:rPr>
              <w:fldChar w:fldCharType="begin"/>
            </w:r>
            <w:r>
              <w:rPr>
                <w:noProof/>
                <w:webHidden/>
              </w:rPr>
              <w:instrText xml:space="preserve"> PAGEREF _Toc174710847 \h </w:instrText>
            </w:r>
            <w:r>
              <w:rPr>
                <w:noProof/>
                <w:webHidden/>
              </w:rPr>
            </w:r>
            <w:r>
              <w:rPr>
                <w:noProof/>
                <w:webHidden/>
              </w:rPr>
              <w:fldChar w:fldCharType="separate"/>
            </w:r>
            <w:r w:rsidR="00D2135F">
              <w:rPr>
                <w:noProof/>
                <w:webHidden/>
              </w:rPr>
              <w:t>202</w:t>
            </w:r>
            <w:r>
              <w:rPr>
                <w:noProof/>
                <w:webHidden/>
              </w:rPr>
              <w:fldChar w:fldCharType="end"/>
            </w:r>
          </w:hyperlink>
        </w:p>
        <w:p w14:paraId="35DCE16E" w14:textId="36DFAC55"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48" w:history="1">
            <w:r w:rsidRPr="0053297C">
              <w:rPr>
                <w:rStyle w:val="Hperlink"/>
                <w:noProof/>
              </w:rPr>
              <w:t>7.5.5</w:t>
            </w:r>
            <w:r>
              <w:rPr>
                <w:rFonts w:asciiTheme="minorHAnsi" w:eastAsiaTheme="minorEastAsia" w:hAnsiTheme="minorHAnsi"/>
                <w:noProof/>
                <w:kern w:val="2"/>
                <w:lang w:eastAsia="et-EE"/>
                <w14:ligatures w14:val="standardContextual"/>
              </w:rPr>
              <w:tab/>
            </w:r>
            <w:r w:rsidRPr="0053297C">
              <w:rPr>
                <w:rStyle w:val="Hperlink"/>
                <w:noProof/>
              </w:rPr>
              <w:t>Läbipaistvuskohustuste kehtestamine</w:t>
            </w:r>
            <w:r>
              <w:rPr>
                <w:noProof/>
                <w:webHidden/>
              </w:rPr>
              <w:tab/>
            </w:r>
            <w:r>
              <w:rPr>
                <w:noProof/>
                <w:webHidden/>
              </w:rPr>
              <w:fldChar w:fldCharType="begin"/>
            </w:r>
            <w:r>
              <w:rPr>
                <w:noProof/>
                <w:webHidden/>
              </w:rPr>
              <w:instrText xml:space="preserve"> PAGEREF _Toc174710848 \h </w:instrText>
            </w:r>
            <w:r>
              <w:rPr>
                <w:noProof/>
                <w:webHidden/>
              </w:rPr>
            </w:r>
            <w:r>
              <w:rPr>
                <w:noProof/>
                <w:webHidden/>
              </w:rPr>
              <w:fldChar w:fldCharType="separate"/>
            </w:r>
            <w:r w:rsidR="00D2135F">
              <w:rPr>
                <w:noProof/>
                <w:webHidden/>
              </w:rPr>
              <w:t>203</w:t>
            </w:r>
            <w:r>
              <w:rPr>
                <w:noProof/>
                <w:webHidden/>
              </w:rPr>
              <w:fldChar w:fldCharType="end"/>
            </w:r>
          </w:hyperlink>
        </w:p>
        <w:p w14:paraId="75C101CA" w14:textId="4B5D7976"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849" w:history="1">
            <w:r w:rsidRPr="0053297C">
              <w:rPr>
                <w:rStyle w:val="Hperlink"/>
                <w:noProof/>
              </w:rPr>
              <w:t>7.6</w:t>
            </w:r>
            <w:r>
              <w:rPr>
                <w:rFonts w:asciiTheme="minorHAnsi" w:eastAsiaTheme="minorEastAsia" w:hAnsiTheme="minorHAnsi"/>
                <w:noProof/>
                <w:kern w:val="2"/>
                <w:lang w:eastAsia="et-EE"/>
                <w14:ligatures w14:val="standardContextual"/>
              </w:rPr>
              <w:tab/>
            </w:r>
            <w:r w:rsidRPr="0053297C">
              <w:rPr>
                <w:rStyle w:val="Hperlink"/>
                <w:noProof/>
              </w:rPr>
              <w:t>Hinnakohustused</w:t>
            </w:r>
            <w:r>
              <w:rPr>
                <w:noProof/>
                <w:webHidden/>
              </w:rPr>
              <w:tab/>
            </w:r>
            <w:r>
              <w:rPr>
                <w:noProof/>
                <w:webHidden/>
              </w:rPr>
              <w:fldChar w:fldCharType="begin"/>
            </w:r>
            <w:r>
              <w:rPr>
                <w:noProof/>
                <w:webHidden/>
              </w:rPr>
              <w:instrText xml:space="preserve"> PAGEREF _Toc174710849 \h </w:instrText>
            </w:r>
            <w:r>
              <w:rPr>
                <w:noProof/>
                <w:webHidden/>
              </w:rPr>
            </w:r>
            <w:r>
              <w:rPr>
                <w:noProof/>
                <w:webHidden/>
              </w:rPr>
              <w:fldChar w:fldCharType="separate"/>
            </w:r>
            <w:r w:rsidR="00D2135F">
              <w:rPr>
                <w:noProof/>
                <w:webHidden/>
              </w:rPr>
              <w:t>205</w:t>
            </w:r>
            <w:r>
              <w:rPr>
                <w:noProof/>
                <w:webHidden/>
              </w:rPr>
              <w:fldChar w:fldCharType="end"/>
            </w:r>
          </w:hyperlink>
        </w:p>
        <w:p w14:paraId="086E9181" w14:textId="752AE346"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51" w:history="1">
            <w:r w:rsidRPr="0053297C">
              <w:rPr>
                <w:rStyle w:val="Hperlink"/>
                <w:noProof/>
              </w:rPr>
              <w:t>7.6.1</w:t>
            </w:r>
            <w:r>
              <w:rPr>
                <w:rFonts w:asciiTheme="minorHAnsi" w:eastAsiaTheme="minorEastAsia" w:hAnsiTheme="minorHAnsi"/>
                <w:noProof/>
                <w:kern w:val="2"/>
                <w:lang w:eastAsia="et-EE"/>
                <w14:ligatures w14:val="standardContextual"/>
              </w:rPr>
              <w:tab/>
            </w:r>
            <w:r w:rsidRPr="0053297C">
              <w:rPr>
                <w:rStyle w:val="Hperlink"/>
                <w:noProof/>
              </w:rPr>
              <w:t>Hinnakohustuste eesmärk ja alused</w:t>
            </w:r>
            <w:r>
              <w:rPr>
                <w:noProof/>
                <w:webHidden/>
              </w:rPr>
              <w:tab/>
            </w:r>
            <w:r>
              <w:rPr>
                <w:noProof/>
                <w:webHidden/>
              </w:rPr>
              <w:fldChar w:fldCharType="begin"/>
            </w:r>
            <w:r>
              <w:rPr>
                <w:noProof/>
                <w:webHidden/>
              </w:rPr>
              <w:instrText xml:space="preserve"> PAGEREF _Toc174710851 \h </w:instrText>
            </w:r>
            <w:r>
              <w:rPr>
                <w:noProof/>
                <w:webHidden/>
              </w:rPr>
            </w:r>
            <w:r>
              <w:rPr>
                <w:noProof/>
                <w:webHidden/>
              </w:rPr>
              <w:fldChar w:fldCharType="separate"/>
            </w:r>
            <w:r w:rsidR="00D2135F">
              <w:rPr>
                <w:noProof/>
                <w:webHidden/>
              </w:rPr>
              <w:t>207</w:t>
            </w:r>
            <w:r>
              <w:rPr>
                <w:noProof/>
                <w:webHidden/>
              </w:rPr>
              <w:fldChar w:fldCharType="end"/>
            </w:r>
          </w:hyperlink>
        </w:p>
        <w:p w14:paraId="14D0C3BA" w14:textId="731D2C6D"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52" w:history="1">
            <w:r w:rsidRPr="0053297C">
              <w:rPr>
                <w:rStyle w:val="Hperlink"/>
                <w:noProof/>
              </w:rPr>
              <w:t>7.6.2</w:t>
            </w:r>
            <w:r>
              <w:rPr>
                <w:rFonts w:asciiTheme="minorHAnsi" w:eastAsiaTheme="minorEastAsia" w:hAnsiTheme="minorHAnsi"/>
                <w:noProof/>
                <w:kern w:val="2"/>
                <w:lang w:eastAsia="et-EE"/>
                <w14:ligatures w14:val="standardContextual"/>
              </w:rPr>
              <w:tab/>
            </w:r>
            <w:r w:rsidRPr="0053297C">
              <w:rPr>
                <w:rStyle w:val="Hperlink"/>
                <w:noProof/>
              </w:rPr>
              <w:t>Hinnaga seotud konkurentsiprobleemid ja Telia hindade analüüs</w:t>
            </w:r>
            <w:r>
              <w:rPr>
                <w:noProof/>
                <w:webHidden/>
              </w:rPr>
              <w:tab/>
            </w:r>
            <w:r>
              <w:rPr>
                <w:noProof/>
                <w:webHidden/>
              </w:rPr>
              <w:fldChar w:fldCharType="begin"/>
            </w:r>
            <w:r>
              <w:rPr>
                <w:noProof/>
                <w:webHidden/>
              </w:rPr>
              <w:instrText xml:space="preserve"> PAGEREF _Toc174710852 \h </w:instrText>
            </w:r>
            <w:r>
              <w:rPr>
                <w:noProof/>
                <w:webHidden/>
              </w:rPr>
            </w:r>
            <w:r>
              <w:rPr>
                <w:noProof/>
                <w:webHidden/>
              </w:rPr>
              <w:fldChar w:fldCharType="separate"/>
            </w:r>
            <w:r w:rsidR="00D2135F">
              <w:rPr>
                <w:noProof/>
                <w:webHidden/>
              </w:rPr>
              <w:t>209</w:t>
            </w:r>
            <w:r>
              <w:rPr>
                <w:noProof/>
                <w:webHidden/>
              </w:rPr>
              <w:fldChar w:fldCharType="end"/>
            </w:r>
          </w:hyperlink>
        </w:p>
        <w:p w14:paraId="27F18373" w14:textId="0FFD09FA"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53" w:history="1">
            <w:r w:rsidRPr="0053297C">
              <w:rPr>
                <w:rStyle w:val="Hperlink"/>
                <w:noProof/>
              </w:rPr>
              <w:t>7.6.3</w:t>
            </w:r>
            <w:r>
              <w:rPr>
                <w:rFonts w:asciiTheme="minorHAnsi" w:eastAsiaTheme="minorEastAsia" w:hAnsiTheme="minorHAnsi"/>
                <w:noProof/>
                <w:kern w:val="2"/>
                <w:lang w:eastAsia="et-EE"/>
                <w14:ligatures w14:val="standardContextual"/>
              </w:rPr>
              <w:tab/>
            </w:r>
            <w:r w:rsidRPr="0053297C">
              <w:rPr>
                <w:rStyle w:val="Hperlink"/>
                <w:noProof/>
              </w:rPr>
              <w:t>Sobiva hinnakohustuse valimine</w:t>
            </w:r>
            <w:r>
              <w:rPr>
                <w:noProof/>
                <w:webHidden/>
              </w:rPr>
              <w:tab/>
            </w:r>
            <w:r>
              <w:rPr>
                <w:noProof/>
                <w:webHidden/>
              </w:rPr>
              <w:fldChar w:fldCharType="begin"/>
            </w:r>
            <w:r>
              <w:rPr>
                <w:noProof/>
                <w:webHidden/>
              </w:rPr>
              <w:instrText xml:space="preserve"> PAGEREF _Toc174710853 \h </w:instrText>
            </w:r>
            <w:r>
              <w:rPr>
                <w:noProof/>
                <w:webHidden/>
              </w:rPr>
            </w:r>
            <w:r>
              <w:rPr>
                <w:noProof/>
                <w:webHidden/>
              </w:rPr>
              <w:fldChar w:fldCharType="separate"/>
            </w:r>
            <w:r w:rsidR="00D2135F">
              <w:rPr>
                <w:noProof/>
                <w:webHidden/>
              </w:rPr>
              <w:t>210</w:t>
            </w:r>
            <w:r>
              <w:rPr>
                <w:noProof/>
                <w:webHidden/>
              </w:rPr>
              <w:fldChar w:fldCharType="end"/>
            </w:r>
          </w:hyperlink>
        </w:p>
        <w:p w14:paraId="774C9430" w14:textId="04851546"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54" w:history="1">
            <w:r w:rsidRPr="0053297C">
              <w:rPr>
                <w:rStyle w:val="Hperlink"/>
                <w:noProof/>
              </w:rPr>
              <w:t>7.6.4</w:t>
            </w:r>
            <w:r>
              <w:rPr>
                <w:rFonts w:asciiTheme="minorHAnsi" w:eastAsiaTheme="minorEastAsia" w:hAnsiTheme="minorHAnsi"/>
                <w:noProof/>
                <w:kern w:val="2"/>
                <w:lang w:eastAsia="et-EE"/>
                <w14:ligatures w14:val="standardContextual"/>
              </w:rPr>
              <w:tab/>
            </w:r>
            <w:r w:rsidRPr="0053297C">
              <w:rPr>
                <w:rStyle w:val="Hperlink"/>
                <w:noProof/>
              </w:rPr>
              <w:t>Hinnakohustuse kehtestamine</w:t>
            </w:r>
            <w:r>
              <w:rPr>
                <w:noProof/>
                <w:webHidden/>
              </w:rPr>
              <w:tab/>
            </w:r>
            <w:r>
              <w:rPr>
                <w:noProof/>
                <w:webHidden/>
              </w:rPr>
              <w:fldChar w:fldCharType="begin"/>
            </w:r>
            <w:r>
              <w:rPr>
                <w:noProof/>
                <w:webHidden/>
              </w:rPr>
              <w:instrText xml:space="preserve"> PAGEREF _Toc174710854 \h </w:instrText>
            </w:r>
            <w:r>
              <w:rPr>
                <w:noProof/>
                <w:webHidden/>
              </w:rPr>
            </w:r>
            <w:r>
              <w:rPr>
                <w:noProof/>
                <w:webHidden/>
              </w:rPr>
              <w:fldChar w:fldCharType="separate"/>
            </w:r>
            <w:r w:rsidR="00D2135F">
              <w:rPr>
                <w:noProof/>
                <w:webHidden/>
              </w:rPr>
              <w:t>217</w:t>
            </w:r>
            <w:r>
              <w:rPr>
                <w:noProof/>
                <w:webHidden/>
              </w:rPr>
              <w:fldChar w:fldCharType="end"/>
            </w:r>
          </w:hyperlink>
        </w:p>
        <w:p w14:paraId="4FDDE53B" w14:textId="5CDFB5C3"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855" w:history="1">
            <w:r w:rsidRPr="0053297C">
              <w:rPr>
                <w:rStyle w:val="Hperlink"/>
                <w:noProof/>
              </w:rPr>
              <w:t>7.7</w:t>
            </w:r>
            <w:r>
              <w:rPr>
                <w:rFonts w:asciiTheme="minorHAnsi" w:eastAsiaTheme="minorEastAsia" w:hAnsiTheme="minorHAnsi"/>
                <w:noProof/>
                <w:kern w:val="2"/>
                <w:lang w:eastAsia="et-EE"/>
                <w14:ligatures w14:val="standardContextual"/>
              </w:rPr>
              <w:tab/>
            </w:r>
            <w:r w:rsidRPr="0053297C">
              <w:rPr>
                <w:rStyle w:val="Hperlink"/>
                <w:noProof/>
              </w:rPr>
              <w:t>Kohustuste tähtajad</w:t>
            </w:r>
            <w:r>
              <w:rPr>
                <w:noProof/>
                <w:webHidden/>
              </w:rPr>
              <w:tab/>
            </w:r>
            <w:r>
              <w:rPr>
                <w:noProof/>
                <w:webHidden/>
              </w:rPr>
              <w:fldChar w:fldCharType="begin"/>
            </w:r>
            <w:r>
              <w:rPr>
                <w:noProof/>
                <w:webHidden/>
              </w:rPr>
              <w:instrText xml:space="preserve"> PAGEREF _Toc174710855 \h </w:instrText>
            </w:r>
            <w:r>
              <w:rPr>
                <w:noProof/>
                <w:webHidden/>
              </w:rPr>
            </w:r>
            <w:r>
              <w:rPr>
                <w:noProof/>
                <w:webHidden/>
              </w:rPr>
              <w:fldChar w:fldCharType="separate"/>
            </w:r>
            <w:r w:rsidR="00D2135F">
              <w:rPr>
                <w:noProof/>
                <w:webHidden/>
              </w:rPr>
              <w:t>218</w:t>
            </w:r>
            <w:r>
              <w:rPr>
                <w:noProof/>
                <w:webHidden/>
              </w:rPr>
              <w:fldChar w:fldCharType="end"/>
            </w:r>
          </w:hyperlink>
        </w:p>
        <w:p w14:paraId="0C93E896" w14:textId="578F9547" w:rsidR="00A212D3" w:rsidRDefault="00A212D3">
          <w:pPr>
            <w:pStyle w:val="SK1"/>
            <w:tabs>
              <w:tab w:val="left" w:pos="440"/>
              <w:tab w:val="right" w:leader="dot" w:pos="9350"/>
            </w:tabs>
            <w:rPr>
              <w:rFonts w:asciiTheme="minorHAnsi" w:hAnsiTheme="minorHAnsi"/>
              <w:noProof/>
              <w:kern w:val="2"/>
              <w:sz w:val="22"/>
              <w:szCs w:val="22"/>
              <w:lang w:eastAsia="et-EE"/>
              <w14:ligatures w14:val="standardContextual"/>
            </w:rPr>
          </w:pPr>
          <w:hyperlink w:anchor="_Toc174710858" w:history="1">
            <w:r w:rsidRPr="0053297C">
              <w:rPr>
                <w:rStyle w:val="Hperlink"/>
                <w:noProof/>
              </w:rPr>
              <w:t>8.</w:t>
            </w:r>
            <w:r>
              <w:rPr>
                <w:rFonts w:asciiTheme="minorHAnsi" w:hAnsiTheme="minorHAnsi"/>
                <w:noProof/>
                <w:kern w:val="2"/>
                <w:sz w:val="22"/>
                <w:szCs w:val="22"/>
                <w:lang w:eastAsia="et-EE"/>
                <w14:ligatures w14:val="standardContextual"/>
              </w:rPr>
              <w:tab/>
            </w:r>
            <w:r w:rsidRPr="0053297C">
              <w:rPr>
                <w:rStyle w:val="Hperlink"/>
                <w:noProof/>
              </w:rPr>
              <w:t>HULGITURG 3b KOHUSTUSED</w:t>
            </w:r>
            <w:r>
              <w:rPr>
                <w:noProof/>
                <w:webHidden/>
              </w:rPr>
              <w:tab/>
            </w:r>
            <w:r>
              <w:rPr>
                <w:noProof/>
                <w:webHidden/>
              </w:rPr>
              <w:fldChar w:fldCharType="begin"/>
            </w:r>
            <w:r>
              <w:rPr>
                <w:noProof/>
                <w:webHidden/>
              </w:rPr>
              <w:instrText xml:space="preserve"> PAGEREF _Toc174710858 \h </w:instrText>
            </w:r>
            <w:r>
              <w:rPr>
                <w:noProof/>
                <w:webHidden/>
              </w:rPr>
            </w:r>
            <w:r>
              <w:rPr>
                <w:noProof/>
                <w:webHidden/>
              </w:rPr>
              <w:fldChar w:fldCharType="separate"/>
            </w:r>
            <w:r w:rsidR="00D2135F">
              <w:rPr>
                <w:noProof/>
                <w:webHidden/>
              </w:rPr>
              <w:t>219</w:t>
            </w:r>
            <w:r>
              <w:rPr>
                <w:noProof/>
                <w:webHidden/>
              </w:rPr>
              <w:fldChar w:fldCharType="end"/>
            </w:r>
          </w:hyperlink>
        </w:p>
        <w:p w14:paraId="214E8B66" w14:textId="5B519A83"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860" w:history="1">
            <w:r w:rsidRPr="0053297C">
              <w:rPr>
                <w:rStyle w:val="Hperlink"/>
                <w:noProof/>
              </w:rPr>
              <w:t>8.1</w:t>
            </w:r>
            <w:r>
              <w:rPr>
                <w:rFonts w:asciiTheme="minorHAnsi" w:eastAsiaTheme="minorEastAsia" w:hAnsiTheme="minorHAnsi"/>
                <w:noProof/>
                <w:kern w:val="2"/>
                <w:lang w:eastAsia="et-EE"/>
                <w14:ligatures w14:val="standardContextual"/>
              </w:rPr>
              <w:tab/>
            </w:r>
            <w:r w:rsidRPr="0053297C">
              <w:rPr>
                <w:rStyle w:val="Hperlink"/>
                <w:noProof/>
              </w:rPr>
              <w:t>Sissejuhatus</w:t>
            </w:r>
            <w:r>
              <w:rPr>
                <w:noProof/>
                <w:webHidden/>
              </w:rPr>
              <w:tab/>
            </w:r>
            <w:r>
              <w:rPr>
                <w:noProof/>
                <w:webHidden/>
              </w:rPr>
              <w:fldChar w:fldCharType="begin"/>
            </w:r>
            <w:r>
              <w:rPr>
                <w:noProof/>
                <w:webHidden/>
              </w:rPr>
              <w:instrText xml:space="preserve"> PAGEREF _Toc174710860 \h </w:instrText>
            </w:r>
            <w:r>
              <w:rPr>
                <w:noProof/>
                <w:webHidden/>
              </w:rPr>
            </w:r>
            <w:r>
              <w:rPr>
                <w:noProof/>
                <w:webHidden/>
              </w:rPr>
              <w:fldChar w:fldCharType="separate"/>
            </w:r>
            <w:r w:rsidR="00D2135F">
              <w:rPr>
                <w:noProof/>
                <w:webHidden/>
              </w:rPr>
              <w:t>219</w:t>
            </w:r>
            <w:r>
              <w:rPr>
                <w:noProof/>
                <w:webHidden/>
              </w:rPr>
              <w:fldChar w:fldCharType="end"/>
            </w:r>
          </w:hyperlink>
        </w:p>
        <w:p w14:paraId="78399152" w14:textId="23B89B0D"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65" w:history="1">
            <w:r w:rsidRPr="0053297C">
              <w:rPr>
                <w:rStyle w:val="Hperlink"/>
                <w:noProof/>
              </w:rPr>
              <w:t>8.1.1</w:t>
            </w:r>
            <w:r>
              <w:rPr>
                <w:rFonts w:asciiTheme="minorHAnsi" w:eastAsiaTheme="minorEastAsia" w:hAnsiTheme="minorHAnsi"/>
                <w:noProof/>
                <w:kern w:val="2"/>
                <w:lang w:eastAsia="et-EE"/>
                <w14:ligatures w14:val="standardContextual"/>
              </w:rPr>
              <w:tab/>
            </w:r>
            <w:r w:rsidRPr="0053297C">
              <w:rPr>
                <w:rStyle w:val="Hperlink"/>
                <w:noProof/>
              </w:rPr>
              <w:t>Hulgiturg 3b kohustuste subjekt ja objekt</w:t>
            </w:r>
            <w:r>
              <w:rPr>
                <w:noProof/>
                <w:webHidden/>
              </w:rPr>
              <w:tab/>
            </w:r>
            <w:r>
              <w:rPr>
                <w:noProof/>
                <w:webHidden/>
              </w:rPr>
              <w:fldChar w:fldCharType="begin"/>
            </w:r>
            <w:r>
              <w:rPr>
                <w:noProof/>
                <w:webHidden/>
              </w:rPr>
              <w:instrText xml:space="preserve"> PAGEREF _Toc174710865 \h </w:instrText>
            </w:r>
            <w:r>
              <w:rPr>
                <w:noProof/>
                <w:webHidden/>
              </w:rPr>
            </w:r>
            <w:r>
              <w:rPr>
                <w:noProof/>
                <w:webHidden/>
              </w:rPr>
              <w:fldChar w:fldCharType="separate"/>
            </w:r>
            <w:r w:rsidR="00D2135F">
              <w:rPr>
                <w:noProof/>
                <w:webHidden/>
              </w:rPr>
              <w:t>220</w:t>
            </w:r>
            <w:r>
              <w:rPr>
                <w:noProof/>
                <w:webHidden/>
              </w:rPr>
              <w:fldChar w:fldCharType="end"/>
            </w:r>
          </w:hyperlink>
        </w:p>
        <w:p w14:paraId="5388E36F" w14:textId="1BF1E315"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66" w:history="1">
            <w:r w:rsidRPr="0053297C">
              <w:rPr>
                <w:rStyle w:val="Hperlink"/>
                <w:noProof/>
              </w:rPr>
              <w:t>8.1.2</w:t>
            </w:r>
            <w:r>
              <w:rPr>
                <w:rFonts w:asciiTheme="minorHAnsi" w:eastAsiaTheme="minorEastAsia" w:hAnsiTheme="minorHAnsi"/>
                <w:noProof/>
                <w:kern w:val="2"/>
                <w:lang w:eastAsia="et-EE"/>
                <w14:ligatures w14:val="standardContextual"/>
              </w:rPr>
              <w:tab/>
            </w:r>
            <w:r w:rsidRPr="0053297C">
              <w:rPr>
                <w:rStyle w:val="Hperlink"/>
                <w:noProof/>
              </w:rPr>
              <w:t>TTJA 2017 hulgituru 3b otsuse ja selles kehtestatud kohustuste kehtetuks tunnistamine</w:t>
            </w:r>
            <w:r>
              <w:rPr>
                <w:noProof/>
                <w:webHidden/>
              </w:rPr>
              <w:tab/>
            </w:r>
            <w:r>
              <w:rPr>
                <w:noProof/>
                <w:webHidden/>
              </w:rPr>
              <w:fldChar w:fldCharType="begin"/>
            </w:r>
            <w:r>
              <w:rPr>
                <w:noProof/>
                <w:webHidden/>
              </w:rPr>
              <w:instrText xml:space="preserve"> PAGEREF _Toc174710866 \h </w:instrText>
            </w:r>
            <w:r>
              <w:rPr>
                <w:noProof/>
                <w:webHidden/>
              </w:rPr>
            </w:r>
            <w:r>
              <w:rPr>
                <w:noProof/>
                <w:webHidden/>
              </w:rPr>
              <w:fldChar w:fldCharType="separate"/>
            </w:r>
            <w:r w:rsidR="00D2135F">
              <w:rPr>
                <w:noProof/>
                <w:webHidden/>
              </w:rPr>
              <w:t>221</w:t>
            </w:r>
            <w:r>
              <w:rPr>
                <w:noProof/>
                <w:webHidden/>
              </w:rPr>
              <w:fldChar w:fldCharType="end"/>
            </w:r>
          </w:hyperlink>
        </w:p>
        <w:p w14:paraId="458A01D9" w14:textId="308FFF2F"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867" w:history="1">
            <w:r w:rsidRPr="0053297C">
              <w:rPr>
                <w:rStyle w:val="Hperlink"/>
                <w:noProof/>
              </w:rPr>
              <w:t>8.2</w:t>
            </w:r>
            <w:r>
              <w:rPr>
                <w:rFonts w:asciiTheme="minorHAnsi" w:eastAsiaTheme="minorEastAsia" w:hAnsiTheme="minorHAnsi"/>
                <w:noProof/>
                <w:kern w:val="2"/>
                <w:lang w:eastAsia="et-EE"/>
                <w14:ligatures w14:val="standardContextual"/>
              </w:rPr>
              <w:tab/>
            </w:r>
            <w:r w:rsidRPr="0053297C">
              <w:rPr>
                <w:rStyle w:val="Hperlink"/>
                <w:noProof/>
              </w:rPr>
              <w:t>Hulgiturg 3b kohustuste eesmärk, alused ja ajalugu</w:t>
            </w:r>
            <w:r>
              <w:rPr>
                <w:noProof/>
                <w:webHidden/>
              </w:rPr>
              <w:tab/>
            </w:r>
            <w:r>
              <w:rPr>
                <w:noProof/>
                <w:webHidden/>
              </w:rPr>
              <w:fldChar w:fldCharType="begin"/>
            </w:r>
            <w:r>
              <w:rPr>
                <w:noProof/>
                <w:webHidden/>
              </w:rPr>
              <w:instrText xml:space="preserve"> PAGEREF _Toc174710867 \h </w:instrText>
            </w:r>
            <w:r>
              <w:rPr>
                <w:noProof/>
                <w:webHidden/>
              </w:rPr>
            </w:r>
            <w:r>
              <w:rPr>
                <w:noProof/>
                <w:webHidden/>
              </w:rPr>
              <w:fldChar w:fldCharType="separate"/>
            </w:r>
            <w:r w:rsidR="00D2135F">
              <w:rPr>
                <w:noProof/>
                <w:webHidden/>
              </w:rPr>
              <w:t>222</w:t>
            </w:r>
            <w:r>
              <w:rPr>
                <w:noProof/>
                <w:webHidden/>
              </w:rPr>
              <w:fldChar w:fldCharType="end"/>
            </w:r>
          </w:hyperlink>
        </w:p>
        <w:p w14:paraId="5A75CA95" w14:textId="13E20CB9"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69" w:history="1">
            <w:r w:rsidRPr="0053297C">
              <w:rPr>
                <w:rStyle w:val="Hperlink"/>
                <w:noProof/>
              </w:rPr>
              <w:t>8.2.1</w:t>
            </w:r>
            <w:r>
              <w:rPr>
                <w:rFonts w:asciiTheme="minorHAnsi" w:eastAsiaTheme="minorEastAsia" w:hAnsiTheme="minorHAnsi"/>
                <w:noProof/>
                <w:kern w:val="2"/>
                <w:lang w:eastAsia="et-EE"/>
                <w14:ligatures w14:val="standardContextual"/>
              </w:rPr>
              <w:tab/>
            </w:r>
            <w:r w:rsidRPr="0053297C">
              <w:rPr>
                <w:rStyle w:val="Hperlink"/>
                <w:noProof/>
              </w:rPr>
              <w:t>Kohustuste eesmärk</w:t>
            </w:r>
            <w:r>
              <w:rPr>
                <w:noProof/>
                <w:webHidden/>
              </w:rPr>
              <w:tab/>
            </w:r>
            <w:r>
              <w:rPr>
                <w:noProof/>
                <w:webHidden/>
              </w:rPr>
              <w:fldChar w:fldCharType="begin"/>
            </w:r>
            <w:r>
              <w:rPr>
                <w:noProof/>
                <w:webHidden/>
              </w:rPr>
              <w:instrText xml:space="preserve"> PAGEREF _Toc174710869 \h </w:instrText>
            </w:r>
            <w:r>
              <w:rPr>
                <w:noProof/>
                <w:webHidden/>
              </w:rPr>
            </w:r>
            <w:r>
              <w:rPr>
                <w:noProof/>
                <w:webHidden/>
              </w:rPr>
              <w:fldChar w:fldCharType="separate"/>
            </w:r>
            <w:r w:rsidR="00D2135F">
              <w:rPr>
                <w:noProof/>
                <w:webHidden/>
              </w:rPr>
              <w:t>222</w:t>
            </w:r>
            <w:r>
              <w:rPr>
                <w:noProof/>
                <w:webHidden/>
              </w:rPr>
              <w:fldChar w:fldCharType="end"/>
            </w:r>
          </w:hyperlink>
        </w:p>
        <w:p w14:paraId="73E98D6B" w14:textId="6AE28281"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70" w:history="1">
            <w:r w:rsidRPr="0053297C">
              <w:rPr>
                <w:rStyle w:val="Hperlink"/>
                <w:noProof/>
              </w:rPr>
              <w:t>8.2.2</w:t>
            </w:r>
            <w:r>
              <w:rPr>
                <w:rFonts w:asciiTheme="minorHAnsi" w:eastAsiaTheme="minorEastAsia" w:hAnsiTheme="minorHAnsi"/>
                <w:noProof/>
                <w:kern w:val="2"/>
                <w:lang w:eastAsia="et-EE"/>
                <w14:ligatures w14:val="standardContextual"/>
              </w:rPr>
              <w:tab/>
            </w:r>
            <w:r w:rsidRPr="0053297C">
              <w:rPr>
                <w:rStyle w:val="Hperlink"/>
                <w:noProof/>
              </w:rPr>
              <w:t>Kohustuste kehtestamise alused</w:t>
            </w:r>
            <w:r>
              <w:rPr>
                <w:noProof/>
                <w:webHidden/>
              </w:rPr>
              <w:tab/>
            </w:r>
            <w:r>
              <w:rPr>
                <w:noProof/>
                <w:webHidden/>
              </w:rPr>
              <w:fldChar w:fldCharType="begin"/>
            </w:r>
            <w:r>
              <w:rPr>
                <w:noProof/>
                <w:webHidden/>
              </w:rPr>
              <w:instrText xml:space="preserve"> PAGEREF _Toc174710870 \h </w:instrText>
            </w:r>
            <w:r>
              <w:rPr>
                <w:noProof/>
                <w:webHidden/>
              </w:rPr>
            </w:r>
            <w:r>
              <w:rPr>
                <w:noProof/>
                <w:webHidden/>
              </w:rPr>
              <w:fldChar w:fldCharType="separate"/>
            </w:r>
            <w:r w:rsidR="00D2135F">
              <w:rPr>
                <w:noProof/>
                <w:webHidden/>
              </w:rPr>
              <w:t>223</w:t>
            </w:r>
            <w:r>
              <w:rPr>
                <w:noProof/>
                <w:webHidden/>
              </w:rPr>
              <w:fldChar w:fldCharType="end"/>
            </w:r>
          </w:hyperlink>
        </w:p>
        <w:p w14:paraId="61E33329" w14:textId="644FE72A"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71" w:history="1">
            <w:r w:rsidRPr="0053297C">
              <w:rPr>
                <w:rStyle w:val="Hperlink"/>
                <w:noProof/>
              </w:rPr>
              <w:t>8.2.3</w:t>
            </w:r>
            <w:r>
              <w:rPr>
                <w:rFonts w:asciiTheme="minorHAnsi" w:eastAsiaTheme="minorEastAsia" w:hAnsiTheme="minorHAnsi"/>
                <w:noProof/>
                <w:kern w:val="2"/>
                <w:lang w:eastAsia="et-EE"/>
                <w14:ligatures w14:val="standardContextual"/>
              </w:rPr>
              <w:tab/>
            </w:r>
            <w:r w:rsidRPr="0053297C">
              <w:rPr>
                <w:rStyle w:val="Hperlink"/>
                <w:noProof/>
              </w:rPr>
              <w:t>Kehtivad kohustused ja nende muutmise ajalugu</w:t>
            </w:r>
            <w:r>
              <w:rPr>
                <w:noProof/>
                <w:webHidden/>
              </w:rPr>
              <w:tab/>
            </w:r>
            <w:r>
              <w:rPr>
                <w:noProof/>
                <w:webHidden/>
              </w:rPr>
              <w:fldChar w:fldCharType="begin"/>
            </w:r>
            <w:r>
              <w:rPr>
                <w:noProof/>
                <w:webHidden/>
              </w:rPr>
              <w:instrText xml:space="preserve"> PAGEREF _Toc174710871 \h </w:instrText>
            </w:r>
            <w:r>
              <w:rPr>
                <w:noProof/>
                <w:webHidden/>
              </w:rPr>
            </w:r>
            <w:r>
              <w:rPr>
                <w:noProof/>
                <w:webHidden/>
              </w:rPr>
              <w:fldChar w:fldCharType="separate"/>
            </w:r>
            <w:r w:rsidR="00D2135F">
              <w:rPr>
                <w:noProof/>
                <w:webHidden/>
              </w:rPr>
              <w:t>224</w:t>
            </w:r>
            <w:r>
              <w:rPr>
                <w:noProof/>
                <w:webHidden/>
              </w:rPr>
              <w:fldChar w:fldCharType="end"/>
            </w:r>
          </w:hyperlink>
        </w:p>
        <w:p w14:paraId="642E9E4F" w14:textId="6581D5F2"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872" w:history="1">
            <w:r w:rsidRPr="0053297C">
              <w:rPr>
                <w:rStyle w:val="Hperlink"/>
                <w:noProof/>
              </w:rPr>
              <w:t>8.3</w:t>
            </w:r>
            <w:r>
              <w:rPr>
                <w:rFonts w:asciiTheme="minorHAnsi" w:eastAsiaTheme="minorEastAsia" w:hAnsiTheme="minorHAnsi"/>
                <w:noProof/>
                <w:kern w:val="2"/>
                <w:lang w:eastAsia="et-EE"/>
                <w14:ligatures w14:val="standardContextual"/>
              </w:rPr>
              <w:tab/>
            </w:r>
            <w:r w:rsidRPr="0053297C">
              <w:rPr>
                <w:rStyle w:val="Hperlink"/>
                <w:noProof/>
              </w:rPr>
              <w:t>Juurdepääsu kohustused</w:t>
            </w:r>
            <w:r>
              <w:rPr>
                <w:noProof/>
                <w:webHidden/>
              </w:rPr>
              <w:tab/>
            </w:r>
            <w:r>
              <w:rPr>
                <w:noProof/>
                <w:webHidden/>
              </w:rPr>
              <w:fldChar w:fldCharType="begin"/>
            </w:r>
            <w:r>
              <w:rPr>
                <w:noProof/>
                <w:webHidden/>
              </w:rPr>
              <w:instrText xml:space="preserve"> PAGEREF _Toc174710872 \h </w:instrText>
            </w:r>
            <w:r>
              <w:rPr>
                <w:noProof/>
                <w:webHidden/>
              </w:rPr>
            </w:r>
            <w:r>
              <w:rPr>
                <w:noProof/>
                <w:webHidden/>
              </w:rPr>
              <w:fldChar w:fldCharType="separate"/>
            </w:r>
            <w:r w:rsidR="00D2135F">
              <w:rPr>
                <w:noProof/>
                <w:webHidden/>
              </w:rPr>
              <w:t>225</w:t>
            </w:r>
            <w:r>
              <w:rPr>
                <w:noProof/>
                <w:webHidden/>
              </w:rPr>
              <w:fldChar w:fldCharType="end"/>
            </w:r>
          </w:hyperlink>
        </w:p>
        <w:p w14:paraId="6B7C248C" w14:textId="40FBC734"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74" w:history="1">
            <w:r w:rsidRPr="0053297C">
              <w:rPr>
                <w:rStyle w:val="Hperlink"/>
                <w:noProof/>
              </w:rPr>
              <w:t>8.3.1</w:t>
            </w:r>
            <w:r>
              <w:rPr>
                <w:rFonts w:asciiTheme="minorHAnsi" w:eastAsiaTheme="minorEastAsia" w:hAnsiTheme="minorHAnsi"/>
                <w:noProof/>
                <w:kern w:val="2"/>
                <w:lang w:eastAsia="et-EE"/>
                <w14:ligatures w14:val="standardContextual"/>
              </w:rPr>
              <w:tab/>
            </w:r>
            <w:r w:rsidRPr="0053297C">
              <w:rPr>
                <w:rStyle w:val="Hperlink"/>
                <w:noProof/>
              </w:rPr>
              <w:t>Juurdepääsu kohustuste eesmärk ja alused</w:t>
            </w:r>
            <w:r>
              <w:rPr>
                <w:noProof/>
                <w:webHidden/>
              </w:rPr>
              <w:tab/>
            </w:r>
            <w:r>
              <w:rPr>
                <w:noProof/>
                <w:webHidden/>
              </w:rPr>
              <w:fldChar w:fldCharType="begin"/>
            </w:r>
            <w:r>
              <w:rPr>
                <w:noProof/>
                <w:webHidden/>
              </w:rPr>
              <w:instrText xml:space="preserve"> PAGEREF _Toc174710874 \h </w:instrText>
            </w:r>
            <w:r>
              <w:rPr>
                <w:noProof/>
                <w:webHidden/>
              </w:rPr>
            </w:r>
            <w:r>
              <w:rPr>
                <w:noProof/>
                <w:webHidden/>
              </w:rPr>
              <w:fldChar w:fldCharType="separate"/>
            </w:r>
            <w:r w:rsidR="00D2135F">
              <w:rPr>
                <w:noProof/>
                <w:webHidden/>
              </w:rPr>
              <w:t>227</w:t>
            </w:r>
            <w:r>
              <w:rPr>
                <w:noProof/>
                <w:webHidden/>
              </w:rPr>
              <w:fldChar w:fldCharType="end"/>
            </w:r>
          </w:hyperlink>
        </w:p>
        <w:p w14:paraId="149305A0" w14:textId="6407BA2E"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75" w:history="1">
            <w:r w:rsidRPr="0053297C">
              <w:rPr>
                <w:rStyle w:val="Hperlink"/>
                <w:noProof/>
              </w:rPr>
              <w:t>8.3.2</w:t>
            </w:r>
            <w:r>
              <w:rPr>
                <w:rFonts w:asciiTheme="minorHAnsi" w:eastAsiaTheme="minorEastAsia" w:hAnsiTheme="minorHAnsi"/>
                <w:noProof/>
                <w:kern w:val="2"/>
                <w:lang w:eastAsia="et-EE"/>
                <w14:ligatures w14:val="standardContextual"/>
              </w:rPr>
              <w:tab/>
            </w:r>
            <w:r w:rsidRPr="0053297C">
              <w:rPr>
                <w:rStyle w:val="Hperlink"/>
                <w:noProof/>
              </w:rPr>
              <w:t>Juurdepääsuga seotud konkurentsiprobleemid</w:t>
            </w:r>
            <w:r>
              <w:rPr>
                <w:noProof/>
                <w:webHidden/>
              </w:rPr>
              <w:tab/>
            </w:r>
            <w:r>
              <w:rPr>
                <w:noProof/>
                <w:webHidden/>
              </w:rPr>
              <w:fldChar w:fldCharType="begin"/>
            </w:r>
            <w:r>
              <w:rPr>
                <w:noProof/>
                <w:webHidden/>
              </w:rPr>
              <w:instrText xml:space="preserve"> PAGEREF _Toc174710875 \h </w:instrText>
            </w:r>
            <w:r>
              <w:rPr>
                <w:noProof/>
                <w:webHidden/>
              </w:rPr>
            </w:r>
            <w:r>
              <w:rPr>
                <w:noProof/>
                <w:webHidden/>
              </w:rPr>
              <w:fldChar w:fldCharType="separate"/>
            </w:r>
            <w:r w:rsidR="00D2135F">
              <w:rPr>
                <w:noProof/>
                <w:webHidden/>
              </w:rPr>
              <w:t>229</w:t>
            </w:r>
            <w:r>
              <w:rPr>
                <w:noProof/>
                <w:webHidden/>
              </w:rPr>
              <w:fldChar w:fldCharType="end"/>
            </w:r>
          </w:hyperlink>
        </w:p>
        <w:p w14:paraId="674B7ADA" w14:textId="65E1CC00"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76" w:history="1">
            <w:r w:rsidRPr="0053297C">
              <w:rPr>
                <w:rStyle w:val="Hperlink"/>
                <w:noProof/>
              </w:rPr>
              <w:t>8.3.3</w:t>
            </w:r>
            <w:r>
              <w:rPr>
                <w:rFonts w:asciiTheme="minorHAnsi" w:eastAsiaTheme="minorEastAsia" w:hAnsiTheme="minorHAnsi"/>
                <w:noProof/>
                <w:kern w:val="2"/>
                <w:lang w:eastAsia="et-EE"/>
                <w14:ligatures w14:val="standardContextual"/>
              </w:rPr>
              <w:tab/>
            </w:r>
            <w:r w:rsidRPr="0053297C">
              <w:rPr>
                <w:rStyle w:val="Hperlink"/>
                <w:noProof/>
              </w:rPr>
              <w:t>Juurdepääsu kohustuse asendamine läbipaistvuse-, mittediskrimineerimisekohuste või hinnakohustusega</w:t>
            </w:r>
            <w:r>
              <w:rPr>
                <w:noProof/>
                <w:webHidden/>
              </w:rPr>
              <w:tab/>
            </w:r>
            <w:r>
              <w:rPr>
                <w:noProof/>
                <w:webHidden/>
              </w:rPr>
              <w:fldChar w:fldCharType="begin"/>
            </w:r>
            <w:r>
              <w:rPr>
                <w:noProof/>
                <w:webHidden/>
              </w:rPr>
              <w:instrText xml:space="preserve"> PAGEREF _Toc174710876 \h </w:instrText>
            </w:r>
            <w:r>
              <w:rPr>
                <w:noProof/>
                <w:webHidden/>
              </w:rPr>
            </w:r>
            <w:r>
              <w:rPr>
                <w:noProof/>
                <w:webHidden/>
              </w:rPr>
              <w:fldChar w:fldCharType="separate"/>
            </w:r>
            <w:r w:rsidR="00D2135F">
              <w:rPr>
                <w:noProof/>
                <w:webHidden/>
              </w:rPr>
              <w:t>231</w:t>
            </w:r>
            <w:r>
              <w:rPr>
                <w:noProof/>
                <w:webHidden/>
              </w:rPr>
              <w:fldChar w:fldCharType="end"/>
            </w:r>
          </w:hyperlink>
        </w:p>
        <w:p w14:paraId="55B4F215" w14:textId="428D6A3E"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77" w:history="1">
            <w:r w:rsidRPr="0053297C">
              <w:rPr>
                <w:rStyle w:val="Hperlink"/>
                <w:noProof/>
              </w:rPr>
              <w:t>8.3.4</w:t>
            </w:r>
            <w:r>
              <w:rPr>
                <w:rFonts w:asciiTheme="minorHAnsi" w:eastAsiaTheme="minorEastAsia" w:hAnsiTheme="minorHAnsi"/>
                <w:noProof/>
                <w:kern w:val="2"/>
                <w:lang w:eastAsia="et-EE"/>
                <w14:ligatures w14:val="standardContextual"/>
              </w:rPr>
              <w:tab/>
            </w:r>
            <w:r w:rsidRPr="0053297C">
              <w:rPr>
                <w:rStyle w:val="Hperlink"/>
                <w:noProof/>
              </w:rPr>
              <w:t>Juurdepääsu kohustuste vajalikkus ja proportsionaalsus ESS §-s 134 seatud eesmärkidega</w:t>
            </w:r>
            <w:r>
              <w:rPr>
                <w:noProof/>
                <w:webHidden/>
              </w:rPr>
              <w:tab/>
            </w:r>
            <w:r>
              <w:rPr>
                <w:noProof/>
                <w:webHidden/>
              </w:rPr>
              <w:fldChar w:fldCharType="begin"/>
            </w:r>
            <w:r>
              <w:rPr>
                <w:noProof/>
                <w:webHidden/>
              </w:rPr>
              <w:instrText xml:space="preserve"> PAGEREF _Toc174710877 \h </w:instrText>
            </w:r>
            <w:r>
              <w:rPr>
                <w:noProof/>
                <w:webHidden/>
              </w:rPr>
            </w:r>
            <w:r>
              <w:rPr>
                <w:noProof/>
                <w:webHidden/>
              </w:rPr>
              <w:fldChar w:fldCharType="separate"/>
            </w:r>
            <w:r w:rsidR="00D2135F">
              <w:rPr>
                <w:noProof/>
                <w:webHidden/>
              </w:rPr>
              <w:t>232</w:t>
            </w:r>
            <w:r>
              <w:rPr>
                <w:noProof/>
                <w:webHidden/>
              </w:rPr>
              <w:fldChar w:fldCharType="end"/>
            </w:r>
          </w:hyperlink>
        </w:p>
        <w:p w14:paraId="19B7F742" w14:textId="7BFE55FA"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78" w:history="1">
            <w:r w:rsidRPr="0053297C">
              <w:rPr>
                <w:rStyle w:val="Hperlink"/>
                <w:noProof/>
              </w:rPr>
              <w:t>8.3.5</w:t>
            </w:r>
            <w:r>
              <w:rPr>
                <w:rFonts w:asciiTheme="minorHAnsi" w:eastAsiaTheme="minorEastAsia" w:hAnsiTheme="minorHAnsi"/>
                <w:noProof/>
                <w:kern w:val="2"/>
                <w:lang w:eastAsia="et-EE"/>
                <w14:ligatures w14:val="standardContextual"/>
              </w:rPr>
              <w:tab/>
            </w:r>
            <w:r w:rsidRPr="0053297C">
              <w:rPr>
                <w:rStyle w:val="Hperlink"/>
                <w:noProof/>
              </w:rPr>
              <w:t>Juurdepääsu kohustuste kehtestamine</w:t>
            </w:r>
            <w:r>
              <w:rPr>
                <w:noProof/>
                <w:webHidden/>
              </w:rPr>
              <w:tab/>
            </w:r>
            <w:r>
              <w:rPr>
                <w:noProof/>
                <w:webHidden/>
              </w:rPr>
              <w:fldChar w:fldCharType="begin"/>
            </w:r>
            <w:r>
              <w:rPr>
                <w:noProof/>
                <w:webHidden/>
              </w:rPr>
              <w:instrText xml:space="preserve"> PAGEREF _Toc174710878 \h </w:instrText>
            </w:r>
            <w:r>
              <w:rPr>
                <w:noProof/>
                <w:webHidden/>
              </w:rPr>
            </w:r>
            <w:r>
              <w:rPr>
                <w:noProof/>
                <w:webHidden/>
              </w:rPr>
              <w:fldChar w:fldCharType="separate"/>
            </w:r>
            <w:r w:rsidR="00D2135F">
              <w:rPr>
                <w:noProof/>
                <w:webHidden/>
              </w:rPr>
              <w:t>235</w:t>
            </w:r>
            <w:r>
              <w:rPr>
                <w:noProof/>
                <w:webHidden/>
              </w:rPr>
              <w:fldChar w:fldCharType="end"/>
            </w:r>
          </w:hyperlink>
        </w:p>
        <w:p w14:paraId="41955A78" w14:textId="037EDB84"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879" w:history="1">
            <w:r w:rsidRPr="0053297C">
              <w:rPr>
                <w:rStyle w:val="Hperlink"/>
                <w:noProof/>
              </w:rPr>
              <w:t>8.4</w:t>
            </w:r>
            <w:r>
              <w:rPr>
                <w:rFonts w:asciiTheme="minorHAnsi" w:eastAsiaTheme="minorEastAsia" w:hAnsiTheme="minorHAnsi"/>
                <w:noProof/>
                <w:kern w:val="2"/>
                <w:lang w:eastAsia="et-EE"/>
                <w14:ligatures w14:val="standardContextual"/>
              </w:rPr>
              <w:tab/>
            </w:r>
            <w:r w:rsidRPr="0053297C">
              <w:rPr>
                <w:rStyle w:val="Hperlink"/>
                <w:noProof/>
              </w:rPr>
              <w:t>Mittediskrimineerimise kohustused</w:t>
            </w:r>
            <w:r>
              <w:rPr>
                <w:noProof/>
                <w:webHidden/>
              </w:rPr>
              <w:tab/>
            </w:r>
            <w:r>
              <w:rPr>
                <w:noProof/>
                <w:webHidden/>
              </w:rPr>
              <w:fldChar w:fldCharType="begin"/>
            </w:r>
            <w:r>
              <w:rPr>
                <w:noProof/>
                <w:webHidden/>
              </w:rPr>
              <w:instrText xml:space="preserve"> PAGEREF _Toc174710879 \h </w:instrText>
            </w:r>
            <w:r>
              <w:rPr>
                <w:noProof/>
                <w:webHidden/>
              </w:rPr>
            </w:r>
            <w:r>
              <w:rPr>
                <w:noProof/>
                <w:webHidden/>
              </w:rPr>
              <w:fldChar w:fldCharType="separate"/>
            </w:r>
            <w:r w:rsidR="00D2135F">
              <w:rPr>
                <w:noProof/>
                <w:webHidden/>
              </w:rPr>
              <w:t>237</w:t>
            </w:r>
            <w:r>
              <w:rPr>
                <w:noProof/>
                <w:webHidden/>
              </w:rPr>
              <w:fldChar w:fldCharType="end"/>
            </w:r>
          </w:hyperlink>
        </w:p>
        <w:p w14:paraId="19BC8FFA" w14:textId="12F39575"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81" w:history="1">
            <w:r w:rsidRPr="0053297C">
              <w:rPr>
                <w:rStyle w:val="Hperlink"/>
                <w:noProof/>
              </w:rPr>
              <w:t>8.4.1</w:t>
            </w:r>
            <w:r>
              <w:rPr>
                <w:rFonts w:asciiTheme="minorHAnsi" w:eastAsiaTheme="minorEastAsia" w:hAnsiTheme="minorHAnsi"/>
                <w:noProof/>
                <w:kern w:val="2"/>
                <w:lang w:eastAsia="et-EE"/>
                <w14:ligatures w14:val="standardContextual"/>
              </w:rPr>
              <w:tab/>
            </w:r>
            <w:r w:rsidRPr="0053297C">
              <w:rPr>
                <w:rStyle w:val="Hperlink"/>
                <w:noProof/>
              </w:rPr>
              <w:t>Diskrimineerimisega seotud konkurentsiprobleemid</w:t>
            </w:r>
            <w:r>
              <w:rPr>
                <w:noProof/>
                <w:webHidden/>
              </w:rPr>
              <w:tab/>
            </w:r>
            <w:r>
              <w:rPr>
                <w:noProof/>
                <w:webHidden/>
              </w:rPr>
              <w:fldChar w:fldCharType="begin"/>
            </w:r>
            <w:r>
              <w:rPr>
                <w:noProof/>
                <w:webHidden/>
              </w:rPr>
              <w:instrText xml:space="preserve"> PAGEREF _Toc174710881 \h </w:instrText>
            </w:r>
            <w:r>
              <w:rPr>
                <w:noProof/>
                <w:webHidden/>
              </w:rPr>
            </w:r>
            <w:r>
              <w:rPr>
                <w:noProof/>
                <w:webHidden/>
              </w:rPr>
              <w:fldChar w:fldCharType="separate"/>
            </w:r>
            <w:r w:rsidR="00D2135F">
              <w:rPr>
                <w:noProof/>
                <w:webHidden/>
              </w:rPr>
              <w:t>239</w:t>
            </w:r>
            <w:r>
              <w:rPr>
                <w:noProof/>
                <w:webHidden/>
              </w:rPr>
              <w:fldChar w:fldCharType="end"/>
            </w:r>
          </w:hyperlink>
        </w:p>
        <w:p w14:paraId="71EC3040" w14:textId="522B46A0"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82" w:history="1">
            <w:r w:rsidRPr="0053297C">
              <w:rPr>
                <w:rStyle w:val="Hperlink"/>
                <w:noProof/>
              </w:rPr>
              <w:t>8.4.2</w:t>
            </w:r>
            <w:r>
              <w:rPr>
                <w:rFonts w:asciiTheme="minorHAnsi" w:eastAsiaTheme="minorEastAsia" w:hAnsiTheme="minorHAnsi"/>
                <w:noProof/>
                <w:kern w:val="2"/>
                <w:lang w:eastAsia="et-EE"/>
                <w14:ligatures w14:val="standardContextual"/>
              </w:rPr>
              <w:tab/>
            </w:r>
            <w:r w:rsidRPr="0053297C">
              <w:rPr>
                <w:rStyle w:val="Hperlink"/>
                <w:noProof/>
              </w:rPr>
              <w:t>Mittediskrimineerimise kohustuse asendamine juurdepääsu-, läbipaistvuse-, või hinnakohustusega</w:t>
            </w:r>
            <w:r>
              <w:rPr>
                <w:noProof/>
                <w:webHidden/>
              </w:rPr>
              <w:tab/>
            </w:r>
            <w:r>
              <w:rPr>
                <w:noProof/>
                <w:webHidden/>
              </w:rPr>
              <w:fldChar w:fldCharType="begin"/>
            </w:r>
            <w:r>
              <w:rPr>
                <w:noProof/>
                <w:webHidden/>
              </w:rPr>
              <w:instrText xml:space="preserve"> PAGEREF _Toc174710882 \h </w:instrText>
            </w:r>
            <w:r>
              <w:rPr>
                <w:noProof/>
                <w:webHidden/>
              </w:rPr>
            </w:r>
            <w:r>
              <w:rPr>
                <w:noProof/>
                <w:webHidden/>
              </w:rPr>
              <w:fldChar w:fldCharType="separate"/>
            </w:r>
            <w:r w:rsidR="00D2135F">
              <w:rPr>
                <w:noProof/>
                <w:webHidden/>
              </w:rPr>
              <w:t>240</w:t>
            </w:r>
            <w:r>
              <w:rPr>
                <w:noProof/>
                <w:webHidden/>
              </w:rPr>
              <w:fldChar w:fldCharType="end"/>
            </w:r>
          </w:hyperlink>
        </w:p>
        <w:p w14:paraId="0D03FD91" w14:textId="1E30A20E"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83" w:history="1">
            <w:r w:rsidRPr="0053297C">
              <w:rPr>
                <w:rStyle w:val="Hperlink"/>
                <w:noProof/>
              </w:rPr>
              <w:t>8.4.3</w:t>
            </w:r>
            <w:r>
              <w:rPr>
                <w:rFonts w:asciiTheme="minorHAnsi" w:eastAsiaTheme="minorEastAsia" w:hAnsiTheme="minorHAnsi"/>
                <w:noProof/>
                <w:kern w:val="2"/>
                <w:lang w:eastAsia="et-EE"/>
                <w14:ligatures w14:val="standardContextual"/>
              </w:rPr>
              <w:tab/>
            </w:r>
            <w:r w:rsidRPr="0053297C">
              <w:rPr>
                <w:rStyle w:val="Hperlink"/>
                <w:noProof/>
              </w:rPr>
              <w:t>Sisendite või väljundite võrdväärsus</w:t>
            </w:r>
            <w:r>
              <w:rPr>
                <w:noProof/>
                <w:webHidden/>
              </w:rPr>
              <w:tab/>
            </w:r>
            <w:r>
              <w:rPr>
                <w:noProof/>
                <w:webHidden/>
              </w:rPr>
              <w:fldChar w:fldCharType="begin"/>
            </w:r>
            <w:r>
              <w:rPr>
                <w:noProof/>
                <w:webHidden/>
              </w:rPr>
              <w:instrText xml:space="preserve"> PAGEREF _Toc174710883 \h </w:instrText>
            </w:r>
            <w:r>
              <w:rPr>
                <w:noProof/>
                <w:webHidden/>
              </w:rPr>
            </w:r>
            <w:r>
              <w:rPr>
                <w:noProof/>
                <w:webHidden/>
              </w:rPr>
              <w:fldChar w:fldCharType="separate"/>
            </w:r>
            <w:r w:rsidR="00D2135F">
              <w:rPr>
                <w:noProof/>
                <w:webHidden/>
              </w:rPr>
              <w:t>241</w:t>
            </w:r>
            <w:r>
              <w:rPr>
                <w:noProof/>
                <w:webHidden/>
              </w:rPr>
              <w:fldChar w:fldCharType="end"/>
            </w:r>
          </w:hyperlink>
        </w:p>
        <w:p w14:paraId="6D234FF5" w14:textId="1B7F94E4"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84" w:history="1">
            <w:r w:rsidRPr="0053297C">
              <w:rPr>
                <w:rStyle w:val="Hperlink"/>
                <w:noProof/>
              </w:rPr>
              <w:t>8.4.4</w:t>
            </w:r>
            <w:r>
              <w:rPr>
                <w:rFonts w:asciiTheme="minorHAnsi" w:eastAsiaTheme="minorEastAsia" w:hAnsiTheme="minorHAnsi"/>
                <w:noProof/>
                <w:kern w:val="2"/>
                <w:lang w:eastAsia="et-EE"/>
                <w14:ligatures w14:val="standardContextual"/>
              </w:rPr>
              <w:tab/>
            </w:r>
            <w:r w:rsidRPr="0053297C">
              <w:rPr>
                <w:rStyle w:val="Hperlink"/>
                <w:noProof/>
              </w:rPr>
              <w:t>Tulemusnäitajad, teenustaseme kokkulepped ja garantiid</w:t>
            </w:r>
            <w:r>
              <w:rPr>
                <w:noProof/>
                <w:webHidden/>
              </w:rPr>
              <w:tab/>
            </w:r>
            <w:r>
              <w:rPr>
                <w:noProof/>
                <w:webHidden/>
              </w:rPr>
              <w:fldChar w:fldCharType="begin"/>
            </w:r>
            <w:r>
              <w:rPr>
                <w:noProof/>
                <w:webHidden/>
              </w:rPr>
              <w:instrText xml:space="preserve"> PAGEREF _Toc174710884 \h </w:instrText>
            </w:r>
            <w:r>
              <w:rPr>
                <w:noProof/>
                <w:webHidden/>
              </w:rPr>
            </w:r>
            <w:r>
              <w:rPr>
                <w:noProof/>
                <w:webHidden/>
              </w:rPr>
              <w:fldChar w:fldCharType="separate"/>
            </w:r>
            <w:r w:rsidR="00D2135F">
              <w:rPr>
                <w:noProof/>
                <w:webHidden/>
              </w:rPr>
              <w:t>243</w:t>
            </w:r>
            <w:r>
              <w:rPr>
                <w:noProof/>
                <w:webHidden/>
              </w:rPr>
              <w:fldChar w:fldCharType="end"/>
            </w:r>
          </w:hyperlink>
        </w:p>
        <w:p w14:paraId="7EBF5140" w14:textId="27C3CAFF"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85" w:history="1">
            <w:r w:rsidRPr="0053297C">
              <w:rPr>
                <w:rStyle w:val="Hperlink"/>
                <w:noProof/>
              </w:rPr>
              <w:t>8.4.5</w:t>
            </w:r>
            <w:r>
              <w:rPr>
                <w:rFonts w:asciiTheme="minorHAnsi" w:eastAsiaTheme="minorEastAsia" w:hAnsiTheme="minorHAnsi"/>
                <w:noProof/>
                <w:kern w:val="2"/>
                <w:lang w:eastAsia="et-EE"/>
                <w14:ligatures w14:val="standardContextual"/>
              </w:rPr>
              <w:tab/>
            </w:r>
            <w:r w:rsidRPr="0053297C">
              <w:rPr>
                <w:rStyle w:val="Hperlink"/>
                <w:noProof/>
              </w:rPr>
              <w:t>Mittediskrimineerimise kohustuse eesmärk ja alused</w:t>
            </w:r>
            <w:r>
              <w:rPr>
                <w:noProof/>
                <w:webHidden/>
              </w:rPr>
              <w:tab/>
            </w:r>
            <w:r>
              <w:rPr>
                <w:noProof/>
                <w:webHidden/>
              </w:rPr>
              <w:fldChar w:fldCharType="begin"/>
            </w:r>
            <w:r>
              <w:rPr>
                <w:noProof/>
                <w:webHidden/>
              </w:rPr>
              <w:instrText xml:space="preserve"> PAGEREF _Toc174710885 \h </w:instrText>
            </w:r>
            <w:r>
              <w:rPr>
                <w:noProof/>
                <w:webHidden/>
              </w:rPr>
            </w:r>
            <w:r>
              <w:rPr>
                <w:noProof/>
                <w:webHidden/>
              </w:rPr>
              <w:fldChar w:fldCharType="separate"/>
            </w:r>
            <w:r w:rsidR="00D2135F">
              <w:rPr>
                <w:noProof/>
                <w:webHidden/>
              </w:rPr>
              <w:t>246</w:t>
            </w:r>
            <w:r>
              <w:rPr>
                <w:noProof/>
                <w:webHidden/>
              </w:rPr>
              <w:fldChar w:fldCharType="end"/>
            </w:r>
          </w:hyperlink>
        </w:p>
        <w:p w14:paraId="0C9D1025" w14:textId="07BD13FA"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86" w:history="1">
            <w:r w:rsidRPr="0053297C">
              <w:rPr>
                <w:rStyle w:val="Hperlink"/>
                <w:noProof/>
              </w:rPr>
              <w:t>8.4.6</w:t>
            </w:r>
            <w:r>
              <w:rPr>
                <w:rFonts w:asciiTheme="minorHAnsi" w:eastAsiaTheme="minorEastAsia" w:hAnsiTheme="minorHAnsi"/>
                <w:noProof/>
                <w:kern w:val="2"/>
                <w:lang w:eastAsia="et-EE"/>
                <w14:ligatures w14:val="standardContextual"/>
              </w:rPr>
              <w:tab/>
            </w:r>
            <w:r w:rsidRPr="0053297C">
              <w:rPr>
                <w:rStyle w:val="Hperlink"/>
                <w:noProof/>
              </w:rPr>
              <w:t>Uute jaemüügipakkumiste tehnilise jäljendatavuse test</w:t>
            </w:r>
            <w:r>
              <w:rPr>
                <w:noProof/>
                <w:webHidden/>
              </w:rPr>
              <w:tab/>
            </w:r>
            <w:r>
              <w:rPr>
                <w:noProof/>
                <w:webHidden/>
              </w:rPr>
              <w:fldChar w:fldCharType="begin"/>
            </w:r>
            <w:r>
              <w:rPr>
                <w:noProof/>
                <w:webHidden/>
              </w:rPr>
              <w:instrText xml:space="preserve"> PAGEREF _Toc174710886 \h </w:instrText>
            </w:r>
            <w:r>
              <w:rPr>
                <w:noProof/>
                <w:webHidden/>
              </w:rPr>
            </w:r>
            <w:r>
              <w:rPr>
                <w:noProof/>
                <w:webHidden/>
              </w:rPr>
              <w:fldChar w:fldCharType="separate"/>
            </w:r>
            <w:r w:rsidR="00D2135F">
              <w:rPr>
                <w:noProof/>
                <w:webHidden/>
              </w:rPr>
              <w:t>247</w:t>
            </w:r>
            <w:r>
              <w:rPr>
                <w:noProof/>
                <w:webHidden/>
              </w:rPr>
              <w:fldChar w:fldCharType="end"/>
            </w:r>
          </w:hyperlink>
        </w:p>
        <w:p w14:paraId="008113B7" w14:textId="451F8CC2"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87" w:history="1">
            <w:r w:rsidRPr="0053297C">
              <w:rPr>
                <w:rStyle w:val="Hperlink"/>
                <w:noProof/>
              </w:rPr>
              <w:t>8.4.7</w:t>
            </w:r>
            <w:r>
              <w:rPr>
                <w:rFonts w:asciiTheme="minorHAnsi" w:eastAsiaTheme="minorEastAsia" w:hAnsiTheme="minorHAnsi"/>
                <w:noProof/>
                <w:kern w:val="2"/>
                <w:lang w:eastAsia="et-EE"/>
                <w14:ligatures w14:val="standardContextual"/>
              </w:rPr>
              <w:tab/>
            </w:r>
            <w:r w:rsidRPr="0053297C">
              <w:rPr>
                <w:rStyle w:val="Hperlink"/>
                <w:noProof/>
              </w:rPr>
              <w:t>Teabe asümmeetria</w:t>
            </w:r>
            <w:r>
              <w:rPr>
                <w:noProof/>
                <w:webHidden/>
              </w:rPr>
              <w:tab/>
            </w:r>
            <w:r>
              <w:rPr>
                <w:noProof/>
                <w:webHidden/>
              </w:rPr>
              <w:fldChar w:fldCharType="begin"/>
            </w:r>
            <w:r>
              <w:rPr>
                <w:noProof/>
                <w:webHidden/>
              </w:rPr>
              <w:instrText xml:space="preserve"> PAGEREF _Toc174710887 \h </w:instrText>
            </w:r>
            <w:r>
              <w:rPr>
                <w:noProof/>
                <w:webHidden/>
              </w:rPr>
            </w:r>
            <w:r>
              <w:rPr>
                <w:noProof/>
                <w:webHidden/>
              </w:rPr>
              <w:fldChar w:fldCharType="separate"/>
            </w:r>
            <w:r w:rsidR="00D2135F">
              <w:rPr>
                <w:noProof/>
                <w:webHidden/>
              </w:rPr>
              <w:t>249</w:t>
            </w:r>
            <w:r>
              <w:rPr>
                <w:noProof/>
                <w:webHidden/>
              </w:rPr>
              <w:fldChar w:fldCharType="end"/>
            </w:r>
          </w:hyperlink>
        </w:p>
        <w:p w14:paraId="72DE16C3" w14:textId="34B67188"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88" w:history="1">
            <w:r w:rsidRPr="0053297C">
              <w:rPr>
                <w:rStyle w:val="Hperlink"/>
                <w:noProof/>
              </w:rPr>
              <w:t>8.4.8</w:t>
            </w:r>
            <w:r>
              <w:rPr>
                <w:rFonts w:asciiTheme="minorHAnsi" w:eastAsiaTheme="minorEastAsia" w:hAnsiTheme="minorHAnsi"/>
                <w:noProof/>
                <w:kern w:val="2"/>
                <w:lang w:eastAsia="et-EE"/>
                <w14:ligatures w14:val="standardContextual"/>
              </w:rPr>
              <w:tab/>
            </w:r>
            <w:r w:rsidRPr="0053297C">
              <w:rPr>
                <w:rStyle w:val="Hperlink"/>
                <w:noProof/>
              </w:rPr>
              <w:t>Vaskpaarvõrkude kasutusest kõrvaldamine</w:t>
            </w:r>
            <w:r>
              <w:rPr>
                <w:noProof/>
                <w:webHidden/>
              </w:rPr>
              <w:tab/>
            </w:r>
            <w:r>
              <w:rPr>
                <w:noProof/>
                <w:webHidden/>
              </w:rPr>
              <w:fldChar w:fldCharType="begin"/>
            </w:r>
            <w:r>
              <w:rPr>
                <w:noProof/>
                <w:webHidden/>
              </w:rPr>
              <w:instrText xml:space="preserve"> PAGEREF _Toc174710888 \h </w:instrText>
            </w:r>
            <w:r>
              <w:rPr>
                <w:noProof/>
                <w:webHidden/>
              </w:rPr>
            </w:r>
            <w:r>
              <w:rPr>
                <w:noProof/>
                <w:webHidden/>
              </w:rPr>
              <w:fldChar w:fldCharType="separate"/>
            </w:r>
            <w:r w:rsidR="00D2135F">
              <w:rPr>
                <w:noProof/>
                <w:webHidden/>
              </w:rPr>
              <w:t>251</w:t>
            </w:r>
            <w:r>
              <w:rPr>
                <w:noProof/>
                <w:webHidden/>
              </w:rPr>
              <w:fldChar w:fldCharType="end"/>
            </w:r>
          </w:hyperlink>
        </w:p>
        <w:p w14:paraId="4D1C3B64" w14:textId="485CED25"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89" w:history="1">
            <w:r w:rsidRPr="0053297C">
              <w:rPr>
                <w:rStyle w:val="Hperlink"/>
                <w:noProof/>
              </w:rPr>
              <w:t>8.4.9</w:t>
            </w:r>
            <w:r>
              <w:rPr>
                <w:rFonts w:asciiTheme="minorHAnsi" w:eastAsiaTheme="minorEastAsia" w:hAnsiTheme="minorHAnsi"/>
                <w:noProof/>
                <w:kern w:val="2"/>
                <w:lang w:eastAsia="et-EE"/>
                <w14:ligatures w14:val="standardContextual"/>
              </w:rPr>
              <w:tab/>
            </w:r>
            <w:r w:rsidRPr="0053297C">
              <w:rPr>
                <w:rStyle w:val="Hperlink"/>
                <w:noProof/>
              </w:rPr>
              <w:t>Mittediskrimineerimise  kohustuse kooskõla ESS §-ga 135</w:t>
            </w:r>
            <w:r>
              <w:rPr>
                <w:noProof/>
                <w:webHidden/>
              </w:rPr>
              <w:tab/>
            </w:r>
            <w:r>
              <w:rPr>
                <w:noProof/>
                <w:webHidden/>
              </w:rPr>
              <w:fldChar w:fldCharType="begin"/>
            </w:r>
            <w:r>
              <w:rPr>
                <w:noProof/>
                <w:webHidden/>
              </w:rPr>
              <w:instrText xml:space="preserve"> PAGEREF _Toc174710889 \h </w:instrText>
            </w:r>
            <w:r>
              <w:rPr>
                <w:noProof/>
                <w:webHidden/>
              </w:rPr>
            </w:r>
            <w:r>
              <w:rPr>
                <w:noProof/>
                <w:webHidden/>
              </w:rPr>
              <w:fldChar w:fldCharType="separate"/>
            </w:r>
            <w:r w:rsidR="00D2135F">
              <w:rPr>
                <w:noProof/>
                <w:webHidden/>
              </w:rPr>
              <w:t>254</w:t>
            </w:r>
            <w:r>
              <w:rPr>
                <w:noProof/>
                <w:webHidden/>
              </w:rPr>
              <w:fldChar w:fldCharType="end"/>
            </w:r>
          </w:hyperlink>
        </w:p>
        <w:p w14:paraId="4F1F36C8" w14:textId="6B7C98C6"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90" w:history="1">
            <w:r w:rsidRPr="0053297C">
              <w:rPr>
                <w:rStyle w:val="Hperlink"/>
                <w:noProof/>
              </w:rPr>
              <w:t>8.4.10</w:t>
            </w:r>
            <w:r>
              <w:rPr>
                <w:rFonts w:asciiTheme="minorHAnsi" w:eastAsiaTheme="minorEastAsia" w:hAnsiTheme="minorHAnsi"/>
                <w:noProof/>
                <w:kern w:val="2"/>
                <w:lang w:eastAsia="et-EE"/>
                <w14:ligatures w14:val="standardContextual"/>
              </w:rPr>
              <w:tab/>
            </w:r>
            <w:r w:rsidRPr="0053297C">
              <w:rPr>
                <w:rStyle w:val="Hperlink"/>
                <w:noProof/>
              </w:rPr>
              <w:t>Mittediskrimineerimise kohustuste kehtestamine</w:t>
            </w:r>
            <w:r>
              <w:rPr>
                <w:noProof/>
                <w:webHidden/>
              </w:rPr>
              <w:tab/>
            </w:r>
            <w:r>
              <w:rPr>
                <w:noProof/>
                <w:webHidden/>
              </w:rPr>
              <w:fldChar w:fldCharType="begin"/>
            </w:r>
            <w:r>
              <w:rPr>
                <w:noProof/>
                <w:webHidden/>
              </w:rPr>
              <w:instrText xml:space="preserve"> PAGEREF _Toc174710890 \h </w:instrText>
            </w:r>
            <w:r>
              <w:rPr>
                <w:noProof/>
                <w:webHidden/>
              </w:rPr>
            </w:r>
            <w:r>
              <w:rPr>
                <w:noProof/>
                <w:webHidden/>
              </w:rPr>
              <w:fldChar w:fldCharType="separate"/>
            </w:r>
            <w:r w:rsidR="00D2135F">
              <w:rPr>
                <w:noProof/>
                <w:webHidden/>
              </w:rPr>
              <w:t>254</w:t>
            </w:r>
            <w:r>
              <w:rPr>
                <w:noProof/>
                <w:webHidden/>
              </w:rPr>
              <w:fldChar w:fldCharType="end"/>
            </w:r>
          </w:hyperlink>
        </w:p>
        <w:p w14:paraId="7B856D1F" w14:textId="1517E147"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891" w:history="1">
            <w:r w:rsidRPr="0053297C">
              <w:rPr>
                <w:rStyle w:val="Hperlink"/>
                <w:noProof/>
              </w:rPr>
              <w:t>8.5</w:t>
            </w:r>
            <w:r>
              <w:rPr>
                <w:rFonts w:asciiTheme="minorHAnsi" w:eastAsiaTheme="minorEastAsia" w:hAnsiTheme="minorHAnsi"/>
                <w:noProof/>
                <w:kern w:val="2"/>
                <w:lang w:eastAsia="et-EE"/>
                <w14:ligatures w14:val="standardContextual"/>
              </w:rPr>
              <w:tab/>
            </w:r>
            <w:r w:rsidRPr="0053297C">
              <w:rPr>
                <w:rStyle w:val="Hperlink"/>
                <w:noProof/>
              </w:rPr>
              <w:t>Läbipaistvuskohustused</w:t>
            </w:r>
            <w:r>
              <w:rPr>
                <w:noProof/>
                <w:webHidden/>
              </w:rPr>
              <w:tab/>
            </w:r>
            <w:r>
              <w:rPr>
                <w:noProof/>
                <w:webHidden/>
              </w:rPr>
              <w:fldChar w:fldCharType="begin"/>
            </w:r>
            <w:r>
              <w:rPr>
                <w:noProof/>
                <w:webHidden/>
              </w:rPr>
              <w:instrText xml:space="preserve"> PAGEREF _Toc174710891 \h </w:instrText>
            </w:r>
            <w:r>
              <w:rPr>
                <w:noProof/>
                <w:webHidden/>
              </w:rPr>
            </w:r>
            <w:r>
              <w:rPr>
                <w:noProof/>
                <w:webHidden/>
              </w:rPr>
              <w:fldChar w:fldCharType="separate"/>
            </w:r>
            <w:r w:rsidR="00D2135F">
              <w:rPr>
                <w:noProof/>
                <w:webHidden/>
              </w:rPr>
              <w:t>257</w:t>
            </w:r>
            <w:r>
              <w:rPr>
                <w:noProof/>
                <w:webHidden/>
              </w:rPr>
              <w:fldChar w:fldCharType="end"/>
            </w:r>
          </w:hyperlink>
        </w:p>
        <w:p w14:paraId="48B82FA1" w14:textId="7B947300"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93" w:history="1">
            <w:r w:rsidRPr="0053297C">
              <w:rPr>
                <w:rStyle w:val="Hperlink"/>
                <w:noProof/>
              </w:rPr>
              <w:t>8.5.1</w:t>
            </w:r>
            <w:r>
              <w:rPr>
                <w:rFonts w:asciiTheme="minorHAnsi" w:eastAsiaTheme="minorEastAsia" w:hAnsiTheme="minorHAnsi"/>
                <w:noProof/>
                <w:kern w:val="2"/>
                <w:lang w:eastAsia="et-EE"/>
                <w14:ligatures w14:val="standardContextual"/>
              </w:rPr>
              <w:tab/>
            </w:r>
            <w:r w:rsidRPr="0053297C">
              <w:rPr>
                <w:rStyle w:val="Hperlink"/>
                <w:noProof/>
              </w:rPr>
              <w:t>Läbipaistvuskohustuste eesmärk ja alused</w:t>
            </w:r>
            <w:r>
              <w:rPr>
                <w:noProof/>
                <w:webHidden/>
              </w:rPr>
              <w:tab/>
            </w:r>
            <w:r>
              <w:rPr>
                <w:noProof/>
                <w:webHidden/>
              </w:rPr>
              <w:fldChar w:fldCharType="begin"/>
            </w:r>
            <w:r>
              <w:rPr>
                <w:noProof/>
                <w:webHidden/>
              </w:rPr>
              <w:instrText xml:space="preserve"> PAGEREF _Toc174710893 \h </w:instrText>
            </w:r>
            <w:r>
              <w:rPr>
                <w:noProof/>
                <w:webHidden/>
              </w:rPr>
            </w:r>
            <w:r>
              <w:rPr>
                <w:noProof/>
                <w:webHidden/>
              </w:rPr>
              <w:fldChar w:fldCharType="separate"/>
            </w:r>
            <w:r w:rsidR="00D2135F">
              <w:rPr>
                <w:noProof/>
                <w:webHidden/>
              </w:rPr>
              <w:t>259</w:t>
            </w:r>
            <w:r>
              <w:rPr>
                <w:noProof/>
                <w:webHidden/>
              </w:rPr>
              <w:fldChar w:fldCharType="end"/>
            </w:r>
          </w:hyperlink>
        </w:p>
        <w:p w14:paraId="5D080695" w14:textId="4806E14C"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94" w:history="1">
            <w:r w:rsidRPr="0053297C">
              <w:rPr>
                <w:rStyle w:val="Hperlink"/>
                <w:noProof/>
              </w:rPr>
              <w:t>8.5.2</w:t>
            </w:r>
            <w:r>
              <w:rPr>
                <w:rFonts w:asciiTheme="minorHAnsi" w:eastAsiaTheme="minorEastAsia" w:hAnsiTheme="minorHAnsi"/>
                <w:noProof/>
                <w:kern w:val="2"/>
                <w:lang w:eastAsia="et-EE"/>
                <w14:ligatures w14:val="standardContextual"/>
              </w:rPr>
              <w:tab/>
            </w:r>
            <w:r w:rsidRPr="0053297C">
              <w:rPr>
                <w:rStyle w:val="Hperlink"/>
                <w:noProof/>
              </w:rPr>
              <w:t>Läbipaistvusega seotud konkurentsiprobleemid</w:t>
            </w:r>
            <w:r>
              <w:rPr>
                <w:noProof/>
                <w:webHidden/>
              </w:rPr>
              <w:tab/>
            </w:r>
            <w:r>
              <w:rPr>
                <w:noProof/>
                <w:webHidden/>
              </w:rPr>
              <w:fldChar w:fldCharType="begin"/>
            </w:r>
            <w:r>
              <w:rPr>
                <w:noProof/>
                <w:webHidden/>
              </w:rPr>
              <w:instrText xml:space="preserve"> PAGEREF _Toc174710894 \h </w:instrText>
            </w:r>
            <w:r>
              <w:rPr>
                <w:noProof/>
                <w:webHidden/>
              </w:rPr>
            </w:r>
            <w:r>
              <w:rPr>
                <w:noProof/>
                <w:webHidden/>
              </w:rPr>
              <w:fldChar w:fldCharType="separate"/>
            </w:r>
            <w:r w:rsidR="00D2135F">
              <w:rPr>
                <w:noProof/>
                <w:webHidden/>
              </w:rPr>
              <w:t>259</w:t>
            </w:r>
            <w:r>
              <w:rPr>
                <w:noProof/>
                <w:webHidden/>
              </w:rPr>
              <w:fldChar w:fldCharType="end"/>
            </w:r>
          </w:hyperlink>
        </w:p>
        <w:p w14:paraId="17F16CD4" w14:textId="0E976745"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95" w:history="1">
            <w:r w:rsidRPr="0053297C">
              <w:rPr>
                <w:rStyle w:val="Hperlink"/>
                <w:noProof/>
              </w:rPr>
              <w:t>8.5.3</w:t>
            </w:r>
            <w:r>
              <w:rPr>
                <w:rFonts w:asciiTheme="minorHAnsi" w:eastAsiaTheme="minorEastAsia" w:hAnsiTheme="minorHAnsi"/>
                <w:noProof/>
                <w:kern w:val="2"/>
                <w:lang w:eastAsia="et-EE"/>
                <w14:ligatures w14:val="standardContextual"/>
              </w:rPr>
              <w:tab/>
            </w:r>
            <w:r w:rsidRPr="0053297C">
              <w:rPr>
                <w:rStyle w:val="Hperlink"/>
                <w:noProof/>
              </w:rPr>
              <w:t>Läbipaistvuskohustuse asendamine juurdepääsu- või mittediskrimineerimise- või hinnakohustusega</w:t>
            </w:r>
            <w:r>
              <w:rPr>
                <w:noProof/>
                <w:webHidden/>
              </w:rPr>
              <w:tab/>
            </w:r>
            <w:r>
              <w:rPr>
                <w:noProof/>
                <w:webHidden/>
              </w:rPr>
              <w:fldChar w:fldCharType="begin"/>
            </w:r>
            <w:r>
              <w:rPr>
                <w:noProof/>
                <w:webHidden/>
              </w:rPr>
              <w:instrText xml:space="preserve"> PAGEREF _Toc174710895 \h </w:instrText>
            </w:r>
            <w:r>
              <w:rPr>
                <w:noProof/>
                <w:webHidden/>
              </w:rPr>
            </w:r>
            <w:r>
              <w:rPr>
                <w:noProof/>
                <w:webHidden/>
              </w:rPr>
              <w:fldChar w:fldCharType="separate"/>
            </w:r>
            <w:r w:rsidR="00D2135F">
              <w:rPr>
                <w:noProof/>
                <w:webHidden/>
              </w:rPr>
              <w:t>261</w:t>
            </w:r>
            <w:r>
              <w:rPr>
                <w:noProof/>
                <w:webHidden/>
              </w:rPr>
              <w:fldChar w:fldCharType="end"/>
            </w:r>
          </w:hyperlink>
        </w:p>
        <w:p w14:paraId="23E8CDAB" w14:textId="72548DC3"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96" w:history="1">
            <w:r w:rsidRPr="0053297C">
              <w:rPr>
                <w:rStyle w:val="Hperlink"/>
                <w:noProof/>
              </w:rPr>
              <w:t>8.5.4</w:t>
            </w:r>
            <w:r>
              <w:rPr>
                <w:rFonts w:asciiTheme="minorHAnsi" w:eastAsiaTheme="minorEastAsia" w:hAnsiTheme="minorHAnsi"/>
                <w:noProof/>
                <w:kern w:val="2"/>
                <w:lang w:eastAsia="et-EE"/>
                <w14:ligatures w14:val="standardContextual"/>
              </w:rPr>
              <w:tab/>
            </w:r>
            <w:r w:rsidRPr="0053297C">
              <w:rPr>
                <w:rStyle w:val="Hperlink"/>
                <w:noProof/>
              </w:rPr>
              <w:t>Läbipaistvuskohustuse  kohustuse kooskõla ESS §-ga 135</w:t>
            </w:r>
            <w:r>
              <w:rPr>
                <w:noProof/>
                <w:webHidden/>
              </w:rPr>
              <w:tab/>
            </w:r>
            <w:r>
              <w:rPr>
                <w:noProof/>
                <w:webHidden/>
              </w:rPr>
              <w:fldChar w:fldCharType="begin"/>
            </w:r>
            <w:r>
              <w:rPr>
                <w:noProof/>
                <w:webHidden/>
              </w:rPr>
              <w:instrText xml:space="preserve"> PAGEREF _Toc174710896 \h </w:instrText>
            </w:r>
            <w:r>
              <w:rPr>
                <w:noProof/>
                <w:webHidden/>
              </w:rPr>
            </w:r>
            <w:r>
              <w:rPr>
                <w:noProof/>
                <w:webHidden/>
              </w:rPr>
              <w:fldChar w:fldCharType="separate"/>
            </w:r>
            <w:r w:rsidR="00D2135F">
              <w:rPr>
                <w:noProof/>
                <w:webHidden/>
              </w:rPr>
              <w:t>261</w:t>
            </w:r>
            <w:r>
              <w:rPr>
                <w:noProof/>
                <w:webHidden/>
              </w:rPr>
              <w:fldChar w:fldCharType="end"/>
            </w:r>
          </w:hyperlink>
        </w:p>
        <w:p w14:paraId="3526EBFE" w14:textId="1E462520"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897" w:history="1">
            <w:r w:rsidRPr="0053297C">
              <w:rPr>
                <w:rStyle w:val="Hperlink"/>
                <w:noProof/>
              </w:rPr>
              <w:t>8.5.5</w:t>
            </w:r>
            <w:r>
              <w:rPr>
                <w:rFonts w:asciiTheme="minorHAnsi" w:eastAsiaTheme="minorEastAsia" w:hAnsiTheme="minorHAnsi"/>
                <w:noProof/>
                <w:kern w:val="2"/>
                <w:lang w:eastAsia="et-EE"/>
                <w14:ligatures w14:val="standardContextual"/>
              </w:rPr>
              <w:tab/>
            </w:r>
            <w:r w:rsidRPr="0053297C">
              <w:rPr>
                <w:rStyle w:val="Hperlink"/>
                <w:noProof/>
              </w:rPr>
              <w:t>Läbipaistvuskohustuste kehtestamine</w:t>
            </w:r>
            <w:r>
              <w:rPr>
                <w:noProof/>
                <w:webHidden/>
              </w:rPr>
              <w:tab/>
            </w:r>
            <w:r>
              <w:rPr>
                <w:noProof/>
                <w:webHidden/>
              </w:rPr>
              <w:fldChar w:fldCharType="begin"/>
            </w:r>
            <w:r>
              <w:rPr>
                <w:noProof/>
                <w:webHidden/>
              </w:rPr>
              <w:instrText xml:space="preserve"> PAGEREF _Toc174710897 \h </w:instrText>
            </w:r>
            <w:r>
              <w:rPr>
                <w:noProof/>
                <w:webHidden/>
              </w:rPr>
            </w:r>
            <w:r>
              <w:rPr>
                <w:noProof/>
                <w:webHidden/>
              </w:rPr>
              <w:fldChar w:fldCharType="separate"/>
            </w:r>
            <w:r w:rsidR="00D2135F">
              <w:rPr>
                <w:noProof/>
                <w:webHidden/>
              </w:rPr>
              <w:t>262</w:t>
            </w:r>
            <w:r>
              <w:rPr>
                <w:noProof/>
                <w:webHidden/>
              </w:rPr>
              <w:fldChar w:fldCharType="end"/>
            </w:r>
          </w:hyperlink>
        </w:p>
        <w:p w14:paraId="31384511" w14:textId="368F5A3E"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898" w:history="1">
            <w:r w:rsidRPr="0053297C">
              <w:rPr>
                <w:rStyle w:val="Hperlink"/>
                <w:noProof/>
              </w:rPr>
              <w:t>8.6</w:t>
            </w:r>
            <w:r>
              <w:rPr>
                <w:rFonts w:asciiTheme="minorHAnsi" w:eastAsiaTheme="minorEastAsia" w:hAnsiTheme="minorHAnsi"/>
                <w:noProof/>
                <w:kern w:val="2"/>
                <w:lang w:eastAsia="et-EE"/>
                <w14:ligatures w14:val="standardContextual"/>
              </w:rPr>
              <w:tab/>
            </w:r>
            <w:r w:rsidRPr="0053297C">
              <w:rPr>
                <w:rStyle w:val="Hperlink"/>
                <w:noProof/>
              </w:rPr>
              <w:t>Hinnakohustused</w:t>
            </w:r>
            <w:r>
              <w:rPr>
                <w:noProof/>
                <w:webHidden/>
              </w:rPr>
              <w:tab/>
            </w:r>
            <w:r>
              <w:rPr>
                <w:noProof/>
                <w:webHidden/>
              </w:rPr>
              <w:fldChar w:fldCharType="begin"/>
            </w:r>
            <w:r>
              <w:rPr>
                <w:noProof/>
                <w:webHidden/>
              </w:rPr>
              <w:instrText xml:space="preserve"> PAGEREF _Toc174710898 \h </w:instrText>
            </w:r>
            <w:r>
              <w:rPr>
                <w:noProof/>
                <w:webHidden/>
              </w:rPr>
            </w:r>
            <w:r>
              <w:rPr>
                <w:noProof/>
                <w:webHidden/>
              </w:rPr>
              <w:fldChar w:fldCharType="separate"/>
            </w:r>
            <w:r w:rsidR="00D2135F">
              <w:rPr>
                <w:noProof/>
                <w:webHidden/>
              </w:rPr>
              <w:t>264</w:t>
            </w:r>
            <w:r>
              <w:rPr>
                <w:noProof/>
                <w:webHidden/>
              </w:rPr>
              <w:fldChar w:fldCharType="end"/>
            </w:r>
          </w:hyperlink>
        </w:p>
        <w:p w14:paraId="56BE7631" w14:textId="0BD6F279"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900" w:history="1">
            <w:r w:rsidRPr="0053297C">
              <w:rPr>
                <w:rStyle w:val="Hperlink"/>
                <w:noProof/>
              </w:rPr>
              <w:t>8.6.1</w:t>
            </w:r>
            <w:r>
              <w:rPr>
                <w:rFonts w:asciiTheme="minorHAnsi" w:eastAsiaTheme="minorEastAsia" w:hAnsiTheme="minorHAnsi"/>
                <w:noProof/>
                <w:kern w:val="2"/>
                <w:lang w:eastAsia="et-EE"/>
                <w14:ligatures w14:val="standardContextual"/>
              </w:rPr>
              <w:tab/>
            </w:r>
            <w:r w:rsidRPr="0053297C">
              <w:rPr>
                <w:rStyle w:val="Hperlink"/>
                <w:noProof/>
              </w:rPr>
              <w:t>Hinnaga seotud konkurentsiprobleemid ja Telia hindade analüüs</w:t>
            </w:r>
            <w:r>
              <w:rPr>
                <w:noProof/>
                <w:webHidden/>
              </w:rPr>
              <w:tab/>
            </w:r>
            <w:r>
              <w:rPr>
                <w:noProof/>
                <w:webHidden/>
              </w:rPr>
              <w:fldChar w:fldCharType="begin"/>
            </w:r>
            <w:r>
              <w:rPr>
                <w:noProof/>
                <w:webHidden/>
              </w:rPr>
              <w:instrText xml:space="preserve"> PAGEREF _Toc174710900 \h </w:instrText>
            </w:r>
            <w:r>
              <w:rPr>
                <w:noProof/>
                <w:webHidden/>
              </w:rPr>
            </w:r>
            <w:r>
              <w:rPr>
                <w:noProof/>
                <w:webHidden/>
              </w:rPr>
              <w:fldChar w:fldCharType="separate"/>
            </w:r>
            <w:r w:rsidR="00D2135F">
              <w:rPr>
                <w:noProof/>
                <w:webHidden/>
              </w:rPr>
              <w:t>265</w:t>
            </w:r>
            <w:r>
              <w:rPr>
                <w:noProof/>
                <w:webHidden/>
              </w:rPr>
              <w:fldChar w:fldCharType="end"/>
            </w:r>
          </w:hyperlink>
        </w:p>
        <w:p w14:paraId="63C9078C" w14:textId="1218059D"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901" w:history="1">
            <w:r w:rsidRPr="0053297C">
              <w:rPr>
                <w:rStyle w:val="Hperlink"/>
                <w:noProof/>
              </w:rPr>
              <w:t>8.6.2</w:t>
            </w:r>
            <w:r>
              <w:rPr>
                <w:rFonts w:asciiTheme="minorHAnsi" w:eastAsiaTheme="minorEastAsia" w:hAnsiTheme="minorHAnsi"/>
                <w:noProof/>
                <w:kern w:val="2"/>
                <w:lang w:eastAsia="et-EE"/>
                <w14:ligatures w14:val="standardContextual"/>
              </w:rPr>
              <w:tab/>
            </w:r>
            <w:r w:rsidRPr="0053297C">
              <w:rPr>
                <w:rStyle w:val="Hperlink"/>
                <w:noProof/>
              </w:rPr>
              <w:t>Sobiva hinnakohustuse valimine</w:t>
            </w:r>
            <w:r>
              <w:rPr>
                <w:noProof/>
                <w:webHidden/>
              </w:rPr>
              <w:tab/>
            </w:r>
            <w:r>
              <w:rPr>
                <w:noProof/>
                <w:webHidden/>
              </w:rPr>
              <w:fldChar w:fldCharType="begin"/>
            </w:r>
            <w:r>
              <w:rPr>
                <w:noProof/>
                <w:webHidden/>
              </w:rPr>
              <w:instrText xml:space="preserve"> PAGEREF _Toc174710901 \h </w:instrText>
            </w:r>
            <w:r>
              <w:rPr>
                <w:noProof/>
                <w:webHidden/>
              </w:rPr>
            </w:r>
            <w:r>
              <w:rPr>
                <w:noProof/>
                <w:webHidden/>
              </w:rPr>
              <w:fldChar w:fldCharType="separate"/>
            </w:r>
            <w:r w:rsidR="00D2135F">
              <w:rPr>
                <w:noProof/>
                <w:webHidden/>
              </w:rPr>
              <w:t>267</w:t>
            </w:r>
            <w:r>
              <w:rPr>
                <w:noProof/>
                <w:webHidden/>
              </w:rPr>
              <w:fldChar w:fldCharType="end"/>
            </w:r>
          </w:hyperlink>
        </w:p>
        <w:p w14:paraId="32336638" w14:textId="042D49DC" w:rsidR="00A212D3" w:rsidRDefault="00A212D3">
          <w:pPr>
            <w:pStyle w:val="SK3"/>
            <w:tabs>
              <w:tab w:val="left" w:pos="1320"/>
            </w:tabs>
            <w:rPr>
              <w:rFonts w:asciiTheme="minorHAnsi" w:eastAsiaTheme="minorEastAsia" w:hAnsiTheme="minorHAnsi"/>
              <w:noProof/>
              <w:kern w:val="2"/>
              <w:lang w:eastAsia="et-EE"/>
              <w14:ligatures w14:val="standardContextual"/>
            </w:rPr>
          </w:pPr>
          <w:hyperlink w:anchor="_Toc174710902" w:history="1">
            <w:r w:rsidRPr="0053297C">
              <w:rPr>
                <w:rStyle w:val="Hperlink"/>
                <w:noProof/>
              </w:rPr>
              <w:t>8.6.3</w:t>
            </w:r>
            <w:r>
              <w:rPr>
                <w:rFonts w:asciiTheme="minorHAnsi" w:eastAsiaTheme="minorEastAsia" w:hAnsiTheme="minorHAnsi"/>
                <w:noProof/>
                <w:kern w:val="2"/>
                <w:lang w:eastAsia="et-EE"/>
                <w14:ligatures w14:val="standardContextual"/>
              </w:rPr>
              <w:tab/>
            </w:r>
            <w:r w:rsidRPr="0053297C">
              <w:rPr>
                <w:rStyle w:val="Hperlink"/>
                <w:noProof/>
              </w:rPr>
              <w:t>Hinnakohustuse kehtestamine</w:t>
            </w:r>
            <w:r>
              <w:rPr>
                <w:noProof/>
                <w:webHidden/>
              </w:rPr>
              <w:tab/>
            </w:r>
            <w:r>
              <w:rPr>
                <w:noProof/>
                <w:webHidden/>
              </w:rPr>
              <w:fldChar w:fldCharType="begin"/>
            </w:r>
            <w:r>
              <w:rPr>
                <w:noProof/>
                <w:webHidden/>
              </w:rPr>
              <w:instrText xml:space="preserve"> PAGEREF _Toc174710902 \h </w:instrText>
            </w:r>
            <w:r>
              <w:rPr>
                <w:noProof/>
                <w:webHidden/>
              </w:rPr>
            </w:r>
            <w:r>
              <w:rPr>
                <w:noProof/>
                <w:webHidden/>
              </w:rPr>
              <w:fldChar w:fldCharType="separate"/>
            </w:r>
            <w:r w:rsidR="00D2135F">
              <w:rPr>
                <w:noProof/>
                <w:webHidden/>
              </w:rPr>
              <w:t>273</w:t>
            </w:r>
            <w:r>
              <w:rPr>
                <w:noProof/>
                <w:webHidden/>
              </w:rPr>
              <w:fldChar w:fldCharType="end"/>
            </w:r>
          </w:hyperlink>
        </w:p>
        <w:p w14:paraId="78E53C72" w14:textId="6F912A56" w:rsidR="00A212D3" w:rsidRDefault="00A212D3">
          <w:pPr>
            <w:pStyle w:val="SK2"/>
            <w:tabs>
              <w:tab w:val="left" w:pos="720"/>
            </w:tabs>
            <w:rPr>
              <w:rFonts w:asciiTheme="minorHAnsi" w:eastAsiaTheme="minorEastAsia" w:hAnsiTheme="minorHAnsi"/>
              <w:noProof/>
              <w:kern w:val="2"/>
              <w:lang w:eastAsia="et-EE"/>
              <w14:ligatures w14:val="standardContextual"/>
            </w:rPr>
          </w:pPr>
          <w:hyperlink w:anchor="_Toc174710903" w:history="1">
            <w:r w:rsidRPr="0053297C">
              <w:rPr>
                <w:rStyle w:val="Hperlink"/>
                <w:noProof/>
              </w:rPr>
              <w:t>8.7</w:t>
            </w:r>
            <w:r>
              <w:rPr>
                <w:rFonts w:asciiTheme="minorHAnsi" w:eastAsiaTheme="minorEastAsia" w:hAnsiTheme="minorHAnsi"/>
                <w:noProof/>
                <w:kern w:val="2"/>
                <w:lang w:eastAsia="et-EE"/>
                <w14:ligatures w14:val="standardContextual"/>
              </w:rPr>
              <w:tab/>
            </w:r>
            <w:r w:rsidRPr="0053297C">
              <w:rPr>
                <w:rStyle w:val="Hperlink"/>
                <w:noProof/>
              </w:rPr>
              <w:t>Kohustuste tähtajad</w:t>
            </w:r>
            <w:r>
              <w:rPr>
                <w:noProof/>
                <w:webHidden/>
              </w:rPr>
              <w:tab/>
            </w:r>
            <w:r>
              <w:rPr>
                <w:noProof/>
                <w:webHidden/>
              </w:rPr>
              <w:fldChar w:fldCharType="begin"/>
            </w:r>
            <w:r>
              <w:rPr>
                <w:noProof/>
                <w:webHidden/>
              </w:rPr>
              <w:instrText xml:space="preserve"> PAGEREF _Toc174710903 \h </w:instrText>
            </w:r>
            <w:r>
              <w:rPr>
                <w:noProof/>
                <w:webHidden/>
              </w:rPr>
            </w:r>
            <w:r>
              <w:rPr>
                <w:noProof/>
                <w:webHidden/>
              </w:rPr>
              <w:fldChar w:fldCharType="separate"/>
            </w:r>
            <w:r w:rsidR="00D2135F">
              <w:rPr>
                <w:noProof/>
                <w:webHidden/>
              </w:rPr>
              <w:t>274</w:t>
            </w:r>
            <w:r>
              <w:rPr>
                <w:noProof/>
                <w:webHidden/>
              </w:rPr>
              <w:fldChar w:fldCharType="end"/>
            </w:r>
          </w:hyperlink>
        </w:p>
        <w:p w14:paraId="0D4CD3E8" w14:textId="6447CE33" w:rsidR="00A212D3" w:rsidRDefault="00A212D3">
          <w:pPr>
            <w:pStyle w:val="SK1"/>
            <w:tabs>
              <w:tab w:val="left" w:pos="440"/>
              <w:tab w:val="right" w:leader="dot" w:pos="9350"/>
            </w:tabs>
            <w:rPr>
              <w:rFonts w:asciiTheme="minorHAnsi" w:hAnsiTheme="minorHAnsi"/>
              <w:noProof/>
              <w:kern w:val="2"/>
              <w:sz w:val="22"/>
              <w:szCs w:val="22"/>
              <w:lang w:eastAsia="et-EE"/>
              <w14:ligatures w14:val="standardContextual"/>
            </w:rPr>
          </w:pPr>
          <w:hyperlink w:anchor="_Toc174710904" w:history="1">
            <w:r w:rsidRPr="0053297C">
              <w:rPr>
                <w:rStyle w:val="Hperlink"/>
                <w:noProof/>
              </w:rPr>
              <w:t>9.</w:t>
            </w:r>
            <w:r>
              <w:rPr>
                <w:rFonts w:asciiTheme="minorHAnsi" w:hAnsiTheme="minorHAnsi"/>
                <w:noProof/>
                <w:kern w:val="2"/>
                <w:sz w:val="22"/>
                <w:szCs w:val="22"/>
                <w:lang w:eastAsia="et-EE"/>
                <w14:ligatures w14:val="standardContextual"/>
              </w:rPr>
              <w:tab/>
            </w:r>
            <w:r w:rsidRPr="0053297C">
              <w:rPr>
                <w:rStyle w:val="Hperlink"/>
                <w:noProof/>
              </w:rPr>
              <w:t>MÕISTED</w:t>
            </w:r>
            <w:r>
              <w:rPr>
                <w:noProof/>
                <w:webHidden/>
              </w:rPr>
              <w:tab/>
            </w:r>
            <w:r>
              <w:rPr>
                <w:noProof/>
                <w:webHidden/>
              </w:rPr>
              <w:fldChar w:fldCharType="begin"/>
            </w:r>
            <w:r>
              <w:rPr>
                <w:noProof/>
                <w:webHidden/>
              </w:rPr>
              <w:instrText xml:space="preserve"> PAGEREF _Toc174710904 \h </w:instrText>
            </w:r>
            <w:r>
              <w:rPr>
                <w:noProof/>
                <w:webHidden/>
              </w:rPr>
            </w:r>
            <w:r>
              <w:rPr>
                <w:noProof/>
                <w:webHidden/>
              </w:rPr>
              <w:fldChar w:fldCharType="separate"/>
            </w:r>
            <w:r w:rsidR="00D2135F">
              <w:rPr>
                <w:noProof/>
                <w:webHidden/>
              </w:rPr>
              <w:t>275</w:t>
            </w:r>
            <w:r>
              <w:rPr>
                <w:noProof/>
                <w:webHidden/>
              </w:rPr>
              <w:fldChar w:fldCharType="end"/>
            </w:r>
          </w:hyperlink>
        </w:p>
        <w:p w14:paraId="7FB641CE" w14:textId="576A33BC" w:rsidR="007822B1" w:rsidRDefault="007822B1" w:rsidP="00AA241E">
          <w:pPr>
            <w:jc w:val="both"/>
          </w:pPr>
          <w:r>
            <w:rPr>
              <w:b/>
              <w:bCs/>
            </w:rPr>
            <w:fldChar w:fldCharType="end"/>
          </w:r>
        </w:p>
      </w:sdtContent>
    </w:sdt>
    <w:p w14:paraId="62F90865" w14:textId="30352C08" w:rsidR="00C17D90" w:rsidRDefault="007822B1" w:rsidP="00AA241E">
      <w:pPr>
        <w:pStyle w:val="Pealkiri1"/>
        <w:numPr>
          <w:ilvl w:val="0"/>
          <w:numId w:val="0"/>
        </w:numPr>
        <w:ind w:left="360" w:hanging="360"/>
      </w:pPr>
      <w:r>
        <w:br w:type="page"/>
      </w:r>
      <w:bookmarkStart w:id="2" w:name="_Toc174710682"/>
      <w:r w:rsidR="00C17D90" w:rsidRPr="00814653">
        <w:lastRenderedPageBreak/>
        <w:t>KOKKUVÕTE</w:t>
      </w:r>
      <w:bookmarkEnd w:id="2"/>
    </w:p>
    <w:p w14:paraId="39C5E462" w14:textId="461E9CBD" w:rsidR="00EC30FD" w:rsidRPr="006E317E" w:rsidRDefault="00EC30FD" w:rsidP="00AA241E">
      <w:pPr>
        <w:jc w:val="both"/>
      </w:pPr>
      <w:r w:rsidRPr="006E317E">
        <w:t xml:space="preserve">Kooskõlas ESS </w:t>
      </w:r>
      <w:r w:rsidR="008C159A">
        <w:t>ptk.-</w:t>
      </w:r>
      <w:proofErr w:type="spellStart"/>
      <w:r w:rsidRPr="006E317E">
        <w:t>ga</w:t>
      </w:r>
      <w:proofErr w:type="spellEnd"/>
      <w:r w:rsidRPr="006E317E">
        <w:t xml:space="preserve"> 5 </w:t>
      </w:r>
      <w:r w:rsidR="00834CC9">
        <w:t>on</w:t>
      </w:r>
      <w:r w:rsidRPr="006E317E">
        <w:t xml:space="preserve"> TTJA</w:t>
      </w:r>
      <w:r w:rsidR="00834CC9">
        <w:t xml:space="preserve"> kohustatud</w:t>
      </w:r>
      <w:r w:rsidRPr="006E317E">
        <w:t xml:space="preserve"> läbi viima turuanalüüsi EK 2020 turgude soovituses sätestatud ja käesoleva otsuse koostamise ajal TJA 16.06.17 otsusega</w:t>
      </w:r>
      <w:r w:rsidRPr="005D266E">
        <w:rPr>
          <w:vertAlign w:val="superscript"/>
        </w:rPr>
        <w:footnoteReference w:id="2"/>
      </w:r>
      <w:r w:rsidRPr="006E317E">
        <w:t xml:space="preserve"> nr 1-10/17-228 (nimetatakse ka TTJA 2017 hulgituru 1 otsus)  reguleeritud sidevõrgu kohaliku juurdepääsu hulgiturul (EK 2020 turgude soovituses märgitud kui hulgiturg 1), kus on peamiseks teenuseks </w:t>
      </w:r>
      <w:r w:rsidR="00BE1DCC">
        <w:t xml:space="preserve">füüsiliselt </w:t>
      </w:r>
      <w:r w:rsidR="00173A26">
        <w:t xml:space="preserve">või virtuaalselt </w:t>
      </w:r>
      <w:r w:rsidR="00BE1DCC">
        <w:t xml:space="preserve">eraldatud </w:t>
      </w:r>
      <w:r w:rsidRPr="006E317E">
        <w:t>kliendiliini</w:t>
      </w:r>
      <w:r w:rsidR="004C64F4">
        <w:t>le</w:t>
      </w:r>
      <w:r w:rsidRPr="006E317E">
        <w:t xml:space="preserve"> </w:t>
      </w:r>
      <w:r w:rsidR="00A562E2">
        <w:t xml:space="preserve">juurdepääsu osutamine </w:t>
      </w:r>
      <w:r w:rsidRPr="006E317E">
        <w:t xml:space="preserve">teisele sideettevõtjale. </w:t>
      </w:r>
    </w:p>
    <w:p w14:paraId="77D7435D" w14:textId="43433C2E" w:rsidR="00EC30FD" w:rsidRPr="006E317E" w:rsidRDefault="00EC30FD" w:rsidP="00AA241E">
      <w:pPr>
        <w:jc w:val="both"/>
      </w:pPr>
      <w:r w:rsidRPr="006E317E">
        <w:t xml:space="preserve">Samuti </w:t>
      </w:r>
      <w:r w:rsidR="0062272D">
        <w:t>on</w:t>
      </w:r>
      <w:r w:rsidRPr="006E317E">
        <w:t xml:space="preserve"> TTJA</w:t>
      </w:r>
      <w:r w:rsidR="0062272D">
        <w:t xml:space="preserve"> kohustatud</w:t>
      </w:r>
      <w:r w:rsidRPr="006E317E">
        <w:t xml:space="preserve"> läbi viima turuanalüüsi EK 2014 turgude soovituses sätestatud ning hetkel 16.06.17 TJA otsusega</w:t>
      </w:r>
      <w:r w:rsidRPr="005D266E">
        <w:rPr>
          <w:vertAlign w:val="superscript"/>
        </w:rPr>
        <w:footnoteReference w:id="3"/>
      </w:r>
      <w:r w:rsidRPr="006E317E">
        <w:t xml:space="preserve"> nr 1-10/17-227 reguleeritud sidevõrgu keskse juurdepääsu hulgiturul (EK 2014 turgude soovituses märgitud kui hulgiturg 3b), kus on peamiseks teenuseks sidevõrgu keskselt tasemelt (ülekandevõrgust) kuni sidevõrgu lõpp-punktini (juurdepääsuvõrgus) virtuaalselt eraldatud </w:t>
      </w:r>
      <w:r w:rsidR="00BE1DCC">
        <w:t>lairibaühendusele</w:t>
      </w:r>
      <w:r w:rsidRPr="006E317E">
        <w:t xml:space="preserve"> (</w:t>
      </w:r>
      <w:r w:rsidR="00261F68">
        <w:t xml:space="preserve">nimetatakse ka </w:t>
      </w:r>
      <w:r w:rsidRPr="006E317E">
        <w:t>bitivoole</w:t>
      </w:r>
      <w:r w:rsidR="00BE1DCC">
        <w:t xml:space="preserve"> või</w:t>
      </w:r>
      <w:r w:rsidR="00BE1DCC" w:rsidRPr="00BE1DCC">
        <w:t xml:space="preserve"> </w:t>
      </w:r>
      <w:r w:rsidR="00BE1DCC" w:rsidRPr="006E317E">
        <w:t>internetiühendusele</w:t>
      </w:r>
      <w:r w:rsidRPr="006E317E">
        <w:t xml:space="preserve">) juurdepääsu </w:t>
      </w:r>
      <w:r w:rsidR="00327321">
        <w:t>osutamine</w:t>
      </w:r>
      <w:r w:rsidRPr="006E317E">
        <w:t xml:space="preserve"> teisele sideettevõtjale. </w:t>
      </w:r>
    </w:p>
    <w:p w14:paraId="3E74C4A7" w14:textId="354BFD09" w:rsidR="003F3711" w:rsidRDefault="003F3711" w:rsidP="00AA241E">
      <w:pPr>
        <w:jc w:val="both"/>
      </w:pPr>
      <w:r>
        <w:t xml:space="preserve">Käesoleva otsuse koostamise ajal on hulgiturgudel 1 ja 3b märkimisväärse turujõuga ettevõttjaks (edaspidi ka MTE) </w:t>
      </w:r>
      <w:r w:rsidR="000E62CE">
        <w:t xml:space="preserve">tunnistatud </w:t>
      </w:r>
      <w:r>
        <w:t xml:space="preserve">Telia Eesti AS (edaspidi ka Telia), kellele on kehtestatud </w:t>
      </w:r>
      <w:r w:rsidR="000E62CE">
        <w:t>ka</w:t>
      </w:r>
      <w:r>
        <w:t xml:space="preserve"> vastavate hulgiturgude teenuste </w:t>
      </w:r>
      <w:r w:rsidR="003939A7">
        <w:t>osutamise</w:t>
      </w:r>
      <w:r>
        <w:t xml:space="preserve"> osas otstarbekad juurdepääsu, mittediskrimineerimise, läbipaistvu</w:t>
      </w:r>
      <w:r w:rsidR="00E570AC">
        <w:t>s</w:t>
      </w:r>
      <w:r>
        <w:t>e ja hinnakohustused.</w:t>
      </w:r>
    </w:p>
    <w:p w14:paraId="42CE0FFC" w14:textId="59D6CE54" w:rsidR="00EC30FD" w:rsidRDefault="001145EF" w:rsidP="00AA241E">
      <w:pPr>
        <w:jc w:val="both"/>
      </w:pPr>
      <w:r>
        <w:t>Hulgi</w:t>
      </w:r>
      <w:r w:rsidRPr="00965714">
        <w:t>turu</w:t>
      </w:r>
      <w:r>
        <w:t xml:space="preserve"> </w:t>
      </w:r>
      <w:r w:rsidR="00EC30FD">
        <w:t xml:space="preserve">1 </w:t>
      </w:r>
      <w:r w:rsidR="00EC30FD" w:rsidRPr="00965714">
        <w:t xml:space="preserve">ja 3b </w:t>
      </w:r>
      <w:r>
        <w:t>valdkonnaspetsiifiline</w:t>
      </w:r>
      <w:r w:rsidR="00EC30FD" w:rsidRPr="00965714">
        <w:t xml:space="preserve"> reguleerimine t</w:t>
      </w:r>
      <w:r w:rsidR="001B6246">
        <w:t>agab</w:t>
      </w:r>
      <w:r w:rsidR="00EC30FD" w:rsidRPr="00965714">
        <w:t xml:space="preserve"> </w:t>
      </w:r>
      <w:r w:rsidR="001B6246">
        <w:t>Teliaga konkureerivatele</w:t>
      </w:r>
      <w:r w:rsidR="00EC30FD" w:rsidRPr="00965714">
        <w:t xml:space="preserve"> </w:t>
      </w:r>
      <w:r w:rsidR="00EC30FD">
        <w:t>sideettevõtjate</w:t>
      </w:r>
      <w:r w:rsidR="00914B7E">
        <w:t>le</w:t>
      </w:r>
      <w:r w:rsidR="00EC30FD" w:rsidRPr="00965714">
        <w:t xml:space="preserve"> </w:t>
      </w:r>
      <w:r w:rsidR="008C40AD">
        <w:t>võimaluse</w:t>
      </w:r>
      <w:r w:rsidR="00EC30FD" w:rsidRPr="00965714">
        <w:t xml:space="preserve"> osutada lõppkasutajatele </w:t>
      </w:r>
      <w:r w:rsidR="00AA61BA">
        <w:t>jaetasandi</w:t>
      </w:r>
      <w:r w:rsidR="00EC30FD" w:rsidRPr="00965714">
        <w:t xml:space="preserve"> sideteenuseid kasutades </w:t>
      </w:r>
      <w:r w:rsidR="008C40AD">
        <w:t xml:space="preserve">selleks </w:t>
      </w:r>
      <w:r w:rsidR="00AA61BA">
        <w:t xml:space="preserve">hulgitasandil </w:t>
      </w:r>
      <w:r w:rsidR="0049461A">
        <w:t xml:space="preserve">läbipaistva, mittediskrimineeriva ja konkurentsi soodustava hinnaga </w:t>
      </w:r>
      <w:r w:rsidR="00EC6BC7">
        <w:t>juurdepääsu</w:t>
      </w:r>
      <w:r w:rsidR="0049461A">
        <w:t xml:space="preserve"> </w:t>
      </w:r>
      <w:r w:rsidR="00EC30FD">
        <w:t>Telia</w:t>
      </w:r>
      <w:r w:rsidR="00EC30FD" w:rsidRPr="00965714">
        <w:t xml:space="preserve"> </w:t>
      </w:r>
      <w:r w:rsidR="008C40AD">
        <w:t>sidevõrgu</w:t>
      </w:r>
      <w:r w:rsidR="000D54BF">
        <w:t>s eraldatud</w:t>
      </w:r>
      <w:r w:rsidR="008C40AD">
        <w:t xml:space="preserve"> kliendiliin</w:t>
      </w:r>
      <w:r w:rsidR="00AA61BA">
        <w:t>idele</w:t>
      </w:r>
      <w:r w:rsidR="008C40AD">
        <w:t xml:space="preserve"> </w:t>
      </w:r>
      <w:r w:rsidR="000D54BF">
        <w:t>ja lairibaühendus</w:t>
      </w:r>
      <w:r w:rsidR="00AA61BA">
        <w:t>tele</w:t>
      </w:r>
      <w:r w:rsidR="00EC30FD" w:rsidRPr="00965714">
        <w:t xml:space="preserve">. </w:t>
      </w:r>
      <w:r w:rsidR="00EC30FD">
        <w:t xml:space="preserve"> </w:t>
      </w:r>
    </w:p>
    <w:p w14:paraId="76481E78" w14:textId="785F866D" w:rsidR="00EC30FD" w:rsidRDefault="00E570AC" w:rsidP="00AA241E">
      <w:pPr>
        <w:jc w:val="both"/>
      </w:pPr>
      <w:r w:rsidRPr="006E317E">
        <w:t xml:space="preserve">EK 2020 turgude soovituse kohaselt peaksid riikide reguleerivad asutused hulgiturgude valdkonnaspetsiifilise regulatsiooni analüüse alustama </w:t>
      </w:r>
      <w:r>
        <w:t>asjao</w:t>
      </w:r>
      <w:r w:rsidR="00706C18">
        <w:t>maste</w:t>
      </w:r>
      <w:r>
        <w:t xml:space="preserve"> </w:t>
      </w:r>
      <w:r w:rsidRPr="006E317E">
        <w:t>jaeturgude analüüsist.</w:t>
      </w:r>
      <w:r w:rsidR="00AA61BA">
        <w:t xml:space="preserve"> </w:t>
      </w:r>
      <w:r w:rsidR="00546A8E">
        <w:t>Hulgiturg</w:t>
      </w:r>
      <w:r w:rsidR="00706C18">
        <w:t>u</w:t>
      </w:r>
      <w:r w:rsidR="00EC30FD" w:rsidRPr="00965714">
        <w:t xml:space="preserve"> 1 ja 3b tule</w:t>
      </w:r>
      <w:r w:rsidR="00AA61BA">
        <w:t>ks</w:t>
      </w:r>
      <w:r w:rsidR="00EC30FD" w:rsidRPr="00965714">
        <w:t xml:space="preserve"> reguleerida ainult juhul, kui </w:t>
      </w:r>
      <w:r w:rsidR="007F4D8F">
        <w:t xml:space="preserve">neile vertikaalselt järgnevatel </w:t>
      </w:r>
      <w:r w:rsidR="00EC30FD" w:rsidRPr="00965714">
        <w:t>asjaomas</w:t>
      </w:r>
      <w:r w:rsidR="002D10CD">
        <w:t>t</w:t>
      </w:r>
      <w:r w:rsidR="00EC30FD" w:rsidRPr="00965714">
        <w:t>el jaetur</w:t>
      </w:r>
      <w:r w:rsidR="002D10CD">
        <w:t>g</w:t>
      </w:r>
      <w:r w:rsidR="00EC30FD" w:rsidRPr="00965714">
        <w:t>u</w:t>
      </w:r>
      <w:r w:rsidR="002D10CD">
        <w:t>de</w:t>
      </w:r>
      <w:r w:rsidR="00EC30FD" w:rsidRPr="00965714">
        <w:t xml:space="preserve">l puudub tõhus konkurents. Kui </w:t>
      </w:r>
      <w:r w:rsidR="00EC30FD">
        <w:t>TTJA</w:t>
      </w:r>
      <w:r w:rsidR="00EC30FD" w:rsidRPr="00965714">
        <w:t xml:space="preserve"> </w:t>
      </w:r>
      <w:r w:rsidR="00EC30FD">
        <w:t>tuvastab</w:t>
      </w:r>
      <w:r w:rsidR="00EC30FD" w:rsidRPr="00965714">
        <w:t>, et asjaomas</w:t>
      </w:r>
      <w:r w:rsidR="002D10CD">
        <w:t>t</w:t>
      </w:r>
      <w:r w:rsidR="00EC30FD" w:rsidRPr="00965714">
        <w:t>el jaetur</w:t>
      </w:r>
      <w:r w:rsidR="002D10CD">
        <w:t>g</w:t>
      </w:r>
      <w:r w:rsidR="00EC30FD" w:rsidRPr="00965714">
        <w:t>u</w:t>
      </w:r>
      <w:r w:rsidR="002D10CD">
        <w:t>de</w:t>
      </w:r>
      <w:r w:rsidR="00EC30FD" w:rsidRPr="00965714">
        <w:t xml:space="preserve">l on tõhus konkurents, ei </w:t>
      </w:r>
      <w:r w:rsidR="00435C95">
        <w:t>ole hulgiturgudel valdkonnaspetsiifilise regulatsiooni rakendamine põhjendatud</w:t>
      </w:r>
      <w:r w:rsidR="006627C3">
        <w:t xml:space="preserve"> ja MTE-t ei määrata ning MTE-</w:t>
      </w:r>
      <w:proofErr w:type="spellStart"/>
      <w:r w:rsidR="006627C3">
        <w:t>le</w:t>
      </w:r>
      <w:proofErr w:type="spellEnd"/>
      <w:r w:rsidR="006627C3">
        <w:t xml:space="preserve"> kohustusi ei kehtestata ning </w:t>
      </w:r>
      <w:r w:rsidR="00EC30FD" w:rsidRPr="00965714">
        <w:t xml:space="preserve">varem </w:t>
      </w:r>
      <w:r w:rsidR="00A20DC1">
        <w:t>MTE</w:t>
      </w:r>
      <w:r w:rsidR="00D744CF">
        <w:t xml:space="preserve">-ks määratud </w:t>
      </w:r>
      <w:r w:rsidR="00AC4341">
        <w:t>sideettevõtjad vabastatakse MTE staatusest ning vastavad MTE kohustused tühistatakse</w:t>
      </w:r>
      <w:r w:rsidR="00EC30FD">
        <w:t>.</w:t>
      </w:r>
      <w:r w:rsidR="00EC30FD" w:rsidRPr="00965714">
        <w:t xml:space="preserve"> </w:t>
      </w:r>
    </w:p>
    <w:p w14:paraId="47C5DF53" w14:textId="054B0D70" w:rsidR="00EC30FD" w:rsidRDefault="00EC30FD" w:rsidP="00AA241E">
      <w:pPr>
        <w:jc w:val="both"/>
      </w:pPr>
      <w:r w:rsidRPr="00072A34">
        <w:t xml:space="preserve">Käesolevas </w:t>
      </w:r>
      <w:r w:rsidR="008C061E">
        <w:t>otsuses</w:t>
      </w:r>
      <w:r w:rsidRPr="00072A34">
        <w:t xml:space="preserve"> on </w:t>
      </w:r>
      <w:r>
        <w:t>TTJA</w:t>
      </w:r>
      <w:r w:rsidRPr="00072A34">
        <w:t xml:space="preserve"> piiritlenud</w:t>
      </w:r>
      <w:r>
        <w:t xml:space="preserve"> </w:t>
      </w:r>
      <w:r w:rsidR="00EC12FE">
        <w:t>hulgiturgudele 1 ja 3b</w:t>
      </w:r>
      <w:r>
        <w:t xml:space="preserve"> järgneva</w:t>
      </w:r>
      <w:r w:rsidR="000C092C">
        <w:t>d</w:t>
      </w:r>
      <w:r w:rsidR="00797259">
        <w:t xml:space="preserve"> asjaomase</w:t>
      </w:r>
      <w:r w:rsidR="000C092C">
        <w:t>d</w:t>
      </w:r>
      <w:r>
        <w:t xml:space="preserve"> jaeturud</w:t>
      </w:r>
      <w:r w:rsidR="004C4F2A">
        <w:t xml:space="preserve"> </w:t>
      </w:r>
      <w:r w:rsidR="00797259">
        <w:t>järgmiselt</w:t>
      </w:r>
      <w:r w:rsidR="002C39BE">
        <w:t xml:space="preserve">, vt ka </w:t>
      </w:r>
      <w:r w:rsidR="008C159A">
        <w:t xml:space="preserve">ptk. </w:t>
      </w:r>
      <w:r w:rsidR="00262D89">
        <w:t>2</w:t>
      </w:r>
      <w:r w:rsidR="002C39BE">
        <w:t>.</w:t>
      </w:r>
      <w:r w:rsidR="00262D89">
        <w:t>4</w:t>
      </w:r>
      <w:r w:rsidR="00F673D1">
        <w:t>:</w:t>
      </w:r>
    </w:p>
    <w:p w14:paraId="09E7AAAD" w14:textId="05F23B5B" w:rsidR="000C092C" w:rsidRPr="00357C45" w:rsidRDefault="000C092C" w:rsidP="00AA241E">
      <w:pPr>
        <w:ind w:left="720"/>
        <w:jc w:val="both"/>
      </w:pPr>
      <w:r w:rsidRPr="00FC26CE">
        <w:rPr>
          <w:b/>
          <w:bCs/>
        </w:rPr>
        <w:t xml:space="preserve">1) </w:t>
      </w:r>
      <w:r w:rsidR="00183BEB">
        <w:rPr>
          <w:b/>
          <w:bCs/>
        </w:rPr>
        <w:t>Vaskkaabli</w:t>
      </w:r>
      <w:r w:rsidRPr="00FC26CE">
        <w:rPr>
          <w:b/>
          <w:bCs/>
        </w:rPr>
        <w:t xml:space="preserve">- ja </w:t>
      </w:r>
      <w:r w:rsidR="00183BEB">
        <w:rPr>
          <w:b/>
          <w:bCs/>
        </w:rPr>
        <w:t>mobiilsidevõr</w:t>
      </w:r>
      <w:r w:rsidRPr="00FC26CE">
        <w:rPr>
          <w:b/>
          <w:bCs/>
        </w:rPr>
        <w:t>gu internetiühenduste üleriigiline jaeturg</w:t>
      </w:r>
      <w:r>
        <w:rPr>
          <w:b/>
          <w:bCs/>
        </w:rPr>
        <w:t xml:space="preserve"> - </w:t>
      </w:r>
      <w:r w:rsidRPr="00357C45">
        <w:t xml:space="preserve">siia kuuluvad standardsed püsiasukohas tarbimiseks suunatud piiramatu mahuga internetiühendused </w:t>
      </w:r>
      <w:proofErr w:type="spellStart"/>
      <w:r w:rsidRPr="00357C45">
        <w:t>ADSLx</w:t>
      </w:r>
      <w:proofErr w:type="spellEnd"/>
      <w:r w:rsidRPr="00357C45">
        <w:t xml:space="preserve">, </w:t>
      </w:r>
      <w:proofErr w:type="spellStart"/>
      <w:r w:rsidRPr="00357C45">
        <w:t>VDSLx</w:t>
      </w:r>
      <w:proofErr w:type="spellEnd"/>
      <w:r w:rsidRPr="00357C45">
        <w:t xml:space="preserve"> sh </w:t>
      </w:r>
      <w:proofErr w:type="spellStart"/>
      <w:r w:rsidRPr="005E3B03">
        <w:rPr>
          <w:i/>
          <w:iCs/>
        </w:rPr>
        <w:t>vectoring</w:t>
      </w:r>
      <w:proofErr w:type="spellEnd"/>
      <w:r w:rsidRPr="00357C45">
        <w:t xml:space="preserve"> (sh Vplus35b) </w:t>
      </w:r>
      <w:r w:rsidR="00532579">
        <w:t>vaskpaar</w:t>
      </w:r>
      <w:r w:rsidRPr="00357C45">
        <w:t>võrgu baasil, DOCSIS 3.0 koaksiaalkaablivõrgu baasil ja 4G ja 5G mobiilsidevõrgu baasil ning turu geograafiline ulatus on üleriigiline;</w:t>
      </w:r>
    </w:p>
    <w:p w14:paraId="178B6AF1" w14:textId="518DDE3B" w:rsidR="000C092C" w:rsidRPr="00FC26CE" w:rsidRDefault="000C092C" w:rsidP="00AA241E">
      <w:pPr>
        <w:ind w:left="720"/>
        <w:jc w:val="both"/>
        <w:rPr>
          <w:b/>
          <w:bCs/>
        </w:rPr>
      </w:pPr>
      <w:r w:rsidRPr="00FC26CE">
        <w:rPr>
          <w:b/>
          <w:bCs/>
        </w:rPr>
        <w:lastRenderedPageBreak/>
        <w:t>2) Valguskaabelvõrgu internetiühenduste A piirkonna jaeturg</w:t>
      </w:r>
      <w:r w:rsidR="00357C45">
        <w:rPr>
          <w:b/>
          <w:bCs/>
        </w:rPr>
        <w:t xml:space="preserve"> – </w:t>
      </w:r>
      <w:r w:rsidR="00357C45" w:rsidRPr="00357C45">
        <w:t>siia kuuluvad</w:t>
      </w:r>
      <w:r w:rsidR="00357C45">
        <w:rPr>
          <w:b/>
          <w:bCs/>
        </w:rPr>
        <w:t xml:space="preserve"> </w:t>
      </w:r>
      <w:r w:rsidR="00357C45" w:rsidRPr="006E317E">
        <w:t xml:space="preserve">standardsed püsiasukohas tarbimiseks suunatud piiramatu mahuga internetiühendused FTTB/FTTH </w:t>
      </w:r>
      <w:r w:rsidR="00357C45">
        <w:t>valguskaabelvõrgu</w:t>
      </w:r>
      <w:r w:rsidR="00357C45" w:rsidRPr="006E317E">
        <w:t xml:space="preserve"> baasil</w:t>
      </w:r>
      <w:r w:rsidR="00B010CA">
        <w:rPr>
          <w:b/>
          <w:bCs/>
        </w:rPr>
        <w:t xml:space="preserve"> </w:t>
      </w:r>
      <w:r w:rsidR="00B010CA" w:rsidRPr="00725220">
        <w:t xml:space="preserve">ning turu geograafiline ulatus </w:t>
      </w:r>
      <w:r w:rsidR="00C51084" w:rsidRPr="00725220">
        <w:t>koosneb</w:t>
      </w:r>
      <w:r w:rsidR="003960CE" w:rsidRPr="00725220">
        <w:t xml:space="preserve"> 10</w:t>
      </w:r>
      <w:r w:rsidR="00C51084" w:rsidRPr="00725220">
        <w:t>-st</w:t>
      </w:r>
      <w:r w:rsidR="003960CE" w:rsidRPr="00725220">
        <w:t xml:space="preserve"> kõrgema konk</w:t>
      </w:r>
      <w:r w:rsidR="00C51084" w:rsidRPr="00725220">
        <w:t xml:space="preserve">urentsiga </w:t>
      </w:r>
      <w:r w:rsidR="005D489E" w:rsidRPr="00725220">
        <w:t>geograafilisest üksusest</w:t>
      </w:r>
      <w:r w:rsidR="00725220" w:rsidRPr="00725220">
        <w:t>;</w:t>
      </w:r>
    </w:p>
    <w:p w14:paraId="5A926CF3" w14:textId="199045EC" w:rsidR="000C092C" w:rsidRPr="00FC26CE" w:rsidRDefault="000C092C" w:rsidP="00AA241E">
      <w:pPr>
        <w:ind w:left="720"/>
        <w:jc w:val="both"/>
        <w:rPr>
          <w:b/>
          <w:bCs/>
        </w:rPr>
      </w:pPr>
      <w:r w:rsidRPr="00FC26CE">
        <w:rPr>
          <w:b/>
          <w:bCs/>
        </w:rPr>
        <w:t>3) Valguskaabelvõrgu internetiühenduste B piirkonna jaeturg</w:t>
      </w:r>
      <w:r w:rsidR="00725220">
        <w:rPr>
          <w:b/>
          <w:bCs/>
        </w:rPr>
        <w:t xml:space="preserve"> - </w:t>
      </w:r>
      <w:r w:rsidR="00725220" w:rsidRPr="00357C45">
        <w:t>siia kuuluvad</w:t>
      </w:r>
      <w:r w:rsidR="00725220">
        <w:rPr>
          <w:b/>
          <w:bCs/>
        </w:rPr>
        <w:t xml:space="preserve"> </w:t>
      </w:r>
      <w:r w:rsidR="00725220" w:rsidRPr="006E317E">
        <w:t xml:space="preserve">standardsed püsiasukohas tarbimiseks suunatud piiramatu mahuga internetiühendused FTTB/FTTH </w:t>
      </w:r>
      <w:r w:rsidR="00725220">
        <w:t>valguskaabelvõrgu</w:t>
      </w:r>
      <w:r w:rsidR="00725220" w:rsidRPr="006E317E">
        <w:t xml:space="preserve"> baasil</w:t>
      </w:r>
      <w:r w:rsidR="00725220">
        <w:rPr>
          <w:b/>
          <w:bCs/>
        </w:rPr>
        <w:t xml:space="preserve"> </w:t>
      </w:r>
      <w:r w:rsidR="00725220" w:rsidRPr="00725220">
        <w:t xml:space="preserve">ning turu geograafiline ulatus koosneb </w:t>
      </w:r>
      <w:r w:rsidR="00D95532">
        <w:t>ülejäänud</w:t>
      </w:r>
      <w:r w:rsidR="007B3E40">
        <w:t xml:space="preserve"> Eesti maismaa territooriumist</w:t>
      </w:r>
      <w:r w:rsidR="00605892" w:rsidRPr="00605892">
        <w:t xml:space="preserve">, mis ei ole liigitatud A piirkonda, kokku 38 </w:t>
      </w:r>
      <w:r w:rsidR="007B3E40">
        <w:t>madalama konkurentsiga</w:t>
      </w:r>
      <w:r w:rsidR="00605892" w:rsidRPr="00605892">
        <w:t xml:space="preserve"> geograafilist üksust</w:t>
      </w:r>
      <w:r>
        <w:t>.</w:t>
      </w:r>
    </w:p>
    <w:p w14:paraId="42179779" w14:textId="568EC557" w:rsidR="00EC30FD" w:rsidRDefault="00DD09DE" w:rsidP="00AA241E">
      <w:pPr>
        <w:jc w:val="both"/>
      </w:pPr>
      <w:r>
        <w:t>Eeltoodud</w:t>
      </w:r>
      <w:r w:rsidR="00EC30FD">
        <w:t xml:space="preserve"> </w:t>
      </w:r>
      <w:r>
        <w:t>jaeturgude</w:t>
      </w:r>
      <w:r w:rsidR="00647BA3">
        <w:t>le kaasatud</w:t>
      </w:r>
      <w:r w:rsidR="00EC30FD">
        <w:t xml:space="preserve"> sidevõrgu tehnoloogiate alusel on võimalik pakkuda enamus hulgituru 1 tooteid (kohalikul tasandil sidevõrgu kliendiliinide füüsilist ja virtuaalset eraldamist) ja hulgituru 3b tooteid (kesksel tasandil sidevõrgu internetiühenduste virtuaalset eraldamist, bitivoo eraldamist).  Erandiks on koaksiaalkaabelvõrk ja </w:t>
      </w:r>
      <w:proofErr w:type="spellStart"/>
      <w:r w:rsidR="00EC30FD" w:rsidRPr="00982C88">
        <w:rPr>
          <w:i/>
          <w:iCs/>
        </w:rPr>
        <w:t>vectoring</w:t>
      </w:r>
      <w:proofErr w:type="spellEnd"/>
      <w:r w:rsidR="00EC30FD">
        <w:t xml:space="preserve">-tehnoloogiat kasutav </w:t>
      </w:r>
      <w:r w:rsidR="00AD1150">
        <w:t>vaskpaar</w:t>
      </w:r>
      <w:r w:rsidR="00EC30FD">
        <w:t>võrk ning 4G ja 5G mobiilsidevõrk, mis ei võimalda pakkuda kliendiliini füüsilist eraldamist hulgiturul 1, kuid suudavad pakkuda klientide internetiühenduste virtuaalset eraldamist.</w:t>
      </w:r>
    </w:p>
    <w:p w14:paraId="231D0513" w14:textId="1E4515C0" w:rsidR="00EC30FD" w:rsidRDefault="00EC30FD" w:rsidP="00AA241E">
      <w:pPr>
        <w:jc w:val="both"/>
      </w:pPr>
      <w:r>
        <w:t xml:space="preserve">Jaeturgude </w:t>
      </w:r>
      <w:r w:rsidR="009F68F8">
        <w:t xml:space="preserve">ja neile eelnevate asjaomaste hulgiturgude 1 ja 3b </w:t>
      </w:r>
      <w:r>
        <w:t>konkurentsi</w:t>
      </w:r>
      <w:r w:rsidR="001E7ABB">
        <w:t xml:space="preserve"> </w:t>
      </w:r>
      <w:r>
        <w:t>analüüsi tulemusel leidis TTJA:</w:t>
      </w:r>
    </w:p>
    <w:p w14:paraId="2B587C1A" w14:textId="58B09E12" w:rsidR="00EC30FD" w:rsidRDefault="00183BEB" w:rsidP="00AA241E">
      <w:pPr>
        <w:pStyle w:val="Loendilik"/>
        <w:numPr>
          <w:ilvl w:val="0"/>
          <w:numId w:val="105"/>
        </w:numPr>
        <w:spacing w:line="259" w:lineRule="auto"/>
        <w:jc w:val="both"/>
      </w:pPr>
      <w:r>
        <w:rPr>
          <w:b/>
          <w:bCs/>
        </w:rPr>
        <w:t>Vaskkaabli</w:t>
      </w:r>
      <w:r w:rsidR="00EC30FD" w:rsidRPr="00EE5E60">
        <w:rPr>
          <w:b/>
          <w:bCs/>
        </w:rPr>
        <w:t xml:space="preserve">- ja </w:t>
      </w:r>
      <w:r>
        <w:rPr>
          <w:b/>
          <w:bCs/>
        </w:rPr>
        <w:t>mobiilsidevõr</w:t>
      </w:r>
      <w:r w:rsidR="00EC30FD" w:rsidRPr="00EE5E60">
        <w:rPr>
          <w:b/>
          <w:bCs/>
        </w:rPr>
        <w:t>gu internetiühenduste üleriigilisel jaeturul</w:t>
      </w:r>
      <w:r w:rsidR="00EC30FD">
        <w:t xml:space="preserve"> </w:t>
      </w:r>
      <w:r w:rsidR="00EC30FD" w:rsidRPr="00AD2DC7">
        <w:rPr>
          <w:b/>
        </w:rPr>
        <w:t>eksisteerib</w:t>
      </w:r>
      <w:r w:rsidR="00EC30FD" w:rsidRPr="006E317E">
        <w:t xml:space="preserve"> </w:t>
      </w:r>
      <w:r w:rsidR="00EC30FD" w:rsidRPr="00EE5E60">
        <w:rPr>
          <w:b/>
          <w:bCs/>
        </w:rPr>
        <w:t>tõhus konkurents</w:t>
      </w:r>
      <w:r w:rsidR="00EC30FD" w:rsidRPr="006E317E">
        <w:t xml:space="preserve">. Seetõttu on </w:t>
      </w:r>
      <w:r w:rsidR="00AA3E58">
        <w:t>põhjendatud</w:t>
      </w:r>
      <w:r w:rsidR="00EC30FD" w:rsidRPr="006E317E">
        <w:t xml:space="preserve"> </w:t>
      </w:r>
      <w:r w:rsidR="007E609D">
        <w:t>nimetatud</w:t>
      </w:r>
      <w:r w:rsidR="00EC30FD" w:rsidRPr="006E317E">
        <w:t xml:space="preserve"> jaeturule </w:t>
      </w:r>
      <w:r w:rsidR="00EC30FD" w:rsidRPr="0040093F">
        <w:t>eelnevatel</w:t>
      </w:r>
      <w:r w:rsidR="00EC30FD" w:rsidRPr="006E317E">
        <w:t xml:space="preserve"> </w:t>
      </w:r>
      <w:r w:rsidR="00AD2DC7" w:rsidRPr="0040093F">
        <w:t>asjaomastel</w:t>
      </w:r>
      <w:r w:rsidR="00EC30FD" w:rsidRPr="00B73E89">
        <w:rPr>
          <w:b/>
          <w:bCs/>
        </w:rPr>
        <w:t xml:space="preserve"> </w:t>
      </w:r>
      <w:r>
        <w:rPr>
          <w:b/>
          <w:bCs/>
        </w:rPr>
        <w:t>vaskkaabli</w:t>
      </w:r>
      <w:r w:rsidR="00B66971">
        <w:rPr>
          <w:b/>
          <w:bCs/>
        </w:rPr>
        <w:t xml:space="preserve">- ja </w:t>
      </w:r>
      <w:r>
        <w:rPr>
          <w:b/>
          <w:bCs/>
        </w:rPr>
        <w:t>mobiilsidevõr</w:t>
      </w:r>
      <w:r w:rsidR="009A5CF2">
        <w:rPr>
          <w:b/>
          <w:bCs/>
        </w:rPr>
        <w:t xml:space="preserve">gu </w:t>
      </w:r>
      <w:r w:rsidR="00956FC5">
        <w:rPr>
          <w:b/>
          <w:bCs/>
        </w:rPr>
        <w:t>hulgitur</w:t>
      </w:r>
      <w:r w:rsidR="00276717">
        <w:rPr>
          <w:b/>
          <w:bCs/>
        </w:rPr>
        <w:t xml:space="preserve">gudel </w:t>
      </w:r>
      <w:r w:rsidR="00EC30FD" w:rsidRPr="00B73E89">
        <w:rPr>
          <w:b/>
          <w:bCs/>
        </w:rPr>
        <w:t>1 ja 3b</w:t>
      </w:r>
      <w:r w:rsidR="00EC30FD" w:rsidRPr="006E317E">
        <w:t xml:space="preserve"> </w:t>
      </w:r>
      <w:r w:rsidR="001654CA">
        <w:t xml:space="preserve">lõpetada valdkonnaspetsiifiline </w:t>
      </w:r>
      <w:r w:rsidR="00321110">
        <w:t>reguleerimine ja MTE-t ei määrata ning MTE-</w:t>
      </w:r>
      <w:proofErr w:type="spellStart"/>
      <w:r w:rsidR="00321110">
        <w:t>le</w:t>
      </w:r>
      <w:proofErr w:type="spellEnd"/>
      <w:r w:rsidR="00321110">
        <w:t xml:space="preserve"> kohustusi ei kehtestata ning </w:t>
      </w:r>
      <w:r w:rsidR="00321110" w:rsidRPr="00965714">
        <w:t xml:space="preserve">varem </w:t>
      </w:r>
      <w:r w:rsidR="00321110">
        <w:t xml:space="preserve">MTE-ks määratud </w:t>
      </w:r>
      <w:r w:rsidR="00AA3E58">
        <w:t>Telia</w:t>
      </w:r>
      <w:r w:rsidR="00321110">
        <w:t xml:space="preserve"> vabastatakse MTE staatusest ning vastavad </w:t>
      </w:r>
      <w:r w:rsidR="00AA3E58">
        <w:t>Telia</w:t>
      </w:r>
      <w:r w:rsidR="00321110">
        <w:t xml:space="preserve"> kohustused tühistatakse</w:t>
      </w:r>
      <w:r w:rsidR="00AA3E58">
        <w:t xml:space="preserve">, vt </w:t>
      </w:r>
      <w:r w:rsidR="008C159A">
        <w:t xml:space="preserve">ptk. </w:t>
      </w:r>
      <w:r w:rsidR="00262D89">
        <w:t>5</w:t>
      </w:r>
      <w:r w:rsidR="00A353FA">
        <w:t>.1.1</w:t>
      </w:r>
      <w:r w:rsidR="001B19B7">
        <w:t xml:space="preserve">.8 ja </w:t>
      </w:r>
      <w:r w:rsidR="00262D89">
        <w:t>6</w:t>
      </w:r>
      <w:r w:rsidR="000053CC">
        <w:t>.1.1</w:t>
      </w:r>
      <w:r w:rsidR="006D3948">
        <w:t>.</w:t>
      </w:r>
      <w:r w:rsidR="000053CC">
        <w:t>8</w:t>
      </w:r>
      <w:r w:rsidR="00EC30FD" w:rsidRPr="006E317E">
        <w:t>.</w:t>
      </w:r>
    </w:p>
    <w:p w14:paraId="7C9DAEE2" w14:textId="62F681D8" w:rsidR="00EC30FD" w:rsidRDefault="006D3948" w:rsidP="00AA241E">
      <w:pPr>
        <w:pStyle w:val="Loendilik"/>
        <w:numPr>
          <w:ilvl w:val="0"/>
          <w:numId w:val="105"/>
        </w:numPr>
        <w:spacing w:line="259" w:lineRule="auto"/>
        <w:jc w:val="both"/>
      </w:pPr>
      <w:r>
        <w:rPr>
          <w:b/>
          <w:bCs/>
        </w:rPr>
        <w:t>V</w:t>
      </w:r>
      <w:r w:rsidR="00EC30FD" w:rsidRPr="00EE5E60">
        <w:rPr>
          <w:b/>
          <w:bCs/>
        </w:rPr>
        <w:t>alguskaabelvõrgu internetiühenduste A piirkonna jaeturul</w:t>
      </w:r>
      <w:r w:rsidR="00EC30FD" w:rsidRPr="006E317E">
        <w:t xml:space="preserve"> </w:t>
      </w:r>
      <w:r w:rsidR="00EC30FD" w:rsidRPr="006D3948">
        <w:rPr>
          <w:b/>
          <w:bCs/>
        </w:rPr>
        <w:t>eksisteerib</w:t>
      </w:r>
      <w:r w:rsidR="00EC30FD">
        <w:t xml:space="preserve"> </w:t>
      </w:r>
      <w:r w:rsidR="00EC30FD" w:rsidRPr="00EE5E60">
        <w:rPr>
          <w:b/>
          <w:bCs/>
        </w:rPr>
        <w:t>tõhus konkurents.</w:t>
      </w:r>
      <w:r w:rsidR="00EC30FD" w:rsidRPr="006E317E">
        <w:t xml:space="preserve"> Seetõttu on </w:t>
      </w:r>
      <w:r>
        <w:t>põhjendatud</w:t>
      </w:r>
      <w:r w:rsidR="00EC30FD" w:rsidRPr="006E317E">
        <w:t xml:space="preserve"> </w:t>
      </w:r>
      <w:r w:rsidR="007E609D">
        <w:t>nimetatud</w:t>
      </w:r>
      <w:r w:rsidR="00EC30FD" w:rsidRPr="006E317E">
        <w:t xml:space="preserve"> jaeturule </w:t>
      </w:r>
      <w:r w:rsidR="00EC30FD" w:rsidRPr="0040093F">
        <w:t xml:space="preserve">eelnevatel </w:t>
      </w:r>
      <w:r w:rsidR="00B73E89" w:rsidRPr="0040093F">
        <w:t>asjaomastel</w:t>
      </w:r>
      <w:r w:rsidR="00EC30FD" w:rsidRPr="006E317E">
        <w:t xml:space="preserve"> </w:t>
      </w:r>
      <w:r w:rsidR="007E609D" w:rsidRPr="0076542C">
        <w:rPr>
          <w:b/>
        </w:rPr>
        <w:t xml:space="preserve">valguskaablivõrgu </w:t>
      </w:r>
      <w:r w:rsidR="0076542C" w:rsidRPr="0076542C">
        <w:rPr>
          <w:b/>
          <w:bCs/>
        </w:rPr>
        <w:t>A piirkonna</w:t>
      </w:r>
      <w:r w:rsidR="0076542C">
        <w:t xml:space="preserve"> </w:t>
      </w:r>
      <w:r w:rsidR="00EC30FD" w:rsidRPr="00B73E89">
        <w:rPr>
          <w:b/>
          <w:bCs/>
        </w:rPr>
        <w:t>hulgiturgudel 1 ja 3b</w:t>
      </w:r>
      <w:r w:rsidR="00EC30FD" w:rsidRPr="006E317E">
        <w:t xml:space="preserve"> </w:t>
      </w:r>
      <w:r w:rsidR="00B73E89">
        <w:t>lõpetada valdkonnaspetsiifiline reguleerimine ja MTE-t ei määrata ning MTE-</w:t>
      </w:r>
      <w:proofErr w:type="spellStart"/>
      <w:r w:rsidR="00B73E89">
        <w:t>le</w:t>
      </w:r>
      <w:proofErr w:type="spellEnd"/>
      <w:r w:rsidR="00B73E89">
        <w:t xml:space="preserve"> kohustusi ei kehtestata ning </w:t>
      </w:r>
      <w:r w:rsidR="00B73E89" w:rsidRPr="00965714">
        <w:t xml:space="preserve">varem </w:t>
      </w:r>
      <w:r w:rsidR="00B73E89">
        <w:t xml:space="preserve">MTE-ks määratud Telia vabastatakse MTE staatusest ning vastavad Telia kohustused tühistatakse, vt </w:t>
      </w:r>
      <w:r w:rsidR="008C159A">
        <w:t xml:space="preserve">ptk. </w:t>
      </w:r>
      <w:r w:rsidR="00262D89">
        <w:t>5</w:t>
      </w:r>
      <w:r w:rsidR="00B73E89">
        <w:t>.1.</w:t>
      </w:r>
      <w:r w:rsidR="0022514F">
        <w:t>2</w:t>
      </w:r>
      <w:r w:rsidR="00B73E89">
        <w:t xml:space="preserve">.8 ja </w:t>
      </w:r>
      <w:r w:rsidR="00262D89">
        <w:t>6</w:t>
      </w:r>
      <w:r w:rsidR="00B73E89">
        <w:t>.1.</w:t>
      </w:r>
      <w:r w:rsidR="0022514F">
        <w:t>2</w:t>
      </w:r>
      <w:r w:rsidR="00B73E89">
        <w:t>.8</w:t>
      </w:r>
      <w:r w:rsidR="00EC30FD" w:rsidRPr="006E317E">
        <w:t xml:space="preserve">. </w:t>
      </w:r>
    </w:p>
    <w:p w14:paraId="484B1235" w14:textId="22DA4FA3" w:rsidR="00EC30FD" w:rsidRPr="006E317E" w:rsidRDefault="008C02B3" w:rsidP="00AA241E">
      <w:pPr>
        <w:pStyle w:val="Loendilik"/>
        <w:numPr>
          <w:ilvl w:val="0"/>
          <w:numId w:val="105"/>
        </w:numPr>
        <w:spacing w:line="259" w:lineRule="auto"/>
        <w:jc w:val="both"/>
      </w:pPr>
      <w:r>
        <w:rPr>
          <w:b/>
          <w:bCs/>
        </w:rPr>
        <w:t>V</w:t>
      </w:r>
      <w:r w:rsidR="00EC30FD" w:rsidRPr="00EE5E60">
        <w:rPr>
          <w:b/>
          <w:bCs/>
        </w:rPr>
        <w:t>alguskaabelvõrgu internetiühenduste B piirkonna jaeturul ei eksisteeri tõhus konkurents.</w:t>
      </w:r>
      <w:r w:rsidR="00EC30FD" w:rsidRPr="006E317E">
        <w:t xml:space="preserve"> Seetõttu </w:t>
      </w:r>
      <w:r w:rsidR="00EC30FD">
        <w:t>viis TTJA läbi</w:t>
      </w:r>
      <w:r w:rsidR="00EC30FD" w:rsidRPr="006E317E">
        <w:t xml:space="preserve"> </w:t>
      </w:r>
      <w:r w:rsidR="0040093F">
        <w:t>nimetatud</w:t>
      </w:r>
      <w:r w:rsidR="00EC30FD" w:rsidRPr="006E317E">
        <w:t xml:space="preserve"> jaeturule eelnevatel </w:t>
      </w:r>
      <w:r w:rsidR="0040093F">
        <w:t>asjaomastel</w:t>
      </w:r>
      <w:r w:rsidR="00EC30FD" w:rsidRPr="006E317E">
        <w:t xml:space="preserve"> </w:t>
      </w:r>
      <w:r w:rsidR="0040093F" w:rsidRPr="0040093F">
        <w:rPr>
          <w:b/>
          <w:bCs/>
        </w:rPr>
        <w:t xml:space="preserve">valguskaablivõrgu B piirkonna </w:t>
      </w:r>
      <w:r w:rsidR="00EC30FD" w:rsidRPr="0040093F">
        <w:rPr>
          <w:b/>
        </w:rPr>
        <w:t>hulgiturgudel 1 ja 3b</w:t>
      </w:r>
      <w:r w:rsidR="00EC30FD" w:rsidRPr="006E317E">
        <w:t xml:space="preserve"> konkurentsi analüüsi </w:t>
      </w:r>
      <w:r w:rsidR="00DC4F06">
        <w:t>(sh kolme kriteeriumi testi)</w:t>
      </w:r>
      <w:r w:rsidR="001E7ABB">
        <w:t xml:space="preserve">, vt </w:t>
      </w:r>
      <w:r w:rsidR="008C159A">
        <w:t xml:space="preserve">ptk. </w:t>
      </w:r>
      <w:r w:rsidR="00262D89">
        <w:t>5</w:t>
      </w:r>
      <w:r w:rsidR="00F66D78">
        <w:t xml:space="preserve">.2 ja </w:t>
      </w:r>
      <w:r w:rsidR="00262D89">
        <w:t>6</w:t>
      </w:r>
      <w:r w:rsidR="00F66D78">
        <w:t>.2,</w:t>
      </w:r>
      <w:r w:rsidR="003164F3">
        <w:t xml:space="preserve"> ning leidis </w:t>
      </w:r>
      <w:r w:rsidR="00EC30FD" w:rsidRPr="006E317E">
        <w:t xml:space="preserve"> järgmis</w:t>
      </w:r>
      <w:r w:rsidR="003164F3">
        <w:t>t</w:t>
      </w:r>
      <w:r w:rsidR="00EC30FD" w:rsidRPr="006E317E">
        <w:t>:</w:t>
      </w:r>
    </w:p>
    <w:p w14:paraId="561550FE" w14:textId="7FCE254F" w:rsidR="00FA4747" w:rsidRDefault="00EC30FD" w:rsidP="00AA241E">
      <w:pPr>
        <w:ind w:left="1440"/>
        <w:jc w:val="both"/>
        <w:rPr>
          <w:b/>
          <w:bCs/>
        </w:rPr>
      </w:pPr>
      <w:r w:rsidRPr="00DC4F06">
        <w:rPr>
          <w:b/>
          <w:bCs/>
        </w:rPr>
        <w:t>1</w:t>
      </w:r>
      <w:r w:rsidR="00DC4F06" w:rsidRPr="00DC4F06">
        <w:rPr>
          <w:b/>
          <w:bCs/>
        </w:rPr>
        <w:t>) V</w:t>
      </w:r>
      <w:r w:rsidR="00456F3B" w:rsidRPr="00DC4F06">
        <w:rPr>
          <w:b/>
          <w:bCs/>
        </w:rPr>
        <w:t>alguskaabelvõrgu</w:t>
      </w:r>
      <w:r w:rsidR="00456F3B">
        <w:rPr>
          <w:b/>
          <w:bCs/>
        </w:rPr>
        <w:t xml:space="preserve"> </w:t>
      </w:r>
      <w:r w:rsidR="00DC4F06">
        <w:rPr>
          <w:b/>
          <w:bCs/>
        </w:rPr>
        <w:t>B piirkonna</w:t>
      </w:r>
      <w:r w:rsidR="002928C4">
        <w:rPr>
          <w:b/>
          <w:bCs/>
        </w:rPr>
        <w:t xml:space="preserve"> hulgiturul </w:t>
      </w:r>
      <w:r w:rsidR="00460CC8">
        <w:rPr>
          <w:b/>
          <w:bCs/>
        </w:rPr>
        <w:t xml:space="preserve">1 </w:t>
      </w:r>
      <w:r w:rsidR="008B15E6">
        <w:rPr>
          <w:b/>
          <w:bCs/>
        </w:rPr>
        <w:t>puudub</w:t>
      </w:r>
      <w:r w:rsidR="00DC4F06">
        <w:rPr>
          <w:b/>
          <w:bCs/>
        </w:rPr>
        <w:t xml:space="preserve"> tõhus</w:t>
      </w:r>
      <w:r w:rsidR="008B15E6">
        <w:rPr>
          <w:b/>
          <w:bCs/>
        </w:rPr>
        <w:t xml:space="preserve"> konkurents </w:t>
      </w:r>
      <w:r w:rsidRPr="006E317E">
        <w:t>ja Telia majanduslik tugevus on endiselt samaväärne turgu valitseva seisundiga</w:t>
      </w:r>
      <w:r w:rsidR="003867C7">
        <w:t xml:space="preserve">, mistõttu </w:t>
      </w:r>
      <w:r w:rsidR="00FA4747" w:rsidRPr="00FA4747">
        <w:t>TTJA</w:t>
      </w:r>
      <w:r w:rsidR="00FA4747">
        <w:t xml:space="preserve"> tunnistab</w:t>
      </w:r>
      <w:r w:rsidRPr="005A5FB0">
        <w:rPr>
          <w:b/>
          <w:bCs/>
        </w:rPr>
        <w:t xml:space="preserve"> Telia</w:t>
      </w:r>
      <w:r w:rsidR="00FA4747">
        <w:rPr>
          <w:b/>
          <w:bCs/>
        </w:rPr>
        <w:t xml:space="preserve"> </w:t>
      </w:r>
      <w:r w:rsidRPr="005A5FB0">
        <w:rPr>
          <w:b/>
          <w:bCs/>
        </w:rPr>
        <w:t>märkimisväärne turu</w:t>
      </w:r>
      <w:r w:rsidR="00FA4747">
        <w:rPr>
          <w:b/>
          <w:bCs/>
        </w:rPr>
        <w:t>jõuga ettevõtjaks</w:t>
      </w:r>
      <w:r w:rsidRPr="005A5FB0">
        <w:rPr>
          <w:b/>
          <w:bCs/>
        </w:rPr>
        <w:t xml:space="preserve"> </w:t>
      </w:r>
      <w:r w:rsidR="002F5B23" w:rsidRPr="002F5B23">
        <w:rPr>
          <w:b/>
          <w:bCs/>
        </w:rPr>
        <w:t>valguskaabelvõrgu B piirkonna hulgitur</w:t>
      </w:r>
      <w:r w:rsidR="008C5091">
        <w:rPr>
          <w:b/>
          <w:bCs/>
        </w:rPr>
        <w:t>ul</w:t>
      </w:r>
      <w:r w:rsidR="002F5B23" w:rsidRPr="002F5B23">
        <w:rPr>
          <w:b/>
          <w:bCs/>
        </w:rPr>
        <w:t xml:space="preserve"> 1</w:t>
      </w:r>
      <w:r w:rsidRPr="005A5FB0">
        <w:rPr>
          <w:b/>
          <w:bCs/>
        </w:rPr>
        <w:t>.</w:t>
      </w:r>
    </w:p>
    <w:p w14:paraId="4989A28D" w14:textId="227A55D7" w:rsidR="00EC30FD" w:rsidRDefault="00FA4747" w:rsidP="00AA241E">
      <w:pPr>
        <w:ind w:left="1440"/>
        <w:jc w:val="both"/>
        <w:rPr>
          <w:b/>
          <w:bCs/>
        </w:rPr>
      </w:pPr>
      <w:r>
        <w:rPr>
          <w:b/>
          <w:bCs/>
        </w:rPr>
        <w:lastRenderedPageBreak/>
        <w:t>2)</w:t>
      </w:r>
      <w:r w:rsidR="00726373">
        <w:rPr>
          <w:b/>
          <w:bCs/>
        </w:rPr>
        <w:t xml:space="preserve"> </w:t>
      </w:r>
      <w:r w:rsidR="001E7ABB">
        <w:rPr>
          <w:b/>
          <w:bCs/>
        </w:rPr>
        <w:t>V</w:t>
      </w:r>
      <w:r w:rsidR="00726373" w:rsidRPr="00FA4747">
        <w:rPr>
          <w:b/>
        </w:rPr>
        <w:t xml:space="preserve">alguskaablivõrgu </w:t>
      </w:r>
      <w:r w:rsidR="00B01D60" w:rsidRPr="00B01D60">
        <w:rPr>
          <w:b/>
          <w:bCs/>
        </w:rPr>
        <w:t xml:space="preserve">B piirkonna hulgiturul 3b </w:t>
      </w:r>
      <w:r w:rsidR="007B678B">
        <w:rPr>
          <w:b/>
          <w:bCs/>
        </w:rPr>
        <w:t xml:space="preserve"> puudub tõ</w:t>
      </w:r>
      <w:r w:rsidR="0030284B">
        <w:rPr>
          <w:b/>
          <w:bCs/>
        </w:rPr>
        <w:t xml:space="preserve">hus konkurents </w:t>
      </w:r>
      <w:r w:rsidR="00EC30FD" w:rsidRPr="006E317E">
        <w:t>ja Telia majanduslik tugevus on endiselt samaväärne turgu valitseva seisundiga</w:t>
      </w:r>
      <w:r w:rsidR="00F66D78">
        <w:t>, mistõttu</w:t>
      </w:r>
      <w:r w:rsidR="00EC30FD">
        <w:t xml:space="preserve"> TTJA </w:t>
      </w:r>
      <w:r w:rsidR="00F66D78">
        <w:t>tunnistab</w:t>
      </w:r>
      <w:r w:rsidR="00EC30FD" w:rsidRPr="005A5FB0">
        <w:rPr>
          <w:b/>
          <w:bCs/>
        </w:rPr>
        <w:t xml:space="preserve"> Telia</w:t>
      </w:r>
      <w:r w:rsidR="00F66D78">
        <w:rPr>
          <w:b/>
          <w:bCs/>
        </w:rPr>
        <w:t xml:space="preserve"> märkimisväärse turujõuga ettevõtjaks </w:t>
      </w:r>
      <w:r w:rsidR="0030284B" w:rsidRPr="0030284B">
        <w:rPr>
          <w:b/>
          <w:bCs/>
        </w:rPr>
        <w:t>valguskaablivõrgu B piirkonna hulgiturul 3b</w:t>
      </w:r>
      <w:r w:rsidR="00EC30FD" w:rsidRPr="005A5FB0">
        <w:rPr>
          <w:b/>
          <w:bCs/>
        </w:rPr>
        <w:t>.</w:t>
      </w:r>
    </w:p>
    <w:p w14:paraId="402DDA28" w14:textId="78A2B67E" w:rsidR="00EC30FD" w:rsidRPr="00B12C71" w:rsidRDefault="00BA0281" w:rsidP="00AA241E">
      <w:pPr>
        <w:ind w:left="360"/>
        <w:jc w:val="both"/>
      </w:pPr>
      <w:r>
        <w:t xml:space="preserve">Valguskaablivõrgus B piirkonna hulgiturul 1 ja </w:t>
      </w:r>
      <w:r w:rsidR="0065642F">
        <w:t xml:space="preserve">hulgiturul </w:t>
      </w:r>
      <w:r>
        <w:t xml:space="preserve">3b </w:t>
      </w:r>
      <w:r w:rsidR="00135EB1">
        <w:t>analüüsis TTJA eksisteerivaid ja potentsiaalseid konkurentsi probleeme ja</w:t>
      </w:r>
      <w:r w:rsidR="00E315E9">
        <w:t xml:space="preserve"> neist lähtudes </w:t>
      </w:r>
      <w:r w:rsidR="009F7E7D" w:rsidRPr="00975BF6">
        <w:rPr>
          <w:b/>
        </w:rPr>
        <w:t>määras Teliale asjakohased kohustused</w:t>
      </w:r>
      <w:r w:rsidR="009F7E7D">
        <w:t xml:space="preserve">, vt </w:t>
      </w:r>
      <w:r w:rsidR="008C159A">
        <w:t xml:space="preserve">ptk. </w:t>
      </w:r>
      <w:r w:rsidR="00262D89">
        <w:t>7</w:t>
      </w:r>
      <w:r w:rsidR="000054B2">
        <w:t xml:space="preserve"> ja </w:t>
      </w:r>
      <w:r w:rsidR="00262D89">
        <w:t>8</w:t>
      </w:r>
      <w:r w:rsidR="001500A9">
        <w:t xml:space="preserve">, mis </w:t>
      </w:r>
      <w:r w:rsidR="0065642F">
        <w:t>liigituvad järgmiselt</w:t>
      </w:r>
      <w:r w:rsidR="00EC30FD">
        <w:t xml:space="preserve">: </w:t>
      </w:r>
    </w:p>
    <w:p w14:paraId="3A170FB1" w14:textId="77777777" w:rsidR="00EC30FD" w:rsidRPr="00975BF6" w:rsidRDefault="00EC30FD" w:rsidP="00AA241E">
      <w:pPr>
        <w:pStyle w:val="Loendilik"/>
        <w:numPr>
          <w:ilvl w:val="0"/>
          <w:numId w:val="110"/>
        </w:numPr>
        <w:jc w:val="both"/>
        <w:rPr>
          <w:b/>
        </w:rPr>
      </w:pPr>
      <w:r w:rsidRPr="00975BF6">
        <w:rPr>
          <w:b/>
        </w:rPr>
        <w:t>Juurdepääsu kohustused</w:t>
      </w:r>
    </w:p>
    <w:p w14:paraId="21C1C701" w14:textId="77777777" w:rsidR="00EC30FD" w:rsidRPr="00975BF6" w:rsidRDefault="00EC30FD" w:rsidP="00AA241E">
      <w:pPr>
        <w:pStyle w:val="Loendilik"/>
        <w:numPr>
          <w:ilvl w:val="0"/>
          <w:numId w:val="110"/>
        </w:numPr>
        <w:jc w:val="both"/>
        <w:rPr>
          <w:b/>
        </w:rPr>
      </w:pPr>
      <w:r w:rsidRPr="00975BF6">
        <w:rPr>
          <w:b/>
        </w:rPr>
        <w:t>Mittediskrimineerimise kohustused</w:t>
      </w:r>
    </w:p>
    <w:p w14:paraId="21FC32B4" w14:textId="77777777" w:rsidR="00EC30FD" w:rsidRPr="00975BF6" w:rsidRDefault="00EC30FD" w:rsidP="00AA241E">
      <w:pPr>
        <w:pStyle w:val="Loendilik"/>
        <w:numPr>
          <w:ilvl w:val="0"/>
          <w:numId w:val="110"/>
        </w:numPr>
        <w:jc w:val="both"/>
        <w:rPr>
          <w:b/>
        </w:rPr>
      </w:pPr>
      <w:r w:rsidRPr="00975BF6">
        <w:rPr>
          <w:b/>
        </w:rPr>
        <w:t>Läbipaistvuskohustused</w:t>
      </w:r>
    </w:p>
    <w:p w14:paraId="6331E5DA" w14:textId="77777777" w:rsidR="00EC30FD" w:rsidRDefault="00EC30FD" w:rsidP="00AA241E">
      <w:pPr>
        <w:pStyle w:val="Loendilik"/>
        <w:numPr>
          <w:ilvl w:val="0"/>
          <w:numId w:val="110"/>
        </w:numPr>
        <w:jc w:val="both"/>
      </w:pPr>
      <w:r w:rsidRPr="00975BF6">
        <w:rPr>
          <w:b/>
        </w:rPr>
        <w:t>Hinnakohustused</w:t>
      </w:r>
    </w:p>
    <w:p w14:paraId="69B468BA" w14:textId="77777777" w:rsidR="009804D7" w:rsidRDefault="009804D7" w:rsidP="00AA241E">
      <w:pPr>
        <w:ind w:left="1080"/>
        <w:jc w:val="both"/>
      </w:pPr>
    </w:p>
    <w:p w14:paraId="50EC5382" w14:textId="77777777" w:rsidR="00B3532C" w:rsidRPr="00AA7B44" w:rsidRDefault="00B3532C" w:rsidP="00AA241E">
      <w:pPr>
        <w:pStyle w:val="Pealkiri1"/>
        <w:numPr>
          <w:ilvl w:val="0"/>
          <w:numId w:val="108"/>
        </w:numPr>
      </w:pPr>
      <w:bookmarkStart w:id="3" w:name="_Toc174710683"/>
      <w:r>
        <w:t>TURU</w:t>
      </w:r>
      <w:r w:rsidRPr="00AA7B44">
        <w:t>ANALÜÜSI ÕIGUSLIKUD ALUSED JA ÜLDINE EESMÄRK</w:t>
      </w:r>
      <w:bookmarkEnd w:id="3"/>
    </w:p>
    <w:p w14:paraId="01702608" w14:textId="0EB4ACD6" w:rsidR="00B3532C" w:rsidRPr="002C5B06" w:rsidRDefault="008B7BAB" w:rsidP="00AA241E">
      <w:pPr>
        <w:pStyle w:val="Pealkiri2"/>
        <w:jc w:val="both"/>
      </w:pPr>
      <w:bookmarkStart w:id="4" w:name="_Toc147403224"/>
      <w:bookmarkStart w:id="5" w:name="_Toc174710684"/>
      <w:r>
        <w:t xml:space="preserve">Hulgiturgude </w:t>
      </w:r>
      <w:r w:rsidR="00B3532C">
        <w:t xml:space="preserve">3 b ja 1 analüüside </w:t>
      </w:r>
      <w:r w:rsidR="00B3532C" w:rsidRPr="002C5B06">
        <w:t>üldine õiguslik raamistik</w:t>
      </w:r>
      <w:bookmarkEnd w:id="4"/>
      <w:bookmarkEnd w:id="5"/>
    </w:p>
    <w:p w14:paraId="466FC3BE"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t xml:space="preserve">2021. aasta 1. jaanuaril jõustus ESS, millega Eesti võttis üle Euroopa Liidu (edaspidi EL) </w:t>
      </w:r>
      <w:bookmarkStart w:id="6" w:name="_Hlk135739417"/>
      <w:r w:rsidRPr="002C5B06">
        <w:rPr>
          <w:rFonts w:eastAsia="Times New Roman" w:cs="Times New Roman"/>
          <w:szCs w:val="28"/>
          <w:lang w:eastAsia="et-EE"/>
        </w:rPr>
        <w:t>Euroopa Parlamendi ja Nõukogu Direktiivi (EL) 2018/1972</w:t>
      </w:r>
      <w:bookmarkEnd w:id="6"/>
      <w:r w:rsidRPr="002C5B06">
        <w:rPr>
          <w:rFonts w:eastAsia="Times New Roman" w:cs="Times New Roman"/>
          <w:szCs w:val="28"/>
          <w:lang w:eastAsia="et-EE"/>
        </w:rPr>
        <w:t xml:space="preserve"> (edaspidi </w:t>
      </w:r>
      <w:r w:rsidRPr="002C5B06">
        <w:rPr>
          <w:rFonts w:eastAsia="Times New Roman" w:cs="Times New Roman"/>
          <w:lang w:eastAsia="ar-SA"/>
        </w:rPr>
        <w:t>EL sidekoodeks</w:t>
      </w:r>
      <w:r w:rsidRPr="002C5B06">
        <w:rPr>
          <w:rFonts w:eastAsia="Times New Roman" w:cs="Times New Roman"/>
          <w:szCs w:val="28"/>
          <w:lang w:eastAsia="et-EE"/>
        </w:rPr>
        <w:t>)</w:t>
      </w:r>
      <w:r w:rsidRPr="002C5B06">
        <w:rPr>
          <w:rFonts w:eastAsia="Times New Roman" w:cs="Times New Roman"/>
          <w:szCs w:val="28"/>
          <w:vertAlign w:val="superscript"/>
          <w:lang w:eastAsia="et-EE"/>
        </w:rPr>
        <w:footnoteReference w:id="4"/>
      </w:r>
      <w:r w:rsidRPr="002C5B06">
        <w:rPr>
          <w:rFonts w:eastAsia="Times New Roman" w:cs="Times New Roman"/>
          <w:szCs w:val="28"/>
          <w:lang w:eastAsia="et-EE"/>
        </w:rPr>
        <w:t>.</w:t>
      </w:r>
    </w:p>
    <w:p w14:paraId="48B52AC3"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t xml:space="preserve">Euroopa Komisjoni (EL) 2018/1972 direktiiv e </w:t>
      </w:r>
      <w:r w:rsidRPr="002C5B06">
        <w:rPr>
          <w:rFonts w:eastAsia="Times New Roman" w:cs="Times New Roman"/>
          <w:lang w:eastAsia="ar-SA"/>
        </w:rPr>
        <w:t>EL sidekoodeks</w:t>
      </w:r>
      <w:r w:rsidRPr="002C5B06">
        <w:rPr>
          <w:rFonts w:eastAsia="Times New Roman" w:cs="Times New Roman"/>
          <w:szCs w:val="28"/>
          <w:lang w:eastAsia="et-EE"/>
        </w:rPr>
        <w:t xml:space="preserve"> võeti vastu 11. detsembril 2018 ja   sellega muudeti olulised eeskirjad elektroonilise side turul ning asendati neli vanemat direktiivi. </w:t>
      </w:r>
      <w:r w:rsidRPr="002C5B06">
        <w:rPr>
          <w:rFonts w:eastAsia="Times New Roman" w:cs="Times New Roman"/>
          <w:lang w:eastAsia="ar-SA"/>
        </w:rPr>
        <w:t>EL sidekoodeks</w:t>
      </w:r>
      <w:r w:rsidRPr="002C5B06">
        <w:rPr>
          <w:rFonts w:eastAsia="Times New Roman" w:cs="Times New Roman"/>
          <w:szCs w:val="28"/>
          <w:lang w:eastAsia="et-EE"/>
        </w:rPr>
        <w:t xml:space="preserve"> sisaldab mitmeid muudatusi, sealhulgas ka uusi meetmeid, et suurendada konkurentsi ja investeeringute prognoositavust ning vähendada konkureerivate operaatorite kaasinvesteeringute reguleerimist väga suure võimsusega võrkudes.</w:t>
      </w:r>
    </w:p>
    <w:p w14:paraId="69365EDE"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t>ESS § 44 kohaselt tuleb ESS § 43 lõike 1 kohaselt piiritletud sideteenuste turgudel teostada konkurentsiolukorra analüüs (edaspidi turuanalüüs), et teha kindlaks, kas vastaval sideteenuse turul toimib konkurents.</w:t>
      </w:r>
    </w:p>
    <w:p w14:paraId="65E2574B"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t>Turgude piiritlemisel juhindub TTJA Euroopa Komisjoni turuanalüüsi ja märkimisväärse turujõuga ettevõtja määramist puudutavatest soovitustest</w:t>
      </w:r>
      <w:r w:rsidRPr="002C5B06">
        <w:rPr>
          <w:rFonts w:eastAsia="Times New Roman" w:cs="Times New Roman"/>
          <w:szCs w:val="28"/>
          <w:vertAlign w:val="superscript"/>
          <w:lang w:eastAsia="et-EE"/>
        </w:rPr>
        <w:footnoteReference w:id="5"/>
      </w:r>
      <w:r w:rsidRPr="002C5B06">
        <w:rPr>
          <w:rFonts w:eastAsia="Times New Roman" w:cs="Times New Roman"/>
          <w:szCs w:val="28"/>
          <w:lang w:eastAsia="et-EE"/>
        </w:rPr>
        <w:t xml:space="preserve"> ja suunistest</w:t>
      </w:r>
      <w:r w:rsidRPr="002C5B06">
        <w:rPr>
          <w:rFonts w:eastAsia="Times New Roman" w:cs="Times New Roman"/>
          <w:szCs w:val="28"/>
          <w:vertAlign w:val="superscript"/>
          <w:lang w:eastAsia="et-EE"/>
        </w:rPr>
        <w:footnoteReference w:id="6"/>
      </w:r>
      <w:r w:rsidRPr="002C5B06">
        <w:rPr>
          <w:rFonts w:eastAsia="Times New Roman" w:cs="Times New Roman"/>
          <w:szCs w:val="28"/>
          <w:lang w:eastAsia="et-EE"/>
        </w:rPr>
        <w:t xml:space="preserve"> ning </w:t>
      </w:r>
      <w:bookmarkStart w:id="7" w:name="_Hlk118882927"/>
      <w:r w:rsidRPr="002C5B06">
        <w:rPr>
          <w:rFonts w:eastAsia="Times New Roman" w:cs="Times New Roman"/>
          <w:szCs w:val="28"/>
          <w:lang w:eastAsia="et-EE"/>
        </w:rPr>
        <w:t>Euroopa Komisjoni ja Euroopa Kohtu otsustest</w:t>
      </w:r>
      <w:bookmarkEnd w:id="7"/>
      <w:r w:rsidRPr="002C5B06">
        <w:rPr>
          <w:rFonts w:eastAsia="Times New Roman" w:cs="Times New Roman"/>
          <w:szCs w:val="28"/>
          <w:lang w:eastAsia="et-EE"/>
        </w:rPr>
        <w:t>.</w:t>
      </w:r>
    </w:p>
    <w:p w14:paraId="373BC09F"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t>Aastatel 2005 – 2007 viis sideteenuste turgudel konkurentsiolukorra analüüse läbi Sideamet.</w:t>
      </w:r>
    </w:p>
    <w:p w14:paraId="0A596E94"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t>31.12.2007 lõpetas Sideamet oma tegevuse</w:t>
      </w:r>
      <w:r w:rsidRPr="002C5B06">
        <w:rPr>
          <w:rFonts w:eastAsia="Times New Roman" w:cs="Times New Roman"/>
          <w:szCs w:val="28"/>
          <w:vertAlign w:val="superscript"/>
          <w:lang w:eastAsia="et-EE"/>
        </w:rPr>
        <w:footnoteReference w:id="7"/>
      </w:r>
      <w:r w:rsidRPr="002C5B06">
        <w:rPr>
          <w:rFonts w:eastAsia="Times New Roman" w:cs="Times New Roman"/>
          <w:szCs w:val="28"/>
          <w:vertAlign w:val="superscript"/>
          <w:lang w:eastAsia="et-EE"/>
        </w:rPr>
        <w:t xml:space="preserve"> </w:t>
      </w:r>
      <w:r w:rsidRPr="002C5B06">
        <w:rPr>
          <w:rFonts w:eastAsia="Times New Roman" w:cs="Times New Roman"/>
          <w:szCs w:val="28"/>
          <w:lang w:eastAsia="et-EE"/>
        </w:rPr>
        <w:t>ning tema ülesanded jagati Konkurentsiameti ja Tehnilise Järelevalve Ameti vahel.</w:t>
      </w:r>
    </w:p>
    <w:p w14:paraId="23F3DCF0"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lastRenderedPageBreak/>
        <w:t xml:space="preserve">Alates 01.01.2008 viis elektroonilise side turgude turuanalüüse läbi Konkurentsiamet. </w:t>
      </w:r>
    </w:p>
    <w:p w14:paraId="5D6FAD5D"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t>01.07.2014 jõustus ESS-i muudatus, mille tulemusel viidi Konkurentsiameti pädevuses olevad ülesanded TJA pädevusse ning 2015. aastal viis TJA läbi  neljanda turuanalüüside etapi.</w:t>
      </w:r>
    </w:p>
    <w:p w14:paraId="205AC23F"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t>2019. aasta 1. jaanuaril alustas tööd Tarbijakaitse ja Tehnilise Järelevalve Amet, mis loodi kahe asutuse: Tehnilise Järelevalve Ameti ja Tarbijakaitseameti ühendamisel. TTJA täidab kõiki seni kahel asutusel olnud ülesandeid.</w:t>
      </w:r>
    </w:p>
    <w:p w14:paraId="54DAAF38"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t>Sideteenuste turgude loetelus lähtub TTJA Euroopa Komisjoni 18. detsember 2020. aasta soovituses „</w:t>
      </w:r>
      <w:r w:rsidRPr="002C5B06">
        <w:rPr>
          <w:rFonts w:eastAsia="Times New Roman" w:cs="Times New Roman"/>
          <w:i/>
          <w:iCs/>
          <w:szCs w:val="28"/>
          <w:lang w:eastAsia="et-EE"/>
        </w:rPr>
        <w:t>Ex ante</w:t>
      </w:r>
      <w:r w:rsidRPr="002C5B06">
        <w:rPr>
          <w:rFonts w:eastAsia="Times New Roman" w:cs="Times New Roman"/>
          <w:szCs w:val="28"/>
          <w:lang w:eastAsia="et-EE"/>
        </w:rPr>
        <w:t xml:space="preserve"> põhimõttel reguleeritavate elektroonilise side valdkonna toote- ja teenuseturgude kohta“</w:t>
      </w:r>
      <w:r w:rsidRPr="002C5B06">
        <w:rPr>
          <w:rFonts w:eastAsia="Times New Roman" w:cs="Times New Roman"/>
          <w:szCs w:val="28"/>
          <w:vertAlign w:val="superscript"/>
          <w:lang w:eastAsia="et-EE"/>
        </w:rPr>
        <w:footnoteReference w:id="8"/>
      </w:r>
      <w:r w:rsidRPr="002C5B06">
        <w:rPr>
          <w:rFonts w:eastAsia="Times New Roman" w:cs="Times New Roman"/>
          <w:szCs w:val="28"/>
          <w:lang w:eastAsia="et-EE"/>
        </w:rPr>
        <w:t>, 2014 aasta sideturgude loetelu  soovitusest „</w:t>
      </w:r>
      <w:r w:rsidRPr="002C5B06">
        <w:rPr>
          <w:rFonts w:eastAsia="Times New Roman" w:cs="Times New Roman"/>
          <w:i/>
          <w:iCs/>
          <w:szCs w:val="28"/>
          <w:lang w:eastAsia="et-EE"/>
        </w:rPr>
        <w:t>Ex ante</w:t>
      </w:r>
      <w:r w:rsidRPr="002C5B06">
        <w:rPr>
          <w:rFonts w:eastAsia="Times New Roman" w:cs="Times New Roman"/>
          <w:szCs w:val="28"/>
          <w:lang w:eastAsia="et-EE"/>
        </w:rPr>
        <w:t xml:space="preserve"> põhimõttel reguleeritavate elektroonilise side valdkonna toote- ja teenuseturgude kohta“  (edaspidi 2014. sideturgude soovitus)</w:t>
      </w:r>
      <w:r w:rsidRPr="002C5B06">
        <w:rPr>
          <w:rFonts w:eastAsia="Times New Roman" w:cs="Times New Roman"/>
          <w:szCs w:val="28"/>
          <w:vertAlign w:val="superscript"/>
          <w:lang w:eastAsia="et-EE"/>
        </w:rPr>
        <w:footnoteReference w:id="9"/>
      </w:r>
      <w:r w:rsidRPr="002C5B06">
        <w:rPr>
          <w:rFonts w:eastAsia="Times New Roman" w:cs="Times New Roman"/>
          <w:szCs w:val="28"/>
          <w:lang w:eastAsia="et-EE"/>
        </w:rPr>
        <w:t xml:space="preserve"> . </w:t>
      </w:r>
    </w:p>
    <w:p w14:paraId="6480EA5B"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t xml:space="preserve">2014/710/EL komisjoni soovituse lisa punktis 3 b välja toodud „Kindlaksmääratud asukohas masstoodete keskse juurdepääsu hulgiturg“ ehk </w:t>
      </w:r>
      <w:bookmarkStart w:id="8" w:name="_Hlk137030459"/>
      <w:r w:rsidRPr="002C5B06">
        <w:rPr>
          <w:rFonts w:eastAsia="Times New Roman" w:cs="Times New Roman"/>
          <w:lang w:eastAsia="ar-SA"/>
        </w:rPr>
        <w:t xml:space="preserve">lairiba juurdepääsu </w:t>
      </w:r>
      <w:bookmarkEnd w:id="8"/>
      <w:r w:rsidRPr="002C5B06">
        <w:rPr>
          <w:rFonts w:eastAsia="Times New Roman" w:cs="Times New Roman"/>
          <w:lang w:eastAsia="et-EE"/>
        </w:rPr>
        <w:t xml:space="preserve">hulgiturg </w:t>
      </w:r>
      <w:r w:rsidRPr="002C5B06">
        <w:rPr>
          <w:rFonts w:eastAsia="Times New Roman" w:cs="Times New Roman"/>
          <w:szCs w:val="28"/>
          <w:lang w:eastAsia="et-EE"/>
        </w:rPr>
        <w:t xml:space="preserve">ei ole 2020. aasta soovituses kindlaksmääratud turgude nimekirjas. Seega tuleb TTJA-l järgida sidekoodeksi punkti 67 lõiku 1 ning läbi viia kolme kriteeriumi test. </w:t>
      </w:r>
    </w:p>
    <w:p w14:paraId="40AB9E4B"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t>Vastavalt sidekoodeksi artikli 67 lõikele 1 ja 2 võib eelnevate regulatiivsete kohustuste kehtestamine olla põhjendatud üksnes turgudel, kus kõik kolm artikli 67 lõike 1 punktides a, b ja c osutatud kriteeriumid on  täidetud ja on täidetud ka artikli 67 lõikes 2 sätestatud täiendavad kriteeriumid.</w:t>
      </w:r>
    </w:p>
    <w:p w14:paraId="12E4790B"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t xml:space="preserve">Asjaomasel turul on eelnevalt kehtestatud kohustused ning seetõttu on TTJA kohustatud </w:t>
      </w:r>
      <w:r w:rsidRPr="002C5B06">
        <w:rPr>
          <w:rFonts w:eastAsia="Times New Roman" w:cs="Times New Roman"/>
          <w:lang w:eastAsia="ar-SA"/>
        </w:rPr>
        <w:t xml:space="preserve">2020. aasta soovitust ja märkimisväärse turujõu suuniseid hoolikalt arvesse võttes määratlema kooskõlas konkurentsiõiguse põhimõtetega riigi olukorrale vastava asjakohase turu, eelkõige riigi territooriumil paikneva asjaomase geograafilise turu, võttes muu hulgas arvesse infrastruktuuri alast konkurentsi nendes piirkondades. </w:t>
      </w:r>
    </w:p>
    <w:p w14:paraId="62044DA5"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lang w:eastAsia="ar-SA"/>
        </w:rPr>
        <w:t>TTJA võtab vajaduse korral samuti arvesse 2020. soovituse preambuli punkti 37 kohaselt läbiviidud geograafilise ülevaate tulemusi. TTJA järgib 2020. soovituse preambuli punktides 36 - 38 esitatud korda, enne kui asub määratlema turge, mis erinevad soovituses kindlaksmääratud turgudest.</w:t>
      </w:r>
    </w:p>
    <w:p w14:paraId="5A23AB0D"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t>Kui kolme kriteeriumi testist tuleneb, et keskse juurdepääsu</w:t>
      </w:r>
      <w:r w:rsidRPr="002C5B06" w:rsidDel="00D46209">
        <w:rPr>
          <w:rFonts w:eastAsia="Times New Roman" w:cs="Times New Roman"/>
          <w:szCs w:val="28"/>
          <w:lang w:eastAsia="et-EE"/>
        </w:rPr>
        <w:t xml:space="preserve"> </w:t>
      </w:r>
      <w:r w:rsidRPr="002C5B06">
        <w:rPr>
          <w:rFonts w:eastAsia="Times New Roman" w:cs="Times New Roman"/>
          <w:szCs w:val="28"/>
          <w:lang w:eastAsia="et-EE"/>
        </w:rPr>
        <w:t>hulgiturul toimib konkurents, koostab TTJA ESS § 44 lõike 7 kohaselt otsuse märkimisväärse turujõuga ettevõtja määramata jätmise kohta.</w:t>
      </w:r>
    </w:p>
    <w:p w14:paraId="2565F215"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t xml:space="preserve">Kui TTJA kolme kriteeriumi testi käigus tuvastab, et </w:t>
      </w:r>
      <w:r>
        <w:rPr>
          <w:rFonts w:eastAsia="Times New Roman" w:cs="Times New Roman"/>
          <w:szCs w:val="28"/>
          <w:lang w:eastAsia="et-EE"/>
        </w:rPr>
        <w:t xml:space="preserve">kohaliku- või </w:t>
      </w:r>
      <w:r w:rsidRPr="002C5B06">
        <w:rPr>
          <w:rFonts w:eastAsia="Times New Roman" w:cs="Times New Roman"/>
          <w:szCs w:val="28"/>
          <w:lang w:eastAsia="et-EE"/>
        </w:rPr>
        <w:t xml:space="preserve">keskse lairiba juurdepääsu hulgiturul konkurents ei toimi ning nimetatud turgudel tegutsev sideettevõtja omab eraldi või ühiselt koos teiste ettevõtjatega märkimisväärset turujõudu, mis võimaldab tal tegutseda märkimisväärsel määral sõltumatult konkurentidest, lepingupartneritest ja lõppkasutajatest, määratakse sideturul kindlaks kooskõlas ESS §-ga 45 üks või mitu märkimisväärse turujõuga ettevõtjat. Vastavalt ESS § 46 lõikele 2 lähtub TTJA märkimisväärse turujõuga ettevõtjale kohustuse kehtestamisel ettevõtja suhtes ESS §-des 50–57 sätestatust, kehtestades ettevõtjale ühe </w:t>
      </w:r>
      <w:r w:rsidRPr="002C5B06">
        <w:rPr>
          <w:rFonts w:eastAsia="Times New Roman" w:cs="Times New Roman"/>
          <w:szCs w:val="28"/>
          <w:lang w:eastAsia="et-EE"/>
        </w:rPr>
        <w:lastRenderedPageBreak/>
        <w:t>või mitu asjakohast kohustust sellel teenuse turul, millel sideettevõtja kohta on tehtud ettepanek tunnistada ta märkimisväärse turujõuga ettevõtjaks.</w:t>
      </w:r>
    </w:p>
    <w:p w14:paraId="5304D9BB" w14:textId="77777777" w:rsidR="00B3532C"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t>Eelnevalt on Sideamet, Konkurentsiamet ja Tehnilise Järelevalve Amet lairiba juurdepääsu turul viinud läbi turuanalüüsid ja määranud märkimisväärse turujõuga ettevõtja 2006</w:t>
      </w:r>
      <w:r w:rsidRPr="002C5B06">
        <w:rPr>
          <w:rFonts w:eastAsia="Times New Roman" w:cs="Times New Roman"/>
          <w:szCs w:val="28"/>
          <w:vertAlign w:val="superscript"/>
          <w:lang w:eastAsia="et-EE"/>
        </w:rPr>
        <w:footnoteReference w:id="10"/>
      </w:r>
      <w:r w:rsidRPr="002C5B06">
        <w:rPr>
          <w:rFonts w:eastAsia="Times New Roman" w:cs="Times New Roman"/>
          <w:szCs w:val="28"/>
          <w:vertAlign w:val="superscript"/>
          <w:lang w:eastAsia="et-EE"/>
        </w:rPr>
        <w:t>;</w:t>
      </w:r>
      <w:r w:rsidRPr="002C5B06">
        <w:rPr>
          <w:rFonts w:eastAsia="Times New Roman" w:cs="Times New Roman"/>
          <w:szCs w:val="28"/>
          <w:lang w:eastAsia="et-EE"/>
        </w:rPr>
        <w:t xml:space="preserve"> 2009</w:t>
      </w:r>
      <w:r w:rsidRPr="002C5B06">
        <w:rPr>
          <w:rFonts w:eastAsia="Times New Roman" w:cs="Times New Roman"/>
          <w:szCs w:val="28"/>
          <w:vertAlign w:val="superscript"/>
          <w:lang w:eastAsia="et-EE"/>
        </w:rPr>
        <w:footnoteReference w:id="11"/>
      </w:r>
      <w:r w:rsidRPr="002C5B06">
        <w:rPr>
          <w:rFonts w:eastAsia="Times New Roman" w:cs="Times New Roman"/>
          <w:szCs w:val="28"/>
          <w:lang w:eastAsia="et-EE"/>
        </w:rPr>
        <w:t xml:space="preserve"> ; 2013</w:t>
      </w:r>
      <w:r w:rsidRPr="002C5B06">
        <w:rPr>
          <w:rFonts w:eastAsia="Times New Roman" w:cs="Times New Roman"/>
          <w:szCs w:val="28"/>
          <w:vertAlign w:val="superscript"/>
          <w:lang w:eastAsia="et-EE"/>
        </w:rPr>
        <w:footnoteReference w:id="12"/>
      </w:r>
      <w:r w:rsidRPr="002C5B06">
        <w:rPr>
          <w:rFonts w:eastAsia="Times New Roman" w:cs="Times New Roman"/>
          <w:szCs w:val="28"/>
          <w:vertAlign w:val="superscript"/>
          <w:lang w:eastAsia="et-EE"/>
        </w:rPr>
        <w:t>.</w:t>
      </w:r>
      <w:r w:rsidRPr="002C5B06">
        <w:rPr>
          <w:rFonts w:eastAsia="Times New Roman" w:cs="Times New Roman"/>
          <w:szCs w:val="28"/>
          <w:lang w:eastAsia="et-EE"/>
        </w:rPr>
        <w:t xml:space="preserve"> ja 2017</w:t>
      </w:r>
      <w:r w:rsidRPr="002C5B06">
        <w:rPr>
          <w:rFonts w:eastAsia="Times New Roman" w:cs="Times New Roman"/>
          <w:szCs w:val="28"/>
          <w:vertAlign w:val="superscript"/>
          <w:lang w:eastAsia="et-EE"/>
        </w:rPr>
        <w:footnoteReference w:id="13"/>
      </w:r>
      <w:r w:rsidRPr="002C5B06">
        <w:rPr>
          <w:rFonts w:eastAsia="Times New Roman" w:cs="Times New Roman"/>
          <w:szCs w:val="28"/>
          <w:vertAlign w:val="superscript"/>
          <w:lang w:eastAsia="et-EE"/>
        </w:rPr>
        <w:t xml:space="preserve"> </w:t>
      </w:r>
      <w:r w:rsidRPr="002C5B06">
        <w:rPr>
          <w:rFonts w:eastAsia="Times New Roman" w:cs="Times New Roman"/>
          <w:szCs w:val="28"/>
          <w:lang w:eastAsia="et-EE"/>
        </w:rPr>
        <w:t xml:space="preserve">aastal. </w:t>
      </w:r>
    </w:p>
    <w:p w14:paraId="7C21CD6C"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D64507">
        <w:rPr>
          <w:rFonts w:eastAsia="Times New Roman" w:cs="Times New Roman"/>
          <w:szCs w:val="28"/>
          <w:lang w:eastAsia="et-EE"/>
        </w:rPr>
        <w:t>Eelnevalt on Sideamet, Konkurentsiamet ja Tehnilise Järelevalve Amet fikseeritud juurdepääsu hulgiturul turul viinud läbi turuanalüüsid ja määranud märkimisväärse turujõuga ettevõtja 2007 . ja 2009 . ja 2013 . ning 2016 . aastal.</w:t>
      </w:r>
    </w:p>
    <w:p w14:paraId="37D2970E"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t xml:space="preserve">TTJA koostas </w:t>
      </w:r>
      <w:r w:rsidRPr="002C5B06">
        <w:rPr>
          <w:rFonts w:eastAsia="Times New Roman" w:cs="Times New Roman"/>
          <w:lang w:eastAsia="ar-SA"/>
        </w:rPr>
        <w:t xml:space="preserve">7. aprillist kuni 15. maini 2020. </w:t>
      </w:r>
      <w:r w:rsidRPr="002C5B06">
        <w:rPr>
          <w:rFonts w:eastAsia="Times New Roman" w:cs="Times New Roman"/>
          <w:szCs w:val="28"/>
          <w:lang w:eastAsia="et-EE"/>
        </w:rPr>
        <w:t xml:space="preserve">ja saatis riigisisesele konsultatsioonile </w:t>
      </w:r>
      <w:r w:rsidRPr="002C5B06">
        <w:rPr>
          <w:rFonts w:eastAsia="Times New Roman" w:cs="Times New Roman"/>
          <w:lang w:eastAsia="ar-SA"/>
        </w:rPr>
        <w:t>kindlaksmääratud asukohas keskse juurdepääsu hulgituru</w:t>
      </w:r>
      <w:r w:rsidRPr="002C5B06">
        <w:rPr>
          <w:rFonts w:eastAsia="Times New Roman" w:cs="Times New Roman"/>
          <w:szCs w:val="28"/>
          <w:lang w:eastAsia="et-EE"/>
        </w:rPr>
        <w:t xml:space="preserve"> piiritlemise, turuanalüüsi, märkimisväärse turujõuga ettevõtjaks tunnistamise ja kohustuste kehtestamise otsuse kavandi.</w:t>
      </w:r>
    </w:p>
    <w:p w14:paraId="24F9C071"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t>Riigisisese konsultatsiooni raames esi</w:t>
      </w:r>
      <w:r w:rsidRPr="002C5B06">
        <w:rPr>
          <w:rFonts w:eastAsia="Times New Roman" w:cs="Times New Roman"/>
          <w:szCs w:val="28"/>
          <w:lang w:eastAsia="et-EE"/>
        </w:rPr>
        <w:softHyphen/>
        <w:t>tasid oma seisukohad Konkurentsiamet, Tele2 Eesti AS (edaspidi Tele2), Elisa Eesti AS (edaspidi Elisa) ja Telia. TTJA analüüsis riigisisesel konsultat</w:t>
      </w:r>
      <w:r w:rsidRPr="002C5B06">
        <w:rPr>
          <w:rFonts w:eastAsia="Times New Roman" w:cs="Times New Roman"/>
          <w:szCs w:val="28"/>
          <w:lang w:eastAsia="et-EE"/>
        </w:rPr>
        <w:softHyphen/>
        <w:t>sioonil esitatud seisukohtasid ja võttis arvesse seisukohad, mis olid põhjendatud ning koostas lairiba juurdepääsu hulgituru otsuse eelnõu, mille saatis rahvusvahelise konsultatsiooni raames Euroopa Komisjo</w:t>
      </w:r>
      <w:r w:rsidRPr="002C5B06">
        <w:rPr>
          <w:rFonts w:eastAsia="Times New Roman" w:cs="Times New Roman"/>
          <w:szCs w:val="28"/>
          <w:lang w:eastAsia="et-EE"/>
        </w:rPr>
        <w:softHyphen/>
        <w:t>nile 2021 aasta märtsis.</w:t>
      </w:r>
    </w:p>
    <w:p w14:paraId="1C58660D" w14:textId="77777777" w:rsidR="00B3532C" w:rsidRPr="002C5B06"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t xml:space="preserve">Euroopa Komisjon esitas seisukohad juhtumile </w:t>
      </w:r>
      <w:r w:rsidRPr="002C5B06">
        <w:rPr>
          <w:rFonts w:eastAsia="Times New Roman" w:cs="Times New Roman"/>
          <w:lang w:eastAsia="ar-SA"/>
        </w:rPr>
        <w:t xml:space="preserve">EE/2021/2311 </w:t>
      </w:r>
      <w:r w:rsidRPr="002C5B06">
        <w:rPr>
          <w:rFonts w:eastAsia="Times New Roman" w:cs="Times New Roman"/>
          <w:szCs w:val="28"/>
          <w:lang w:eastAsia="et-EE"/>
        </w:rPr>
        <w:t>2021. 16. aprill. Euroopa Komisjon soovitas täiendavalt analüüsida Tallinna piirkonda, eesmärgiga hinnata selle linna konkurentsi toimimist ilma TTJA sekkumiseta. Kuivõrd Komisjoni hinnangul on Tallinnas konku</w:t>
      </w:r>
      <w:r w:rsidRPr="002C5B06">
        <w:rPr>
          <w:rFonts w:eastAsia="Times New Roman" w:cs="Times New Roman"/>
          <w:szCs w:val="28"/>
          <w:lang w:eastAsia="et-EE"/>
        </w:rPr>
        <w:softHyphen/>
        <w:t>rents pigem toimiv ja piisav, siis poleks vaja selles linnas märkimisväärse turujõuga ettevõtet enam määrata ega regulatsiooni rakendada. Lisaks on Komisjoni hinnan</w:t>
      </w:r>
      <w:r w:rsidRPr="002C5B06">
        <w:rPr>
          <w:rFonts w:eastAsia="Times New Roman" w:cs="Times New Roman"/>
          <w:szCs w:val="28"/>
          <w:lang w:eastAsia="et-EE"/>
        </w:rPr>
        <w:softHyphen/>
        <w:t>gul oluline, et analüüs vastaks pigem juba uuele, peatselt rakenduvale Euroopa side seadusandlusele.</w:t>
      </w:r>
    </w:p>
    <w:p w14:paraId="064FC0A4" w14:textId="77777777" w:rsidR="00B3532C" w:rsidRDefault="00B3532C" w:rsidP="00AA241E">
      <w:pPr>
        <w:suppressAutoHyphens/>
        <w:spacing w:before="120" w:after="120" w:line="240" w:lineRule="auto"/>
        <w:jc w:val="both"/>
        <w:rPr>
          <w:rFonts w:eastAsia="Times New Roman" w:cs="Times New Roman"/>
          <w:szCs w:val="28"/>
          <w:lang w:eastAsia="et-EE"/>
        </w:rPr>
      </w:pPr>
      <w:r w:rsidRPr="002C5B06">
        <w:rPr>
          <w:rFonts w:eastAsia="Times New Roman" w:cs="Times New Roman"/>
          <w:szCs w:val="28"/>
          <w:lang w:eastAsia="et-EE"/>
        </w:rPr>
        <w:t>Kaalunud Komisjoni tähelepanekuid, võttis TTJA otsuse kavandi tagasi ja alustas uue turuanalüüsiga.</w:t>
      </w:r>
    </w:p>
    <w:p w14:paraId="394CE96E" w14:textId="7125B749" w:rsidR="00EE26DE" w:rsidRDefault="00EE26DE" w:rsidP="00AA241E">
      <w:pPr>
        <w:suppressAutoHyphens/>
        <w:spacing w:before="120" w:after="120" w:line="240" w:lineRule="auto"/>
        <w:jc w:val="both"/>
      </w:pPr>
      <w:r>
        <w:t>16. juunist 15. septembrini 2023 toimus riigisisene konsulteerimine</w:t>
      </w:r>
      <w:r w:rsidR="00280996">
        <w:t xml:space="preserve"> uuendatud </w:t>
      </w:r>
      <w:r w:rsidR="00616755">
        <w:t>Eesti kindlaksmääratud asukohas kohaliku juurdepääsu hulgituru</w:t>
      </w:r>
      <w:r w:rsidR="00F61009">
        <w:rPr>
          <w:rStyle w:val="Allmrkuseviide"/>
        </w:rPr>
        <w:footnoteReference w:id="14"/>
      </w:r>
      <w:r w:rsidR="00616755">
        <w:t xml:space="preserve"> ja kindlaksmääratud asukohas keskse juurdepääsu hulgituru</w:t>
      </w:r>
      <w:r w:rsidR="00F61009">
        <w:rPr>
          <w:rStyle w:val="Allmrkuseviide"/>
        </w:rPr>
        <w:footnoteReference w:id="15"/>
      </w:r>
      <w:r w:rsidR="00280996">
        <w:t xml:space="preserve"> </w:t>
      </w:r>
      <w:r w:rsidR="00872254">
        <w:t xml:space="preserve">siseriiklik konsultatsioon ning 28. detsembril </w:t>
      </w:r>
      <w:r w:rsidR="009B3A41">
        <w:t xml:space="preserve">saatis TTJA </w:t>
      </w:r>
      <w:r w:rsidR="00D62B29">
        <w:t xml:space="preserve">mõlemad turud Euroopa Komisjoni konsultatsioonile. </w:t>
      </w:r>
    </w:p>
    <w:p w14:paraId="14B3C50D" w14:textId="6083EF77" w:rsidR="00A6395F" w:rsidRDefault="00A6395F" w:rsidP="00AA241E">
      <w:pPr>
        <w:spacing w:after="355"/>
        <w:ind w:left="10" w:right="50"/>
        <w:jc w:val="both"/>
      </w:pPr>
      <w:r>
        <w:lastRenderedPageBreak/>
        <w:t xml:space="preserve">Vastavalt seadustiku artikli 32 lõikele 4 </w:t>
      </w:r>
      <w:r w:rsidR="002E1795">
        <w:t>teat</w:t>
      </w:r>
      <w:r w:rsidR="00A378BA">
        <w:t>as 26. jaanuaril 2024</w:t>
      </w:r>
      <w:r>
        <w:t xml:space="preserve"> komisjon </w:t>
      </w:r>
      <w:r w:rsidR="00A378BA">
        <w:t>TTJA-</w:t>
      </w:r>
      <w:proofErr w:type="spellStart"/>
      <w:r w:rsidR="00A378BA">
        <w:t>le</w:t>
      </w:r>
      <w:proofErr w:type="spellEnd"/>
      <w:r>
        <w:t xml:space="preserve"> ja elektroonilise side Euroopa reguleerivate asutuste ametile (BEREC), et </w:t>
      </w:r>
      <w:r w:rsidR="00106CF8" w:rsidRPr="007C0127">
        <w:t>algata</w:t>
      </w:r>
      <w:r w:rsidR="00106CF8">
        <w:t>s</w:t>
      </w:r>
      <w:r w:rsidR="00106CF8" w:rsidRPr="007C0127">
        <w:t xml:space="preserve"> </w:t>
      </w:r>
      <w:r w:rsidR="007C0127" w:rsidRPr="007C0127">
        <w:t>II etapi uurimise vastavalt direktiivi (EL) 2018/1972 artiklile 32</w:t>
      </w:r>
      <w:r w:rsidR="00F24DA8">
        <w:t xml:space="preserve">. Eesti kaalus Komisjoni ja BEREC-i ekspertide </w:t>
      </w:r>
      <w:r w:rsidR="00DE7709">
        <w:t xml:space="preserve">tähelepanekuid ja vajadust koostada analüüs värskendatud andmetega, võttis otsuse </w:t>
      </w:r>
      <w:r w:rsidR="001E6F63">
        <w:t>kavandi tagasi ja teostas uue turuanalüüsi.</w:t>
      </w:r>
    </w:p>
    <w:p w14:paraId="76A54E88" w14:textId="77777777" w:rsidR="009A3A3E" w:rsidRDefault="009A3A3E" w:rsidP="00AA241E">
      <w:pPr>
        <w:pStyle w:val="Pealkiri2"/>
        <w:jc w:val="both"/>
      </w:pPr>
      <w:bookmarkStart w:id="9" w:name="_Toc174710685"/>
      <w:r>
        <w:t>Kolme kriteeriumi testi rakendamise alused</w:t>
      </w:r>
      <w:bookmarkEnd w:id="9"/>
    </w:p>
    <w:p w14:paraId="3EC2A4BA" w14:textId="59B0A8C0" w:rsidR="009A3A3E" w:rsidRDefault="009A3A3E" w:rsidP="00AA241E">
      <w:pPr>
        <w:jc w:val="both"/>
      </w:pPr>
      <w:r>
        <w:t>2020. aasta soovituse punkti 22 kohaselt võib liikmesriigi regulaator analüüsida ka turge, mis ei ole kehtiva soovitusega hõlmatud, kuid mida reguleeritakse nende jurisdiktsiooni all oleval territooriumil, tuginedes eelnevatele turuanalüüsidele, kui neil on piisavalt põhjust arvata, et kolm kriteeriumi on täidetud. Need kolm kriteeriumi on vastavalt soovituse punktidele 8-18 ja 2020. aasta sidekoodeksi artikli 67 lõike 1 punktidele a, b, ja c järgmised:</w:t>
      </w:r>
    </w:p>
    <w:p w14:paraId="5A5B85C8" w14:textId="31BA55E3" w:rsidR="009A3A3E" w:rsidRDefault="009A3A3E" w:rsidP="00AA241E">
      <w:pPr>
        <w:pStyle w:val="Loendilik"/>
        <w:numPr>
          <w:ilvl w:val="0"/>
          <w:numId w:val="84"/>
        </w:numPr>
        <w:jc w:val="both"/>
      </w:pPr>
      <w:r>
        <w:t>esinevad püsivad kõrged struktuursed, õiguslikud või regulatiivsed turule sisenemise tõkked;</w:t>
      </w:r>
    </w:p>
    <w:p w14:paraId="04282872" w14:textId="7D9DA588" w:rsidR="009A3A3E" w:rsidRDefault="009A3A3E" w:rsidP="00AA241E">
      <w:pPr>
        <w:pStyle w:val="Loendilik"/>
        <w:numPr>
          <w:ilvl w:val="0"/>
          <w:numId w:val="84"/>
        </w:numPr>
        <w:jc w:val="both"/>
      </w:pPr>
      <w:r>
        <w:t>turu struktuur on selline, mis infrastruktuurist või kõrgetest sisenemistõketest tulenevalt ei võimalda tõhusa konkurentsi saavutamist ettenähtud ajavahemiku jooksul;</w:t>
      </w:r>
    </w:p>
    <w:p w14:paraId="13A44847" w14:textId="3A0493B7" w:rsidR="009A3A3E" w:rsidRDefault="009A3A3E" w:rsidP="00AA241E">
      <w:pPr>
        <w:pStyle w:val="Loendilik"/>
        <w:numPr>
          <w:ilvl w:val="0"/>
          <w:numId w:val="84"/>
        </w:numPr>
        <w:jc w:val="both"/>
      </w:pPr>
      <w:r>
        <w:t>ainult konkurentsiõiguse kohaldamine ei ole piisav väljaselgitatud turuhäire(te) kõrvaldamiseks.</w:t>
      </w:r>
    </w:p>
    <w:p w14:paraId="20757B60" w14:textId="77777777" w:rsidR="009A3A3E" w:rsidRDefault="009A3A3E" w:rsidP="00AA241E">
      <w:pPr>
        <w:jc w:val="both"/>
      </w:pPr>
    </w:p>
    <w:p w14:paraId="560AD276" w14:textId="5FCCEADD" w:rsidR="009A3A3E" w:rsidRDefault="009A3A3E" w:rsidP="00AA241E">
      <w:pPr>
        <w:jc w:val="both"/>
      </w:pPr>
      <w:r>
        <w:t>Valdkonnaspetsiifiliseks reguleerimiseks peavad olema täidetud kõik kriteeriumid kumulatiivselt.</w:t>
      </w:r>
    </w:p>
    <w:p w14:paraId="69567DF3" w14:textId="7C8F9214" w:rsidR="009A3A3E" w:rsidRDefault="009A3A3E" w:rsidP="00AA241E">
      <w:pPr>
        <w:pStyle w:val="Pealkiri2"/>
        <w:jc w:val="both"/>
      </w:pPr>
      <w:bookmarkStart w:id="10" w:name="_Toc174710687"/>
      <w:r>
        <w:t>Riigisisene konsulteerimine</w:t>
      </w:r>
      <w:bookmarkEnd w:id="10"/>
    </w:p>
    <w:p w14:paraId="362AC911" w14:textId="2570C594" w:rsidR="009A3A3E" w:rsidRDefault="009A3A3E" w:rsidP="00AA241E">
      <w:pPr>
        <w:jc w:val="both"/>
      </w:pPr>
      <w:r>
        <w:t>Kui turuanalüüsi läbiviimise tulemusel leitakse, et sideteenuse turul toimib konkurents, koostab TTJA otsuse märkimisväärse turujõuga ettevõtjaks määramata jätmise kohta (ESS § 44 lõige 7). Kui tuvastatakse, et sideteenuse turul konkurents ei toimi ning turul on sideettevõtja, kes omab märkimisväärset turujõudu, koostab TTJA otsuse kavandi märkimisväärse turujõuga ettevõtjaks tunnistamise kohta (ESS § 46 lõige 1).</w:t>
      </w:r>
    </w:p>
    <w:p w14:paraId="250E59BB" w14:textId="475F1335" w:rsidR="00C17D90" w:rsidRPr="006E317E" w:rsidRDefault="009A3A3E" w:rsidP="00AA241E">
      <w:pPr>
        <w:jc w:val="both"/>
      </w:pPr>
      <w:r>
        <w:t>Otsuse kavand, millest on välja jäetud ärisaladust sisaldav informatsioon, tehakse avalikkusele kättesaadavaks. Puudutatud isikutel on õigus ühe kuu jooksul esitada otsuse kavandi kohta arvamus. Otsuse kavand saadetakse sideettevõtjale, keda TTJA kavatseb tunnistada märkimisväärse turujõuga ettevõtjaks. Viimane võib vastavalt ESS §-le 47 esitada ühe kuu jooksul otsuse kavandi kättesaamisest arvates oma vastulause.</w:t>
      </w:r>
    </w:p>
    <w:bookmarkEnd w:id="0"/>
    <w:p w14:paraId="2E126F9F" w14:textId="77777777" w:rsidR="0065281A" w:rsidRPr="0065281A" w:rsidRDefault="0065281A" w:rsidP="00AA241E">
      <w:pPr>
        <w:jc w:val="both"/>
        <w:rPr>
          <w:lang w:eastAsia="lv-LV"/>
        </w:rPr>
      </w:pPr>
    </w:p>
    <w:p w14:paraId="6FB263C3" w14:textId="2BFBEA3B" w:rsidR="00EF53AB" w:rsidRPr="006E317E" w:rsidRDefault="00EF53AB" w:rsidP="00AA241E">
      <w:pPr>
        <w:pStyle w:val="Pealkiri2"/>
        <w:jc w:val="both"/>
      </w:pPr>
      <w:bookmarkStart w:id="11" w:name="_Toc164846095"/>
      <w:bookmarkStart w:id="12" w:name="_Toc174710688"/>
      <w:bookmarkStart w:id="13" w:name="_Hlk506990613"/>
      <w:r w:rsidRPr="001A1A14">
        <w:t>Elektroonilise side</w:t>
      </w:r>
      <w:r w:rsidR="6EF0C22E" w:rsidRPr="001A1A14">
        <w:t xml:space="preserve"> </w:t>
      </w:r>
      <w:r w:rsidRPr="001A1A14">
        <w:t>võrkude</w:t>
      </w:r>
      <w:r w:rsidR="00C40830" w:rsidRPr="001A1A14">
        <w:t>s kasutusel olevad</w:t>
      </w:r>
      <w:r w:rsidRPr="001A1A14">
        <w:t xml:space="preserve"> </w:t>
      </w:r>
      <w:r w:rsidR="00BF3F0F" w:rsidRPr="001A1A14">
        <w:t>võrgu</w:t>
      </w:r>
      <w:r w:rsidR="00C40830" w:rsidRPr="001A1A14">
        <w:t>arhitektuurid</w:t>
      </w:r>
      <w:bookmarkEnd w:id="11"/>
      <w:bookmarkEnd w:id="12"/>
    </w:p>
    <w:p w14:paraId="34B1DC0A" w14:textId="77777777" w:rsidR="00EF53AB" w:rsidRPr="006E317E" w:rsidRDefault="00EF53AB" w:rsidP="00AA241E">
      <w:pPr>
        <w:jc w:val="both"/>
        <w:rPr>
          <w:lang w:eastAsia="ar-SA"/>
        </w:rPr>
      </w:pPr>
      <w:bookmarkStart w:id="14" w:name="_Toc164846096"/>
      <w:bookmarkEnd w:id="13"/>
      <w:r w:rsidRPr="006E317E">
        <w:rPr>
          <w:lang w:eastAsia="ar-SA"/>
        </w:rPr>
        <w:t>Tüüpiline elektroonilise side võrgu struktuur ja teenuste osutamiseks kasutatavad tehnoloogiad</w:t>
      </w:r>
      <w:bookmarkEnd w:id="14"/>
    </w:p>
    <w:p w14:paraId="26534155" w14:textId="726EB1B5" w:rsidR="00EF53AB" w:rsidRPr="006E317E" w:rsidRDefault="00EF53AB" w:rsidP="00AA241E">
      <w:pPr>
        <w:jc w:val="both"/>
      </w:pPr>
      <w:r w:rsidRPr="006E317E">
        <w:lastRenderedPageBreak/>
        <w:t>Elektroonili</w:t>
      </w:r>
      <w:r w:rsidR="369D235B" w:rsidRPr="006E317E">
        <w:t>s</w:t>
      </w:r>
      <w:r w:rsidRPr="006E317E">
        <w:t>e side</w:t>
      </w:r>
      <w:r w:rsidR="209B8ABD" w:rsidRPr="006E317E">
        <w:t xml:space="preserve"> </w:t>
      </w:r>
      <w:r w:rsidRPr="006E317E">
        <w:t>võrk koosneb järgmistest osadest:</w:t>
      </w:r>
    </w:p>
    <w:p w14:paraId="62FE33CB" w14:textId="77777777" w:rsidR="00EF53AB" w:rsidRPr="006E317E" w:rsidRDefault="00EF53AB" w:rsidP="00AA241E">
      <w:pPr>
        <w:pStyle w:val="Loendilik"/>
        <w:numPr>
          <w:ilvl w:val="0"/>
          <w:numId w:val="79"/>
        </w:numPr>
        <w:jc w:val="both"/>
      </w:pPr>
      <w:r w:rsidRPr="006E317E">
        <w:t>Ülekandevõrk või baasvõrk;</w:t>
      </w:r>
    </w:p>
    <w:p w14:paraId="4D15CB63" w14:textId="77777777" w:rsidR="00EF53AB" w:rsidRPr="006E317E" w:rsidRDefault="00EF53AB" w:rsidP="00AA241E">
      <w:pPr>
        <w:pStyle w:val="Loendilik"/>
        <w:numPr>
          <w:ilvl w:val="0"/>
          <w:numId w:val="79"/>
        </w:numPr>
        <w:jc w:val="both"/>
      </w:pPr>
      <w:r w:rsidRPr="006E317E">
        <w:t>juurdepääsuvõrk.</w:t>
      </w:r>
    </w:p>
    <w:p w14:paraId="58286A3B" w14:textId="1BA4629E" w:rsidR="00EF53AB" w:rsidRPr="006E317E" w:rsidRDefault="00EF53AB" w:rsidP="00AA241E">
      <w:pPr>
        <w:jc w:val="both"/>
      </w:pPr>
      <w:r w:rsidRPr="006E317E">
        <w:t>Ülekande</w:t>
      </w:r>
      <w:r w:rsidR="00C40830">
        <w:t>v</w:t>
      </w:r>
      <w:r w:rsidRPr="006E317E">
        <w:t xml:space="preserve">õrk on osa üldkasutatavast elektroonilise side võrgust, millesse on ühendatud ülekandevõrgu vahendid, st edastus-, lülitus-, marsruutimis-, </w:t>
      </w:r>
      <w:proofErr w:type="spellStart"/>
      <w:r w:rsidRPr="006E317E">
        <w:t>multipleksimis</w:t>
      </w:r>
      <w:proofErr w:type="spellEnd"/>
      <w:r w:rsidRPr="006E317E">
        <w:t>- või samaväärsed seadmed, millega on ühendatud juurdepääsuvõrk ja mis pakub ühendusi teise operaatori elektroonilise side võrguga. Ülekandevõrku saab ehitada võrguhierarhia eri tasanditel, st sellel võib olla kohalik, piirkondlik või riiklik tasand. Kohalik tasand on lõppkasutaja lõpp-punktile kõige lähemal võrreldes piirkondliku ja riikliku tasandiga. Piirkondlik tasand on sügavam ja riiklik tasand on ülekandevõrgu hierarhias sügavaim. Kohalikul, piirkondlikul või riiklikul tasandil väljendatakse nende lõppkasutajate arvu, keda ülekandevõrgu hierarhia teataval tasandil teenindatakse. Kuna Eesti on territor</w:t>
      </w:r>
      <w:r w:rsidR="24E326E0" w:rsidRPr="006E317E">
        <w:t>i</w:t>
      </w:r>
      <w:r w:rsidRPr="006E317E">
        <w:t>aalselt väike riik on ülekandevõrgus kasutusel hierarhiliselt ainult kohalik ja riiklik tasand, piirkondli</w:t>
      </w:r>
      <w:r w:rsidR="069BBCC5" w:rsidRPr="006E317E">
        <w:t>k</w:t>
      </w:r>
      <w:r w:rsidRPr="006E317E">
        <w:t xml:space="preserve">ku tasandit Eestis ülekandevõrkudes ei piiritleta.  </w:t>
      </w:r>
    </w:p>
    <w:p w14:paraId="21804E66" w14:textId="195B8FB8" w:rsidR="00EF53AB" w:rsidRPr="006E317E" w:rsidRDefault="00EF53AB" w:rsidP="00AA241E">
      <w:pPr>
        <w:jc w:val="both"/>
      </w:pPr>
      <w:r w:rsidRPr="006E317E">
        <w:t xml:space="preserve">Juurdepääsuvõrk on osa üldkasutatavast elektroonilise side võrgust, mis ühendab </w:t>
      </w:r>
      <w:r w:rsidR="00C40830">
        <w:t>ülekande</w:t>
      </w:r>
      <w:r w:rsidRPr="006E317E">
        <w:t xml:space="preserve">võrgu lõpp-punktiga. Kliendiliin, mida nimetatakse ka juurdepääsuliiniks, on juurdepääsuvõrgu lahutamatu osa. Eelkõige on kliendiliin see osa sidevõrgust (füüsiline liin), mis ühendab fikseeritud võrgu lõpp-punkti </w:t>
      </w:r>
      <w:proofErr w:type="spellStart"/>
      <w:r w:rsidRPr="006E317E">
        <w:t>peajaotaja</w:t>
      </w:r>
      <w:proofErr w:type="spellEnd"/>
      <w:r w:rsidRPr="006E317E">
        <w:t xml:space="preserve"> või muu vastava seadme vaheline füüsiline ühendus. Vaskpaar juurdepääsuvõrgu jaoks kasutatav kohalik võrgusõlm (edaspidi MDF - </w:t>
      </w:r>
      <w:r w:rsidRPr="00AD2A3F">
        <w:rPr>
          <w:i/>
          <w:iCs/>
        </w:rPr>
        <w:t xml:space="preserve">Main Distribution </w:t>
      </w:r>
      <w:proofErr w:type="spellStart"/>
      <w:r w:rsidRPr="00AD2A3F">
        <w:rPr>
          <w:i/>
          <w:iCs/>
        </w:rPr>
        <w:t>Frame</w:t>
      </w:r>
      <w:proofErr w:type="spellEnd"/>
      <w:r w:rsidRPr="006E317E">
        <w:t xml:space="preserve">) ja valguskaabel juurdepääsuvõrgu jaoks kasutatav kohalik võrgusõlm (edaspidi ODF - </w:t>
      </w:r>
      <w:proofErr w:type="spellStart"/>
      <w:r w:rsidRPr="00AD2A3F">
        <w:rPr>
          <w:i/>
          <w:iCs/>
        </w:rPr>
        <w:t>Optical</w:t>
      </w:r>
      <w:proofErr w:type="spellEnd"/>
      <w:r w:rsidRPr="00AD2A3F">
        <w:rPr>
          <w:i/>
          <w:iCs/>
        </w:rPr>
        <w:t xml:space="preserve"> Distribution </w:t>
      </w:r>
      <w:proofErr w:type="spellStart"/>
      <w:r w:rsidRPr="00AD2A3F">
        <w:rPr>
          <w:i/>
          <w:iCs/>
        </w:rPr>
        <w:t>Frame</w:t>
      </w:r>
      <w:proofErr w:type="spellEnd"/>
      <w:r w:rsidRPr="006E317E">
        <w:t>) peavad tavaliselt asuma juurdepääsusõlmes. Juurdepääsusõlm on omakorda koht, milles juurdepääsuvõrk ja ülekandevõrk on omavahel ühendatud.</w:t>
      </w:r>
    </w:p>
    <w:p w14:paraId="524C6749" w14:textId="3AA47889" w:rsidR="00EF53AB" w:rsidRPr="006E317E" w:rsidRDefault="00EF53AB" w:rsidP="00AA241E">
      <w:pPr>
        <w:jc w:val="both"/>
      </w:pPr>
      <w:r w:rsidRPr="006E317E">
        <w:t>Elektro</w:t>
      </w:r>
      <w:r w:rsidR="0B7943A0" w:rsidRPr="006E317E">
        <w:t>o</w:t>
      </w:r>
      <w:r w:rsidRPr="006E317E">
        <w:t>nilise side teenuseid saab osutada järgmiste sidevõrgu tehnoloogiate vahenduse</w:t>
      </w:r>
      <w:r w:rsidR="00A60F56" w:rsidRPr="006E317E">
        <w:t>l</w:t>
      </w:r>
      <w:r w:rsidRPr="006E317E">
        <w:t>:</w:t>
      </w:r>
    </w:p>
    <w:p w14:paraId="58233941" w14:textId="77777777" w:rsidR="00EF53AB" w:rsidRPr="006E317E" w:rsidRDefault="00EF53AB" w:rsidP="00AA241E">
      <w:pPr>
        <w:pStyle w:val="Loendilik"/>
        <w:numPr>
          <w:ilvl w:val="0"/>
          <w:numId w:val="80"/>
        </w:numPr>
        <w:jc w:val="both"/>
      </w:pPr>
      <w:r w:rsidRPr="006E317E">
        <w:t xml:space="preserve">Vaskpaar kaabel elektroonilise side võrgud; </w:t>
      </w:r>
    </w:p>
    <w:p w14:paraId="5A58555E" w14:textId="77777777" w:rsidR="00EF53AB" w:rsidRPr="006E317E" w:rsidRDefault="00EF53AB" w:rsidP="00AA241E">
      <w:pPr>
        <w:pStyle w:val="Loendilik"/>
        <w:numPr>
          <w:ilvl w:val="0"/>
          <w:numId w:val="80"/>
        </w:numPr>
        <w:jc w:val="both"/>
      </w:pPr>
      <w:r w:rsidRPr="006E317E">
        <w:t>Valguskaabel elektroonilise side võrgud;</w:t>
      </w:r>
    </w:p>
    <w:p w14:paraId="09CFE06D" w14:textId="059F0FDF" w:rsidR="00EF53AB" w:rsidRPr="006E317E" w:rsidRDefault="00EF53AB" w:rsidP="00AA241E">
      <w:pPr>
        <w:pStyle w:val="Loendilik"/>
        <w:numPr>
          <w:ilvl w:val="0"/>
          <w:numId w:val="80"/>
        </w:numPr>
        <w:jc w:val="both"/>
      </w:pPr>
      <w:r w:rsidRPr="006E317E">
        <w:t>Eespool nimetatud tüüpide kombinatsioon</w:t>
      </w:r>
      <w:r w:rsidR="103BEB17" w:rsidRPr="006E317E">
        <w:t>ina olevad</w:t>
      </w:r>
      <w:r w:rsidRPr="006E317E">
        <w:t xml:space="preserve"> elektroonilise side võrgud;</w:t>
      </w:r>
    </w:p>
    <w:p w14:paraId="06E170F2" w14:textId="77777777" w:rsidR="00EF53AB" w:rsidRPr="006E317E" w:rsidRDefault="00EF53AB" w:rsidP="00AA241E">
      <w:pPr>
        <w:pStyle w:val="Loendilik"/>
        <w:numPr>
          <w:ilvl w:val="0"/>
          <w:numId w:val="80"/>
        </w:numPr>
        <w:jc w:val="both"/>
      </w:pPr>
      <w:r w:rsidRPr="006E317E">
        <w:t>Koaksiaalkaabel elektroonilise side võrgud;</w:t>
      </w:r>
    </w:p>
    <w:p w14:paraId="11B6A200" w14:textId="38EC1265" w:rsidR="00EF53AB" w:rsidRPr="006E317E" w:rsidRDefault="00EF53AB" w:rsidP="00AA241E">
      <w:pPr>
        <w:pStyle w:val="Loendilik"/>
        <w:numPr>
          <w:ilvl w:val="0"/>
          <w:numId w:val="80"/>
        </w:numPr>
        <w:jc w:val="both"/>
      </w:pPr>
      <w:r w:rsidRPr="006E317E">
        <w:t>Raadiosidel põhinev</w:t>
      </w:r>
      <w:r w:rsidR="59923800" w:rsidRPr="006E317E">
        <w:t>ad</w:t>
      </w:r>
      <w:r w:rsidRPr="006E317E">
        <w:t xml:space="preserve"> elektroonilise side võrgud (</w:t>
      </w:r>
      <w:bookmarkStart w:id="15" w:name="_Hlk136415461"/>
      <w:r w:rsidRPr="006E317E">
        <w:t>FWA</w:t>
      </w:r>
      <w:bookmarkEnd w:id="15"/>
      <w:r w:rsidRPr="006E317E">
        <w:t xml:space="preserve"> – </w:t>
      </w:r>
      <w:r w:rsidRPr="009B266A">
        <w:rPr>
          <w:i/>
          <w:iCs/>
          <w:lang w:val="en-GB"/>
        </w:rPr>
        <w:t>Fixed Wireless Access</w:t>
      </w:r>
      <w:r w:rsidRPr="006E317E">
        <w:t>);</w:t>
      </w:r>
    </w:p>
    <w:p w14:paraId="26718250" w14:textId="026E2A2A" w:rsidR="00EF53AB" w:rsidRPr="006E317E" w:rsidRDefault="00EF53AB" w:rsidP="00AA241E">
      <w:pPr>
        <w:pStyle w:val="Loendilik"/>
        <w:numPr>
          <w:ilvl w:val="0"/>
          <w:numId w:val="80"/>
        </w:numPr>
        <w:jc w:val="both"/>
      </w:pPr>
      <w:r w:rsidRPr="006E317E">
        <w:t>Mobiilside</w:t>
      </w:r>
      <w:r w:rsidR="3CED7383" w:rsidRPr="006E317E">
        <w:t>l põhinevad</w:t>
      </w:r>
      <w:r w:rsidRPr="006E317E">
        <w:t xml:space="preserve"> elektroonilise side võrgud.</w:t>
      </w:r>
      <w:r w:rsidR="00015E36" w:rsidRPr="006E317E">
        <w:tab/>
      </w:r>
    </w:p>
    <w:p w14:paraId="6BA10642" w14:textId="609C60DE" w:rsidR="00EF53AB" w:rsidRPr="006E317E" w:rsidRDefault="002C20B3" w:rsidP="00AA241E">
      <w:pPr>
        <w:jc w:val="both"/>
      </w:pPr>
      <w:r w:rsidRPr="006E317E">
        <w:rPr>
          <w:noProof/>
        </w:rPr>
        <w:lastRenderedPageBreak/>
        <mc:AlternateContent>
          <mc:Choice Requires="wps">
            <w:drawing>
              <wp:anchor distT="0" distB="0" distL="114300" distR="114300" simplePos="0" relativeHeight="251665408" behindDoc="0" locked="0" layoutInCell="1" allowOverlap="1" wp14:anchorId="6A0268DF" wp14:editId="7678EA36">
                <wp:simplePos x="0" y="0"/>
                <wp:positionH relativeFrom="column">
                  <wp:posOffset>19050</wp:posOffset>
                </wp:positionH>
                <wp:positionV relativeFrom="paragraph">
                  <wp:posOffset>3161031</wp:posOffset>
                </wp:positionV>
                <wp:extent cx="5826760" cy="457200"/>
                <wp:effectExtent l="0" t="0" r="21590" b="19050"/>
                <wp:wrapNone/>
                <wp:docPr id="2" name="Tekstiväli 2"/>
                <wp:cNvGraphicFramePr/>
                <a:graphic xmlns:a="http://schemas.openxmlformats.org/drawingml/2006/main">
                  <a:graphicData uri="http://schemas.microsoft.com/office/word/2010/wordprocessingShape">
                    <wps:wsp>
                      <wps:cNvSpPr txBox="1"/>
                      <wps:spPr>
                        <a:xfrm>
                          <a:off x="0" y="0"/>
                          <a:ext cx="5826760" cy="457200"/>
                        </a:xfrm>
                        <a:prstGeom prst="rect">
                          <a:avLst/>
                        </a:prstGeom>
                        <a:solidFill>
                          <a:sysClr val="window" lastClr="FFFFFF"/>
                        </a:solidFill>
                        <a:ln w="6350">
                          <a:solidFill>
                            <a:srgbClr val="0070C0"/>
                          </a:solidFill>
                        </a:ln>
                      </wps:spPr>
                      <wps:txbx>
                        <w:txbxContent>
                          <w:p w14:paraId="64926E3F" w14:textId="585AEBCB" w:rsidR="00EF53AB" w:rsidRPr="00C40830" w:rsidRDefault="00EF53AB" w:rsidP="00EF53AB">
                            <w:pPr>
                              <w:rPr>
                                <w:sz w:val="16"/>
                                <w:szCs w:val="16"/>
                                <w:lang w:val="en-GB"/>
                              </w:rPr>
                            </w:pPr>
                            <w:r w:rsidRPr="00C40830">
                              <w:rPr>
                                <w:b/>
                                <w:bCs/>
                                <w:sz w:val="16"/>
                                <w:szCs w:val="16"/>
                                <w:lang w:val="en-GB"/>
                              </w:rPr>
                              <w:t>NGA</w:t>
                            </w:r>
                            <w:r w:rsidRPr="00C40830">
                              <w:rPr>
                                <w:sz w:val="16"/>
                                <w:szCs w:val="16"/>
                                <w:lang w:val="en-GB"/>
                              </w:rPr>
                              <w:t xml:space="preserve"> – next generation access network; </w:t>
                            </w:r>
                            <w:r w:rsidRPr="00C40830">
                              <w:rPr>
                                <w:b/>
                                <w:bCs/>
                                <w:sz w:val="16"/>
                                <w:szCs w:val="16"/>
                                <w:lang w:val="en-GB"/>
                              </w:rPr>
                              <w:t>MDF</w:t>
                            </w:r>
                            <w:r w:rsidRPr="00C40830">
                              <w:rPr>
                                <w:sz w:val="16"/>
                                <w:szCs w:val="16"/>
                                <w:lang w:val="en-GB"/>
                              </w:rPr>
                              <w:t xml:space="preserve"> – </w:t>
                            </w:r>
                            <w:r w:rsidRPr="00C40830">
                              <w:rPr>
                                <w:i/>
                                <w:iCs/>
                                <w:sz w:val="16"/>
                                <w:szCs w:val="16"/>
                                <w:lang w:val="en-GB"/>
                              </w:rPr>
                              <w:t>main distribution frame;</w:t>
                            </w:r>
                            <w:r w:rsidRPr="00C40830">
                              <w:rPr>
                                <w:sz w:val="16"/>
                                <w:szCs w:val="16"/>
                                <w:lang w:val="en-GB"/>
                              </w:rPr>
                              <w:t xml:space="preserve"> </w:t>
                            </w:r>
                            <w:r w:rsidRPr="00C40830">
                              <w:rPr>
                                <w:b/>
                                <w:bCs/>
                                <w:sz w:val="16"/>
                                <w:szCs w:val="16"/>
                                <w:lang w:val="en-GB"/>
                              </w:rPr>
                              <w:t>ODF</w:t>
                            </w:r>
                            <w:r w:rsidRPr="00C40830">
                              <w:rPr>
                                <w:sz w:val="16"/>
                                <w:szCs w:val="16"/>
                                <w:lang w:val="en-GB"/>
                              </w:rPr>
                              <w:t xml:space="preserve"> – </w:t>
                            </w:r>
                            <w:r w:rsidRPr="00C40830">
                              <w:rPr>
                                <w:i/>
                                <w:iCs/>
                                <w:sz w:val="16"/>
                                <w:szCs w:val="16"/>
                                <w:lang w:val="en-GB"/>
                              </w:rPr>
                              <w:t>optical distribution frame;</w:t>
                            </w:r>
                            <w:r w:rsidRPr="00C40830">
                              <w:rPr>
                                <w:sz w:val="16"/>
                                <w:szCs w:val="16"/>
                                <w:lang w:val="en-GB"/>
                              </w:rPr>
                              <w:t xml:space="preserve"> </w:t>
                            </w:r>
                            <w:r w:rsidRPr="00C40830">
                              <w:rPr>
                                <w:b/>
                                <w:bCs/>
                                <w:sz w:val="16"/>
                                <w:szCs w:val="16"/>
                                <w:lang w:val="en-GB"/>
                              </w:rPr>
                              <w:t>SC</w:t>
                            </w:r>
                            <w:r w:rsidRPr="00C40830">
                              <w:rPr>
                                <w:sz w:val="16"/>
                                <w:szCs w:val="16"/>
                                <w:lang w:val="en-GB"/>
                              </w:rPr>
                              <w:t xml:space="preserve"> – </w:t>
                            </w:r>
                            <w:r w:rsidRPr="00C40830">
                              <w:rPr>
                                <w:i/>
                                <w:iCs/>
                                <w:sz w:val="16"/>
                                <w:szCs w:val="16"/>
                                <w:lang w:val="en-GB"/>
                              </w:rPr>
                              <w:t>street cabinet;</w:t>
                            </w:r>
                            <w:r w:rsidRPr="00C40830">
                              <w:rPr>
                                <w:sz w:val="16"/>
                                <w:szCs w:val="16"/>
                                <w:lang w:val="en-GB"/>
                              </w:rPr>
                              <w:t xml:space="preserve">                    </w:t>
                            </w:r>
                            <w:r w:rsidRPr="00C40830">
                              <w:rPr>
                                <w:b/>
                                <w:bCs/>
                                <w:sz w:val="16"/>
                                <w:szCs w:val="16"/>
                                <w:lang w:val="en-GB"/>
                              </w:rPr>
                              <w:t>DP</w:t>
                            </w:r>
                            <w:r w:rsidRPr="00C40830">
                              <w:rPr>
                                <w:sz w:val="16"/>
                                <w:szCs w:val="16"/>
                                <w:lang w:val="en-GB"/>
                              </w:rPr>
                              <w:t xml:space="preserve"> – </w:t>
                            </w:r>
                            <w:r w:rsidRPr="00C40830">
                              <w:rPr>
                                <w:i/>
                                <w:iCs/>
                                <w:sz w:val="16"/>
                                <w:szCs w:val="16"/>
                                <w:lang w:val="en-GB"/>
                              </w:rPr>
                              <w:t xml:space="preserve">distribution point; </w:t>
                            </w:r>
                            <w:r w:rsidRPr="00C40830">
                              <w:rPr>
                                <w:b/>
                                <w:bCs/>
                                <w:sz w:val="16"/>
                                <w:szCs w:val="16"/>
                                <w:lang w:val="en-GB"/>
                              </w:rPr>
                              <w:t>DSLAM</w:t>
                            </w:r>
                            <w:r w:rsidRPr="00C40830">
                              <w:rPr>
                                <w:sz w:val="16"/>
                                <w:szCs w:val="16"/>
                                <w:lang w:val="en-GB"/>
                              </w:rPr>
                              <w:t xml:space="preserve"> – </w:t>
                            </w:r>
                            <w:r w:rsidRPr="00C40830">
                              <w:rPr>
                                <w:i/>
                                <w:iCs/>
                                <w:sz w:val="16"/>
                                <w:szCs w:val="16"/>
                                <w:lang w:val="en-GB"/>
                              </w:rPr>
                              <w:t>digital subscriber line access multiplexer;</w:t>
                            </w:r>
                            <w:r w:rsidRPr="00C40830">
                              <w:rPr>
                                <w:sz w:val="16"/>
                                <w:szCs w:val="16"/>
                                <w:lang w:val="en-GB"/>
                              </w:rPr>
                              <w:t xml:space="preserve"> </w:t>
                            </w:r>
                            <w:r w:rsidRPr="00C40830">
                              <w:rPr>
                                <w:b/>
                                <w:bCs/>
                                <w:sz w:val="16"/>
                                <w:szCs w:val="16"/>
                                <w:lang w:val="en-GB"/>
                              </w:rPr>
                              <w:t>BRAS</w:t>
                            </w:r>
                            <w:r w:rsidRPr="00C40830">
                              <w:rPr>
                                <w:sz w:val="16"/>
                                <w:szCs w:val="16"/>
                                <w:lang w:val="en-GB"/>
                              </w:rPr>
                              <w:t xml:space="preserve"> - </w:t>
                            </w:r>
                            <w:r w:rsidRPr="00C40830">
                              <w:rPr>
                                <w:i/>
                                <w:iCs/>
                                <w:sz w:val="16"/>
                                <w:szCs w:val="16"/>
                                <w:lang w:val="en-GB"/>
                              </w:rPr>
                              <w:t xml:space="preserve">broadband remote access server;                                                                              </w:t>
                            </w:r>
                            <w:r w:rsidRPr="00C40830">
                              <w:rPr>
                                <w:sz w:val="16"/>
                                <w:szCs w:val="16"/>
                                <w:lang w:val="en-GB"/>
                              </w:rPr>
                              <w:t xml:space="preserve"> </w:t>
                            </w:r>
                            <w:r w:rsidRPr="00C40830">
                              <w:rPr>
                                <w:b/>
                                <w:bCs/>
                                <w:sz w:val="16"/>
                                <w:szCs w:val="16"/>
                                <w:lang w:val="en-GB"/>
                              </w:rPr>
                              <w:t>IP/MPLS</w:t>
                            </w:r>
                            <w:r w:rsidRPr="00C40830">
                              <w:rPr>
                                <w:sz w:val="16"/>
                                <w:szCs w:val="16"/>
                                <w:lang w:val="en-GB"/>
                              </w:rPr>
                              <w:t xml:space="preserve"> - </w:t>
                            </w:r>
                            <w:r w:rsidRPr="00C40830">
                              <w:rPr>
                                <w:i/>
                                <w:iCs/>
                                <w:sz w:val="16"/>
                                <w:szCs w:val="16"/>
                                <w:lang w:val="en-GB"/>
                              </w:rPr>
                              <w:t>Internet Protocol / Multi-Protocol Label Switching;</w:t>
                            </w:r>
                            <w:r w:rsidRPr="00C40830">
                              <w:rPr>
                                <w:sz w:val="16"/>
                                <w:szCs w:val="16"/>
                                <w:lang w:val="en-GB"/>
                              </w:rPr>
                              <w:t xml:space="preserve"> </w:t>
                            </w:r>
                            <w:r w:rsidRPr="00C40830">
                              <w:rPr>
                                <w:b/>
                                <w:bCs/>
                                <w:sz w:val="16"/>
                                <w:szCs w:val="16"/>
                                <w:lang w:val="en-GB"/>
                              </w:rPr>
                              <w:t>L2/L3</w:t>
                            </w:r>
                            <w:r w:rsidRPr="00C40830">
                              <w:rPr>
                                <w:sz w:val="16"/>
                                <w:szCs w:val="16"/>
                                <w:lang w:val="en-GB"/>
                              </w:rPr>
                              <w:t xml:space="preserve"> - </w:t>
                            </w:r>
                            <w:r w:rsidRPr="00C40830">
                              <w:rPr>
                                <w:i/>
                                <w:iCs/>
                                <w:sz w:val="16"/>
                                <w:szCs w:val="16"/>
                                <w:lang w:val="en-GB"/>
                              </w:rPr>
                              <w:t>Open Systems Interconnection (OSI) Layer 2 and Layer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268DF" id="_x0000_t202" coordsize="21600,21600" o:spt="202" path="m,l,21600r21600,l21600,xe">
                <v:stroke joinstyle="miter"/>
                <v:path gradientshapeok="t" o:connecttype="rect"/>
              </v:shapetype>
              <v:shape id="Tekstiväli 2" o:spid="_x0000_s1026" type="#_x0000_t202" style="position:absolute;left:0;text-align:left;margin-left:1.5pt;margin-top:248.9pt;width:458.8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" fillcolor="window" strokecolor="#0070c0" strokeweight=".5pt">
                <v:textbox>
                  <w:txbxContent>
                    <w:p w14:paraId="64926E3F" w14:textId="585AEBCB" w:rsidR="00EF53AB" w:rsidRPr="00C40830" w:rsidRDefault="00EF53AB" w:rsidP="00EF53AB">
                      <w:pPr>
                        <w:rPr>
                          <w:sz w:val="16"/>
                          <w:szCs w:val="16"/>
                          <w:lang w:val="en-GB"/>
                        </w:rPr>
                      </w:pPr>
                      <w:r w:rsidRPr="00C40830">
                        <w:rPr>
                          <w:b/>
                          <w:bCs/>
                          <w:sz w:val="16"/>
                          <w:szCs w:val="16"/>
                          <w:lang w:val="en-GB"/>
                        </w:rPr>
                        <w:t>NGA</w:t>
                      </w:r>
                      <w:r w:rsidRPr="00C40830">
                        <w:rPr>
                          <w:sz w:val="16"/>
                          <w:szCs w:val="16"/>
                          <w:lang w:val="en-GB"/>
                        </w:rPr>
                        <w:t xml:space="preserve"> – next generation access network; </w:t>
                      </w:r>
                      <w:r w:rsidRPr="00C40830">
                        <w:rPr>
                          <w:b/>
                          <w:bCs/>
                          <w:sz w:val="16"/>
                          <w:szCs w:val="16"/>
                          <w:lang w:val="en-GB"/>
                        </w:rPr>
                        <w:t>MDF</w:t>
                      </w:r>
                      <w:r w:rsidRPr="00C40830">
                        <w:rPr>
                          <w:sz w:val="16"/>
                          <w:szCs w:val="16"/>
                          <w:lang w:val="en-GB"/>
                        </w:rPr>
                        <w:t xml:space="preserve"> – </w:t>
                      </w:r>
                      <w:r w:rsidRPr="00C40830">
                        <w:rPr>
                          <w:i/>
                          <w:iCs/>
                          <w:sz w:val="16"/>
                          <w:szCs w:val="16"/>
                          <w:lang w:val="en-GB"/>
                        </w:rPr>
                        <w:t>main distribution frame;</w:t>
                      </w:r>
                      <w:r w:rsidRPr="00C40830">
                        <w:rPr>
                          <w:sz w:val="16"/>
                          <w:szCs w:val="16"/>
                          <w:lang w:val="en-GB"/>
                        </w:rPr>
                        <w:t xml:space="preserve"> </w:t>
                      </w:r>
                      <w:r w:rsidRPr="00C40830">
                        <w:rPr>
                          <w:b/>
                          <w:bCs/>
                          <w:sz w:val="16"/>
                          <w:szCs w:val="16"/>
                          <w:lang w:val="en-GB"/>
                        </w:rPr>
                        <w:t>ODF</w:t>
                      </w:r>
                      <w:r w:rsidRPr="00C40830">
                        <w:rPr>
                          <w:sz w:val="16"/>
                          <w:szCs w:val="16"/>
                          <w:lang w:val="en-GB"/>
                        </w:rPr>
                        <w:t xml:space="preserve"> – </w:t>
                      </w:r>
                      <w:r w:rsidRPr="00C40830">
                        <w:rPr>
                          <w:i/>
                          <w:iCs/>
                          <w:sz w:val="16"/>
                          <w:szCs w:val="16"/>
                          <w:lang w:val="en-GB"/>
                        </w:rPr>
                        <w:t>optical distribution frame;</w:t>
                      </w:r>
                      <w:r w:rsidRPr="00C40830">
                        <w:rPr>
                          <w:sz w:val="16"/>
                          <w:szCs w:val="16"/>
                          <w:lang w:val="en-GB"/>
                        </w:rPr>
                        <w:t xml:space="preserve"> </w:t>
                      </w:r>
                      <w:r w:rsidRPr="00C40830">
                        <w:rPr>
                          <w:b/>
                          <w:bCs/>
                          <w:sz w:val="16"/>
                          <w:szCs w:val="16"/>
                          <w:lang w:val="en-GB"/>
                        </w:rPr>
                        <w:t>SC</w:t>
                      </w:r>
                      <w:r w:rsidRPr="00C40830">
                        <w:rPr>
                          <w:sz w:val="16"/>
                          <w:szCs w:val="16"/>
                          <w:lang w:val="en-GB"/>
                        </w:rPr>
                        <w:t xml:space="preserve"> – </w:t>
                      </w:r>
                      <w:r w:rsidRPr="00C40830">
                        <w:rPr>
                          <w:i/>
                          <w:iCs/>
                          <w:sz w:val="16"/>
                          <w:szCs w:val="16"/>
                          <w:lang w:val="en-GB"/>
                        </w:rPr>
                        <w:t>street cabinet;</w:t>
                      </w:r>
                      <w:r w:rsidRPr="00C40830">
                        <w:rPr>
                          <w:sz w:val="16"/>
                          <w:szCs w:val="16"/>
                          <w:lang w:val="en-GB"/>
                        </w:rPr>
                        <w:t xml:space="preserve">                    </w:t>
                      </w:r>
                      <w:r w:rsidRPr="00C40830">
                        <w:rPr>
                          <w:b/>
                          <w:bCs/>
                          <w:sz w:val="16"/>
                          <w:szCs w:val="16"/>
                          <w:lang w:val="en-GB"/>
                        </w:rPr>
                        <w:t>DP</w:t>
                      </w:r>
                      <w:r w:rsidRPr="00C40830">
                        <w:rPr>
                          <w:sz w:val="16"/>
                          <w:szCs w:val="16"/>
                          <w:lang w:val="en-GB"/>
                        </w:rPr>
                        <w:t xml:space="preserve"> – </w:t>
                      </w:r>
                      <w:r w:rsidRPr="00C40830">
                        <w:rPr>
                          <w:i/>
                          <w:iCs/>
                          <w:sz w:val="16"/>
                          <w:szCs w:val="16"/>
                          <w:lang w:val="en-GB"/>
                        </w:rPr>
                        <w:t xml:space="preserve">distribution point; </w:t>
                      </w:r>
                      <w:r w:rsidRPr="00C40830">
                        <w:rPr>
                          <w:b/>
                          <w:bCs/>
                          <w:sz w:val="16"/>
                          <w:szCs w:val="16"/>
                          <w:lang w:val="en-GB"/>
                        </w:rPr>
                        <w:t>DSLAM</w:t>
                      </w:r>
                      <w:r w:rsidRPr="00C40830">
                        <w:rPr>
                          <w:sz w:val="16"/>
                          <w:szCs w:val="16"/>
                          <w:lang w:val="en-GB"/>
                        </w:rPr>
                        <w:t xml:space="preserve"> – </w:t>
                      </w:r>
                      <w:r w:rsidRPr="00C40830">
                        <w:rPr>
                          <w:i/>
                          <w:iCs/>
                          <w:sz w:val="16"/>
                          <w:szCs w:val="16"/>
                          <w:lang w:val="en-GB"/>
                        </w:rPr>
                        <w:t>digital subscriber line access multiplexer;</w:t>
                      </w:r>
                      <w:r w:rsidRPr="00C40830">
                        <w:rPr>
                          <w:sz w:val="16"/>
                          <w:szCs w:val="16"/>
                          <w:lang w:val="en-GB"/>
                        </w:rPr>
                        <w:t xml:space="preserve"> </w:t>
                      </w:r>
                      <w:r w:rsidRPr="00C40830">
                        <w:rPr>
                          <w:b/>
                          <w:bCs/>
                          <w:sz w:val="16"/>
                          <w:szCs w:val="16"/>
                          <w:lang w:val="en-GB"/>
                        </w:rPr>
                        <w:t>BRAS</w:t>
                      </w:r>
                      <w:r w:rsidRPr="00C40830">
                        <w:rPr>
                          <w:sz w:val="16"/>
                          <w:szCs w:val="16"/>
                          <w:lang w:val="en-GB"/>
                        </w:rPr>
                        <w:t xml:space="preserve"> - </w:t>
                      </w:r>
                      <w:r w:rsidRPr="00C40830">
                        <w:rPr>
                          <w:i/>
                          <w:iCs/>
                          <w:sz w:val="16"/>
                          <w:szCs w:val="16"/>
                          <w:lang w:val="en-GB"/>
                        </w:rPr>
                        <w:t xml:space="preserve">broadband remote access server;                                                                              </w:t>
                      </w:r>
                      <w:r w:rsidRPr="00C40830">
                        <w:rPr>
                          <w:sz w:val="16"/>
                          <w:szCs w:val="16"/>
                          <w:lang w:val="en-GB"/>
                        </w:rPr>
                        <w:t xml:space="preserve"> </w:t>
                      </w:r>
                      <w:r w:rsidRPr="00C40830">
                        <w:rPr>
                          <w:b/>
                          <w:bCs/>
                          <w:sz w:val="16"/>
                          <w:szCs w:val="16"/>
                          <w:lang w:val="en-GB"/>
                        </w:rPr>
                        <w:t>IP/MPLS</w:t>
                      </w:r>
                      <w:r w:rsidRPr="00C40830">
                        <w:rPr>
                          <w:sz w:val="16"/>
                          <w:szCs w:val="16"/>
                          <w:lang w:val="en-GB"/>
                        </w:rPr>
                        <w:t xml:space="preserve"> - </w:t>
                      </w:r>
                      <w:r w:rsidRPr="00C40830">
                        <w:rPr>
                          <w:i/>
                          <w:iCs/>
                          <w:sz w:val="16"/>
                          <w:szCs w:val="16"/>
                          <w:lang w:val="en-GB"/>
                        </w:rPr>
                        <w:t>Internet Protocol / Multi-Protocol Label Switching;</w:t>
                      </w:r>
                      <w:r w:rsidRPr="00C40830">
                        <w:rPr>
                          <w:sz w:val="16"/>
                          <w:szCs w:val="16"/>
                          <w:lang w:val="en-GB"/>
                        </w:rPr>
                        <w:t xml:space="preserve"> </w:t>
                      </w:r>
                      <w:r w:rsidRPr="00C40830">
                        <w:rPr>
                          <w:b/>
                          <w:bCs/>
                          <w:sz w:val="16"/>
                          <w:szCs w:val="16"/>
                          <w:lang w:val="en-GB"/>
                        </w:rPr>
                        <w:t>L2/L3</w:t>
                      </w:r>
                      <w:r w:rsidRPr="00C40830">
                        <w:rPr>
                          <w:sz w:val="16"/>
                          <w:szCs w:val="16"/>
                          <w:lang w:val="en-GB"/>
                        </w:rPr>
                        <w:t xml:space="preserve"> - </w:t>
                      </w:r>
                      <w:r w:rsidRPr="00C40830">
                        <w:rPr>
                          <w:i/>
                          <w:iCs/>
                          <w:sz w:val="16"/>
                          <w:szCs w:val="16"/>
                          <w:lang w:val="en-GB"/>
                        </w:rPr>
                        <w:t>Open Systems Interconnection (OSI) Layer 2 and Layer 3</w:t>
                      </w:r>
                    </w:p>
                  </w:txbxContent>
                </v:textbox>
              </v:shape>
            </w:pict>
          </mc:Fallback>
        </mc:AlternateContent>
      </w:r>
      <w:r w:rsidR="00EF53AB" w:rsidRPr="006E317E">
        <w:rPr>
          <w:noProof/>
        </w:rPr>
        <mc:AlternateContent>
          <mc:Choice Requires="wps">
            <w:drawing>
              <wp:anchor distT="0" distB="0" distL="114300" distR="114300" simplePos="0" relativeHeight="251638784" behindDoc="0" locked="0" layoutInCell="1" allowOverlap="1" wp14:anchorId="6CCA1F05" wp14:editId="2114E1D4">
                <wp:simplePos x="0" y="0"/>
                <wp:positionH relativeFrom="margin">
                  <wp:posOffset>633730</wp:posOffset>
                </wp:positionH>
                <wp:positionV relativeFrom="paragraph">
                  <wp:posOffset>2624228</wp:posOffset>
                </wp:positionV>
                <wp:extent cx="466725" cy="133350"/>
                <wp:effectExtent l="0" t="0" r="9525" b="0"/>
                <wp:wrapNone/>
                <wp:docPr id="34" name="Tekstiväli 34"/>
                <wp:cNvGraphicFramePr/>
                <a:graphic xmlns:a="http://schemas.openxmlformats.org/drawingml/2006/main">
                  <a:graphicData uri="http://schemas.microsoft.com/office/word/2010/wordprocessingShape">
                    <wps:wsp>
                      <wps:cNvSpPr txBox="1"/>
                      <wps:spPr>
                        <a:xfrm>
                          <a:off x="0" y="0"/>
                          <a:ext cx="466725" cy="133350"/>
                        </a:xfrm>
                        <a:prstGeom prst="rect">
                          <a:avLst/>
                        </a:prstGeom>
                        <a:solidFill>
                          <a:sysClr val="window" lastClr="FFFFFF"/>
                        </a:solidFill>
                        <a:ln w="6350">
                          <a:noFill/>
                        </a:ln>
                      </wps:spPr>
                      <wps:txbx>
                        <w:txbxContent>
                          <w:p w14:paraId="3DDBA024" w14:textId="77777777" w:rsidR="00EF53AB" w:rsidRPr="005E365D" w:rsidRDefault="00EF53AB" w:rsidP="00EF53AB">
                            <w:pPr>
                              <w:jc w:val="center"/>
                              <w:rPr>
                                <w:sz w:val="14"/>
                                <w:szCs w:val="14"/>
                              </w:rPr>
                            </w:pPr>
                            <w:r w:rsidRPr="005E365D">
                              <w:rPr>
                                <w:sz w:val="14"/>
                                <w:szCs w:val="14"/>
                              </w:rPr>
                              <w:t>FTTH PON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A1F05" id="Tekstiväli 34" o:spid="_x0000_s1027" type="#_x0000_t202" style="position:absolute;left:0;text-align:left;margin-left:49.9pt;margin-top:206.65pt;width:36.75pt;height:10.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" fillcolor="window" stroked="f" strokeweight=".5pt">
                <v:textbox inset="0,0,0,0">
                  <w:txbxContent>
                    <w:p w14:paraId="3DDBA024" w14:textId="77777777" w:rsidR="00EF53AB" w:rsidRPr="005E365D" w:rsidRDefault="00EF53AB" w:rsidP="00EF53AB">
                      <w:pPr>
                        <w:jc w:val="center"/>
                        <w:rPr>
                          <w:sz w:val="14"/>
                          <w:szCs w:val="14"/>
                        </w:rPr>
                      </w:pPr>
                      <w:r w:rsidRPr="005E365D">
                        <w:rPr>
                          <w:sz w:val="14"/>
                          <w:szCs w:val="14"/>
                        </w:rPr>
                        <w:t>FTTH PON</w:t>
                      </w:r>
                    </w:p>
                  </w:txbxContent>
                </v:textbox>
                <w10:wrap anchorx="margin"/>
              </v:shape>
            </w:pict>
          </mc:Fallback>
        </mc:AlternateContent>
      </w:r>
      <w:r w:rsidR="00EF53AB" w:rsidRPr="006E317E">
        <w:rPr>
          <w:noProof/>
        </w:rPr>
        <mc:AlternateContent>
          <mc:Choice Requires="wps">
            <w:drawing>
              <wp:anchor distT="0" distB="0" distL="114300" distR="114300" simplePos="0" relativeHeight="251681792" behindDoc="0" locked="0" layoutInCell="1" allowOverlap="1" wp14:anchorId="392841C8" wp14:editId="58705F3C">
                <wp:simplePos x="0" y="0"/>
                <wp:positionH relativeFrom="margin">
                  <wp:posOffset>1500505</wp:posOffset>
                </wp:positionH>
                <wp:positionV relativeFrom="paragraph">
                  <wp:posOffset>2900680</wp:posOffset>
                </wp:positionV>
                <wp:extent cx="417195" cy="200025"/>
                <wp:effectExtent l="0" t="0" r="20955" b="28575"/>
                <wp:wrapNone/>
                <wp:docPr id="9" name="Tekstiväli 9"/>
                <wp:cNvGraphicFramePr/>
                <a:graphic xmlns:a="http://schemas.openxmlformats.org/drawingml/2006/main">
                  <a:graphicData uri="http://schemas.microsoft.com/office/word/2010/wordprocessingShape">
                    <wps:wsp>
                      <wps:cNvSpPr txBox="1"/>
                      <wps:spPr>
                        <a:xfrm>
                          <a:off x="0" y="0"/>
                          <a:ext cx="417195" cy="200025"/>
                        </a:xfrm>
                        <a:prstGeom prst="rect">
                          <a:avLst/>
                        </a:prstGeom>
                        <a:solidFill>
                          <a:sysClr val="window" lastClr="FFFFFF"/>
                        </a:solidFill>
                        <a:ln w="6350">
                          <a:solidFill>
                            <a:sysClr val="windowText" lastClr="000000"/>
                          </a:solidFill>
                        </a:ln>
                      </wps:spPr>
                      <wps:txbx>
                        <w:txbxContent>
                          <w:p w14:paraId="2D9B569A" w14:textId="77777777" w:rsidR="00EF53AB" w:rsidRPr="005E365D" w:rsidRDefault="00EF53AB" w:rsidP="00EF53AB">
                            <w:pPr>
                              <w:jc w:val="center"/>
                              <w:rPr>
                                <w:sz w:val="14"/>
                                <w:szCs w:val="14"/>
                              </w:rPr>
                            </w:pPr>
                            <w:r w:rsidRPr="005E365D">
                              <w:rPr>
                                <w:sz w:val="14"/>
                                <w:szCs w:val="14"/>
                              </w:rPr>
                              <w:t>FTT</w:t>
                            </w:r>
                            <w:r>
                              <w:rPr>
                                <w:sz w:val="14"/>
                                <w:szCs w:val="14"/>
                              </w:rPr>
                              <w:t>B</w:t>
                            </w:r>
                            <w:r w:rsidRPr="005E365D">
                              <w:rPr>
                                <w:sz w:val="14"/>
                                <w:szCs w:val="14"/>
                              </w:rPr>
                              <w:t xml:space="preserve"> P</w:t>
                            </w:r>
                            <w:r>
                              <w:rPr>
                                <w:sz w:val="14"/>
                                <w:szCs w:val="14"/>
                              </w:rPr>
                              <w:t>O</w:t>
                            </w:r>
                            <w:r w:rsidRPr="005E365D">
                              <w:rPr>
                                <w:sz w:val="14"/>
                                <w:szCs w:val="14"/>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841C8" id="Tekstiväli 9" o:spid="_x0000_s1028" type="#_x0000_t202" style="position:absolute;left:0;text-align:left;margin-left:118.15pt;margin-top:228.4pt;width:32.85pt;height:15.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" fillcolor="window" strokecolor="windowText" strokeweight=".5pt">
                <v:textbox inset="0,0,0,0">
                  <w:txbxContent>
                    <w:p w14:paraId="2D9B569A" w14:textId="77777777" w:rsidR="00EF53AB" w:rsidRPr="005E365D" w:rsidRDefault="00EF53AB" w:rsidP="00EF53AB">
                      <w:pPr>
                        <w:jc w:val="center"/>
                        <w:rPr>
                          <w:sz w:val="14"/>
                          <w:szCs w:val="14"/>
                        </w:rPr>
                      </w:pPr>
                      <w:r w:rsidRPr="005E365D">
                        <w:rPr>
                          <w:sz w:val="14"/>
                          <w:szCs w:val="14"/>
                        </w:rPr>
                        <w:t>FTT</w:t>
                      </w:r>
                      <w:r>
                        <w:rPr>
                          <w:sz w:val="14"/>
                          <w:szCs w:val="14"/>
                        </w:rPr>
                        <w:t>B</w:t>
                      </w:r>
                      <w:r w:rsidRPr="005E365D">
                        <w:rPr>
                          <w:sz w:val="14"/>
                          <w:szCs w:val="14"/>
                        </w:rPr>
                        <w:t xml:space="preserve"> P</w:t>
                      </w:r>
                      <w:r>
                        <w:rPr>
                          <w:sz w:val="14"/>
                          <w:szCs w:val="14"/>
                        </w:rPr>
                        <w:t>O</w:t>
                      </w:r>
                      <w:r w:rsidRPr="005E365D">
                        <w:rPr>
                          <w:sz w:val="14"/>
                          <w:szCs w:val="14"/>
                        </w:rPr>
                        <w:t>N</w:t>
                      </w:r>
                    </w:p>
                  </w:txbxContent>
                </v:textbox>
                <w10:wrap anchorx="margin"/>
              </v:shape>
            </w:pict>
          </mc:Fallback>
        </mc:AlternateContent>
      </w:r>
      <w:r w:rsidR="00EF53AB" w:rsidRPr="006E317E">
        <w:rPr>
          <w:noProof/>
        </w:rPr>
        <mc:AlternateContent>
          <mc:Choice Requires="wps">
            <w:drawing>
              <wp:anchor distT="0" distB="0" distL="114300" distR="114300" simplePos="0" relativeHeight="251671552" behindDoc="0" locked="0" layoutInCell="1" allowOverlap="1" wp14:anchorId="7577A514" wp14:editId="0A04DF63">
                <wp:simplePos x="0" y="0"/>
                <wp:positionH relativeFrom="margin">
                  <wp:posOffset>1270799</wp:posOffset>
                </wp:positionH>
                <wp:positionV relativeFrom="paragraph">
                  <wp:posOffset>1756297</wp:posOffset>
                </wp:positionV>
                <wp:extent cx="516890" cy="147881"/>
                <wp:effectExtent l="0" t="0" r="0" b="5080"/>
                <wp:wrapNone/>
                <wp:docPr id="6" name="Tekstiväli 6"/>
                <wp:cNvGraphicFramePr/>
                <a:graphic xmlns:a="http://schemas.openxmlformats.org/drawingml/2006/main">
                  <a:graphicData uri="http://schemas.microsoft.com/office/word/2010/wordprocessingShape">
                    <wps:wsp>
                      <wps:cNvSpPr txBox="1"/>
                      <wps:spPr>
                        <a:xfrm>
                          <a:off x="0" y="0"/>
                          <a:ext cx="516890" cy="147881"/>
                        </a:xfrm>
                        <a:prstGeom prst="rect">
                          <a:avLst/>
                        </a:prstGeom>
                        <a:solidFill>
                          <a:sysClr val="window" lastClr="FFFFFF"/>
                        </a:solidFill>
                        <a:ln w="6350">
                          <a:noFill/>
                        </a:ln>
                      </wps:spPr>
                      <wps:txbx>
                        <w:txbxContent>
                          <w:p w14:paraId="71B2A885" w14:textId="77777777" w:rsidR="00EF53AB" w:rsidRPr="00A8307A" w:rsidRDefault="00EF53AB" w:rsidP="00EF53AB">
                            <w:pPr>
                              <w:jc w:val="center"/>
                              <w:rPr>
                                <w:b/>
                                <w:bCs/>
                                <w:sz w:val="9"/>
                                <w:szCs w:val="9"/>
                              </w:rPr>
                            </w:pPr>
                            <w:r w:rsidRPr="00A8307A">
                              <w:rPr>
                                <w:b/>
                                <w:sz w:val="9"/>
                                <w:szCs w:val="9"/>
                              </w:rPr>
                              <w:t>Valguskaab</w:t>
                            </w:r>
                            <w:r>
                              <w:rPr>
                                <w:b/>
                                <w:sz w:val="9"/>
                                <w:szCs w:val="9"/>
                              </w:rPr>
                              <w:t>el</w:t>
                            </w:r>
                            <w:r w:rsidRPr="00A8307A">
                              <w:rPr>
                                <w:b/>
                                <w:sz w:val="9"/>
                                <w:szCs w:val="9"/>
                              </w:rPr>
                              <w:t xml:space="preserve">                 1 kiud</w:t>
                            </w:r>
                            <w:r>
                              <w:rPr>
                                <w:b/>
                                <w:sz w:val="9"/>
                                <w:szCs w:val="9"/>
                              </w:rPr>
                              <w:t xml:space="preserve"> = mitu LK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7A514" id="Tekstiväli 6" o:spid="_x0000_s1029" type="#_x0000_t202" style="position:absolute;left:0;text-align:left;margin-left:100.05pt;margin-top:138.3pt;width:40.7pt;height:11.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" fillcolor="window" stroked="f" strokeweight=".5pt">
                <v:textbox inset="0,0,0,0">
                  <w:txbxContent>
                    <w:p w14:paraId="71B2A885" w14:textId="77777777" w:rsidR="00EF53AB" w:rsidRPr="00A8307A" w:rsidRDefault="00EF53AB" w:rsidP="00EF53AB">
                      <w:pPr>
                        <w:jc w:val="center"/>
                        <w:rPr>
                          <w:b/>
                          <w:bCs/>
                          <w:sz w:val="9"/>
                          <w:szCs w:val="9"/>
                        </w:rPr>
                      </w:pPr>
                      <w:r w:rsidRPr="00A8307A">
                        <w:rPr>
                          <w:b/>
                          <w:sz w:val="9"/>
                          <w:szCs w:val="9"/>
                        </w:rPr>
                        <w:t>Valguskaab</w:t>
                      </w:r>
                      <w:r>
                        <w:rPr>
                          <w:b/>
                          <w:sz w:val="9"/>
                          <w:szCs w:val="9"/>
                        </w:rPr>
                        <w:t>el</w:t>
                      </w:r>
                      <w:r w:rsidRPr="00A8307A">
                        <w:rPr>
                          <w:b/>
                          <w:sz w:val="9"/>
                          <w:szCs w:val="9"/>
                        </w:rPr>
                        <w:t xml:space="preserve">                 1 kiud</w:t>
                      </w:r>
                      <w:r>
                        <w:rPr>
                          <w:b/>
                          <w:sz w:val="9"/>
                          <w:szCs w:val="9"/>
                        </w:rPr>
                        <w:t xml:space="preserve"> = mitu LK</w:t>
                      </w:r>
                    </w:p>
                  </w:txbxContent>
                </v:textbox>
                <w10:wrap anchorx="margin"/>
              </v:shape>
            </w:pict>
          </mc:Fallback>
        </mc:AlternateContent>
      </w:r>
      <w:r w:rsidR="00EF53AB" w:rsidRPr="006E317E">
        <w:rPr>
          <w:noProof/>
        </w:rPr>
        <mc:AlternateContent>
          <mc:Choice Requires="wps">
            <w:drawing>
              <wp:anchor distT="0" distB="0" distL="114300" distR="114300" simplePos="0" relativeHeight="251683840" behindDoc="0" locked="0" layoutInCell="1" allowOverlap="1" wp14:anchorId="77FA9AD3" wp14:editId="641283E4">
                <wp:simplePos x="0" y="0"/>
                <wp:positionH relativeFrom="margin">
                  <wp:posOffset>763829</wp:posOffset>
                </wp:positionH>
                <wp:positionV relativeFrom="paragraph">
                  <wp:posOffset>1605611</wp:posOffset>
                </wp:positionV>
                <wp:extent cx="417559" cy="126853"/>
                <wp:effectExtent l="0" t="0" r="1905" b="6985"/>
                <wp:wrapNone/>
                <wp:docPr id="7" name="Tekstiväli 7"/>
                <wp:cNvGraphicFramePr/>
                <a:graphic xmlns:a="http://schemas.openxmlformats.org/drawingml/2006/main">
                  <a:graphicData uri="http://schemas.microsoft.com/office/word/2010/wordprocessingShape">
                    <wps:wsp>
                      <wps:cNvSpPr txBox="1"/>
                      <wps:spPr>
                        <a:xfrm>
                          <a:off x="0" y="0"/>
                          <a:ext cx="417559" cy="126853"/>
                        </a:xfrm>
                        <a:prstGeom prst="rect">
                          <a:avLst/>
                        </a:prstGeom>
                        <a:solidFill>
                          <a:sysClr val="window" lastClr="FFFFFF"/>
                        </a:solidFill>
                        <a:ln w="6350">
                          <a:noFill/>
                        </a:ln>
                      </wps:spPr>
                      <wps:txbx>
                        <w:txbxContent>
                          <w:p w14:paraId="6DF7E7AE" w14:textId="77777777" w:rsidR="00EF53AB" w:rsidRPr="005E365D" w:rsidRDefault="00EF53AB" w:rsidP="00EF53AB">
                            <w:pPr>
                              <w:jc w:val="center"/>
                              <w:rPr>
                                <w:sz w:val="14"/>
                                <w:szCs w:val="14"/>
                              </w:rPr>
                            </w:pPr>
                            <w:r w:rsidRPr="005E365D">
                              <w:rPr>
                                <w:sz w:val="14"/>
                                <w:szCs w:val="14"/>
                              </w:rPr>
                              <w:t>FTT</w:t>
                            </w:r>
                            <w:r>
                              <w:rPr>
                                <w:sz w:val="14"/>
                                <w:szCs w:val="14"/>
                              </w:rPr>
                              <w:t>B</w:t>
                            </w:r>
                            <w:r w:rsidRPr="005E365D">
                              <w:rPr>
                                <w:sz w:val="14"/>
                                <w:szCs w:val="14"/>
                              </w:rPr>
                              <w:t xml:space="preserve"> P</w:t>
                            </w:r>
                            <w:r>
                              <w:rPr>
                                <w:sz w:val="14"/>
                                <w:szCs w:val="14"/>
                              </w:rPr>
                              <w:t>2P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A9AD3" id="Tekstiväli 7" o:spid="_x0000_s1030" type="#_x0000_t202" style="position:absolute;left:0;text-align:left;margin-left:60.15pt;margin-top:126.45pt;width:32.9pt;height:10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" fillcolor="window" stroked="f" strokeweight=".5pt">
                <v:textbox inset="0,0,0,0">
                  <w:txbxContent>
                    <w:p w14:paraId="6DF7E7AE" w14:textId="77777777" w:rsidR="00EF53AB" w:rsidRPr="005E365D" w:rsidRDefault="00EF53AB" w:rsidP="00EF53AB">
                      <w:pPr>
                        <w:jc w:val="center"/>
                        <w:rPr>
                          <w:sz w:val="14"/>
                          <w:szCs w:val="14"/>
                        </w:rPr>
                      </w:pPr>
                      <w:r w:rsidRPr="005E365D">
                        <w:rPr>
                          <w:sz w:val="14"/>
                          <w:szCs w:val="14"/>
                        </w:rPr>
                        <w:t>FTT</w:t>
                      </w:r>
                      <w:r>
                        <w:rPr>
                          <w:sz w:val="14"/>
                          <w:szCs w:val="14"/>
                        </w:rPr>
                        <w:t>B</w:t>
                      </w:r>
                      <w:r w:rsidRPr="005E365D">
                        <w:rPr>
                          <w:sz w:val="14"/>
                          <w:szCs w:val="14"/>
                        </w:rPr>
                        <w:t xml:space="preserve"> P</w:t>
                      </w:r>
                      <w:r>
                        <w:rPr>
                          <w:sz w:val="14"/>
                          <w:szCs w:val="14"/>
                        </w:rPr>
                        <w:t>2P</w:t>
                      </w:r>
                    </w:p>
                  </w:txbxContent>
                </v:textbox>
                <w10:wrap anchorx="margin"/>
              </v:shape>
            </w:pict>
          </mc:Fallback>
        </mc:AlternateContent>
      </w:r>
      <w:r w:rsidR="00EF53AB" w:rsidRPr="006E317E">
        <w:rPr>
          <w:noProof/>
        </w:rPr>
        <mc:AlternateContent>
          <mc:Choice Requires="wps">
            <w:drawing>
              <wp:anchor distT="0" distB="0" distL="114300" distR="114300" simplePos="0" relativeHeight="251679744" behindDoc="0" locked="0" layoutInCell="1" allowOverlap="1" wp14:anchorId="355AA9C1" wp14:editId="722F287A">
                <wp:simplePos x="0" y="0"/>
                <wp:positionH relativeFrom="margin">
                  <wp:posOffset>1777959</wp:posOffset>
                </wp:positionH>
                <wp:positionV relativeFrom="paragraph">
                  <wp:posOffset>2598755</wp:posOffset>
                </wp:positionV>
                <wp:extent cx="241161" cy="105507"/>
                <wp:effectExtent l="0" t="0" r="6985" b="8890"/>
                <wp:wrapNone/>
                <wp:docPr id="11" name="Tekstiväli 11"/>
                <wp:cNvGraphicFramePr/>
                <a:graphic xmlns:a="http://schemas.openxmlformats.org/drawingml/2006/main">
                  <a:graphicData uri="http://schemas.microsoft.com/office/word/2010/wordprocessingShape">
                    <wps:wsp>
                      <wps:cNvSpPr txBox="1"/>
                      <wps:spPr>
                        <a:xfrm>
                          <a:off x="0" y="0"/>
                          <a:ext cx="241161" cy="105507"/>
                        </a:xfrm>
                        <a:prstGeom prst="rect">
                          <a:avLst/>
                        </a:prstGeom>
                        <a:solidFill>
                          <a:sysClr val="window" lastClr="FFFFFF"/>
                        </a:solidFill>
                        <a:ln w="6350">
                          <a:noFill/>
                        </a:ln>
                      </wps:spPr>
                      <wps:txbx>
                        <w:txbxContent>
                          <w:p w14:paraId="5A7FF7AB" w14:textId="77777777" w:rsidR="00EF53AB" w:rsidRPr="0097048F" w:rsidRDefault="00EF53AB" w:rsidP="00EF53AB">
                            <w:pPr>
                              <w:rPr>
                                <w:sz w:val="10"/>
                                <w:szCs w:val="10"/>
                              </w:rPr>
                            </w:pPr>
                            <w:r w:rsidRPr="0097048F">
                              <w:rPr>
                                <w:sz w:val="10"/>
                                <w:szCs w:val="10"/>
                              </w:rPr>
                              <w:t>Splitter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AA9C1" id="Tekstiväli 11" o:spid="_x0000_s1031" type="#_x0000_t202" style="position:absolute;left:0;text-align:left;margin-left:140pt;margin-top:204.65pt;width:19pt;height:8.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" fillcolor="window" stroked="f" strokeweight=".5pt">
                <v:textbox inset="0,0,0,0">
                  <w:txbxContent>
                    <w:p w14:paraId="5A7FF7AB" w14:textId="77777777" w:rsidR="00EF53AB" w:rsidRPr="0097048F" w:rsidRDefault="00EF53AB" w:rsidP="00EF53AB">
                      <w:pPr>
                        <w:rPr>
                          <w:sz w:val="10"/>
                          <w:szCs w:val="10"/>
                        </w:rPr>
                      </w:pPr>
                      <w:r w:rsidRPr="0097048F">
                        <w:rPr>
                          <w:sz w:val="10"/>
                          <w:szCs w:val="10"/>
                        </w:rPr>
                        <w:t>Splitter</w:t>
                      </w:r>
                    </w:p>
                  </w:txbxContent>
                </v:textbox>
                <w10:wrap anchorx="margin"/>
              </v:shape>
            </w:pict>
          </mc:Fallback>
        </mc:AlternateContent>
      </w:r>
      <w:r w:rsidR="00EF53AB" w:rsidRPr="006E317E">
        <w:rPr>
          <w:noProof/>
        </w:rPr>
        <mc:AlternateContent>
          <mc:Choice Requires="wps">
            <w:drawing>
              <wp:anchor distT="0" distB="0" distL="114300" distR="114300" simplePos="0" relativeHeight="251630592" behindDoc="0" locked="0" layoutInCell="1" allowOverlap="1" wp14:anchorId="1630C895" wp14:editId="688BC422">
                <wp:simplePos x="0" y="0"/>
                <wp:positionH relativeFrom="column">
                  <wp:posOffset>1376157</wp:posOffset>
                </wp:positionH>
                <wp:positionV relativeFrom="paragraph">
                  <wp:posOffset>2553035</wp:posOffset>
                </wp:positionV>
                <wp:extent cx="351099" cy="0"/>
                <wp:effectExtent l="0" t="0" r="0" b="0"/>
                <wp:wrapNone/>
                <wp:docPr id="12" name="Sirgkonnektor 12"/>
                <wp:cNvGraphicFramePr/>
                <a:graphic xmlns:a="http://schemas.openxmlformats.org/drawingml/2006/main">
                  <a:graphicData uri="http://schemas.microsoft.com/office/word/2010/wordprocessingShape">
                    <wps:wsp>
                      <wps:cNvCnPr/>
                      <wps:spPr>
                        <a:xfrm flipV="1">
                          <a:off x="0" y="0"/>
                          <a:ext cx="351099" cy="0"/>
                        </a:xfrm>
                        <a:prstGeom prst="line">
                          <a:avLst/>
                        </a:prstGeom>
                        <a:noFill/>
                        <a:ln w="9525"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1976A5" id="Sirgkonnektor 12" o:spid="_x0000_s1026" style="position:absolute;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35pt,201.05pt" to="136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" strokecolor="#2f5597">
                <v:stroke joinstyle="miter"/>
              </v:line>
            </w:pict>
          </mc:Fallback>
        </mc:AlternateContent>
      </w:r>
      <w:r w:rsidR="00EF53AB" w:rsidRPr="006E317E">
        <w:rPr>
          <w:noProof/>
        </w:rPr>
        <mc:AlternateContent>
          <mc:Choice Requires="wps">
            <w:drawing>
              <wp:anchor distT="0" distB="0" distL="114300" distR="114300" simplePos="0" relativeHeight="251628544" behindDoc="0" locked="0" layoutInCell="1" allowOverlap="1" wp14:anchorId="54F03B8B" wp14:editId="1F29329E">
                <wp:simplePos x="0" y="0"/>
                <wp:positionH relativeFrom="column">
                  <wp:posOffset>1617317</wp:posOffset>
                </wp:positionH>
                <wp:positionV relativeFrom="paragraph">
                  <wp:posOffset>2593227</wp:posOffset>
                </wp:positionV>
                <wp:extent cx="129463" cy="311499"/>
                <wp:effectExtent l="0" t="0" r="23495" b="31750"/>
                <wp:wrapNone/>
                <wp:docPr id="13" name="Sirgkonnektor 13"/>
                <wp:cNvGraphicFramePr/>
                <a:graphic xmlns:a="http://schemas.openxmlformats.org/drawingml/2006/main">
                  <a:graphicData uri="http://schemas.microsoft.com/office/word/2010/wordprocessingShape">
                    <wps:wsp>
                      <wps:cNvCnPr/>
                      <wps:spPr>
                        <a:xfrm flipV="1">
                          <a:off x="0" y="0"/>
                          <a:ext cx="129463" cy="311499"/>
                        </a:xfrm>
                        <a:prstGeom prst="line">
                          <a:avLst/>
                        </a:prstGeom>
                        <a:noFill/>
                        <a:ln w="9525"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EB6316" id="Sirgkonnektor 13"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35pt,204.2pt" to="137.55pt,2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" strokecolor="#2f5597">
                <v:stroke joinstyle="miter"/>
              </v:line>
            </w:pict>
          </mc:Fallback>
        </mc:AlternateContent>
      </w:r>
      <w:r w:rsidR="00EF53AB" w:rsidRPr="006E317E">
        <w:rPr>
          <w:noProof/>
        </w:rPr>
        <mc:AlternateContent>
          <mc:Choice Requires="wps">
            <w:drawing>
              <wp:anchor distT="0" distB="0" distL="114300" distR="114300" simplePos="0" relativeHeight="251677696" behindDoc="0" locked="0" layoutInCell="1" allowOverlap="1" wp14:anchorId="0A879930" wp14:editId="0F0C8C59">
                <wp:simplePos x="0" y="0"/>
                <wp:positionH relativeFrom="column">
                  <wp:posOffset>1699847</wp:posOffset>
                </wp:positionH>
                <wp:positionV relativeFrom="paragraph">
                  <wp:posOffset>2524086</wp:posOffset>
                </wp:positionV>
                <wp:extent cx="110532" cy="78112"/>
                <wp:effectExtent l="35242" t="2858" r="20003" b="39052"/>
                <wp:wrapNone/>
                <wp:docPr id="14" name="Võrdkülgne kolmnurk 14"/>
                <wp:cNvGraphicFramePr/>
                <a:graphic xmlns:a="http://schemas.openxmlformats.org/drawingml/2006/main">
                  <a:graphicData uri="http://schemas.microsoft.com/office/word/2010/wordprocessingShape">
                    <wps:wsp>
                      <wps:cNvSpPr/>
                      <wps:spPr>
                        <a:xfrm rot="4217994">
                          <a:off x="0" y="0"/>
                          <a:ext cx="110532" cy="78112"/>
                        </a:xfrm>
                        <a:prstGeom prst="triangle">
                          <a:avLst/>
                        </a:prstGeom>
                        <a:solidFill>
                          <a:sysClr val="window" lastClr="FFFFFF"/>
                        </a:solidFill>
                        <a:ln w="952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0F7AF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Võrdkülgne kolmnurk 14" o:spid="_x0000_s1026" type="#_x0000_t5" style="position:absolute;margin-left:133.85pt;margin-top:198.75pt;width:8.7pt;height:6.15pt;rotation:4607174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" fillcolor="window" strokecolor="#2f528f"/>
            </w:pict>
          </mc:Fallback>
        </mc:AlternateContent>
      </w:r>
      <w:r w:rsidR="00EF53AB" w:rsidRPr="006E317E">
        <w:rPr>
          <w:noProof/>
        </w:rPr>
        <mc:AlternateContent>
          <mc:Choice Requires="wps">
            <w:drawing>
              <wp:anchor distT="0" distB="0" distL="114300" distR="114300" simplePos="0" relativeHeight="251675648" behindDoc="0" locked="0" layoutInCell="1" allowOverlap="1" wp14:anchorId="6F70F7DD" wp14:editId="5BE1C8B4">
                <wp:simplePos x="0" y="0"/>
                <wp:positionH relativeFrom="margin">
                  <wp:posOffset>1141618</wp:posOffset>
                </wp:positionH>
                <wp:positionV relativeFrom="paragraph">
                  <wp:posOffset>2732236</wp:posOffset>
                </wp:positionV>
                <wp:extent cx="516890" cy="147881"/>
                <wp:effectExtent l="19050" t="95250" r="16510" b="100330"/>
                <wp:wrapNone/>
                <wp:docPr id="4" name="Tekstiväli 4"/>
                <wp:cNvGraphicFramePr/>
                <a:graphic xmlns:a="http://schemas.openxmlformats.org/drawingml/2006/main">
                  <a:graphicData uri="http://schemas.microsoft.com/office/word/2010/wordprocessingShape">
                    <wps:wsp>
                      <wps:cNvSpPr txBox="1"/>
                      <wps:spPr>
                        <a:xfrm rot="20306503">
                          <a:off x="0" y="0"/>
                          <a:ext cx="516890" cy="147881"/>
                        </a:xfrm>
                        <a:prstGeom prst="rect">
                          <a:avLst/>
                        </a:prstGeom>
                        <a:solidFill>
                          <a:sysClr val="window" lastClr="FFFFFF"/>
                        </a:solidFill>
                        <a:ln w="6350">
                          <a:noFill/>
                        </a:ln>
                      </wps:spPr>
                      <wps:txbx>
                        <w:txbxContent>
                          <w:p w14:paraId="7A4D45E4" w14:textId="77777777" w:rsidR="00EF53AB" w:rsidRPr="00A8307A" w:rsidRDefault="00EF53AB" w:rsidP="00EF53AB">
                            <w:pPr>
                              <w:jc w:val="center"/>
                              <w:rPr>
                                <w:b/>
                                <w:bCs/>
                                <w:sz w:val="9"/>
                                <w:szCs w:val="9"/>
                              </w:rPr>
                            </w:pPr>
                            <w:r w:rsidRPr="00A8307A">
                              <w:rPr>
                                <w:b/>
                                <w:sz w:val="9"/>
                                <w:szCs w:val="9"/>
                              </w:rPr>
                              <w:t>Valguskaab</w:t>
                            </w:r>
                            <w:r>
                              <w:rPr>
                                <w:b/>
                                <w:sz w:val="9"/>
                                <w:szCs w:val="9"/>
                              </w:rPr>
                              <w:t>el</w:t>
                            </w:r>
                            <w:r w:rsidRPr="00A8307A">
                              <w:rPr>
                                <w:b/>
                                <w:sz w:val="9"/>
                                <w:szCs w:val="9"/>
                              </w:rPr>
                              <w:t xml:space="preserve">                 1 kiud</w:t>
                            </w:r>
                            <w:r>
                              <w:rPr>
                                <w:b/>
                                <w:sz w:val="9"/>
                                <w:szCs w:val="9"/>
                              </w:rPr>
                              <w:t xml:space="preserve"> = mitu LK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0F7DD" id="Tekstiväli 4" o:spid="_x0000_s1032" type="#_x0000_t202" style="position:absolute;left:0;text-align:left;margin-left:89.9pt;margin-top:215.15pt;width:40.7pt;height:11.65pt;rotation:-1412844fd;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" fillcolor="window" stroked="f" strokeweight=".5pt">
                <v:textbox inset="0,0,0,0">
                  <w:txbxContent>
                    <w:p w14:paraId="7A4D45E4" w14:textId="77777777" w:rsidR="00EF53AB" w:rsidRPr="00A8307A" w:rsidRDefault="00EF53AB" w:rsidP="00EF53AB">
                      <w:pPr>
                        <w:jc w:val="center"/>
                        <w:rPr>
                          <w:b/>
                          <w:bCs/>
                          <w:sz w:val="9"/>
                          <w:szCs w:val="9"/>
                        </w:rPr>
                      </w:pPr>
                      <w:r w:rsidRPr="00A8307A">
                        <w:rPr>
                          <w:b/>
                          <w:sz w:val="9"/>
                          <w:szCs w:val="9"/>
                        </w:rPr>
                        <w:t>Valguskaab</w:t>
                      </w:r>
                      <w:r>
                        <w:rPr>
                          <w:b/>
                          <w:sz w:val="9"/>
                          <w:szCs w:val="9"/>
                        </w:rPr>
                        <w:t>el</w:t>
                      </w:r>
                      <w:r w:rsidRPr="00A8307A">
                        <w:rPr>
                          <w:b/>
                          <w:sz w:val="9"/>
                          <w:szCs w:val="9"/>
                        </w:rPr>
                        <w:t xml:space="preserve">                 1 kiud</w:t>
                      </w:r>
                      <w:r>
                        <w:rPr>
                          <w:b/>
                          <w:sz w:val="9"/>
                          <w:szCs w:val="9"/>
                        </w:rPr>
                        <w:t xml:space="preserve"> = mitu LK</w:t>
                      </w:r>
                    </w:p>
                  </w:txbxContent>
                </v:textbox>
                <w10:wrap anchorx="margin"/>
              </v:shape>
            </w:pict>
          </mc:Fallback>
        </mc:AlternateContent>
      </w:r>
      <w:r w:rsidR="00EF53AB" w:rsidRPr="006E317E">
        <w:rPr>
          <w:noProof/>
        </w:rPr>
        <mc:AlternateContent>
          <mc:Choice Requires="wps">
            <w:drawing>
              <wp:anchor distT="0" distB="0" distL="114300" distR="114300" simplePos="0" relativeHeight="251673600" behindDoc="0" locked="0" layoutInCell="1" allowOverlap="1" wp14:anchorId="7FDD7F1F" wp14:editId="6F62D161">
                <wp:simplePos x="0" y="0"/>
                <wp:positionH relativeFrom="margin">
                  <wp:posOffset>1344239</wp:posOffset>
                </wp:positionH>
                <wp:positionV relativeFrom="paragraph">
                  <wp:posOffset>2259854</wp:posOffset>
                </wp:positionV>
                <wp:extent cx="516890" cy="147881"/>
                <wp:effectExtent l="0" t="0" r="0" b="5080"/>
                <wp:wrapNone/>
                <wp:docPr id="5" name="Tekstiväli 5"/>
                <wp:cNvGraphicFramePr/>
                <a:graphic xmlns:a="http://schemas.openxmlformats.org/drawingml/2006/main">
                  <a:graphicData uri="http://schemas.microsoft.com/office/word/2010/wordprocessingShape">
                    <wps:wsp>
                      <wps:cNvSpPr txBox="1"/>
                      <wps:spPr>
                        <a:xfrm>
                          <a:off x="0" y="0"/>
                          <a:ext cx="516890" cy="147881"/>
                        </a:xfrm>
                        <a:prstGeom prst="rect">
                          <a:avLst/>
                        </a:prstGeom>
                        <a:solidFill>
                          <a:sysClr val="window" lastClr="FFFFFF"/>
                        </a:solidFill>
                        <a:ln w="6350">
                          <a:noFill/>
                        </a:ln>
                      </wps:spPr>
                      <wps:txbx>
                        <w:txbxContent>
                          <w:p w14:paraId="017F35D1" w14:textId="77777777" w:rsidR="00EF53AB" w:rsidRPr="00A8307A" w:rsidRDefault="00EF53AB" w:rsidP="00EF53AB">
                            <w:pPr>
                              <w:jc w:val="center"/>
                              <w:rPr>
                                <w:b/>
                                <w:bCs/>
                                <w:sz w:val="9"/>
                                <w:szCs w:val="9"/>
                              </w:rPr>
                            </w:pPr>
                            <w:r w:rsidRPr="00A8307A">
                              <w:rPr>
                                <w:b/>
                                <w:sz w:val="9"/>
                                <w:szCs w:val="9"/>
                              </w:rPr>
                              <w:t>Valguskaab</w:t>
                            </w:r>
                            <w:r>
                              <w:rPr>
                                <w:b/>
                                <w:sz w:val="9"/>
                                <w:szCs w:val="9"/>
                              </w:rPr>
                              <w:t>el</w:t>
                            </w:r>
                            <w:r w:rsidRPr="00A8307A">
                              <w:rPr>
                                <w:b/>
                                <w:sz w:val="9"/>
                                <w:szCs w:val="9"/>
                              </w:rPr>
                              <w:t xml:space="preserve">                 1 kiud</w:t>
                            </w:r>
                            <w:r>
                              <w:rPr>
                                <w:b/>
                                <w:sz w:val="9"/>
                                <w:szCs w:val="9"/>
                              </w:rPr>
                              <w:t xml:space="preserve"> = 1 LK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D7F1F" id="Tekstiväli 5" o:spid="_x0000_s1033" type="#_x0000_t202" style="position:absolute;left:0;text-align:left;margin-left:105.85pt;margin-top:177.95pt;width:40.7pt;height:11.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" fillcolor="window" stroked="f" strokeweight=".5pt">
                <v:textbox inset="0,0,0,0">
                  <w:txbxContent>
                    <w:p w14:paraId="017F35D1" w14:textId="77777777" w:rsidR="00EF53AB" w:rsidRPr="00A8307A" w:rsidRDefault="00EF53AB" w:rsidP="00EF53AB">
                      <w:pPr>
                        <w:jc w:val="center"/>
                        <w:rPr>
                          <w:b/>
                          <w:bCs/>
                          <w:sz w:val="9"/>
                          <w:szCs w:val="9"/>
                        </w:rPr>
                      </w:pPr>
                      <w:r w:rsidRPr="00A8307A">
                        <w:rPr>
                          <w:b/>
                          <w:sz w:val="9"/>
                          <w:szCs w:val="9"/>
                        </w:rPr>
                        <w:t>Valguskaab</w:t>
                      </w:r>
                      <w:r>
                        <w:rPr>
                          <w:b/>
                          <w:sz w:val="9"/>
                          <w:szCs w:val="9"/>
                        </w:rPr>
                        <w:t>el</w:t>
                      </w:r>
                      <w:r w:rsidRPr="00A8307A">
                        <w:rPr>
                          <w:b/>
                          <w:sz w:val="9"/>
                          <w:szCs w:val="9"/>
                        </w:rPr>
                        <w:t xml:space="preserve">                 1 kiud</w:t>
                      </w:r>
                      <w:r>
                        <w:rPr>
                          <w:b/>
                          <w:sz w:val="9"/>
                          <w:szCs w:val="9"/>
                        </w:rPr>
                        <w:t xml:space="preserve"> = 1 LK </w:t>
                      </w:r>
                    </w:p>
                  </w:txbxContent>
                </v:textbox>
                <w10:wrap anchorx="margin"/>
              </v:shape>
            </w:pict>
          </mc:Fallback>
        </mc:AlternateContent>
      </w:r>
      <w:r w:rsidR="00EF53AB" w:rsidRPr="006E317E">
        <w:rPr>
          <w:noProof/>
        </w:rPr>
        <mc:AlternateContent>
          <mc:Choice Requires="wps">
            <w:drawing>
              <wp:anchor distT="0" distB="0" distL="114300" distR="114300" simplePos="0" relativeHeight="251632640" behindDoc="0" locked="0" layoutInCell="1" allowOverlap="1" wp14:anchorId="3D075FAA" wp14:editId="5EEDC61C">
                <wp:simplePos x="0" y="0"/>
                <wp:positionH relativeFrom="margin">
                  <wp:posOffset>1273252</wp:posOffset>
                </wp:positionH>
                <wp:positionV relativeFrom="paragraph">
                  <wp:posOffset>1232591</wp:posOffset>
                </wp:positionV>
                <wp:extent cx="516890" cy="147881"/>
                <wp:effectExtent l="0" t="0" r="0" b="5080"/>
                <wp:wrapNone/>
                <wp:docPr id="17" name="Tekstiväli 17"/>
                <wp:cNvGraphicFramePr/>
                <a:graphic xmlns:a="http://schemas.openxmlformats.org/drawingml/2006/main">
                  <a:graphicData uri="http://schemas.microsoft.com/office/word/2010/wordprocessingShape">
                    <wps:wsp>
                      <wps:cNvSpPr txBox="1"/>
                      <wps:spPr>
                        <a:xfrm>
                          <a:off x="0" y="0"/>
                          <a:ext cx="516890" cy="147881"/>
                        </a:xfrm>
                        <a:prstGeom prst="rect">
                          <a:avLst/>
                        </a:prstGeom>
                        <a:solidFill>
                          <a:sysClr val="window" lastClr="FFFFFF"/>
                        </a:solidFill>
                        <a:ln w="6350">
                          <a:noFill/>
                        </a:ln>
                      </wps:spPr>
                      <wps:txbx>
                        <w:txbxContent>
                          <w:p w14:paraId="08403B51" w14:textId="77777777" w:rsidR="00EF53AB" w:rsidRPr="00A8307A" w:rsidRDefault="00EF53AB" w:rsidP="00EF53AB">
                            <w:pPr>
                              <w:jc w:val="center"/>
                              <w:rPr>
                                <w:b/>
                                <w:bCs/>
                                <w:sz w:val="9"/>
                                <w:szCs w:val="9"/>
                              </w:rPr>
                            </w:pPr>
                            <w:r w:rsidRPr="00A8307A">
                              <w:rPr>
                                <w:b/>
                                <w:sz w:val="9"/>
                                <w:szCs w:val="9"/>
                              </w:rPr>
                              <w:t>Valguskaab</w:t>
                            </w:r>
                            <w:r>
                              <w:rPr>
                                <w:b/>
                                <w:sz w:val="9"/>
                                <w:szCs w:val="9"/>
                              </w:rPr>
                              <w:t>el</w:t>
                            </w:r>
                            <w:r w:rsidRPr="00A8307A">
                              <w:rPr>
                                <w:b/>
                                <w:sz w:val="9"/>
                                <w:szCs w:val="9"/>
                              </w:rPr>
                              <w:t xml:space="preserve">                 1 kiud</w:t>
                            </w:r>
                            <w:r>
                              <w:rPr>
                                <w:b/>
                                <w:sz w:val="9"/>
                                <w:szCs w:val="9"/>
                              </w:rPr>
                              <w:t xml:space="preserve"> = mitu LK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75FAA" id="Tekstiväli 17" o:spid="_x0000_s1034" type="#_x0000_t202" style="position:absolute;left:0;text-align:left;margin-left:100.25pt;margin-top:97.05pt;width:40.7pt;height:11.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" fillcolor="window" stroked="f" strokeweight=".5pt">
                <v:textbox inset="0,0,0,0">
                  <w:txbxContent>
                    <w:p w14:paraId="08403B51" w14:textId="77777777" w:rsidR="00EF53AB" w:rsidRPr="00A8307A" w:rsidRDefault="00EF53AB" w:rsidP="00EF53AB">
                      <w:pPr>
                        <w:jc w:val="center"/>
                        <w:rPr>
                          <w:b/>
                          <w:bCs/>
                          <w:sz w:val="9"/>
                          <w:szCs w:val="9"/>
                        </w:rPr>
                      </w:pPr>
                      <w:r w:rsidRPr="00A8307A">
                        <w:rPr>
                          <w:b/>
                          <w:sz w:val="9"/>
                          <w:szCs w:val="9"/>
                        </w:rPr>
                        <w:t>Valguskaab</w:t>
                      </w:r>
                      <w:r>
                        <w:rPr>
                          <w:b/>
                          <w:sz w:val="9"/>
                          <w:szCs w:val="9"/>
                        </w:rPr>
                        <w:t>el</w:t>
                      </w:r>
                      <w:r w:rsidRPr="00A8307A">
                        <w:rPr>
                          <w:b/>
                          <w:sz w:val="9"/>
                          <w:szCs w:val="9"/>
                        </w:rPr>
                        <w:t xml:space="preserve">                 1 kiud</w:t>
                      </w:r>
                      <w:r>
                        <w:rPr>
                          <w:b/>
                          <w:sz w:val="9"/>
                          <w:szCs w:val="9"/>
                        </w:rPr>
                        <w:t xml:space="preserve"> = mitu LK</w:t>
                      </w:r>
                    </w:p>
                  </w:txbxContent>
                </v:textbox>
                <w10:wrap anchorx="margin"/>
              </v:shape>
            </w:pict>
          </mc:Fallback>
        </mc:AlternateContent>
      </w:r>
      <w:r w:rsidR="00EF53AB" w:rsidRPr="006E317E">
        <w:rPr>
          <w:noProof/>
        </w:rPr>
        <mc:AlternateContent>
          <mc:Choice Requires="wps">
            <w:drawing>
              <wp:anchor distT="0" distB="0" distL="114300" distR="114300" simplePos="0" relativeHeight="251669504" behindDoc="0" locked="0" layoutInCell="1" allowOverlap="1" wp14:anchorId="62D619B4" wp14:editId="4AA5000E">
                <wp:simplePos x="0" y="0"/>
                <wp:positionH relativeFrom="margin">
                  <wp:posOffset>606632</wp:posOffset>
                </wp:positionH>
                <wp:positionV relativeFrom="paragraph">
                  <wp:posOffset>1210819</wp:posOffset>
                </wp:positionV>
                <wp:extent cx="532598" cy="152738"/>
                <wp:effectExtent l="0" t="0" r="1270" b="0"/>
                <wp:wrapNone/>
                <wp:docPr id="18" name="Tekstiväli 18"/>
                <wp:cNvGraphicFramePr/>
                <a:graphic xmlns:a="http://schemas.openxmlformats.org/drawingml/2006/main">
                  <a:graphicData uri="http://schemas.microsoft.com/office/word/2010/wordprocessingShape">
                    <wps:wsp>
                      <wps:cNvSpPr txBox="1"/>
                      <wps:spPr>
                        <a:xfrm>
                          <a:off x="0" y="0"/>
                          <a:ext cx="532598" cy="152738"/>
                        </a:xfrm>
                        <a:prstGeom prst="rect">
                          <a:avLst/>
                        </a:prstGeom>
                        <a:solidFill>
                          <a:sysClr val="window" lastClr="FFFFFF"/>
                        </a:solidFill>
                        <a:ln w="6350">
                          <a:noFill/>
                        </a:ln>
                      </wps:spPr>
                      <wps:txbx>
                        <w:txbxContent>
                          <w:p w14:paraId="2330423C" w14:textId="77777777" w:rsidR="00EF53AB" w:rsidRPr="00A8307A" w:rsidRDefault="00EF53AB" w:rsidP="00EF53AB">
                            <w:pPr>
                              <w:jc w:val="center"/>
                              <w:rPr>
                                <w:b/>
                                <w:bCs/>
                                <w:sz w:val="9"/>
                                <w:szCs w:val="9"/>
                              </w:rPr>
                            </w:pPr>
                            <w:r w:rsidRPr="00A8307A">
                              <w:rPr>
                                <w:b/>
                                <w:sz w:val="9"/>
                                <w:szCs w:val="9"/>
                              </w:rPr>
                              <w:t>Vaskkaablipaarid</w:t>
                            </w:r>
                            <w:r>
                              <w:rPr>
                                <w:b/>
                                <w:sz w:val="9"/>
                                <w:szCs w:val="9"/>
                              </w:rPr>
                              <w:t xml:space="preserve"> </w:t>
                            </w:r>
                            <w:r w:rsidRPr="00A8307A">
                              <w:rPr>
                                <w:b/>
                                <w:sz w:val="9"/>
                                <w:szCs w:val="9"/>
                              </w:rPr>
                              <w:t xml:space="preserve"> </w:t>
                            </w:r>
                            <w:r>
                              <w:rPr>
                                <w:b/>
                                <w:sz w:val="9"/>
                                <w:szCs w:val="9"/>
                              </w:rPr>
                              <w:t xml:space="preserve">     </w:t>
                            </w:r>
                            <w:r w:rsidRPr="00A8307A">
                              <w:rPr>
                                <w:b/>
                                <w:sz w:val="9"/>
                                <w:szCs w:val="9"/>
                              </w:rPr>
                              <w:t>1 paar = 1 LK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619B4" id="Tekstiväli 18" o:spid="_x0000_s1035" type="#_x0000_t202" style="position:absolute;left:0;text-align:left;margin-left:47.75pt;margin-top:95.35pt;width:41.95pt;height:12.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" fillcolor="window" stroked="f" strokeweight=".5pt">
                <v:textbox inset="0,0,0,0">
                  <w:txbxContent>
                    <w:p w14:paraId="2330423C" w14:textId="77777777" w:rsidR="00EF53AB" w:rsidRPr="00A8307A" w:rsidRDefault="00EF53AB" w:rsidP="00EF53AB">
                      <w:pPr>
                        <w:jc w:val="center"/>
                        <w:rPr>
                          <w:b/>
                          <w:bCs/>
                          <w:sz w:val="9"/>
                          <w:szCs w:val="9"/>
                        </w:rPr>
                      </w:pPr>
                      <w:r w:rsidRPr="00A8307A">
                        <w:rPr>
                          <w:b/>
                          <w:sz w:val="9"/>
                          <w:szCs w:val="9"/>
                        </w:rPr>
                        <w:t>Vaskkaablipaarid</w:t>
                      </w:r>
                      <w:r>
                        <w:rPr>
                          <w:b/>
                          <w:sz w:val="9"/>
                          <w:szCs w:val="9"/>
                        </w:rPr>
                        <w:t xml:space="preserve"> </w:t>
                      </w:r>
                      <w:r w:rsidRPr="00A8307A">
                        <w:rPr>
                          <w:b/>
                          <w:sz w:val="9"/>
                          <w:szCs w:val="9"/>
                        </w:rPr>
                        <w:t xml:space="preserve"> </w:t>
                      </w:r>
                      <w:r>
                        <w:rPr>
                          <w:b/>
                          <w:sz w:val="9"/>
                          <w:szCs w:val="9"/>
                        </w:rPr>
                        <w:t xml:space="preserve">     </w:t>
                      </w:r>
                      <w:r w:rsidRPr="00A8307A">
                        <w:rPr>
                          <w:b/>
                          <w:sz w:val="9"/>
                          <w:szCs w:val="9"/>
                        </w:rPr>
                        <w:t>1 paar = 1 LK</w:t>
                      </w:r>
                    </w:p>
                  </w:txbxContent>
                </v:textbox>
                <w10:wrap anchorx="margin"/>
              </v:shape>
            </w:pict>
          </mc:Fallback>
        </mc:AlternateContent>
      </w:r>
      <w:r w:rsidR="00EF53AB" w:rsidRPr="006E317E">
        <w:rPr>
          <w:noProof/>
        </w:rPr>
        <mc:AlternateContent>
          <mc:Choice Requires="wps">
            <w:drawing>
              <wp:anchor distT="0" distB="0" distL="114300" distR="114300" simplePos="0" relativeHeight="251640832" behindDoc="0" locked="0" layoutInCell="1" allowOverlap="1" wp14:anchorId="370007FB" wp14:editId="173EFB6F">
                <wp:simplePos x="0" y="0"/>
                <wp:positionH relativeFrom="margin">
                  <wp:posOffset>99953</wp:posOffset>
                </wp:positionH>
                <wp:positionV relativeFrom="paragraph">
                  <wp:posOffset>261843</wp:posOffset>
                </wp:positionV>
                <wp:extent cx="688312" cy="226060"/>
                <wp:effectExtent l="0" t="0" r="0" b="2540"/>
                <wp:wrapNone/>
                <wp:docPr id="33" name="Tekstiväli 33"/>
                <wp:cNvGraphicFramePr/>
                <a:graphic xmlns:a="http://schemas.openxmlformats.org/drawingml/2006/main">
                  <a:graphicData uri="http://schemas.microsoft.com/office/word/2010/wordprocessingShape">
                    <wps:wsp>
                      <wps:cNvSpPr txBox="1"/>
                      <wps:spPr>
                        <a:xfrm>
                          <a:off x="0" y="0"/>
                          <a:ext cx="688312" cy="226060"/>
                        </a:xfrm>
                        <a:prstGeom prst="rect">
                          <a:avLst/>
                        </a:prstGeom>
                        <a:solidFill>
                          <a:sysClr val="window" lastClr="FFFFFF"/>
                        </a:solidFill>
                        <a:ln w="6350">
                          <a:noFill/>
                        </a:ln>
                      </wps:spPr>
                      <wps:txbx>
                        <w:txbxContent>
                          <w:p w14:paraId="0D69B26F" w14:textId="77777777" w:rsidR="00EF53AB" w:rsidRPr="005E365D" w:rsidRDefault="00EF53AB" w:rsidP="00EF53AB">
                            <w:pPr>
                              <w:jc w:val="center"/>
                              <w:rPr>
                                <w:b/>
                                <w:bCs/>
                                <w:sz w:val="14"/>
                                <w:szCs w:val="14"/>
                              </w:rPr>
                            </w:pPr>
                            <w:r w:rsidRPr="005E365D">
                              <w:rPr>
                                <w:b/>
                                <w:sz w:val="14"/>
                                <w:szCs w:val="14"/>
                              </w:rPr>
                              <w:t>Lõppkasutaja</w:t>
                            </w:r>
                            <w:r>
                              <w:rPr>
                                <w:b/>
                                <w:sz w:val="14"/>
                                <w:szCs w:val="14"/>
                              </w:rPr>
                              <w:t xml:space="preserve"> (LK) hoone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007FB" id="Tekstiväli 33" o:spid="_x0000_s1036" type="#_x0000_t202" style="position:absolute;left:0;text-align:left;margin-left:7.85pt;margin-top:20.6pt;width:54.2pt;height:17.8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" fillcolor="window" stroked="f" strokeweight=".5pt">
                <v:textbox inset="0,0,0,0">
                  <w:txbxContent>
                    <w:p w14:paraId="0D69B26F" w14:textId="77777777" w:rsidR="00EF53AB" w:rsidRPr="005E365D" w:rsidRDefault="00EF53AB" w:rsidP="00EF53AB">
                      <w:pPr>
                        <w:jc w:val="center"/>
                        <w:rPr>
                          <w:b/>
                          <w:bCs/>
                          <w:sz w:val="14"/>
                          <w:szCs w:val="14"/>
                        </w:rPr>
                      </w:pPr>
                      <w:r w:rsidRPr="005E365D">
                        <w:rPr>
                          <w:b/>
                          <w:sz w:val="14"/>
                          <w:szCs w:val="14"/>
                        </w:rPr>
                        <w:t>Lõppkasutaja</w:t>
                      </w:r>
                      <w:r>
                        <w:rPr>
                          <w:b/>
                          <w:sz w:val="14"/>
                          <w:szCs w:val="14"/>
                        </w:rPr>
                        <w:t xml:space="preserve"> (LK) hoone</w:t>
                      </w:r>
                    </w:p>
                  </w:txbxContent>
                </v:textbox>
                <w10:wrap anchorx="margin"/>
              </v:shape>
            </w:pict>
          </mc:Fallback>
        </mc:AlternateContent>
      </w:r>
      <w:r w:rsidR="00EF53AB" w:rsidRPr="006E317E">
        <w:rPr>
          <w:noProof/>
        </w:rPr>
        <mc:AlternateContent>
          <mc:Choice Requires="wps">
            <w:drawing>
              <wp:anchor distT="0" distB="0" distL="114300" distR="114300" simplePos="0" relativeHeight="251667456" behindDoc="0" locked="0" layoutInCell="1" allowOverlap="1" wp14:anchorId="66407D3B" wp14:editId="53112B35">
                <wp:simplePos x="0" y="0"/>
                <wp:positionH relativeFrom="margin">
                  <wp:posOffset>1326382</wp:posOffset>
                </wp:positionH>
                <wp:positionV relativeFrom="paragraph">
                  <wp:posOffset>688306</wp:posOffset>
                </wp:positionV>
                <wp:extent cx="532598" cy="152738"/>
                <wp:effectExtent l="0" t="0" r="1270" b="0"/>
                <wp:wrapNone/>
                <wp:docPr id="37" name="Tekstiväli 37"/>
                <wp:cNvGraphicFramePr/>
                <a:graphic xmlns:a="http://schemas.openxmlformats.org/drawingml/2006/main">
                  <a:graphicData uri="http://schemas.microsoft.com/office/word/2010/wordprocessingShape">
                    <wps:wsp>
                      <wps:cNvSpPr txBox="1"/>
                      <wps:spPr>
                        <a:xfrm>
                          <a:off x="0" y="0"/>
                          <a:ext cx="532598" cy="152738"/>
                        </a:xfrm>
                        <a:prstGeom prst="rect">
                          <a:avLst/>
                        </a:prstGeom>
                        <a:solidFill>
                          <a:sysClr val="window" lastClr="FFFFFF"/>
                        </a:solidFill>
                        <a:ln w="6350">
                          <a:noFill/>
                        </a:ln>
                      </wps:spPr>
                      <wps:txbx>
                        <w:txbxContent>
                          <w:p w14:paraId="2AEEF1C1" w14:textId="77777777" w:rsidR="00EF53AB" w:rsidRPr="00A8307A" w:rsidRDefault="00EF53AB" w:rsidP="00EF53AB">
                            <w:pPr>
                              <w:jc w:val="center"/>
                              <w:rPr>
                                <w:b/>
                                <w:bCs/>
                                <w:sz w:val="9"/>
                                <w:szCs w:val="9"/>
                              </w:rPr>
                            </w:pPr>
                            <w:r w:rsidRPr="00A8307A">
                              <w:rPr>
                                <w:b/>
                                <w:sz w:val="9"/>
                                <w:szCs w:val="9"/>
                              </w:rPr>
                              <w:t>Vaskkaablipaarid</w:t>
                            </w:r>
                            <w:r>
                              <w:rPr>
                                <w:b/>
                                <w:sz w:val="9"/>
                                <w:szCs w:val="9"/>
                              </w:rPr>
                              <w:t xml:space="preserve"> </w:t>
                            </w:r>
                            <w:r w:rsidRPr="00A8307A">
                              <w:rPr>
                                <w:b/>
                                <w:sz w:val="9"/>
                                <w:szCs w:val="9"/>
                              </w:rPr>
                              <w:t xml:space="preserve"> </w:t>
                            </w:r>
                            <w:r>
                              <w:rPr>
                                <w:b/>
                                <w:sz w:val="9"/>
                                <w:szCs w:val="9"/>
                              </w:rPr>
                              <w:t xml:space="preserve">     </w:t>
                            </w:r>
                            <w:r w:rsidRPr="00A8307A">
                              <w:rPr>
                                <w:b/>
                                <w:sz w:val="9"/>
                                <w:szCs w:val="9"/>
                              </w:rPr>
                              <w:t>1 paar = 1 LK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07D3B" id="Tekstiväli 37" o:spid="_x0000_s1037" type="#_x0000_t202" style="position:absolute;left:0;text-align:left;margin-left:104.45pt;margin-top:54.2pt;width:41.95pt;height:12.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" fillcolor="window" stroked="f" strokeweight=".5pt">
                <v:textbox inset="0,0,0,0">
                  <w:txbxContent>
                    <w:p w14:paraId="2AEEF1C1" w14:textId="77777777" w:rsidR="00EF53AB" w:rsidRPr="00A8307A" w:rsidRDefault="00EF53AB" w:rsidP="00EF53AB">
                      <w:pPr>
                        <w:jc w:val="center"/>
                        <w:rPr>
                          <w:b/>
                          <w:bCs/>
                          <w:sz w:val="9"/>
                          <w:szCs w:val="9"/>
                        </w:rPr>
                      </w:pPr>
                      <w:r w:rsidRPr="00A8307A">
                        <w:rPr>
                          <w:b/>
                          <w:sz w:val="9"/>
                          <w:szCs w:val="9"/>
                        </w:rPr>
                        <w:t>Vaskkaablipaarid</w:t>
                      </w:r>
                      <w:r>
                        <w:rPr>
                          <w:b/>
                          <w:sz w:val="9"/>
                          <w:szCs w:val="9"/>
                        </w:rPr>
                        <w:t xml:space="preserve"> </w:t>
                      </w:r>
                      <w:r w:rsidRPr="00A8307A">
                        <w:rPr>
                          <w:b/>
                          <w:sz w:val="9"/>
                          <w:szCs w:val="9"/>
                        </w:rPr>
                        <w:t xml:space="preserve"> </w:t>
                      </w:r>
                      <w:r>
                        <w:rPr>
                          <w:b/>
                          <w:sz w:val="9"/>
                          <w:szCs w:val="9"/>
                        </w:rPr>
                        <w:t xml:space="preserve">     </w:t>
                      </w:r>
                      <w:r w:rsidRPr="00A8307A">
                        <w:rPr>
                          <w:b/>
                          <w:sz w:val="9"/>
                          <w:szCs w:val="9"/>
                        </w:rPr>
                        <w:t>1 paar = 1 LK</w:t>
                      </w:r>
                    </w:p>
                  </w:txbxContent>
                </v:textbox>
                <w10:wrap anchorx="margin"/>
              </v:shape>
            </w:pict>
          </mc:Fallback>
        </mc:AlternateContent>
      </w:r>
      <w:r w:rsidR="00EF53AB" w:rsidRPr="006E317E">
        <w:rPr>
          <w:noProof/>
        </w:rPr>
        <mc:AlternateContent>
          <mc:Choice Requires="wps">
            <w:drawing>
              <wp:anchor distT="0" distB="0" distL="114300" distR="114300" simplePos="0" relativeHeight="251634688" behindDoc="0" locked="0" layoutInCell="1" allowOverlap="1" wp14:anchorId="54B363DF" wp14:editId="010B5721">
                <wp:simplePos x="0" y="0"/>
                <wp:positionH relativeFrom="margin">
                  <wp:posOffset>601848</wp:posOffset>
                </wp:positionH>
                <wp:positionV relativeFrom="paragraph">
                  <wp:posOffset>683895</wp:posOffset>
                </wp:positionV>
                <wp:extent cx="532598" cy="152738"/>
                <wp:effectExtent l="0" t="0" r="1270" b="0"/>
                <wp:wrapNone/>
                <wp:docPr id="38" name="Tekstiväli 38"/>
                <wp:cNvGraphicFramePr/>
                <a:graphic xmlns:a="http://schemas.openxmlformats.org/drawingml/2006/main">
                  <a:graphicData uri="http://schemas.microsoft.com/office/word/2010/wordprocessingShape">
                    <wps:wsp>
                      <wps:cNvSpPr txBox="1"/>
                      <wps:spPr>
                        <a:xfrm>
                          <a:off x="0" y="0"/>
                          <a:ext cx="532598" cy="152738"/>
                        </a:xfrm>
                        <a:prstGeom prst="rect">
                          <a:avLst/>
                        </a:prstGeom>
                        <a:solidFill>
                          <a:sysClr val="window" lastClr="FFFFFF"/>
                        </a:solidFill>
                        <a:ln w="6350">
                          <a:noFill/>
                        </a:ln>
                      </wps:spPr>
                      <wps:txbx>
                        <w:txbxContent>
                          <w:p w14:paraId="2BBD3565" w14:textId="77777777" w:rsidR="00EF53AB" w:rsidRPr="00A8307A" w:rsidRDefault="00EF53AB" w:rsidP="00EF53AB">
                            <w:pPr>
                              <w:jc w:val="center"/>
                              <w:rPr>
                                <w:b/>
                                <w:bCs/>
                                <w:sz w:val="9"/>
                                <w:szCs w:val="9"/>
                              </w:rPr>
                            </w:pPr>
                            <w:r w:rsidRPr="00A8307A">
                              <w:rPr>
                                <w:b/>
                                <w:sz w:val="9"/>
                                <w:szCs w:val="9"/>
                              </w:rPr>
                              <w:t xml:space="preserve">Vaskkaablipaarid </w:t>
                            </w:r>
                            <w:r>
                              <w:rPr>
                                <w:b/>
                                <w:sz w:val="9"/>
                                <w:szCs w:val="9"/>
                              </w:rPr>
                              <w:t xml:space="preserve">      </w:t>
                            </w:r>
                            <w:r w:rsidRPr="00A8307A">
                              <w:rPr>
                                <w:b/>
                                <w:sz w:val="9"/>
                                <w:szCs w:val="9"/>
                              </w:rPr>
                              <w:t>1 paar = 1 LK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363DF" id="Tekstiväli 38" o:spid="_x0000_s1038" type="#_x0000_t202" style="position:absolute;left:0;text-align:left;margin-left:47.4pt;margin-top:53.85pt;width:41.95pt;height:12.0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" fillcolor="window" stroked="f" strokeweight=".5pt">
                <v:textbox inset="0,0,0,0">
                  <w:txbxContent>
                    <w:p w14:paraId="2BBD3565" w14:textId="77777777" w:rsidR="00EF53AB" w:rsidRPr="00A8307A" w:rsidRDefault="00EF53AB" w:rsidP="00EF53AB">
                      <w:pPr>
                        <w:jc w:val="center"/>
                        <w:rPr>
                          <w:b/>
                          <w:bCs/>
                          <w:sz w:val="9"/>
                          <w:szCs w:val="9"/>
                        </w:rPr>
                      </w:pPr>
                      <w:r w:rsidRPr="00A8307A">
                        <w:rPr>
                          <w:b/>
                          <w:sz w:val="9"/>
                          <w:szCs w:val="9"/>
                        </w:rPr>
                        <w:t xml:space="preserve">Vaskkaablipaarid </w:t>
                      </w:r>
                      <w:r>
                        <w:rPr>
                          <w:b/>
                          <w:sz w:val="9"/>
                          <w:szCs w:val="9"/>
                        </w:rPr>
                        <w:t xml:space="preserve">      </w:t>
                      </w:r>
                      <w:r w:rsidRPr="00A8307A">
                        <w:rPr>
                          <w:b/>
                          <w:sz w:val="9"/>
                          <w:szCs w:val="9"/>
                        </w:rPr>
                        <w:t>1 paar = 1 LK</w:t>
                      </w:r>
                    </w:p>
                  </w:txbxContent>
                </v:textbox>
                <w10:wrap anchorx="margin"/>
              </v:shape>
            </w:pict>
          </mc:Fallback>
        </mc:AlternateContent>
      </w:r>
      <w:r w:rsidR="00EF53AB" w:rsidRPr="006E317E">
        <w:rPr>
          <w:noProof/>
        </w:rPr>
        <mc:AlternateContent>
          <mc:Choice Requires="wps">
            <w:drawing>
              <wp:anchor distT="0" distB="0" distL="114300" distR="114300" simplePos="0" relativeHeight="251651072" behindDoc="0" locked="0" layoutInCell="1" allowOverlap="1" wp14:anchorId="2B1A3CCB" wp14:editId="289B0D3E">
                <wp:simplePos x="0" y="0"/>
                <wp:positionH relativeFrom="margin">
                  <wp:posOffset>3577487</wp:posOffset>
                </wp:positionH>
                <wp:positionV relativeFrom="paragraph">
                  <wp:posOffset>2364498</wp:posOffset>
                </wp:positionV>
                <wp:extent cx="835116" cy="247856"/>
                <wp:effectExtent l="0" t="0" r="3175" b="0"/>
                <wp:wrapNone/>
                <wp:docPr id="41" name="Tekstiväli 41"/>
                <wp:cNvGraphicFramePr/>
                <a:graphic xmlns:a="http://schemas.openxmlformats.org/drawingml/2006/main">
                  <a:graphicData uri="http://schemas.microsoft.com/office/word/2010/wordprocessingShape">
                    <wps:wsp>
                      <wps:cNvSpPr txBox="1"/>
                      <wps:spPr>
                        <a:xfrm>
                          <a:off x="0" y="0"/>
                          <a:ext cx="835116" cy="247856"/>
                        </a:xfrm>
                        <a:prstGeom prst="rect">
                          <a:avLst/>
                        </a:prstGeom>
                        <a:solidFill>
                          <a:sysClr val="window" lastClr="FFFFFF"/>
                        </a:solidFill>
                        <a:ln w="6350">
                          <a:noFill/>
                        </a:ln>
                      </wps:spPr>
                      <wps:txbx>
                        <w:txbxContent>
                          <w:p w14:paraId="14B62F56" w14:textId="77777777" w:rsidR="00EF53AB" w:rsidRPr="00404CB5" w:rsidRDefault="00EF53AB" w:rsidP="00EF53AB">
                            <w:pPr>
                              <w:jc w:val="center"/>
                              <w:rPr>
                                <w:b/>
                                <w:bCs/>
                                <w:color w:val="C00000"/>
                                <w:sz w:val="14"/>
                                <w:szCs w:val="14"/>
                              </w:rPr>
                            </w:pPr>
                            <w:r>
                              <w:rPr>
                                <w:b/>
                                <w:color w:val="C00000"/>
                                <w:sz w:val="14"/>
                                <w:szCs w:val="14"/>
                              </w:rPr>
                              <w:t>Riikliku</w:t>
                            </w:r>
                            <w:r w:rsidRPr="00404CB5">
                              <w:rPr>
                                <w:b/>
                                <w:color w:val="C00000"/>
                                <w:sz w:val="14"/>
                                <w:szCs w:val="14"/>
                              </w:rPr>
                              <w:t xml:space="preserve"> tasandi juurdepääsupunkt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A3CCB" id="Tekstiväli 41" o:spid="_x0000_s1039" type="#_x0000_t202" style="position:absolute;left:0;text-align:left;margin-left:281.7pt;margin-top:186.2pt;width:65.75pt;height:19.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" fillcolor="window" stroked="f" strokeweight=".5pt">
                <v:textbox inset="0,0,0,0">
                  <w:txbxContent>
                    <w:p w14:paraId="14B62F56" w14:textId="77777777" w:rsidR="00EF53AB" w:rsidRPr="00404CB5" w:rsidRDefault="00EF53AB" w:rsidP="00EF53AB">
                      <w:pPr>
                        <w:jc w:val="center"/>
                        <w:rPr>
                          <w:b/>
                          <w:bCs/>
                          <w:color w:val="C00000"/>
                          <w:sz w:val="14"/>
                          <w:szCs w:val="14"/>
                        </w:rPr>
                      </w:pPr>
                      <w:r>
                        <w:rPr>
                          <w:b/>
                          <w:color w:val="C00000"/>
                          <w:sz w:val="14"/>
                          <w:szCs w:val="14"/>
                        </w:rPr>
                        <w:t>Riikliku</w:t>
                      </w:r>
                      <w:r w:rsidRPr="00404CB5">
                        <w:rPr>
                          <w:b/>
                          <w:color w:val="C00000"/>
                          <w:sz w:val="14"/>
                          <w:szCs w:val="14"/>
                        </w:rPr>
                        <w:t xml:space="preserve"> tasandi juurdepääsupunkt</w:t>
                      </w:r>
                    </w:p>
                  </w:txbxContent>
                </v:textbox>
                <w10:wrap anchorx="margin"/>
              </v:shape>
            </w:pict>
          </mc:Fallback>
        </mc:AlternateContent>
      </w:r>
      <w:r w:rsidR="00EF53AB" w:rsidRPr="006E317E">
        <w:rPr>
          <w:noProof/>
        </w:rPr>
        <mc:AlternateContent>
          <mc:Choice Requires="wps">
            <w:drawing>
              <wp:anchor distT="0" distB="0" distL="114300" distR="114300" simplePos="0" relativeHeight="251661312" behindDoc="0" locked="0" layoutInCell="1" allowOverlap="1" wp14:anchorId="5F57CC2A" wp14:editId="46405823">
                <wp:simplePos x="0" y="0"/>
                <wp:positionH relativeFrom="margin">
                  <wp:posOffset>1786505</wp:posOffset>
                </wp:positionH>
                <wp:positionV relativeFrom="paragraph">
                  <wp:posOffset>1651731</wp:posOffset>
                </wp:positionV>
                <wp:extent cx="528555" cy="105711"/>
                <wp:effectExtent l="0" t="0" r="5080" b="8890"/>
                <wp:wrapNone/>
                <wp:docPr id="42" name="Tekstiväli 42"/>
                <wp:cNvGraphicFramePr/>
                <a:graphic xmlns:a="http://schemas.openxmlformats.org/drawingml/2006/main">
                  <a:graphicData uri="http://schemas.microsoft.com/office/word/2010/wordprocessingShape">
                    <wps:wsp>
                      <wps:cNvSpPr txBox="1"/>
                      <wps:spPr>
                        <a:xfrm>
                          <a:off x="0" y="0"/>
                          <a:ext cx="528555" cy="105711"/>
                        </a:xfrm>
                        <a:prstGeom prst="rect">
                          <a:avLst/>
                        </a:prstGeom>
                        <a:solidFill>
                          <a:sysClr val="window" lastClr="FFFFFF"/>
                        </a:solidFill>
                        <a:ln w="6350">
                          <a:noFill/>
                        </a:ln>
                      </wps:spPr>
                      <wps:txbx>
                        <w:txbxContent>
                          <w:p w14:paraId="2C42A496" w14:textId="77777777" w:rsidR="00EF53AB" w:rsidRPr="0097048F" w:rsidRDefault="00EF53AB" w:rsidP="00EF53AB">
                            <w:pPr>
                              <w:rPr>
                                <w:sz w:val="10"/>
                                <w:szCs w:val="10"/>
                              </w:rPr>
                            </w:pPr>
                            <w:r>
                              <w:rPr>
                                <w:sz w:val="10"/>
                                <w:szCs w:val="10"/>
                              </w:rPr>
                              <w:t>Kohalik võrgusõlm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7CC2A" id="Tekstiväli 42" o:spid="_x0000_s1040" type="#_x0000_t202" style="position:absolute;left:0;text-align:left;margin-left:140.65pt;margin-top:130.05pt;width:41.6pt;height:8.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" fillcolor="window" stroked="f" strokeweight=".5pt">
                <v:textbox inset="0,0,0,0">
                  <w:txbxContent>
                    <w:p w14:paraId="2C42A496" w14:textId="77777777" w:rsidR="00EF53AB" w:rsidRPr="0097048F" w:rsidRDefault="00EF53AB" w:rsidP="00EF53AB">
                      <w:pPr>
                        <w:rPr>
                          <w:sz w:val="10"/>
                          <w:szCs w:val="10"/>
                        </w:rPr>
                      </w:pPr>
                      <w:r>
                        <w:rPr>
                          <w:sz w:val="10"/>
                          <w:szCs w:val="10"/>
                        </w:rPr>
                        <w:t>Kohalik võrgusõlm</w:t>
                      </w:r>
                    </w:p>
                  </w:txbxContent>
                </v:textbox>
                <w10:wrap anchorx="margin"/>
              </v:shape>
            </w:pict>
          </mc:Fallback>
        </mc:AlternateContent>
      </w:r>
      <w:r w:rsidR="00EF53AB" w:rsidRPr="006E317E">
        <w:rPr>
          <w:noProof/>
        </w:rPr>
        <mc:AlternateContent>
          <mc:Choice Requires="wps">
            <w:drawing>
              <wp:anchor distT="0" distB="0" distL="114300" distR="114300" simplePos="0" relativeHeight="251663360" behindDoc="0" locked="0" layoutInCell="1" allowOverlap="1" wp14:anchorId="2D821606" wp14:editId="7293BFD0">
                <wp:simplePos x="0" y="0"/>
                <wp:positionH relativeFrom="margin">
                  <wp:posOffset>1942353</wp:posOffset>
                </wp:positionH>
                <wp:positionV relativeFrom="paragraph">
                  <wp:posOffset>2169490</wp:posOffset>
                </wp:positionV>
                <wp:extent cx="528555" cy="105711"/>
                <wp:effectExtent l="0" t="0" r="5080" b="8890"/>
                <wp:wrapNone/>
                <wp:docPr id="43" name="Tekstiväli 43"/>
                <wp:cNvGraphicFramePr/>
                <a:graphic xmlns:a="http://schemas.openxmlformats.org/drawingml/2006/main">
                  <a:graphicData uri="http://schemas.microsoft.com/office/word/2010/wordprocessingShape">
                    <wps:wsp>
                      <wps:cNvSpPr txBox="1"/>
                      <wps:spPr>
                        <a:xfrm>
                          <a:off x="0" y="0"/>
                          <a:ext cx="528555" cy="105711"/>
                        </a:xfrm>
                        <a:prstGeom prst="rect">
                          <a:avLst/>
                        </a:prstGeom>
                        <a:solidFill>
                          <a:sysClr val="window" lastClr="FFFFFF"/>
                        </a:solidFill>
                        <a:ln w="6350">
                          <a:noFill/>
                        </a:ln>
                      </wps:spPr>
                      <wps:txbx>
                        <w:txbxContent>
                          <w:p w14:paraId="13B0E261" w14:textId="77777777" w:rsidR="00EF53AB" w:rsidRPr="0097048F" w:rsidRDefault="00EF53AB" w:rsidP="00EF53AB">
                            <w:pPr>
                              <w:rPr>
                                <w:sz w:val="10"/>
                                <w:szCs w:val="10"/>
                              </w:rPr>
                            </w:pPr>
                            <w:r>
                              <w:rPr>
                                <w:sz w:val="10"/>
                                <w:szCs w:val="10"/>
                              </w:rPr>
                              <w:t>Kohalik võrgusõlm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21606" id="Tekstiväli 43" o:spid="_x0000_s1041" type="#_x0000_t202" style="position:absolute;left:0;text-align:left;margin-left:152.95pt;margin-top:170.85pt;width:41.6pt;height:8.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" fillcolor="window" stroked="f" strokeweight=".5pt">
                <v:textbox inset="0,0,0,0">
                  <w:txbxContent>
                    <w:p w14:paraId="13B0E261" w14:textId="77777777" w:rsidR="00EF53AB" w:rsidRPr="0097048F" w:rsidRDefault="00EF53AB" w:rsidP="00EF53AB">
                      <w:pPr>
                        <w:rPr>
                          <w:sz w:val="10"/>
                          <w:szCs w:val="10"/>
                        </w:rPr>
                      </w:pPr>
                      <w:r>
                        <w:rPr>
                          <w:sz w:val="10"/>
                          <w:szCs w:val="10"/>
                        </w:rPr>
                        <w:t>Kohalik võrgusõlm</w:t>
                      </w:r>
                    </w:p>
                  </w:txbxContent>
                </v:textbox>
                <w10:wrap anchorx="margin"/>
              </v:shape>
            </w:pict>
          </mc:Fallback>
        </mc:AlternateContent>
      </w:r>
      <w:r w:rsidR="00EF53AB" w:rsidRPr="006E317E">
        <w:rPr>
          <w:noProof/>
        </w:rPr>
        <mc:AlternateContent>
          <mc:Choice Requires="wps">
            <w:drawing>
              <wp:anchor distT="0" distB="0" distL="114300" distR="114300" simplePos="0" relativeHeight="251659264" behindDoc="0" locked="0" layoutInCell="1" allowOverlap="1" wp14:anchorId="29329463" wp14:editId="14735D54">
                <wp:simplePos x="0" y="0"/>
                <wp:positionH relativeFrom="margin">
                  <wp:posOffset>1788795</wp:posOffset>
                </wp:positionH>
                <wp:positionV relativeFrom="paragraph">
                  <wp:posOffset>1144046</wp:posOffset>
                </wp:positionV>
                <wp:extent cx="528555" cy="105711"/>
                <wp:effectExtent l="0" t="0" r="5080" b="8890"/>
                <wp:wrapNone/>
                <wp:docPr id="44" name="Tekstiväli 44"/>
                <wp:cNvGraphicFramePr/>
                <a:graphic xmlns:a="http://schemas.openxmlformats.org/drawingml/2006/main">
                  <a:graphicData uri="http://schemas.microsoft.com/office/word/2010/wordprocessingShape">
                    <wps:wsp>
                      <wps:cNvSpPr txBox="1"/>
                      <wps:spPr>
                        <a:xfrm>
                          <a:off x="0" y="0"/>
                          <a:ext cx="528555" cy="105711"/>
                        </a:xfrm>
                        <a:prstGeom prst="rect">
                          <a:avLst/>
                        </a:prstGeom>
                        <a:solidFill>
                          <a:sysClr val="window" lastClr="FFFFFF"/>
                        </a:solidFill>
                        <a:ln w="6350">
                          <a:noFill/>
                        </a:ln>
                      </wps:spPr>
                      <wps:txbx>
                        <w:txbxContent>
                          <w:p w14:paraId="03E950D6" w14:textId="77777777" w:rsidR="00EF53AB" w:rsidRPr="0097048F" w:rsidRDefault="00EF53AB" w:rsidP="00EF53AB">
                            <w:pPr>
                              <w:rPr>
                                <w:sz w:val="10"/>
                                <w:szCs w:val="10"/>
                              </w:rPr>
                            </w:pPr>
                            <w:r>
                              <w:rPr>
                                <w:sz w:val="10"/>
                                <w:szCs w:val="10"/>
                              </w:rPr>
                              <w:t>Kohalik võrgusõlm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29463" id="Tekstiväli 44" o:spid="_x0000_s1042" type="#_x0000_t202" style="position:absolute;left:0;text-align:left;margin-left:140.85pt;margin-top:90.1pt;width:41.6pt;height: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" fillcolor="window" stroked="f" strokeweight=".5pt">
                <v:textbox inset="0,0,0,0">
                  <w:txbxContent>
                    <w:p w14:paraId="03E950D6" w14:textId="77777777" w:rsidR="00EF53AB" w:rsidRPr="0097048F" w:rsidRDefault="00EF53AB" w:rsidP="00EF53AB">
                      <w:pPr>
                        <w:rPr>
                          <w:sz w:val="10"/>
                          <w:szCs w:val="10"/>
                        </w:rPr>
                      </w:pPr>
                      <w:r>
                        <w:rPr>
                          <w:sz w:val="10"/>
                          <w:szCs w:val="10"/>
                        </w:rPr>
                        <w:t>Kohalik võrgusõlm</w:t>
                      </w:r>
                    </w:p>
                  </w:txbxContent>
                </v:textbox>
                <w10:wrap anchorx="margin"/>
              </v:shape>
            </w:pict>
          </mc:Fallback>
        </mc:AlternateContent>
      </w:r>
      <w:r w:rsidR="00EF53AB" w:rsidRPr="006E317E">
        <w:rPr>
          <w:noProof/>
        </w:rPr>
        <mc:AlternateContent>
          <mc:Choice Requires="wps">
            <w:drawing>
              <wp:anchor distT="0" distB="0" distL="114300" distR="114300" simplePos="0" relativeHeight="251657216" behindDoc="0" locked="0" layoutInCell="1" allowOverlap="1" wp14:anchorId="28D01E4F" wp14:editId="5327786B">
                <wp:simplePos x="0" y="0"/>
                <wp:positionH relativeFrom="margin">
                  <wp:posOffset>1906832</wp:posOffset>
                </wp:positionH>
                <wp:positionV relativeFrom="paragraph">
                  <wp:posOffset>624884</wp:posOffset>
                </wp:positionV>
                <wp:extent cx="528555" cy="105711"/>
                <wp:effectExtent l="0" t="0" r="5080" b="8890"/>
                <wp:wrapNone/>
                <wp:docPr id="45" name="Tekstiväli 45"/>
                <wp:cNvGraphicFramePr/>
                <a:graphic xmlns:a="http://schemas.openxmlformats.org/drawingml/2006/main">
                  <a:graphicData uri="http://schemas.microsoft.com/office/word/2010/wordprocessingShape">
                    <wps:wsp>
                      <wps:cNvSpPr txBox="1"/>
                      <wps:spPr>
                        <a:xfrm>
                          <a:off x="0" y="0"/>
                          <a:ext cx="528555" cy="105711"/>
                        </a:xfrm>
                        <a:prstGeom prst="rect">
                          <a:avLst/>
                        </a:prstGeom>
                        <a:solidFill>
                          <a:sysClr val="window" lastClr="FFFFFF"/>
                        </a:solidFill>
                        <a:ln w="6350">
                          <a:noFill/>
                        </a:ln>
                      </wps:spPr>
                      <wps:txbx>
                        <w:txbxContent>
                          <w:p w14:paraId="28CED64E" w14:textId="77777777" w:rsidR="00EF53AB" w:rsidRPr="0097048F" w:rsidRDefault="00EF53AB" w:rsidP="00EF53AB">
                            <w:pPr>
                              <w:rPr>
                                <w:sz w:val="10"/>
                                <w:szCs w:val="10"/>
                              </w:rPr>
                            </w:pPr>
                            <w:r>
                              <w:rPr>
                                <w:sz w:val="10"/>
                                <w:szCs w:val="10"/>
                              </w:rPr>
                              <w:t>Kohalik võrgusõlm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01E4F" id="Tekstiväli 45" o:spid="_x0000_s1043" type="#_x0000_t202" style="position:absolute;left:0;text-align:left;margin-left:150.15pt;margin-top:49.2pt;width:41.6pt;height:8.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" fillcolor="window" stroked="f" strokeweight=".5pt">
                <v:textbox inset="0,0,0,0">
                  <w:txbxContent>
                    <w:p w14:paraId="28CED64E" w14:textId="77777777" w:rsidR="00EF53AB" w:rsidRPr="0097048F" w:rsidRDefault="00EF53AB" w:rsidP="00EF53AB">
                      <w:pPr>
                        <w:rPr>
                          <w:sz w:val="10"/>
                          <w:szCs w:val="10"/>
                        </w:rPr>
                      </w:pPr>
                      <w:r>
                        <w:rPr>
                          <w:sz w:val="10"/>
                          <w:szCs w:val="10"/>
                        </w:rPr>
                        <w:t>Kohalik võrgusõlm</w:t>
                      </w:r>
                    </w:p>
                  </w:txbxContent>
                </v:textbox>
                <w10:wrap anchorx="margin"/>
              </v:shape>
            </w:pict>
          </mc:Fallback>
        </mc:AlternateContent>
      </w:r>
      <w:r w:rsidR="00EF53AB" w:rsidRPr="006E317E">
        <w:rPr>
          <w:noProof/>
        </w:rPr>
        <mc:AlternateContent>
          <mc:Choice Requires="wps">
            <w:drawing>
              <wp:anchor distT="0" distB="0" distL="114300" distR="114300" simplePos="0" relativeHeight="251655168" behindDoc="0" locked="0" layoutInCell="1" allowOverlap="1" wp14:anchorId="2C4371CC" wp14:editId="3271592E">
                <wp:simplePos x="0" y="0"/>
                <wp:positionH relativeFrom="margin">
                  <wp:posOffset>553731</wp:posOffset>
                </wp:positionH>
                <wp:positionV relativeFrom="paragraph">
                  <wp:posOffset>3040381</wp:posOffset>
                </wp:positionV>
                <wp:extent cx="500119" cy="100312"/>
                <wp:effectExtent l="0" t="0" r="0" b="0"/>
                <wp:wrapNone/>
                <wp:docPr id="46" name="Tekstiväli 46"/>
                <wp:cNvGraphicFramePr/>
                <a:graphic xmlns:a="http://schemas.openxmlformats.org/drawingml/2006/main">
                  <a:graphicData uri="http://schemas.microsoft.com/office/word/2010/wordprocessingShape">
                    <wps:wsp>
                      <wps:cNvSpPr txBox="1"/>
                      <wps:spPr>
                        <a:xfrm>
                          <a:off x="0" y="0"/>
                          <a:ext cx="500119" cy="100312"/>
                        </a:xfrm>
                        <a:prstGeom prst="rect">
                          <a:avLst/>
                        </a:prstGeom>
                        <a:solidFill>
                          <a:sysClr val="window" lastClr="FFFFFF"/>
                        </a:solidFill>
                        <a:ln w="6350">
                          <a:noFill/>
                        </a:ln>
                      </wps:spPr>
                      <wps:txbx>
                        <w:txbxContent>
                          <w:p w14:paraId="22004524" w14:textId="77777777" w:rsidR="00EF53AB" w:rsidRPr="0097048F" w:rsidRDefault="00EF53AB" w:rsidP="00EF53AB">
                            <w:pPr>
                              <w:rPr>
                                <w:sz w:val="10"/>
                                <w:szCs w:val="10"/>
                              </w:rPr>
                            </w:pPr>
                            <w:r w:rsidRPr="0097048F">
                              <w:rPr>
                                <w:sz w:val="10"/>
                                <w:szCs w:val="10"/>
                              </w:rPr>
                              <w:t>Splitter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371CC" id="Tekstiväli 46" o:spid="_x0000_s1044" type="#_x0000_t202" style="position:absolute;left:0;text-align:left;margin-left:43.6pt;margin-top:239.4pt;width:39.4pt;height:7.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" fillcolor="window" stroked="f" strokeweight=".5pt">
                <v:textbox inset="0,0,0,0">
                  <w:txbxContent>
                    <w:p w14:paraId="22004524" w14:textId="77777777" w:rsidR="00EF53AB" w:rsidRPr="0097048F" w:rsidRDefault="00EF53AB" w:rsidP="00EF53AB">
                      <w:pPr>
                        <w:rPr>
                          <w:sz w:val="10"/>
                          <w:szCs w:val="10"/>
                        </w:rPr>
                      </w:pPr>
                      <w:r w:rsidRPr="0097048F">
                        <w:rPr>
                          <w:sz w:val="10"/>
                          <w:szCs w:val="10"/>
                        </w:rPr>
                        <w:t>Splitter</w:t>
                      </w:r>
                    </w:p>
                  </w:txbxContent>
                </v:textbox>
                <w10:wrap anchorx="margin"/>
              </v:shape>
            </w:pict>
          </mc:Fallback>
        </mc:AlternateContent>
      </w:r>
      <w:r w:rsidR="00EF53AB" w:rsidRPr="006E317E">
        <w:rPr>
          <w:noProof/>
        </w:rPr>
        <mc:AlternateContent>
          <mc:Choice Requires="wps">
            <w:drawing>
              <wp:anchor distT="0" distB="0" distL="114300" distR="114300" simplePos="0" relativeHeight="251653120" behindDoc="0" locked="0" layoutInCell="1" allowOverlap="1" wp14:anchorId="41770AC9" wp14:editId="0EE58907">
                <wp:simplePos x="0" y="0"/>
                <wp:positionH relativeFrom="margin">
                  <wp:posOffset>5368719</wp:posOffset>
                </wp:positionH>
                <wp:positionV relativeFrom="paragraph">
                  <wp:posOffset>243428</wp:posOffset>
                </wp:positionV>
                <wp:extent cx="430288" cy="364702"/>
                <wp:effectExtent l="0" t="0" r="27305" b="16510"/>
                <wp:wrapNone/>
                <wp:docPr id="47" name="Tekstiväli 47"/>
                <wp:cNvGraphicFramePr/>
                <a:graphic xmlns:a="http://schemas.openxmlformats.org/drawingml/2006/main">
                  <a:graphicData uri="http://schemas.microsoft.com/office/word/2010/wordprocessingShape">
                    <wps:wsp>
                      <wps:cNvSpPr txBox="1"/>
                      <wps:spPr>
                        <a:xfrm>
                          <a:off x="0" y="0"/>
                          <a:ext cx="430288" cy="364702"/>
                        </a:xfrm>
                        <a:prstGeom prst="rect">
                          <a:avLst/>
                        </a:prstGeom>
                        <a:solidFill>
                          <a:sysClr val="window" lastClr="FFFFFF"/>
                        </a:solidFill>
                        <a:ln w="6350">
                          <a:gradFill>
                            <a:gsLst>
                              <a:gs pos="0">
                                <a:sysClr val="windowText" lastClr="000000"/>
                              </a:gs>
                              <a:gs pos="74000">
                                <a:srgbClr val="4472C4">
                                  <a:lumMod val="45000"/>
                                  <a:lumOff val="55000"/>
                                </a:srgbClr>
                              </a:gs>
                              <a:gs pos="83000">
                                <a:srgbClr val="4472C4">
                                  <a:lumMod val="45000"/>
                                  <a:lumOff val="55000"/>
                                </a:srgbClr>
                              </a:gs>
                              <a:gs pos="100000">
                                <a:srgbClr val="4472C4">
                                  <a:lumMod val="30000"/>
                                  <a:lumOff val="70000"/>
                                </a:srgbClr>
                              </a:gs>
                            </a:gsLst>
                            <a:lin ang="5400000" scaled="1"/>
                          </a:gradFill>
                          <a:prstDash val="dash"/>
                        </a:ln>
                      </wps:spPr>
                      <wps:txbx>
                        <w:txbxContent>
                          <w:p w14:paraId="7F694D41" w14:textId="77777777" w:rsidR="00EF53AB" w:rsidRPr="0070220F" w:rsidRDefault="00EF53AB" w:rsidP="00EF53AB">
                            <w:pPr>
                              <w:jc w:val="center"/>
                              <w:rPr>
                                <w:sz w:val="12"/>
                                <w:szCs w:val="12"/>
                              </w:rPr>
                            </w:pPr>
                            <w:r w:rsidRPr="0070220F">
                              <w:rPr>
                                <w:sz w:val="12"/>
                                <w:szCs w:val="12"/>
                              </w:rPr>
                              <w:t xml:space="preserve">Globaalne võrk </w:t>
                            </w:r>
                            <w:r>
                              <w:rPr>
                                <w:sz w:val="12"/>
                                <w:szCs w:val="12"/>
                              </w:rPr>
                              <w:t xml:space="preserve">   </w:t>
                            </w:r>
                            <w:r w:rsidRPr="0070220F">
                              <w:rPr>
                                <w:sz w:val="12"/>
                                <w:szCs w:val="12"/>
                              </w:rPr>
                              <w:t xml:space="preserve"> WWW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70AC9" id="Tekstiväli 47" o:spid="_x0000_s1045" type="#_x0000_t202" style="position:absolute;left:0;text-align:left;margin-left:422.75pt;margin-top:19.15pt;width:33.9pt;height:28.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" fillcolor="window" strokeweight=".5pt">
                <v:stroke dashstyle="dash"/>
                <v:textbox inset="0,0,0,0">
                  <w:txbxContent>
                    <w:p w14:paraId="7F694D41" w14:textId="77777777" w:rsidR="00EF53AB" w:rsidRPr="0070220F" w:rsidRDefault="00EF53AB" w:rsidP="00EF53AB">
                      <w:pPr>
                        <w:jc w:val="center"/>
                        <w:rPr>
                          <w:sz w:val="12"/>
                          <w:szCs w:val="12"/>
                        </w:rPr>
                      </w:pPr>
                      <w:r w:rsidRPr="0070220F">
                        <w:rPr>
                          <w:sz w:val="12"/>
                          <w:szCs w:val="12"/>
                        </w:rPr>
                        <w:t xml:space="preserve">Globaalne võrk </w:t>
                      </w:r>
                      <w:r>
                        <w:rPr>
                          <w:sz w:val="12"/>
                          <w:szCs w:val="12"/>
                        </w:rPr>
                        <w:t xml:space="preserve">   </w:t>
                      </w:r>
                      <w:r w:rsidRPr="0070220F">
                        <w:rPr>
                          <w:sz w:val="12"/>
                          <w:szCs w:val="12"/>
                        </w:rPr>
                        <w:t xml:space="preserve"> WWW</w:t>
                      </w:r>
                    </w:p>
                  </w:txbxContent>
                </v:textbox>
                <w10:wrap anchorx="margin"/>
              </v:shape>
            </w:pict>
          </mc:Fallback>
        </mc:AlternateContent>
      </w:r>
      <w:r w:rsidR="00EF53AB" w:rsidRPr="006E317E">
        <w:rPr>
          <w:noProof/>
        </w:rPr>
        <mc:AlternateContent>
          <mc:Choice Requires="wps">
            <w:drawing>
              <wp:anchor distT="0" distB="0" distL="114300" distR="114300" simplePos="0" relativeHeight="251649024" behindDoc="0" locked="0" layoutInCell="1" allowOverlap="1" wp14:anchorId="16C69A60" wp14:editId="5C1D1DA1">
                <wp:simplePos x="0" y="0"/>
                <wp:positionH relativeFrom="margin">
                  <wp:posOffset>2715521</wp:posOffset>
                </wp:positionH>
                <wp:positionV relativeFrom="paragraph">
                  <wp:posOffset>2485397</wp:posOffset>
                </wp:positionV>
                <wp:extent cx="835116" cy="247856"/>
                <wp:effectExtent l="0" t="0" r="3175" b="0"/>
                <wp:wrapNone/>
                <wp:docPr id="48" name="Tekstiväli 48"/>
                <wp:cNvGraphicFramePr/>
                <a:graphic xmlns:a="http://schemas.openxmlformats.org/drawingml/2006/main">
                  <a:graphicData uri="http://schemas.microsoft.com/office/word/2010/wordprocessingShape">
                    <wps:wsp>
                      <wps:cNvSpPr txBox="1"/>
                      <wps:spPr>
                        <a:xfrm>
                          <a:off x="0" y="0"/>
                          <a:ext cx="835116" cy="247856"/>
                        </a:xfrm>
                        <a:prstGeom prst="rect">
                          <a:avLst/>
                        </a:prstGeom>
                        <a:solidFill>
                          <a:sysClr val="window" lastClr="FFFFFF"/>
                        </a:solidFill>
                        <a:ln w="6350">
                          <a:noFill/>
                        </a:ln>
                      </wps:spPr>
                      <wps:txbx>
                        <w:txbxContent>
                          <w:p w14:paraId="05C5B0A3" w14:textId="77777777" w:rsidR="00EF53AB" w:rsidRPr="00404CB5" w:rsidRDefault="00EF53AB" w:rsidP="00EF53AB">
                            <w:pPr>
                              <w:jc w:val="center"/>
                              <w:rPr>
                                <w:b/>
                                <w:bCs/>
                                <w:color w:val="C00000"/>
                                <w:sz w:val="14"/>
                                <w:szCs w:val="14"/>
                              </w:rPr>
                            </w:pPr>
                            <w:r>
                              <w:rPr>
                                <w:b/>
                                <w:color w:val="C00000"/>
                                <w:sz w:val="14"/>
                                <w:szCs w:val="14"/>
                              </w:rPr>
                              <w:t>Regiooni</w:t>
                            </w:r>
                            <w:r w:rsidRPr="00404CB5">
                              <w:rPr>
                                <w:b/>
                                <w:color w:val="C00000"/>
                                <w:sz w:val="14"/>
                                <w:szCs w:val="14"/>
                              </w:rPr>
                              <w:t xml:space="preserve"> tasandi juurdepääsupunkt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69A60" id="Tekstiväli 48" o:spid="_x0000_s1046" type="#_x0000_t202" style="position:absolute;left:0;text-align:left;margin-left:213.8pt;margin-top:195.7pt;width:65.75pt;height:19.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" fillcolor="window" stroked="f" strokeweight=".5pt">
                <v:textbox inset="0,0,0,0">
                  <w:txbxContent>
                    <w:p w14:paraId="05C5B0A3" w14:textId="77777777" w:rsidR="00EF53AB" w:rsidRPr="00404CB5" w:rsidRDefault="00EF53AB" w:rsidP="00EF53AB">
                      <w:pPr>
                        <w:jc w:val="center"/>
                        <w:rPr>
                          <w:b/>
                          <w:bCs/>
                          <w:color w:val="C00000"/>
                          <w:sz w:val="14"/>
                          <w:szCs w:val="14"/>
                        </w:rPr>
                      </w:pPr>
                      <w:r>
                        <w:rPr>
                          <w:b/>
                          <w:color w:val="C00000"/>
                          <w:sz w:val="14"/>
                          <w:szCs w:val="14"/>
                        </w:rPr>
                        <w:t>Regiooni</w:t>
                      </w:r>
                      <w:r w:rsidRPr="00404CB5">
                        <w:rPr>
                          <w:b/>
                          <w:color w:val="C00000"/>
                          <w:sz w:val="14"/>
                          <w:szCs w:val="14"/>
                        </w:rPr>
                        <w:t xml:space="preserve"> tasandi juurdepääsupunkt</w:t>
                      </w:r>
                    </w:p>
                  </w:txbxContent>
                </v:textbox>
                <w10:wrap anchorx="margin"/>
              </v:shape>
            </w:pict>
          </mc:Fallback>
        </mc:AlternateContent>
      </w:r>
      <w:r w:rsidR="00EF53AB" w:rsidRPr="006E317E">
        <w:rPr>
          <w:noProof/>
        </w:rPr>
        <mc:AlternateContent>
          <mc:Choice Requires="wps">
            <w:drawing>
              <wp:anchor distT="0" distB="0" distL="114300" distR="114300" simplePos="0" relativeHeight="251646976" behindDoc="0" locked="0" layoutInCell="1" allowOverlap="1" wp14:anchorId="640691A3" wp14:editId="6B0E067C">
                <wp:simplePos x="0" y="0"/>
                <wp:positionH relativeFrom="margin">
                  <wp:posOffset>2450949</wp:posOffset>
                </wp:positionH>
                <wp:positionV relativeFrom="paragraph">
                  <wp:posOffset>2833817</wp:posOffset>
                </wp:positionV>
                <wp:extent cx="766404" cy="247856"/>
                <wp:effectExtent l="0" t="0" r="0" b="0"/>
                <wp:wrapNone/>
                <wp:docPr id="49" name="Tekstiväli 49"/>
                <wp:cNvGraphicFramePr/>
                <a:graphic xmlns:a="http://schemas.openxmlformats.org/drawingml/2006/main">
                  <a:graphicData uri="http://schemas.microsoft.com/office/word/2010/wordprocessingShape">
                    <wps:wsp>
                      <wps:cNvSpPr txBox="1"/>
                      <wps:spPr>
                        <a:xfrm>
                          <a:off x="0" y="0"/>
                          <a:ext cx="766404" cy="247856"/>
                        </a:xfrm>
                        <a:prstGeom prst="rect">
                          <a:avLst/>
                        </a:prstGeom>
                        <a:solidFill>
                          <a:sysClr val="window" lastClr="FFFFFF"/>
                        </a:solidFill>
                        <a:ln w="6350">
                          <a:noFill/>
                        </a:ln>
                      </wps:spPr>
                      <wps:txbx>
                        <w:txbxContent>
                          <w:p w14:paraId="0C161C62" w14:textId="77777777" w:rsidR="00EF53AB" w:rsidRPr="00404CB5" w:rsidRDefault="00EF53AB" w:rsidP="00EF53AB">
                            <w:pPr>
                              <w:jc w:val="center"/>
                              <w:rPr>
                                <w:b/>
                                <w:bCs/>
                                <w:color w:val="C00000"/>
                                <w:sz w:val="14"/>
                                <w:szCs w:val="14"/>
                              </w:rPr>
                            </w:pPr>
                            <w:r w:rsidRPr="00404CB5">
                              <w:rPr>
                                <w:b/>
                                <w:color w:val="C00000"/>
                                <w:sz w:val="14"/>
                                <w:szCs w:val="14"/>
                              </w:rPr>
                              <w:t>Kohaliku tasandi juurdepääsupunkt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691A3" id="Tekstiväli 49" o:spid="_x0000_s1047" type="#_x0000_t202" style="position:absolute;left:0;text-align:left;margin-left:193pt;margin-top:223.15pt;width:60.35pt;height:19.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" fillcolor="window" stroked="f" strokeweight=".5pt">
                <v:textbox inset="0,0,0,0">
                  <w:txbxContent>
                    <w:p w14:paraId="0C161C62" w14:textId="77777777" w:rsidR="00EF53AB" w:rsidRPr="00404CB5" w:rsidRDefault="00EF53AB" w:rsidP="00EF53AB">
                      <w:pPr>
                        <w:jc w:val="center"/>
                        <w:rPr>
                          <w:b/>
                          <w:bCs/>
                          <w:color w:val="C00000"/>
                          <w:sz w:val="14"/>
                          <w:szCs w:val="14"/>
                        </w:rPr>
                      </w:pPr>
                      <w:r w:rsidRPr="00404CB5">
                        <w:rPr>
                          <w:b/>
                          <w:color w:val="C00000"/>
                          <w:sz w:val="14"/>
                          <w:szCs w:val="14"/>
                        </w:rPr>
                        <w:t>Kohaliku tasandi juurdepääsupunkt</w:t>
                      </w:r>
                    </w:p>
                  </w:txbxContent>
                </v:textbox>
                <w10:wrap anchorx="margin"/>
              </v:shape>
            </w:pict>
          </mc:Fallback>
        </mc:AlternateContent>
      </w:r>
      <w:r w:rsidR="00EF53AB" w:rsidRPr="006E317E">
        <w:rPr>
          <w:noProof/>
        </w:rPr>
        <mc:AlternateContent>
          <mc:Choice Requires="wps">
            <w:drawing>
              <wp:anchor distT="0" distB="0" distL="114300" distR="114300" simplePos="0" relativeHeight="251644928" behindDoc="0" locked="0" layoutInCell="1" allowOverlap="1" wp14:anchorId="141BAEF2" wp14:editId="051342F9">
                <wp:simplePos x="0" y="0"/>
                <wp:positionH relativeFrom="margin">
                  <wp:posOffset>3117850</wp:posOffset>
                </wp:positionH>
                <wp:positionV relativeFrom="paragraph">
                  <wp:posOffset>38529</wp:posOffset>
                </wp:positionV>
                <wp:extent cx="1294959" cy="142710"/>
                <wp:effectExtent l="0" t="0" r="635" b="0"/>
                <wp:wrapNone/>
                <wp:docPr id="50" name="Tekstiväli 50"/>
                <wp:cNvGraphicFramePr/>
                <a:graphic xmlns:a="http://schemas.openxmlformats.org/drawingml/2006/main">
                  <a:graphicData uri="http://schemas.microsoft.com/office/word/2010/wordprocessingShape">
                    <wps:wsp>
                      <wps:cNvSpPr txBox="1"/>
                      <wps:spPr>
                        <a:xfrm>
                          <a:off x="0" y="0"/>
                          <a:ext cx="1294959" cy="142710"/>
                        </a:xfrm>
                        <a:prstGeom prst="rect">
                          <a:avLst/>
                        </a:prstGeom>
                        <a:solidFill>
                          <a:sysClr val="window" lastClr="FFFFFF"/>
                        </a:solidFill>
                        <a:ln w="6350">
                          <a:noFill/>
                        </a:ln>
                      </wps:spPr>
                      <wps:txbx>
                        <w:txbxContent>
                          <w:p w14:paraId="474B93CC" w14:textId="77777777" w:rsidR="00EF53AB" w:rsidRPr="005E365D" w:rsidRDefault="00EF53AB" w:rsidP="00EF53AB">
                            <w:pPr>
                              <w:jc w:val="center"/>
                              <w:rPr>
                                <w:b/>
                                <w:bCs/>
                                <w:sz w:val="14"/>
                                <w:szCs w:val="14"/>
                              </w:rPr>
                            </w:pPr>
                            <w:r>
                              <w:rPr>
                                <w:b/>
                                <w:sz w:val="14"/>
                                <w:szCs w:val="14"/>
                              </w:rPr>
                              <w:t xml:space="preserve">Ülekandevõrk (sh baasvõrk)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BAEF2" id="Tekstiväli 50" o:spid="_x0000_s1048" type="#_x0000_t202" style="position:absolute;left:0;text-align:left;margin-left:245.5pt;margin-top:3.05pt;width:101.95pt;height:11.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" fillcolor="window" stroked="f" strokeweight=".5pt">
                <v:textbox inset="0,0,0,0">
                  <w:txbxContent>
                    <w:p w14:paraId="474B93CC" w14:textId="77777777" w:rsidR="00EF53AB" w:rsidRPr="005E365D" w:rsidRDefault="00EF53AB" w:rsidP="00EF53AB">
                      <w:pPr>
                        <w:jc w:val="center"/>
                        <w:rPr>
                          <w:b/>
                          <w:bCs/>
                          <w:sz w:val="14"/>
                          <w:szCs w:val="14"/>
                        </w:rPr>
                      </w:pPr>
                      <w:r>
                        <w:rPr>
                          <w:b/>
                          <w:sz w:val="14"/>
                          <w:szCs w:val="14"/>
                        </w:rPr>
                        <w:t xml:space="preserve">Ülekandevõrk (sh baasvõrk) </w:t>
                      </w:r>
                    </w:p>
                  </w:txbxContent>
                </v:textbox>
                <w10:wrap anchorx="margin"/>
              </v:shape>
            </w:pict>
          </mc:Fallback>
        </mc:AlternateContent>
      </w:r>
      <w:r w:rsidR="00EF53AB" w:rsidRPr="006E317E">
        <w:rPr>
          <w:noProof/>
        </w:rPr>
        <mc:AlternateContent>
          <mc:Choice Requires="wps">
            <w:drawing>
              <wp:anchor distT="0" distB="0" distL="114300" distR="114300" simplePos="0" relativeHeight="251642880" behindDoc="0" locked="0" layoutInCell="1" allowOverlap="1" wp14:anchorId="4EFD01C1" wp14:editId="5B3924E6">
                <wp:simplePos x="0" y="0"/>
                <wp:positionH relativeFrom="margin">
                  <wp:posOffset>611711</wp:posOffset>
                </wp:positionH>
                <wp:positionV relativeFrom="paragraph">
                  <wp:posOffset>25436</wp:posOffset>
                </wp:positionV>
                <wp:extent cx="1294959" cy="142710"/>
                <wp:effectExtent l="0" t="0" r="635" b="0"/>
                <wp:wrapNone/>
                <wp:docPr id="51" name="Tekstiväli 51"/>
                <wp:cNvGraphicFramePr/>
                <a:graphic xmlns:a="http://schemas.openxmlformats.org/drawingml/2006/main">
                  <a:graphicData uri="http://schemas.microsoft.com/office/word/2010/wordprocessingShape">
                    <wps:wsp>
                      <wps:cNvSpPr txBox="1"/>
                      <wps:spPr>
                        <a:xfrm>
                          <a:off x="0" y="0"/>
                          <a:ext cx="1294959" cy="142710"/>
                        </a:xfrm>
                        <a:prstGeom prst="rect">
                          <a:avLst/>
                        </a:prstGeom>
                        <a:solidFill>
                          <a:sysClr val="window" lastClr="FFFFFF"/>
                        </a:solidFill>
                        <a:ln w="6350">
                          <a:noFill/>
                        </a:ln>
                      </wps:spPr>
                      <wps:txbx>
                        <w:txbxContent>
                          <w:p w14:paraId="3971DBCA" w14:textId="77777777" w:rsidR="00EF53AB" w:rsidRPr="005E365D" w:rsidRDefault="00EF53AB" w:rsidP="00EF53AB">
                            <w:pPr>
                              <w:jc w:val="center"/>
                              <w:rPr>
                                <w:b/>
                                <w:bCs/>
                                <w:sz w:val="14"/>
                                <w:szCs w:val="14"/>
                              </w:rPr>
                            </w:pPr>
                            <w:r>
                              <w:rPr>
                                <w:b/>
                                <w:sz w:val="14"/>
                                <w:szCs w:val="14"/>
                              </w:rPr>
                              <w:t>Juurdepääsuvõrk (kliendiliinid)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01C1" id="Tekstiväli 51" o:spid="_x0000_s1049" type="#_x0000_t202" style="position:absolute;left:0;text-align:left;margin-left:48.15pt;margin-top:2pt;width:101.95pt;height:11.2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" fillcolor="window" stroked="f" strokeweight=".5pt">
                <v:textbox inset="0,0,0,0">
                  <w:txbxContent>
                    <w:p w14:paraId="3971DBCA" w14:textId="77777777" w:rsidR="00EF53AB" w:rsidRPr="005E365D" w:rsidRDefault="00EF53AB" w:rsidP="00EF53AB">
                      <w:pPr>
                        <w:jc w:val="center"/>
                        <w:rPr>
                          <w:b/>
                          <w:bCs/>
                          <w:sz w:val="14"/>
                          <w:szCs w:val="14"/>
                        </w:rPr>
                      </w:pPr>
                      <w:r>
                        <w:rPr>
                          <w:b/>
                          <w:sz w:val="14"/>
                          <w:szCs w:val="14"/>
                        </w:rPr>
                        <w:t>Juurdepääsuvõrk (kliendiliinid)</w:t>
                      </w:r>
                    </w:p>
                  </w:txbxContent>
                </v:textbox>
                <w10:wrap anchorx="margin"/>
              </v:shape>
            </w:pict>
          </mc:Fallback>
        </mc:AlternateContent>
      </w:r>
      <w:r w:rsidR="00EF53AB" w:rsidRPr="006E317E">
        <w:rPr>
          <w:noProof/>
        </w:rPr>
        <mc:AlternateContent>
          <mc:Choice Requires="wps">
            <w:drawing>
              <wp:anchor distT="0" distB="0" distL="114300" distR="114300" simplePos="0" relativeHeight="251636736" behindDoc="0" locked="0" layoutInCell="1" allowOverlap="1" wp14:anchorId="3A4978F3" wp14:editId="2FB1E39C">
                <wp:simplePos x="0" y="0"/>
                <wp:positionH relativeFrom="margin">
                  <wp:posOffset>431389</wp:posOffset>
                </wp:positionH>
                <wp:positionV relativeFrom="paragraph">
                  <wp:posOffset>1602534</wp:posOffset>
                </wp:positionV>
                <wp:extent cx="316674" cy="79283"/>
                <wp:effectExtent l="4445" t="0" r="0" b="0"/>
                <wp:wrapNone/>
                <wp:docPr id="52" name="Tekstiväli 52"/>
                <wp:cNvGraphicFramePr/>
                <a:graphic xmlns:a="http://schemas.openxmlformats.org/drawingml/2006/main">
                  <a:graphicData uri="http://schemas.microsoft.com/office/word/2010/wordprocessingShape">
                    <wps:wsp>
                      <wps:cNvSpPr txBox="1"/>
                      <wps:spPr>
                        <a:xfrm rot="16200000">
                          <a:off x="0" y="0"/>
                          <a:ext cx="316674" cy="79283"/>
                        </a:xfrm>
                        <a:prstGeom prst="rect">
                          <a:avLst/>
                        </a:prstGeom>
                        <a:solidFill>
                          <a:sysClr val="window" lastClr="FFFFFF"/>
                        </a:solidFill>
                        <a:ln w="6350">
                          <a:noFill/>
                        </a:ln>
                      </wps:spPr>
                      <wps:txbx>
                        <w:txbxContent>
                          <w:p w14:paraId="6009B6B0" w14:textId="77777777" w:rsidR="00EF53AB" w:rsidRPr="00A8307A" w:rsidRDefault="00EF53AB" w:rsidP="00EF53AB">
                            <w:pPr>
                              <w:jc w:val="center"/>
                              <w:rPr>
                                <w:b/>
                                <w:sz w:val="9"/>
                                <w:szCs w:val="9"/>
                              </w:rPr>
                            </w:pPr>
                            <w:r w:rsidRPr="00A8307A">
                              <w:rPr>
                                <w:b/>
                                <w:sz w:val="9"/>
                                <w:szCs w:val="9"/>
                              </w:rPr>
                              <w:t>Vaskkaablid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978F3" id="Tekstiväli 52" o:spid="_x0000_s1050" type="#_x0000_t202" style="position:absolute;left:0;text-align:left;margin-left:33.95pt;margin-top:126.2pt;width:24.95pt;height:6.25pt;rotation:-90;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" fillcolor="window" stroked="f" strokeweight=".5pt">
                <v:textbox inset="0,0,0,0">
                  <w:txbxContent>
                    <w:p w14:paraId="6009B6B0" w14:textId="77777777" w:rsidR="00EF53AB" w:rsidRPr="00A8307A" w:rsidRDefault="00EF53AB" w:rsidP="00EF53AB">
                      <w:pPr>
                        <w:jc w:val="center"/>
                        <w:rPr>
                          <w:b/>
                          <w:sz w:val="9"/>
                          <w:szCs w:val="9"/>
                        </w:rPr>
                      </w:pPr>
                      <w:r w:rsidRPr="00A8307A">
                        <w:rPr>
                          <w:b/>
                          <w:sz w:val="9"/>
                          <w:szCs w:val="9"/>
                        </w:rPr>
                        <w:t>Vaskkaablid</w:t>
                      </w:r>
                    </w:p>
                  </w:txbxContent>
                </v:textbox>
                <w10:wrap anchorx="margin"/>
              </v:shape>
            </w:pict>
          </mc:Fallback>
        </mc:AlternateContent>
      </w:r>
      <w:r w:rsidR="00EF53AB" w:rsidRPr="006E317E">
        <w:rPr>
          <w:noProof/>
        </w:rPr>
        <w:drawing>
          <wp:inline distT="0" distB="0" distL="0" distR="0" wp14:anchorId="5675AFA3" wp14:editId="7BDFE37E">
            <wp:extent cx="5827340" cy="3131138"/>
            <wp:effectExtent l="19050" t="19050" r="21590" b="12700"/>
            <wp:docPr id="53" name="Pilt 53">
              <a:extLst xmlns:a="http://schemas.openxmlformats.org/drawingml/2006/main">
                <a:ext uri="{FF2B5EF4-FFF2-40B4-BE49-F238E27FC236}">
                  <a16:creationId xmlns:a16="http://schemas.microsoft.com/office/drawing/2014/main" id="{58904FFC-6270-417F-84DC-FFA3752A5D04}"/>
                </a:ext>
              </a:extLst>
            </wp:docPr>
            <wp:cNvGraphicFramePr/>
            <a:graphic xmlns:a="http://schemas.openxmlformats.org/drawingml/2006/main">
              <a:graphicData uri="http://schemas.openxmlformats.org/drawingml/2006/picture">
                <pic:pic xmlns:pic="http://schemas.openxmlformats.org/drawingml/2006/picture">
                  <pic:nvPicPr>
                    <pic:cNvPr id="2" name="Picture 8836">
                      <a:extLst>
                        <a:ext uri="{FF2B5EF4-FFF2-40B4-BE49-F238E27FC236}">
                          <a16:creationId xmlns:a16="http://schemas.microsoft.com/office/drawing/2014/main" id="{58904FFC-6270-417F-84DC-FFA3752A5D04}"/>
                        </a:ext>
                      </a:extLst>
                    </pic:cNvPr>
                    <pic:cNvPicPr/>
                  </pic:nvPicPr>
                  <pic:blipFill>
                    <a:blip r:embed="rId11"/>
                    <a:stretch>
                      <a:fillRect/>
                    </a:stretch>
                  </pic:blipFill>
                  <pic:spPr>
                    <a:xfrm>
                      <a:off x="0" y="0"/>
                      <a:ext cx="5827340" cy="3131138"/>
                    </a:xfrm>
                    <a:prstGeom prst="rect">
                      <a:avLst/>
                    </a:prstGeom>
                    <a:ln>
                      <a:solidFill>
                        <a:srgbClr val="4472C4"/>
                      </a:solidFill>
                    </a:ln>
                  </pic:spPr>
                </pic:pic>
              </a:graphicData>
            </a:graphic>
          </wp:inline>
        </w:drawing>
      </w:r>
    </w:p>
    <w:p w14:paraId="1B7A11F5" w14:textId="77777777" w:rsidR="00EF53AB" w:rsidRPr="006E317E" w:rsidRDefault="00EF53AB" w:rsidP="00AA241E">
      <w:pPr>
        <w:jc w:val="both"/>
      </w:pPr>
    </w:p>
    <w:p w14:paraId="272D9F62" w14:textId="77777777" w:rsidR="00E5522B" w:rsidRDefault="00E5522B" w:rsidP="00AA241E">
      <w:pPr>
        <w:pStyle w:val="Pealdis"/>
        <w:jc w:val="both"/>
      </w:pPr>
      <w:bookmarkStart w:id="16" w:name="_Toc164846169"/>
    </w:p>
    <w:p w14:paraId="33978B52" w14:textId="6E900C1D" w:rsidR="00EF53AB" w:rsidRDefault="006C32C6" w:rsidP="001A1A14">
      <w:pPr>
        <w:pStyle w:val="Pealdis"/>
        <w:spacing w:before="240" w:after="240"/>
        <w:jc w:val="both"/>
      </w:pPr>
      <w:r>
        <w:t xml:space="preserve">Joonis </w:t>
      </w:r>
      <w:r>
        <w:fldChar w:fldCharType="begin"/>
      </w:r>
      <w:r>
        <w:instrText xml:space="preserve"> SEQ Joonis \* ARABIC </w:instrText>
      </w:r>
      <w:r>
        <w:fldChar w:fldCharType="separate"/>
      </w:r>
      <w:r w:rsidR="00E5522B">
        <w:rPr>
          <w:noProof/>
        </w:rPr>
        <w:t>1</w:t>
      </w:r>
      <w:r>
        <w:fldChar w:fldCharType="end"/>
      </w:r>
      <w:r w:rsidR="00EF53AB" w:rsidRPr="006E317E">
        <w:t xml:space="preserve"> turgu valitseva operaatori elektroonilise side võrgu tüüpiline struktuur</w:t>
      </w:r>
      <w:bookmarkEnd w:id="16"/>
    </w:p>
    <w:tbl>
      <w:tblPr>
        <w:tblStyle w:val="Kontuurtabel1"/>
        <w:tblW w:w="9277" w:type="dxa"/>
        <w:tblLook w:val="04A0" w:firstRow="1" w:lastRow="0" w:firstColumn="1" w:lastColumn="0" w:noHBand="0" w:noVBand="1"/>
      </w:tblPr>
      <w:tblGrid>
        <w:gridCol w:w="3100"/>
        <w:gridCol w:w="1005"/>
        <w:gridCol w:w="1005"/>
        <w:gridCol w:w="1005"/>
        <w:gridCol w:w="1152"/>
        <w:gridCol w:w="1005"/>
        <w:gridCol w:w="1005"/>
      </w:tblGrid>
      <w:tr w:rsidR="00EF53AB" w:rsidRPr="006E317E" w14:paraId="6ECBB6D3" w14:textId="77777777" w:rsidTr="0005799C">
        <w:trPr>
          <w:trHeight w:val="313"/>
        </w:trPr>
        <w:tc>
          <w:tcPr>
            <w:tcW w:w="3100" w:type="dxa"/>
            <w:shd w:val="clear" w:color="auto" w:fill="92D050"/>
            <w:noWrap/>
            <w:hideMark/>
          </w:tcPr>
          <w:p w14:paraId="322BEE47" w14:textId="77777777" w:rsidR="00EF53AB" w:rsidRPr="003B69D1" w:rsidRDefault="00EF53AB" w:rsidP="00AA241E">
            <w:pPr>
              <w:jc w:val="both"/>
              <w:rPr>
                <w:b/>
                <w:bCs/>
              </w:rPr>
            </w:pPr>
            <w:bookmarkStart w:id="17" w:name="_Ref460231538"/>
            <w:r w:rsidRPr="003B69D1">
              <w:rPr>
                <w:b/>
                <w:bCs/>
              </w:rPr>
              <w:t>Juurdepääsuvõrgu tehnoloogia</w:t>
            </w:r>
          </w:p>
        </w:tc>
        <w:tc>
          <w:tcPr>
            <w:tcW w:w="1005" w:type="dxa"/>
            <w:shd w:val="clear" w:color="auto" w:fill="92D050"/>
            <w:noWrap/>
            <w:hideMark/>
          </w:tcPr>
          <w:p w14:paraId="5A60D669" w14:textId="77777777" w:rsidR="00EF53AB" w:rsidRPr="003B69D1" w:rsidRDefault="00EF53AB" w:rsidP="00403A74">
            <w:pPr>
              <w:jc w:val="center"/>
              <w:rPr>
                <w:b/>
                <w:bCs/>
              </w:rPr>
            </w:pPr>
            <w:r w:rsidRPr="003B69D1">
              <w:rPr>
                <w:b/>
                <w:bCs/>
              </w:rPr>
              <w:t>2018</w:t>
            </w:r>
          </w:p>
        </w:tc>
        <w:tc>
          <w:tcPr>
            <w:tcW w:w="1005" w:type="dxa"/>
            <w:shd w:val="clear" w:color="auto" w:fill="92D050"/>
            <w:noWrap/>
            <w:hideMark/>
          </w:tcPr>
          <w:p w14:paraId="500E51F6" w14:textId="77777777" w:rsidR="00EF53AB" w:rsidRPr="003B69D1" w:rsidRDefault="00EF53AB" w:rsidP="00403A74">
            <w:pPr>
              <w:jc w:val="center"/>
              <w:rPr>
                <w:b/>
                <w:bCs/>
              </w:rPr>
            </w:pPr>
            <w:r w:rsidRPr="003B69D1">
              <w:rPr>
                <w:b/>
                <w:bCs/>
              </w:rPr>
              <w:t>2019</w:t>
            </w:r>
          </w:p>
        </w:tc>
        <w:tc>
          <w:tcPr>
            <w:tcW w:w="1005" w:type="dxa"/>
            <w:shd w:val="clear" w:color="auto" w:fill="92D050"/>
            <w:noWrap/>
            <w:hideMark/>
          </w:tcPr>
          <w:p w14:paraId="506B1FB6" w14:textId="77777777" w:rsidR="00EF53AB" w:rsidRPr="003B69D1" w:rsidRDefault="00EF53AB" w:rsidP="00403A74">
            <w:pPr>
              <w:jc w:val="center"/>
              <w:rPr>
                <w:b/>
                <w:bCs/>
              </w:rPr>
            </w:pPr>
            <w:r w:rsidRPr="003B69D1">
              <w:rPr>
                <w:b/>
                <w:bCs/>
              </w:rPr>
              <w:t>2020</w:t>
            </w:r>
          </w:p>
        </w:tc>
        <w:tc>
          <w:tcPr>
            <w:tcW w:w="1152" w:type="dxa"/>
            <w:shd w:val="clear" w:color="auto" w:fill="92D050"/>
            <w:noWrap/>
            <w:hideMark/>
          </w:tcPr>
          <w:p w14:paraId="38AC5EB0" w14:textId="77777777" w:rsidR="00EF53AB" w:rsidRPr="003B69D1" w:rsidRDefault="00EF53AB" w:rsidP="00403A74">
            <w:pPr>
              <w:jc w:val="center"/>
              <w:rPr>
                <w:b/>
                <w:bCs/>
              </w:rPr>
            </w:pPr>
            <w:r w:rsidRPr="003B69D1">
              <w:rPr>
                <w:b/>
                <w:bCs/>
              </w:rPr>
              <w:t>2021</w:t>
            </w:r>
          </w:p>
        </w:tc>
        <w:tc>
          <w:tcPr>
            <w:tcW w:w="1005" w:type="dxa"/>
            <w:shd w:val="clear" w:color="auto" w:fill="92D050"/>
            <w:noWrap/>
            <w:hideMark/>
          </w:tcPr>
          <w:p w14:paraId="47B94A0C" w14:textId="77777777" w:rsidR="00EF53AB" w:rsidRPr="003B69D1" w:rsidRDefault="00EF53AB" w:rsidP="00403A74">
            <w:pPr>
              <w:jc w:val="center"/>
              <w:rPr>
                <w:b/>
                <w:bCs/>
              </w:rPr>
            </w:pPr>
            <w:r w:rsidRPr="003B69D1">
              <w:rPr>
                <w:b/>
                <w:bCs/>
              </w:rPr>
              <w:t>2022</w:t>
            </w:r>
          </w:p>
        </w:tc>
        <w:tc>
          <w:tcPr>
            <w:tcW w:w="1005" w:type="dxa"/>
            <w:shd w:val="clear" w:color="auto" w:fill="92D050"/>
            <w:noWrap/>
            <w:hideMark/>
          </w:tcPr>
          <w:p w14:paraId="2A5A8C79" w14:textId="77777777" w:rsidR="00EF53AB" w:rsidRPr="003B69D1" w:rsidRDefault="00EF53AB" w:rsidP="00403A74">
            <w:pPr>
              <w:jc w:val="center"/>
              <w:rPr>
                <w:b/>
                <w:bCs/>
              </w:rPr>
            </w:pPr>
            <w:r w:rsidRPr="003B69D1">
              <w:rPr>
                <w:b/>
                <w:bCs/>
              </w:rPr>
              <w:t>2023</w:t>
            </w:r>
          </w:p>
        </w:tc>
      </w:tr>
      <w:tr w:rsidR="00EF53AB" w:rsidRPr="006E317E" w14:paraId="292D216C" w14:textId="77777777" w:rsidTr="0005799C">
        <w:trPr>
          <w:trHeight w:val="313"/>
        </w:trPr>
        <w:tc>
          <w:tcPr>
            <w:tcW w:w="3100" w:type="dxa"/>
            <w:noWrap/>
            <w:vAlign w:val="center"/>
            <w:hideMark/>
          </w:tcPr>
          <w:p w14:paraId="1831B7B0" w14:textId="77777777" w:rsidR="00EF53AB" w:rsidRPr="006252E4" w:rsidRDefault="00EF53AB" w:rsidP="00AA241E">
            <w:pPr>
              <w:jc w:val="both"/>
              <w:rPr>
                <w:sz w:val="20"/>
                <w:szCs w:val="20"/>
              </w:rPr>
            </w:pPr>
            <w:r w:rsidRPr="006252E4">
              <w:rPr>
                <w:sz w:val="20"/>
                <w:szCs w:val="20"/>
              </w:rPr>
              <w:t>Vaskpaaril põhinev võrk</w:t>
            </w:r>
          </w:p>
        </w:tc>
        <w:tc>
          <w:tcPr>
            <w:tcW w:w="1005" w:type="dxa"/>
            <w:noWrap/>
            <w:vAlign w:val="center"/>
            <w:hideMark/>
          </w:tcPr>
          <w:p w14:paraId="4660984E" w14:textId="77777777" w:rsidR="00EF53AB" w:rsidRPr="006252E4" w:rsidRDefault="00EF53AB" w:rsidP="00403A74">
            <w:pPr>
              <w:jc w:val="center"/>
              <w:rPr>
                <w:sz w:val="20"/>
                <w:szCs w:val="20"/>
              </w:rPr>
            </w:pPr>
            <w:r w:rsidRPr="006252E4">
              <w:rPr>
                <w:sz w:val="20"/>
                <w:szCs w:val="20"/>
              </w:rPr>
              <w:t>33%</w:t>
            </w:r>
          </w:p>
        </w:tc>
        <w:tc>
          <w:tcPr>
            <w:tcW w:w="1005" w:type="dxa"/>
            <w:noWrap/>
            <w:vAlign w:val="center"/>
            <w:hideMark/>
          </w:tcPr>
          <w:p w14:paraId="02BFB91D" w14:textId="77777777" w:rsidR="00EF53AB" w:rsidRPr="006252E4" w:rsidRDefault="00EF53AB" w:rsidP="00403A74">
            <w:pPr>
              <w:jc w:val="center"/>
              <w:rPr>
                <w:sz w:val="20"/>
                <w:szCs w:val="20"/>
              </w:rPr>
            </w:pPr>
            <w:r w:rsidRPr="006252E4">
              <w:rPr>
                <w:sz w:val="20"/>
                <w:szCs w:val="20"/>
              </w:rPr>
              <w:t>29%</w:t>
            </w:r>
          </w:p>
        </w:tc>
        <w:tc>
          <w:tcPr>
            <w:tcW w:w="1005" w:type="dxa"/>
            <w:noWrap/>
            <w:vAlign w:val="center"/>
            <w:hideMark/>
          </w:tcPr>
          <w:p w14:paraId="102D39AC" w14:textId="77777777" w:rsidR="00EF53AB" w:rsidRPr="006252E4" w:rsidRDefault="00EF53AB" w:rsidP="00403A74">
            <w:pPr>
              <w:jc w:val="center"/>
              <w:rPr>
                <w:sz w:val="20"/>
                <w:szCs w:val="20"/>
              </w:rPr>
            </w:pPr>
            <w:r w:rsidRPr="006252E4">
              <w:rPr>
                <w:sz w:val="20"/>
                <w:szCs w:val="20"/>
              </w:rPr>
              <w:t>26%</w:t>
            </w:r>
          </w:p>
        </w:tc>
        <w:tc>
          <w:tcPr>
            <w:tcW w:w="1152" w:type="dxa"/>
            <w:noWrap/>
            <w:vAlign w:val="center"/>
            <w:hideMark/>
          </w:tcPr>
          <w:p w14:paraId="320A2E70" w14:textId="77777777" w:rsidR="00EF53AB" w:rsidRPr="006252E4" w:rsidRDefault="00EF53AB" w:rsidP="00403A74">
            <w:pPr>
              <w:jc w:val="center"/>
              <w:rPr>
                <w:sz w:val="20"/>
                <w:szCs w:val="20"/>
              </w:rPr>
            </w:pPr>
            <w:r w:rsidRPr="006252E4">
              <w:rPr>
                <w:sz w:val="20"/>
                <w:szCs w:val="20"/>
              </w:rPr>
              <w:t>24%</w:t>
            </w:r>
          </w:p>
        </w:tc>
        <w:tc>
          <w:tcPr>
            <w:tcW w:w="1005" w:type="dxa"/>
            <w:noWrap/>
            <w:vAlign w:val="center"/>
            <w:hideMark/>
          </w:tcPr>
          <w:p w14:paraId="4BA45CF2" w14:textId="77777777" w:rsidR="00EF53AB" w:rsidRPr="006252E4" w:rsidRDefault="00EF53AB" w:rsidP="00403A74">
            <w:pPr>
              <w:jc w:val="center"/>
              <w:rPr>
                <w:sz w:val="20"/>
                <w:szCs w:val="20"/>
              </w:rPr>
            </w:pPr>
            <w:r w:rsidRPr="006252E4">
              <w:rPr>
                <w:sz w:val="20"/>
                <w:szCs w:val="20"/>
              </w:rPr>
              <w:t>22%</w:t>
            </w:r>
          </w:p>
        </w:tc>
        <w:tc>
          <w:tcPr>
            <w:tcW w:w="1005" w:type="dxa"/>
            <w:noWrap/>
            <w:vAlign w:val="center"/>
            <w:hideMark/>
          </w:tcPr>
          <w:p w14:paraId="7B8E9D15" w14:textId="77777777" w:rsidR="00EF53AB" w:rsidRPr="006252E4" w:rsidRDefault="00EF53AB" w:rsidP="00403A74">
            <w:pPr>
              <w:jc w:val="center"/>
              <w:rPr>
                <w:sz w:val="20"/>
                <w:szCs w:val="20"/>
              </w:rPr>
            </w:pPr>
            <w:r w:rsidRPr="006252E4">
              <w:rPr>
                <w:sz w:val="20"/>
                <w:szCs w:val="20"/>
              </w:rPr>
              <w:t>20%</w:t>
            </w:r>
          </w:p>
        </w:tc>
      </w:tr>
      <w:tr w:rsidR="00EF53AB" w:rsidRPr="006E317E" w14:paraId="7D17024F" w14:textId="77777777" w:rsidTr="0005799C">
        <w:trPr>
          <w:trHeight w:val="313"/>
        </w:trPr>
        <w:tc>
          <w:tcPr>
            <w:tcW w:w="3100" w:type="dxa"/>
            <w:noWrap/>
            <w:vAlign w:val="center"/>
            <w:hideMark/>
          </w:tcPr>
          <w:p w14:paraId="4367EA33" w14:textId="77777777" w:rsidR="00EF53AB" w:rsidRPr="006252E4" w:rsidRDefault="00EF53AB" w:rsidP="00AA241E">
            <w:pPr>
              <w:jc w:val="both"/>
              <w:rPr>
                <w:sz w:val="20"/>
                <w:szCs w:val="20"/>
              </w:rPr>
            </w:pPr>
            <w:r w:rsidRPr="006252E4">
              <w:rPr>
                <w:sz w:val="20"/>
                <w:szCs w:val="20"/>
              </w:rPr>
              <w:t xml:space="preserve">sh </w:t>
            </w:r>
            <w:proofErr w:type="spellStart"/>
            <w:r w:rsidRPr="006252E4">
              <w:rPr>
                <w:sz w:val="20"/>
                <w:szCs w:val="20"/>
              </w:rPr>
              <w:t>xDSL</w:t>
            </w:r>
            <w:proofErr w:type="spellEnd"/>
            <w:r w:rsidRPr="006252E4">
              <w:rPr>
                <w:sz w:val="20"/>
                <w:szCs w:val="20"/>
              </w:rPr>
              <w:t xml:space="preserve"> </w:t>
            </w:r>
          </w:p>
        </w:tc>
        <w:tc>
          <w:tcPr>
            <w:tcW w:w="1005" w:type="dxa"/>
            <w:noWrap/>
            <w:vAlign w:val="center"/>
            <w:hideMark/>
          </w:tcPr>
          <w:p w14:paraId="049088B0" w14:textId="77777777" w:rsidR="00EF53AB" w:rsidRPr="006252E4" w:rsidRDefault="00EF53AB" w:rsidP="00403A74">
            <w:pPr>
              <w:jc w:val="center"/>
              <w:rPr>
                <w:sz w:val="20"/>
                <w:szCs w:val="20"/>
              </w:rPr>
            </w:pPr>
            <w:r w:rsidRPr="006252E4">
              <w:rPr>
                <w:sz w:val="20"/>
                <w:szCs w:val="20"/>
              </w:rPr>
              <w:t>33%</w:t>
            </w:r>
          </w:p>
        </w:tc>
        <w:tc>
          <w:tcPr>
            <w:tcW w:w="1005" w:type="dxa"/>
            <w:noWrap/>
            <w:vAlign w:val="center"/>
            <w:hideMark/>
          </w:tcPr>
          <w:p w14:paraId="37D87977" w14:textId="77777777" w:rsidR="00EF53AB" w:rsidRPr="006252E4" w:rsidRDefault="00EF53AB" w:rsidP="00403A74">
            <w:pPr>
              <w:jc w:val="center"/>
              <w:rPr>
                <w:sz w:val="20"/>
                <w:szCs w:val="20"/>
              </w:rPr>
            </w:pPr>
            <w:r w:rsidRPr="006252E4">
              <w:rPr>
                <w:sz w:val="20"/>
                <w:szCs w:val="20"/>
              </w:rPr>
              <w:t>20%</w:t>
            </w:r>
          </w:p>
        </w:tc>
        <w:tc>
          <w:tcPr>
            <w:tcW w:w="1005" w:type="dxa"/>
            <w:noWrap/>
            <w:vAlign w:val="center"/>
            <w:hideMark/>
          </w:tcPr>
          <w:p w14:paraId="06B8A68C" w14:textId="77777777" w:rsidR="00EF53AB" w:rsidRPr="006252E4" w:rsidRDefault="00EF53AB" w:rsidP="00403A74">
            <w:pPr>
              <w:jc w:val="center"/>
              <w:rPr>
                <w:sz w:val="20"/>
                <w:szCs w:val="20"/>
              </w:rPr>
            </w:pPr>
            <w:r w:rsidRPr="006252E4">
              <w:rPr>
                <w:sz w:val="20"/>
                <w:szCs w:val="20"/>
              </w:rPr>
              <w:t>15%</w:t>
            </w:r>
          </w:p>
        </w:tc>
        <w:tc>
          <w:tcPr>
            <w:tcW w:w="1152" w:type="dxa"/>
            <w:noWrap/>
            <w:vAlign w:val="center"/>
            <w:hideMark/>
          </w:tcPr>
          <w:p w14:paraId="74D9F3F1" w14:textId="77777777" w:rsidR="00EF53AB" w:rsidRPr="006252E4" w:rsidRDefault="00EF53AB" w:rsidP="00403A74">
            <w:pPr>
              <w:jc w:val="center"/>
              <w:rPr>
                <w:sz w:val="20"/>
                <w:szCs w:val="20"/>
              </w:rPr>
            </w:pPr>
            <w:r w:rsidRPr="006252E4">
              <w:rPr>
                <w:sz w:val="20"/>
                <w:szCs w:val="20"/>
              </w:rPr>
              <w:t>9%</w:t>
            </w:r>
          </w:p>
        </w:tc>
        <w:tc>
          <w:tcPr>
            <w:tcW w:w="1005" w:type="dxa"/>
            <w:noWrap/>
            <w:vAlign w:val="center"/>
            <w:hideMark/>
          </w:tcPr>
          <w:p w14:paraId="68704F65" w14:textId="77777777" w:rsidR="00EF53AB" w:rsidRPr="006252E4" w:rsidRDefault="00EF53AB" w:rsidP="00403A74">
            <w:pPr>
              <w:jc w:val="center"/>
              <w:rPr>
                <w:sz w:val="20"/>
                <w:szCs w:val="20"/>
              </w:rPr>
            </w:pPr>
            <w:r w:rsidRPr="006252E4">
              <w:rPr>
                <w:sz w:val="20"/>
                <w:szCs w:val="20"/>
              </w:rPr>
              <w:t>6%</w:t>
            </w:r>
          </w:p>
        </w:tc>
        <w:tc>
          <w:tcPr>
            <w:tcW w:w="1005" w:type="dxa"/>
            <w:noWrap/>
            <w:vAlign w:val="center"/>
            <w:hideMark/>
          </w:tcPr>
          <w:p w14:paraId="37A2D6CB" w14:textId="77777777" w:rsidR="00EF53AB" w:rsidRPr="006252E4" w:rsidRDefault="00EF53AB" w:rsidP="00403A74">
            <w:pPr>
              <w:jc w:val="center"/>
              <w:rPr>
                <w:sz w:val="20"/>
                <w:szCs w:val="20"/>
              </w:rPr>
            </w:pPr>
            <w:r w:rsidRPr="006252E4">
              <w:rPr>
                <w:sz w:val="20"/>
                <w:szCs w:val="20"/>
              </w:rPr>
              <w:t>5%</w:t>
            </w:r>
          </w:p>
        </w:tc>
      </w:tr>
      <w:tr w:rsidR="00EF53AB" w:rsidRPr="006E317E" w14:paraId="13005643" w14:textId="77777777" w:rsidTr="0005799C">
        <w:trPr>
          <w:trHeight w:val="313"/>
        </w:trPr>
        <w:tc>
          <w:tcPr>
            <w:tcW w:w="3100" w:type="dxa"/>
            <w:noWrap/>
            <w:vAlign w:val="center"/>
            <w:hideMark/>
          </w:tcPr>
          <w:p w14:paraId="76C0855C" w14:textId="7614313E" w:rsidR="00EF53AB" w:rsidRPr="006252E4" w:rsidRDefault="00EF53AB" w:rsidP="00AA241E">
            <w:pPr>
              <w:jc w:val="both"/>
              <w:rPr>
                <w:sz w:val="20"/>
                <w:szCs w:val="20"/>
              </w:rPr>
            </w:pPr>
            <w:r w:rsidRPr="006252E4">
              <w:rPr>
                <w:sz w:val="20"/>
                <w:szCs w:val="20"/>
              </w:rPr>
              <w:t xml:space="preserve">sh VDSL </w:t>
            </w:r>
            <w:proofErr w:type="spellStart"/>
            <w:r w:rsidR="0080230F" w:rsidRPr="00DC4B23">
              <w:rPr>
                <w:i/>
                <w:iCs/>
                <w:sz w:val="20"/>
                <w:szCs w:val="20"/>
              </w:rPr>
              <w:t>v</w:t>
            </w:r>
            <w:r w:rsidRPr="00DC4B23">
              <w:rPr>
                <w:i/>
                <w:iCs/>
                <w:sz w:val="20"/>
                <w:szCs w:val="20"/>
              </w:rPr>
              <w:t>ectoring</w:t>
            </w:r>
            <w:proofErr w:type="spellEnd"/>
          </w:p>
        </w:tc>
        <w:tc>
          <w:tcPr>
            <w:tcW w:w="1005" w:type="dxa"/>
            <w:noWrap/>
            <w:vAlign w:val="center"/>
            <w:hideMark/>
          </w:tcPr>
          <w:p w14:paraId="52C91395" w14:textId="1FB6B822" w:rsidR="00EF53AB" w:rsidRPr="006252E4" w:rsidRDefault="00EF53AB" w:rsidP="00403A74">
            <w:pPr>
              <w:jc w:val="center"/>
              <w:rPr>
                <w:sz w:val="20"/>
                <w:szCs w:val="20"/>
              </w:rPr>
            </w:pPr>
          </w:p>
        </w:tc>
        <w:tc>
          <w:tcPr>
            <w:tcW w:w="1005" w:type="dxa"/>
            <w:noWrap/>
            <w:vAlign w:val="center"/>
            <w:hideMark/>
          </w:tcPr>
          <w:p w14:paraId="07010A08" w14:textId="77777777" w:rsidR="00EF53AB" w:rsidRPr="006252E4" w:rsidRDefault="00EF53AB" w:rsidP="00403A74">
            <w:pPr>
              <w:jc w:val="center"/>
              <w:rPr>
                <w:sz w:val="20"/>
                <w:szCs w:val="20"/>
              </w:rPr>
            </w:pPr>
            <w:r w:rsidRPr="006252E4">
              <w:rPr>
                <w:sz w:val="20"/>
                <w:szCs w:val="20"/>
              </w:rPr>
              <w:t>9%</w:t>
            </w:r>
          </w:p>
        </w:tc>
        <w:tc>
          <w:tcPr>
            <w:tcW w:w="1005" w:type="dxa"/>
            <w:noWrap/>
            <w:vAlign w:val="center"/>
            <w:hideMark/>
          </w:tcPr>
          <w:p w14:paraId="4DEA92A6" w14:textId="77777777" w:rsidR="00EF53AB" w:rsidRPr="006252E4" w:rsidRDefault="00EF53AB" w:rsidP="00403A74">
            <w:pPr>
              <w:jc w:val="center"/>
              <w:rPr>
                <w:sz w:val="20"/>
                <w:szCs w:val="20"/>
              </w:rPr>
            </w:pPr>
            <w:r w:rsidRPr="006252E4">
              <w:rPr>
                <w:sz w:val="20"/>
                <w:szCs w:val="20"/>
              </w:rPr>
              <w:t>12%</w:t>
            </w:r>
          </w:p>
        </w:tc>
        <w:tc>
          <w:tcPr>
            <w:tcW w:w="1152" w:type="dxa"/>
            <w:noWrap/>
            <w:vAlign w:val="center"/>
            <w:hideMark/>
          </w:tcPr>
          <w:p w14:paraId="3B08B78E" w14:textId="77777777" w:rsidR="00EF53AB" w:rsidRPr="006252E4" w:rsidRDefault="00EF53AB" w:rsidP="00403A74">
            <w:pPr>
              <w:jc w:val="center"/>
              <w:rPr>
                <w:sz w:val="20"/>
                <w:szCs w:val="20"/>
              </w:rPr>
            </w:pPr>
            <w:r w:rsidRPr="006252E4">
              <w:rPr>
                <w:sz w:val="20"/>
                <w:szCs w:val="20"/>
              </w:rPr>
              <w:t>16%</w:t>
            </w:r>
          </w:p>
        </w:tc>
        <w:tc>
          <w:tcPr>
            <w:tcW w:w="1005" w:type="dxa"/>
            <w:noWrap/>
            <w:vAlign w:val="center"/>
            <w:hideMark/>
          </w:tcPr>
          <w:p w14:paraId="5876A6D7" w14:textId="77777777" w:rsidR="00EF53AB" w:rsidRPr="006252E4" w:rsidRDefault="00EF53AB" w:rsidP="00403A74">
            <w:pPr>
              <w:jc w:val="center"/>
              <w:rPr>
                <w:sz w:val="20"/>
                <w:szCs w:val="20"/>
              </w:rPr>
            </w:pPr>
            <w:r w:rsidRPr="006252E4">
              <w:rPr>
                <w:sz w:val="20"/>
                <w:szCs w:val="20"/>
              </w:rPr>
              <w:t>16%</w:t>
            </w:r>
          </w:p>
        </w:tc>
        <w:tc>
          <w:tcPr>
            <w:tcW w:w="1005" w:type="dxa"/>
            <w:noWrap/>
            <w:vAlign w:val="center"/>
            <w:hideMark/>
          </w:tcPr>
          <w:p w14:paraId="5AEB614B" w14:textId="77777777" w:rsidR="00EF53AB" w:rsidRPr="006252E4" w:rsidRDefault="00EF53AB" w:rsidP="00403A74">
            <w:pPr>
              <w:jc w:val="center"/>
              <w:rPr>
                <w:sz w:val="20"/>
                <w:szCs w:val="20"/>
              </w:rPr>
            </w:pPr>
            <w:r w:rsidRPr="006252E4">
              <w:rPr>
                <w:sz w:val="20"/>
                <w:szCs w:val="20"/>
              </w:rPr>
              <w:t>15%</w:t>
            </w:r>
          </w:p>
        </w:tc>
      </w:tr>
      <w:tr w:rsidR="00EF53AB" w:rsidRPr="006E317E" w14:paraId="505E3E79" w14:textId="77777777" w:rsidTr="0005799C">
        <w:trPr>
          <w:trHeight w:val="313"/>
        </w:trPr>
        <w:tc>
          <w:tcPr>
            <w:tcW w:w="3100" w:type="dxa"/>
            <w:noWrap/>
            <w:vAlign w:val="center"/>
            <w:hideMark/>
          </w:tcPr>
          <w:p w14:paraId="0EF9FDEB" w14:textId="52B0EC32" w:rsidR="00EF53AB" w:rsidRPr="006252E4" w:rsidRDefault="00EF53AB" w:rsidP="00AA241E">
            <w:pPr>
              <w:jc w:val="both"/>
              <w:rPr>
                <w:sz w:val="20"/>
                <w:szCs w:val="20"/>
              </w:rPr>
            </w:pPr>
            <w:r w:rsidRPr="006252E4">
              <w:rPr>
                <w:sz w:val="20"/>
                <w:szCs w:val="20"/>
              </w:rPr>
              <w:t>Valguskaabelvõrk</w:t>
            </w:r>
          </w:p>
        </w:tc>
        <w:tc>
          <w:tcPr>
            <w:tcW w:w="1005" w:type="dxa"/>
            <w:noWrap/>
            <w:vAlign w:val="center"/>
            <w:hideMark/>
          </w:tcPr>
          <w:p w14:paraId="278ECEFA" w14:textId="77777777" w:rsidR="00EF53AB" w:rsidRPr="006252E4" w:rsidRDefault="00EF53AB" w:rsidP="00403A74">
            <w:pPr>
              <w:jc w:val="center"/>
              <w:rPr>
                <w:sz w:val="20"/>
                <w:szCs w:val="20"/>
              </w:rPr>
            </w:pPr>
            <w:r w:rsidRPr="006252E4">
              <w:rPr>
                <w:sz w:val="20"/>
                <w:szCs w:val="20"/>
              </w:rPr>
              <w:t>41%</w:t>
            </w:r>
          </w:p>
        </w:tc>
        <w:tc>
          <w:tcPr>
            <w:tcW w:w="1005" w:type="dxa"/>
            <w:noWrap/>
            <w:vAlign w:val="center"/>
            <w:hideMark/>
          </w:tcPr>
          <w:p w14:paraId="2CA725E9" w14:textId="77777777" w:rsidR="00EF53AB" w:rsidRPr="006252E4" w:rsidRDefault="00EF53AB" w:rsidP="00403A74">
            <w:pPr>
              <w:jc w:val="center"/>
              <w:rPr>
                <w:sz w:val="20"/>
                <w:szCs w:val="20"/>
              </w:rPr>
            </w:pPr>
            <w:r w:rsidRPr="006252E4">
              <w:rPr>
                <w:sz w:val="20"/>
                <w:szCs w:val="20"/>
              </w:rPr>
              <w:t>46%</w:t>
            </w:r>
          </w:p>
        </w:tc>
        <w:tc>
          <w:tcPr>
            <w:tcW w:w="1005" w:type="dxa"/>
            <w:noWrap/>
            <w:vAlign w:val="center"/>
            <w:hideMark/>
          </w:tcPr>
          <w:p w14:paraId="2366345D" w14:textId="77777777" w:rsidR="00EF53AB" w:rsidRPr="006252E4" w:rsidRDefault="00EF53AB" w:rsidP="00403A74">
            <w:pPr>
              <w:jc w:val="center"/>
              <w:rPr>
                <w:sz w:val="20"/>
                <w:szCs w:val="20"/>
              </w:rPr>
            </w:pPr>
            <w:r w:rsidRPr="006252E4">
              <w:rPr>
                <w:sz w:val="20"/>
                <w:szCs w:val="20"/>
              </w:rPr>
              <w:t>50%</w:t>
            </w:r>
          </w:p>
        </w:tc>
        <w:tc>
          <w:tcPr>
            <w:tcW w:w="1152" w:type="dxa"/>
            <w:noWrap/>
            <w:vAlign w:val="center"/>
            <w:hideMark/>
          </w:tcPr>
          <w:p w14:paraId="22F389A9" w14:textId="77777777" w:rsidR="00EF53AB" w:rsidRPr="006252E4" w:rsidRDefault="00EF53AB" w:rsidP="00403A74">
            <w:pPr>
              <w:jc w:val="center"/>
              <w:rPr>
                <w:sz w:val="20"/>
                <w:szCs w:val="20"/>
              </w:rPr>
            </w:pPr>
            <w:r w:rsidRPr="006252E4">
              <w:rPr>
                <w:sz w:val="20"/>
                <w:szCs w:val="20"/>
              </w:rPr>
              <w:t>53%</w:t>
            </w:r>
          </w:p>
        </w:tc>
        <w:tc>
          <w:tcPr>
            <w:tcW w:w="1005" w:type="dxa"/>
            <w:noWrap/>
            <w:vAlign w:val="center"/>
            <w:hideMark/>
          </w:tcPr>
          <w:p w14:paraId="73F4E2DF" w14:textId="77777777" w:rsidR="00EF53AB" w:rsidRPr="006252E4" w:rsidRDefault="00EF53AB" w:rsidP="00403A74">
            <w:pPr>
              <w:jc w:val="center"/>
              <w:rPr>
                <w:sz w:val="20"/>
                <w:szCs w:val="20"/>
              </w:rPr>
            </w:pPr>
            <w:r w:rsidRPr="006252E4">
              <w:rPr>
                <w:sz w:val="20"/>
                <w:szCs w:val="20"/>
              </w:rPr>
              <w:t>57%</w:t>
            </w:r>
          </w:p>
        </w:tc>
        <w:tc>
          <w:tcPr>
            <w:tcW w:w="1005" w:type="dxa"/>
            <w:noWrap/>
            <w:vAlign w:val="center"/>
            <w:hideMark/>
          </w:tcPr>
          <w:p w14:paraId="14B073FC" w14:textId="77777777" w:rsidR="00EF53AB" w:rsidRPr="006252E4" w:rsidRDefault="00EF53AB" w:rsidP="00403A74">
            <w:pPr>
              <w:jc w:val="center"/>
              <w:rPr>
                <w:sz w:val="20"/>
                <w:szCs w:val="20"/>
              </w:rPr>
            </w:pPr>
            <w:r w:rsidRPr="006252E4">
              <w:rPr>
                <w:sz w:val="20"/>
                <w:szCs w:val="20"/>
              </w:rPr>
              <w:t>60%</w:t>
            </w:r>
          </w:p>
        </w:tc>
      </w:tr>
      <w:tr w:rsidR="00EF53AB" w:rsidRPr="006E317E" w14:paraId="259AE429" w14:textId="77777777" w:rsidTr="0005799C">
        <w:trPr>
          <w:trHeight w:val="313"/>
        </w:trPr>
        <w:tc>
          <w:tcPr>
            <w:tcW w:w="3100" w:type="dxa"/>
            <w:noWrap/>
            <w:vAlign w:val="center"/>
            <w:hideMark/>
          </w:tcPr>
          <w:p w14:paraId="4A8F7D13" w14:textId="77777777" w:rsidR="00EF53AB" w:rsidRPr="006252E4" w:rsidRDefault="00EF53AB" w:rsidP="00AA241E">
            <w:pPr>
              <w:jc w:val="both"/>
              <w:rPr>
                <w:sz w:val="20"/>
                <w:szCs w:val="20"/>
              </w:rPr>
            </w:pPr>
            <w:r w:rsidRPr="006252E4">
              <w:rPr>
                <w:sz w:val="20"/>
                <w:szCs w:val="20"/>
              </w:rPr>
              <w:t>Sh FTTH PON</w:t>
            </w:r>
          </w:p>
        </w:tc>
        <w:tc>
          <w:tcPr>
            <w:tcW w:w="1005" w:type="dxa"/>
            <w:noWrap/>
            <w:vAlign w:val="center"/>
            <w:hideMark/>
          </w:tcPr>
          <w:p w14:paraId="7DBE28ED" w14:textId="3FC2B343" w:rsidR="00EF53AB" w:rsidRPr="006252E4" w:rsidRDefault="00EF53AB" w:rsidP="00403A74">
            <w:pPr>
              <w:jc w:val="center"/>
              <w:rPr>
                <w:sz w:val="20"/>
                <w:szCs w:val="20"/>
              </w:rPr>
            </w:pPr>
          </w:p>
        </w:tc>
        <w:tc>
          <w:tcPr>
            <w:tcW w:w="1005" w:type="dxa"/>
            <w:noWrap/>
            <w:vAlign w:val="center"/>
            <w:hideMark/>
          </w:tcPr>
          <w:p w14:paraId="033502F0" w14:textId="2B63F30C" w:rsidR="00EF53AB" w:rsidRPr="006252E4" w:rsidRDefault="00EF53AB" w:rsidP="00403A74">
            <w:pPr>
              <w:jc w:val="center"/>
              <w:rPr>
                <w:sz w:val="20"/>
                <w:szCs w:val="20"/>
              </w:rPr>
            </w:pPr>
          </w:p>
        </w:tc>
        <w:tc>
          <w:tcPr>
            <w:tcW w:w="1005" w:type="dxa"/>
            <w:noWrap/>
            <w:vAlign w:val="center"/>
            <w:hideMark/>
          </w:tcPr>
          <w:p w14:paraId="23BE67F6" w14:textId="346FE7CE" w:rsidR="00EF53AB" w:rsidRPr="006252E4" w:rsidRDefault="00EF53AB" w:rsidP="00403A74">
            <w:pPr>
              <w:jc w:val="center"/>
              <w:rPr>
                <w:sz w:val="20"/>
                <w:szCs w:val="20"/>
              </w:rPr>
            </w:pPr>
          </w:p>
        </w:tc>
        <w:tc>
          <w:tcPr>
            <w:tcW w:w="1152" w:type="dxa"/>
            <w:noWrap/>
            <w:vAlign w:val="center"/>
            <w:hideMark/>
          </w:tcPr>
          <w:p w14:paraId="5AA719BE" w14:textId="441C9883" w:rsidR="00EF53AB" w:rsidRPr="006252E4" w:rsidRDefault="00EF53AB" w:rsidP="00403A74">
            <w:pPr>
              <w:jc w:val="center"/>
              <w:rPr>
                <w:sz w:val="20"/>
                <w:szCs w:val="20"/>
              </w:rPr>
            </w:pPr>
          </w:p>
        </w:tc>
        <w:tc>
          <w:tcPr>
            <w:tcW w:w="1005" w:type="dxa"/>
            <w:noWrap/>
            <w:vAlign w:val="center"/>
            <w:hideMark/>
          </w:tcPr>
          <w:p w14:paraId="5793628B" w14:textId="77777777" w:rsidR="00EF53AB" w:rsidRPr="006252E4" w:rsidRDefault="00EF53AB" w:rsidP="00403A74">
            <w:pPr>
              <w:jc w:val="center"/>
              <w:rPr>
                <w:sz w:val="20"/>
                <w:szCs w:val="20"/>
              </w:rPr>
            </w:pPr>
            <w:r w:rsidRPr="006252E4">
              <w:rPr>
                <w:sz w:val="20"/>
                <w:szCs w:val="20"/>
              </w:rPr>
              <w:t>30%</w:t>
            </w:r>
          </w:p>
        </w:tc>
        <w:tc>
          <w:tcPr>
            <w:tcW w:w="1005" w:type="dxa"/>
            <w:noWrap/>
            <w:vAlign w:val="center"/>
            <w:hideMark/>
          </w:tcPr>
          <w:p w14:paraId="4C384424" w14:textId="77777777" w:rsidR="00EF53AB" w:rsidRPr="006252E4" w:rsidRDefault="00EF53AB" w:rsidP="00403A74">
            <w:pPr>
              <w:jc w:val="center"/>
              <w:rPr>
                <w:sz w:val="20"/>
                <w:szCs w:val="20"/>
              </w:rPr>
            </w:pPr>
            <w:r w:rsidRPr="006252E4">
              <w:rPr>
                <w:sz w:val="20"/>
                <w:szCs w:val="20"/>
              </w:rPr>
              <w:t>34%</w:t>
            </w:r>
          </w:p>
        </w:tc>
      </w:tr>
      <w:tr w:rsidR="00EF53AB" w:rsidRPr="006E317E" w14:paraId="68F065EF" w14:textId="77777777" w:rsidTr="0005799C">
        <w:trPr>
          <w:trHeight w:val="313"/>
        </w:trPr>
        <w:tc>
          <w:tcPr>
            <w:tcW w:w="3100" w:type="dxa"/>
            <w:noWrap/>
            <w:vAlign w:val="center"/>
            <w:hideMark/>
          </w:tcPr>
          <w:p w14:paraId="422FAC85" w14:textId="77777777" w:rsidR="00EF53AB" w:rsidRPr="006252E4" w:rsidRDefault="00EF53AB" w:rsidP="00AA241E">
            <w:pPr>
              <w:jc w:val="both"/>
              <w:rPr>
                <w:sz w:val="20"/>
                <w:szCs w:val="20"/>
              </w:rPr>
            </w:pPr>
            <w:r w:rsidRPr="006252E4">
              <w:rPr>
                <w:sz w:val="20"/>
                <w:szCs w:val="20"/>
              </w:rPr>
              <w:t>Sh FTTB, FTTH P2P</w:t>
            </w:r>
          </w:p>
        </w:tc>
        <w:tc>
          <w:tcPr>
            <w:tcW w:w="1005" w:type="dxa"/>
            <w:noWrap/>
            <w:vAlign w:val="center"/>
            <w:hideMark/>
          </w:tcPr>
          <w:p w14:paraId="39FA49ED" w14:textId="1813A8CB" w:rsidR="00EF53AB" w:rsidRPr="006252E4" w:rsidRDefault="00EF53AB" w:rsidP="00403A74">
            <w:pPr>
              <w:jc w:val="center"/>
              <w:rPr>
                <w:sz w:val="20"/>
                <w:szCs w:val="20"/>
              </w:rPr>
            </w:pPr>
          </w:p>
        </w:tc>
        <w:tc>
          <w:tcPr>
            <w:tcW w:w="1005" w:type="dxa"/>
            <w:noWrap/>
            <w:vAlign w:val="center"/>
            <w:hideMark/>
          </w:tcPr>
          <w:p w14:paraId="51F2DA3F" w14:textId="453F26FF" w:rsidR="00EF53AB" w:rsidRPr="006252E4" w:rsidRDefault="00EF53AB" w:rsidP="00403A74">
            <w:pPr>
              <w:jc w:val="center"/>
              <w:rPr>
                <w:sz w:val="20"/>
                <w:szCs w:val="20"/>
              </w:rPr>
            </w:pPr>
          </w:p>
        </w:tc>
        <w:tc>
          <w:tcPr>
            <w:tcW w:w="1005" w:type="dxa"/>
            <w:noWrap/>
            <w:vAlign w:val="center"/>
            <w:hideMark/>
          </w:tcPr>
          <w:p w14:paraId="6CAB71DC" w14:textId="22C7E7C5" w:rsidR="00EF53AB" w:rsidRPr="006252E4" w:rsidRDefault="00EF53AB" w:rsidP="00403A74">
            <w:pPr>
              <w:jc w:val="center"/>
              <w:rPr>
                <w:sz w:val="20"/>
                <w:szCs w:val="20"/>
              </w:rPr>
            </w:pPr>
          </w:p>
        </w:tc>
        <w:tc>
          <w:tcPr>
            <w:tcW w:w="1152" w:type="dxa"/>
            <w:noWrap/>
            <w:vAlign w:val="center"/>
            <w:hideMark/>
          </w:tcPr>
          <w:p w14:paraId="083BF000" w14:textId="6A132FF4" w:rsidR="00EF53AB" w:rsidRPr="006252E4" w:rsidRDefault="00EF53AB" w:rsidP="00403A74">
            <w:pPr>
              <w:jc w:val="center"/>
              <w:rPr>
                <w:sz w:val="20"/>
                <w:szCs w:val="20"/>
              </w:rPr>
            </w:pPr>
          </w:p>
        </w:tc>
        <w:tc>
          <w:tcPr>
            <w:tcW w:w="1005" w:type="dxa"/>
            <w:noWrap/>
            <w:vAlign w:val="center"/>
            <w:hideMark/>
          </w:tcPr>
          <w:p w14:paraId="7E72D2D7" w14:textId="77777777" w:rsidR="00EF53AB" w:rsidRPr="006252E4" w:rsidRDefault="00EF53AB" w:rsidP="00403A74">
            <w:pPr>
              <w:jc w:val="center"/>
              <w:rPr>
                <w:sz w:val="20"/>
                <w:szCs w:val="20"/>
              </w:rPr>
            </w:pPr>
            <w:r w:rsidRPr="006252E4">
              <w:rPr>
                <w:sz w:val="20"/>
                <w:szCs w:val="20"/>
              </w:rPr>
              <w:t>27%</w:t>
            </w:r>
          </w:p>
        </w:tc>
        <w:tc>
          <w:tcPr>
            <w:tcW w:w="1005" w:type="dxa"/>
            <w:noWrap/>
            <w:vAlign w:val="center"/>
            <w:hideMark/>
          </w:tcPr>
          <w:p w14:paraId="160F6DB5" w14:textId="77777777" w:rsidR="00EF53AB" w:rsidRPr="006252E4" w:rsidRDefault="00EF53AB" w:rsidP="00403A74">
            <w:pPr>
              <w:jc w:val="center"/>
              <w:rPr>
                <w:sz w:val="20"/>
                <w:szCs w:val="20"/>
              </w:rPr>
            </w:pPr>
            <w:r w:rsidRPr="006252E4">
              <w:rPr>
                <w:sz w:val="20"/>
                <w:szCs w:val="20"/>
              </w:rPr>
              <w:t>26%</w:t>
            </w:r>
          </w:p>
        </w:tc>
      </w:tr>
      <w:tr w:rsidR="00EF53AB" w:rsidRPr="006E317E" w14:paraId="0F983684" w14:textId="77777777" w:rsidTr="0005799C">
        <w:trPr>
          <w:trHeight w:val="313"/>
        </w:trPr>
        <w:tc>
          <w:tcPr>
            <w:tcW w:w="3100" w:type="dxa"/>
            <w:noWrap/>
            <w:vAlign w:val="center"/>
            <w:hideMark/>
          </w:tcPr>
          <w:p w14:paraId="69836FF7" w14:textId="77777777" w:rsidR="00EF53AB" w:rsidRPr="006252E4" w:rsidRDefault="00EF53AB" w:rsidP="00AA241E">
            <w:pPr>
              <w:jc w:val="both"/>
              <w:rPr>
                <w:sz w:val="20"/>
                <w:szCs w:val="20"/>
              </w:rPr>
            </w:pPr>
            <w:r w:rsidRPr="006252E4">
              <w:rPr>
                <w:sz w:val="20"/>
                <w:szCs w:val="20"/>
              </w:rPr>
              <w:t>Kaabellevivõrk</w:t>
            </w:r>
          </w:p>
        </w:tc>
        <w:tc>
          <w:tcPr>
            <w:tcW w:w="1005" w:type="dxa"/>
            <w:noWrap/>
            <w:vAlign w:val="center"/>
            <w:hideMark/>
          </w:tcPr>
          <w:p w14:paraId="726B5761" w14:textId="77777777" w:rsidR="00EF53AB" w:rsidRPr="006252E4" w:rsidRDefault="00EF53AB" w:rsidP="00403A74">
            <w:pPr>
              <w:jc w:val="center"/>
              <w:rPr>
                <w:sz w:val="20"/>
                <w:szCs w:val="20"/>
              </w:rPr>
            </w:pPr>
            <w:r w:rsidRPr="006252E4">
              <w:rPr>
                <w:sz w:val="20"/>
                <w:szCs w:val="20"/>
              </w:rPr>
              <w:t>24%</w:t>
            </w:r>
          </w:p>
        </w:tc>
        <w:tc>
          <w:tcPr>
            <w:tcW w:w="1005" w:type="dxa"/>
            <w:noWrap/>
            <w:vAlign w:val="center"/>
            <w:hideMark/>
          </w:tcPr>
          <w:p w14:paraId="1B041FB9" w14:textId="77777777" w:rsidR="00EF53AB" w:rsidRPr="006252E4" w:rsidRDefault="00EF53AB" w:rsidP="00403A74">
            <w:pPr>
              <w:jc w:val="center"/>
              <w:rPr>
                <w:sz w:val="20"/>
                <w:szCs w:val="20"/>
              </w:rPr>
            </w:pPr>
            <w:r w:rsidRPr="006252E4">
              <w:rPr>
                <w:sz w:val="20"/>
                <w:szCs w:val="20"/>
              </w:rPr>
              <w:t>23%</w:t>
            </w:r>
          </w:p>
        </w:tc>
        <w:tc>
          <w:tcPr>
            <w:tcW w:w="1005" w:type="dxa"/>
            <w:noWrap/>
            <w:vAlign w:val="center"/>
            <w:hideMark/>
          </w:tcPr>
          <w:p w14:paraId="0841BCE0" w14:textId="77777777" w:rsidR="00EF53AB" w:rsidRPr="006252E4" w:rsidRDefault="00EF53AB" w:rsidP="00403A74">
            <w:pPr>
              <w:jc w:val="center"/>
              <w:rPr>
                <w:sz w:val="20"/>
                <w:szCs w:val="20"/>
              </w:rPr>
            </w:pPr>
            <w:r w:rsidRPr="006252E4">
              <w:rPr>
                <w:sz w:val="20"/>
                <w:szCs w:val="20"/>
              </w:rPr>
              <w:t>22%</w:t>
            </w:r>
          </w:p>
        </w:tc>
        <w:tc>
          <w:tcPr>
            <w:tcW w:w="1152" w:type="dxa"/>
            <w:noWrap/>
            <w:vAlign w:val="center"/>
            <w:hideMark/>
          </w:tcPr>
          <w:p w14:paraId="5CF7877C" w14:textId="77777777" w:rsidR="00EF53AB" w:rsidRPr="006252E4" w:rsidRDefault="00EF53AB" w:rsidP="00403A74">
            <w:pPr>
              <w:jc w:val="center"/>
              <w:rPr>
                <w:sz w:val="20"/>
                <w:szCs w:val="20"/>
              </w:rPr>
            </w:pPr>
            <w:r w:rsidRPr="006252E4">
              <w:rPr>
                <w:sz w:val="20"/>
                <w:szCs w:val="20"/>
              </w:rPr>
              <w:t>21%</w:t>
            </w:r>
          </w:p>
        </w:tc>
        <w:tc>
          <w:tcPr>
            <w:tcW w:w="1005" w:type="dxa"/>
            <w:noWrap/>
            <w:vAlign w:val="center"/>
            <w:hideMark/>
          </w:tcPr>
          <w:p w14:paraId="1F157D09" w14:textId="77777777" w:rsidR="00EF53AB" w:rsidRPr="006252E4" w:rsidRDefault="00EF53AB" w:rsidP="00403A74">
            <w:pPr>
              <w:jc w:val="center"/>
              <w:rPr>
                <w:sz w:val="20"/>
                <w:szCs w:val="20"/>
              </w:rPr>
            </w:pPr>
            <w:r w:rsidRPr="006252E4">
              <w:rPr>
                <w:sz w:val="20"/>
                <w:szCs w:val="20"/>
              </w:rPr>
              <w:t>19%</w:t>
            </w:r>
          </w:p>
        </w:tc>
        <w:tc>
          <w:tcPr>
            <w:tcW w:w="1005" w:type="dxa"/>
            <w:noWrap/>
            <w:vAlign w:val="center"/>
            <w:hideMark/>
          </w:tcPr>
          <w:p w14:paraId="166A85B5" w14:textId="77777777" w:rsidR="00EF53AB" w:rsidRPr="006252E4" w:rsidRDefault="00EF53AB" w:rsidP="00403A74">
            <w:pPr>
              <w:jc w:val="center"/>
              <w:rPr>
                <w:sz w:val="20"/>
                <w:szCs w:val="20"/>
              </w:rPr>
            </w:pPr>
            <w:r w:rsidRPr="006252E4">
              <w:rPr>
                <w:sz w:val="20"/>
                <w:szCs w:val="20"/>
              </w:rPr>
              <w:t>18%</w:t>
            </w:r>
          </w:p>
        </w:tc>
      </w:tr>
      <w:tr w:rsidR="00EF53AB" w:rsidRPr="006E317E" w14:paraId="11595C34" w14:textId="77777777" w:rsidTr="0005799C">
        <w:trPr>
          <w:trHeight w:val="313"/>
        </w:trPr>
        <w:tc>
          <w:tcPr>
            <w:tcW w:w="3100" w:type="dxa"/>
            <w:noWrap/>
            <w:vAlign w:val="center"/>
            <w:hideMark/>
          </w:tcPr>
          <w:p w14:paraId="5D701D8C" w14:textId="77777777" w:rsidR="00EF53AB" w:rsidRPr="006252E4" w:rsidRDefault="00EF53AB" w:rsidP="00AA241E">
            <w:pPr>
              <w:jc w:val="both"/>
              <w:rPr>
                <w:sz w:val="20"/>
                <w:szCs w:val="20"/>
              </w:rPr>
            </w:pPr>
            <w:r w:rsidRPr="006252E4">
              <w:rPr>
                <w:sz w:val="20"/>
                <w:szCs w:val="20"/>
              </w:rPr>
              <w:t xml:space="preserve">FWA </w:t>
            </w:r>
          </w:p>
        </w:tc>
        <w:tc>
          <w:tcPr>
            <w:tcW w:w="1005" w:type="dxa"/>
            <w:noWrap/>
            <w:vAlign w:val="center"/>
            <w:hideMark/>
          </w:tcPr>
          <w:p w14:paraId="312A7B85" w14:textId="77777777" w:rsidR="00EF53AB" w:rsidRPr="006252E4" w:rsidRDefault="00EF53AB" w:rsidP="00403A74">
            <w:pPr>
              <w:jc w:val="center"/>
              <w:rPr>
                <w:sz w:val="20"/>
                <w:szCs w:val="20"/>
              </w:rPr>
            </w:pPr>
            <w:r w:rsidRPr="006252E4">
              <w:rPr>
                <w:sz w:val="20"/>
                <w:szCs w:val="20"/>
              </w:rPr>
              <w:t>1%</w:t>
            </w:r>
          </w:p>
        </w:tc>
        <w:tc>
          <w:tcPr>
            <w:tcW w:w="1005" w:type="dxa"/>
            <w:noWrap/>
            <w:vAlign w:val="center"/>
            <w:hideMark/>
          </w:tcPr>
          <w:p w14:paraId="45D17A3A" w14:textId="77777777" w:rsidR="00EF53AB" w:rsidRPr="006252E4" w:rsidRDefault="00EF53AB" w:rsidP="00403A74">
            <w:pPr>
              <w:jc w:val="center"/>
              <w:rPr>
                <w:sz w:val="20"/>
                <w:szCs w:val="20"/>
              </w:rPr>
            </w:pPr>
            <w:r w:rsidRPr="006252E4">
              <w:rPr>
                <w:sz w:val="20"/>
                <w:szCs w:val="20"/>
              </w:rPr>
              <w:t>1%</w:t>
            </w:r>
          </w:p>
        </w:tc>
        <w:tc>
          <w:tcPr>
            <w:tcW w:w="1005" w:type="dxa"/>
            <w:noWrap/>
            <w:vAlign w:val="center"/>
            <w:hideMark/>
          </w:tcPr>
          <w:p w14:paraId="104AE5E7" w14:textId="77777777" w:rsidR="00EF53AB" w:rsidRPr="006252E4" w:rsidRDefault="00EF53AB" w:rsidP="00403A74">
            <w:pPr>
              <w:jc w:val="center"/>
              <w:rPr>
                <w:sz w:val="20"/>
                <w:szCs w:val="20"/>
              </w:rPr>
            </w:pPr>
            <w:r w:rsidRPr="006252E4">
              <w:rPr>
                <w:sz w:val="20"/>
                <w:szCs w:val="20"/>
              </w:rPr>
              <w:t>1%</w:t>
            </w:r>
          </w:p>
        </w:tc>
        <w:tc>
          <w:tcPr>
            <w:tcW w:w="1152" w:type="dxa"/>
            <w:noWrap/>
            <w:vAlign w:val="center"/>
            <w:hideMark/>
          </w:tcPr>
          <w:p w14:paraId="246298CD" w14:textId="77777777" w:rsidR="00EF53AB" w:rsidRPr="006252E4" w:rsidRDefault="00EF53AB" w:rsidP="00403A74">
            <w:pPr>
              <w:jc w:val="center"/>
              <w:rPr>
                <w:sz w:val="20"/>
                <w:szCs w:val="20"/>
              </w:rPr>
            </w:pPr>
            <w:r w:rsidRPr="006252E4">
              <w:rPr>
                <w:sz w:val="20"/>
                <w:szCs w:val="20"/>
              </w:rPr>
              <w:t>1%</w:t>
            </w:r>
          </w:p>
        </w:tc>
        <w:tc>
          <w:tcPr>
            <w:tcW w:w="1005" w:type="dxa"/>
            <w:noWrap/>
            <w:vAlign w:val="center"/>
            <w:hideMark/>
          </w:tcPr>
          <w:p w14:paraId="758CA7B1" w14:textId="77777777" w:rsidR="00EF53AB" w:rsidRPr="006252E4" w:rsidRDefault="00EF53AB" w:rsidP="00403A74">
            <w:pPr>
              <w:jc w:val="center"/>
              <w:rPr>
                <w:sz w:val="20"/>
                <w:szCs w:val="20"/>
              </w:rPr>
            </w:pPr>
            <w:r w:rsidRPr="006252E4">
              <w:rPr>
                <w:sz w:val="20"/>
                <w:szCs w:val="20"/>
              </w:rPr>
              <w:t>1%</w:t>
            </w:r>
          </w:p>
        </w:tc>
        <w:tc>
          <w:tcPr>
            <w:tcW w:w="1005" w:type="dxa"/>
            <w:noWrap/>
            <w:vAlign w:val="center"/>
            <w:hideMark/>
          </w:tcPr>
          <w:p w14:paraId="300A2C7C" w14:textId="77777777" w:rsidR="00EF53AB" w:rsidRPr="006252E4" w:rsidRDefault="00EF53AB" w:rsidP="00403A74">
            <w:pPr>
              <w:jc w:val="center"/>
              <w:rPr>
                <w:sz w:val="20"/>
                <w:szCs w:val="20"/>
              </w:rPr>
            </w:pPr>
            <w:r w:rsidRPr="006252E4">
              <w:rPr>
                <w:sz w:val="20"/>
                <w:szCs w:val="20"/>
              </w:rPr>
              <w:t>1%</w:t>
            </w:r>
          </w:p>
        </w:tc>
      </w:tr>
      <w:tr w:rsidR="00EF53AB" w:rsidRPr="006E317E" w14:paraId="484474AF" w14:textId="77777777" w:rsidTr="0005799C">
        <w:trPr>
          <w:trHeight w:val="313"/>
        </w:trPr>
        <w:tc>
          <w:tcPr>
            <w:tcW w:w="3100" w:type="dxa"/>
            <w:noWrap/>
            <w:vAlign w:val="center"/>
            <w:hideMark/>
          </w:tcPr>
          <w:p w14:paraId="2C32F17C" w14:textId="77777777" w:rsidR="00EF53AB" w:rsidRPr="006252E4" w:rsidRDefault="00EF53AB" w:rsidP="00AA241E">
            <w:pPr>
              <w:jc w:val="both"/>
              <w:rPr>
                <w:sz w:val="20"/>
                <w:szCs w:val="20"/>
              </w:rPr>
            </w:pPr>
            <w:r w:rsidRPr="006252E4">
              <w:rPr>
                <w:sz w:val="20"/>
                <w:szCs w:val="20"/>
              </w:rPr>
              <w:t>Teised lahendused</w:t>
            </w:r>
          </w:p>
        </w:tc>
        <w:tc>
          <w:tcPr>
            <w:tcW w:w="1005" w:type="dxa"/>
            <w:noWrap/>
            <w:vAlign w:val="center"/>
            <w:hideMark/>
          </w:tcPr>
          <w:p w14:paraId="3966FD89" w14:textId="77777777" w:rsidR="00EF53AB" w:rsidRPr="006252E4" w:rsidRDefault="00EF53AB" w:rsidP="00403A74">
            <w:pPr>
              <w:jc w:val="center"/>
              <w:rPr>
                <w:sz w:val="20"/>
                <w:szCs w:val="20"/>
              </w:rPr>
            </w:pPr>
            <w:r w:rsidRPr="006252E4">
              <w:rPr>
                <w:sz w:val="20"/>
                <w:szCs w:val="20"/>
              </w:rPr>
              <w:t>1%</w:t>
            </w:r>
          </w:p>
        </w:tc>
        <w:tc>
          <w:tcPr>
            <w:tcW w:w="1005" w:type="dxa"/>
            <w:noWrap/>
            <w:vAlign w:val="center"/>
            <w:hideMark/>
          </w:tcPr>
          <w:p w14:paraId="3F19424B" w14:textId="77777777" w:rsidR="00EF53AB" w:rsidRPr="006252E4" w:rsidRDefault="00EF53AB" w:rsidP="00403A74">
            <w:pPr>
              <w:jc w:val="center"/>
              <w:rPr>
                <w:sz w:val="20"/>
                <w:szCs w:val="20"/>
              </w:rPr>
            </w:pPr>
            <w:r w:rsidRPr="006252E4">
              <w:rPr>
                <w:sz w:val="20"/>
                <w:szCs w:val="20"/>
              </w:rPr>
              <w:t>1%</w:t>
            </w:r>
          </w:p>
        </w:tc>
        <w:tc>
          <w:tcPr>
            <w:tcW w:w="1005" w:type="dxa"/>
            <w:noWrap/>
            <w:vAlign w:val="center"/>
            <w:hideMark/>
          </w:tcPr>
          <w:p w14:paraId="471102B3" w14:textId="77777777" w:rsidR="00EF53AB" w:rsidRPr="006252E4" w:rsidRDefault="00EF53AB" w:rsidP="00403A74">
            <w:pPr>
              <w:jc w:val="center"/>
              <w:rPr>
                <w:sz w:val="20"/>
                <w:szCs w:val="20"/>
              </w:rPr>
            </w:pPr>
            <w:r w:rsidRPr="006252E4">
              <w:rPr>
                <w:sz w:val="20"/>
                <w:szCs w:val="20"/>
              </w:rPr>
              <w:t>1%</w:t>
            </w:r>
          </w:p>
        </w:tc>
        <w:tc>
          <w:tcPr>
            <w:tcW w:w="1152" w:type="dxa"/>
            <w:noWrap/>
            <w:vAlign w:val="center"/>
            <w:hideMark/>
          </w:tcPr>
          <w:p w14:paraId="72A1637E" w14:textId="77777777" w:rsidR="00EF53AB" w:rsidRPr="006252E4" w:rsidRDefault="00EF53AB" w:rsidP="00403A74">
            <w:pPr>
              <w:jc w:val="center"/>
              <w:rPr>
                <w:sz w:val="20"/>
                <w:szCs w:val="20"/>
              </w:rPr>
            </w:pPr>
            <w:r w:rsidRPr="006252E4">
              <w:rPr>
                <w:sz w:val="20"/>
                <w:szCs w:val="20"/>
              </w:rPr>
              <w:t>1%</w:t>
            </w:r>
          </w:p>
        </w:tc>
        <w:tc>
          <w:tcPr>
            <w:tcW w:w="1005" w:type="dxa"/>
            <w:noWrap/>
            <w:vAlign w:val="center"/>
            <w:hideMark/>
          </w:tcPr>
          <w:p w14:paraId="3472CA24" w14:textId="77777777" w:rsidR="00EF53AB" w:rsidRPr="006252E4" w:rsidRDefault="00EF53AB" w:rsidP="00403A74">
            <w:pPr>
              <w:jc w:val="center"/>
              <w:rPr>
                <w:sz w:val="20"/>
                <w:szCs w:val="20"/>
              </w:rPr>
            </w:pPr>
            <w:r w:rsidRPr="006252E4">
              <w:rPr>
                <w:sz w:val="20"/>
                <w:szCs w:val="20"/>
              </w:rPr>
              <w:t>1%</w:t>
            </w:r>
          </w:p>
        </w:tc>
        <w:tc>
          <w:tcPr>
            <w:tcW w:w="1005" w:type="dxa"/>
            <w:noWrap/>
            <w:vAlign w:val="center"/>
            <w:hideMark/>
          </w:tcPr>
          <w:p w14:paraId="32C19A2D" w14:textId="77777777" w:rsidR="00EF53AB" w:rsidRPr="006252E4" w:rsidRDefault="00EF53AB" w:rsidP="00403A74">
            <w:pPr>
              <w:jc w:val="center"/>
              <w:rPr>
                <w:sz w:val="20"/>
                <w:szCs w:val="20"/>
              </w:rPr>
            </w:pPr>
            <w:r w:rsidRPr="006252E4">
              <w:rPr>
                <w:sz w:val="20"/>
                <w:szCs w:val="20"/>
              </w:rPr>
              <w:t>1%</w:t>
            </w:r>
          </w:p>
        </w:tc>
      </w:tr>
      <w:tr w:rsidR="00EF53AB" w:rsidRPr="006E317E" w14:paraId="40488CB6" w14:textId="77777777" w:rsidTr="0005799C">
        <w:trPr>
          <w:trHeight w:val="313"/>
        </w:trPr>
        <w:tc>
          <w:tcPr>
            <w:tcW w:w="3100" w:type="dxa"/>
            <w:noWrap/>
            <w:vAlign w:val="center"/>
            <w:hideMark/>
          </w:tcPr>
          <w:p w14:paraId="053D2A3B" w14:textId="77777777" w:rsidR="00EF53AB" w:rsidRPr="006252E4" w:rsidRDefault="00EF53AB" w:rsidP="00AA241E">
            <w:pPr>
              <w:jc w:val="both"/>
              <w:rPr>
                <w:sz w:val="20"/>
                <w:szCs w:val="20"/>
              </w:rPr>
            </w:pPr>
            <w:r w:rsidRPr="006252E4">
              <w:rPr>
                <w:sz w:val="20"/>
                <w:szCs w:val="20"/>
              </w:rPr>
              <w:t>KOKKU</w:t>
            </w:r>
          </w:p>
        </w:tc>
        <w:tc>
          <w:tcPr>
            <w:tcW w:w="1005" w:type="dxa"/>
            <w:noWrap/>
            <w:vAlign w:val="center"/>
            <w:hideMark/>
          </w:tcPr>
          <w:p w14:paraId="1689C5F2" w14:textId="77777777" w:rsidR="00EF53AB" w:rsidRPr="006252E4" w:rsidRDefault="00EF53AB" w:rsidP="00403A74">
            <w:pPr>
              <w:jc w:val="center"/>
              <w:rPr>
                <w:sz w:val="20"/>
                <w:szCs w:val="20"/>
              </w:rPr>
            </w:pPr>
            <w:r w:rsidRPr="006252E4">
              <w:rPr>
                <w:sz w:val="20"/>
                <w:szCs w:val="20"/>
              </w:rPr>
              <w:t>100%</w:t>
            </w:r>
          </w:p>
        </w:tc>
        <w:tc>
          <w:tcPr>
            <w:tcW w:w="1005" w:type="dxa"/>
            <w:noWrap/>
            <w:vAlign w:val="center"/>
            <w:hideMark/>
          </w:tcPr>
          <w:p w14:paraId="3E7B8458" w14:textId="77777777" w:rsidR="00EF53AB" w:rsidRPr="006252E4" w:rsidRDefault="00EF53AB" w:rsidP="00403A74">
            <w:pPr>
              <w:jc w:val="center"/>
              <w:rPr>
                <w:sz w:val="20"/>
                <w:szCs w:val="20"/>
              </w:rPr>
            </w:pPr>
            <w:r w:rsidRPr="006252E4">
              <w:rPr>
                <w:sz w:val="20"/>
                <w:szCs w:val="20"/>
              </w:rPr>
              <w:t>100%</w:t>
            </w:r>
          </w:p>
        </w:tc>
        <w:tc>
          <w:tcPr>
            <w:tcW w:w="1005" w:type="dxa"/>
            <w:noWrap/>
            <w:vAlign w:val="center"/>
            <w:hideMark/>
          </w:tcPr>
          <w:p w14:paraId="2390FCFC" w14:textId="77777777" w:rsidR="00EF53AB" w:rsidRPr="006252E4" w:rsidRDefault="00EF53AB" w:rsidP="00403A74">
            <w:pPr>
              <w:jc w:val="center"/>
              <w:rPr>
                <w:sz w:val="20"/>
                <w:szCs w:val="20"/>
              </w:rPr>
            </w:pPr>
            <w:r w:rsidRPr="006252E4">
              <w:rPr>
                <w:sz w:val="20"/>
                <w:szCs w:val="20"/>
              </w:rPr>
              <w:t>100%</w:t>
            </w:r>
          </w:p>
        </w:tc>
        <w:tc>
          <w:tcPr>
            <w:tcW w:w="1152" w:type="dxa"/>
            <w:noWrap/>
            <w:vAlign w:val="center"/>
            <w:hideMark/>
          </w:tcPr>
          <w:p w14:paraId="0C46214C" w14:textId="77777777" w:rsidR="00EF53AB" w:rsidRPr="006252E4" w:rsidRDefault="00EF53AB" w:rsidP="00403A74">
            <w:pPr>
              <w:jc w:val="center"/>
              <w:rPr>
                <w:sz w:val="20"/>
                <w:szCs w:val="20"/>
              </w:rPr>
            </w:pPr>
            <w:r w:rsidRPr="006252E4">
              <w:rPr>
                <w:sz w:val="20"/>
                <w:szCs w:val="20"/>
              </w:rPr>
              <w:t>100%</w:t>
            </w:r>
          </w:p>
        </w:tc>
        <w:tc>
          <w:tcPr>
            <w:tcW w:w="1005" w:type="dxa"/>
            <w:noWrap/>
            <w:vAlign w:val="center"/>
            <w:hideMark/>
          </w:tcPr>
          <w:p w14:paraId="79781A9A" w14:textId="77777777" w:rsidR="00EF53AB" w:rsidRPr="006252E4" w:rsidRDefault="00EF53AB" w:rsidP="00403A74">
            <w:pPr>
              <w:jc w:val="center"/>
              <w:rPr>
                <w:sz w:val="20"/>
                <w:szCs w:val="20"/>
              </w:rPr>
            </w:pPr>
            <w:r w:rsidRPr="006252E4">
              <w:rPr>
                <w:sz w:val="20"/>
                <w:szCs w:val="20"/>
              </w:rPr>
              <w:t>100%</w:t>
            </w:r>
          </w:p>
        </w:tc>
        <w:tc>
          <w:tcPr>
            <w:tcW w:w="1005" w:type="dxa"/>
            <w:noWrap/>
            <w:vAlign w:val="center"/>
            <w:hideMark/>
          </w:tcPr>
          <w:p w14:paraId="0FA1766A" w14:textId="77777777" w:rsidR="00EF53AB" w:rsidRPr="006252E4" w:rsidRDefault="00EF53AB" w:rsidP="00403A74">
            <w:pPr>
              <w:jc w:val="center"/>
              <w:rPr>
                <w:sz w:val="20"/>
                <w:szCs w:val="20"/>
              </w:rPr>
            </w:pPr>
            <w:r w:rsidRPr="006252E4">
              <w:rPr>
                <w:sz w:val="20"/>
                <w:szCs w:val="20"/>
              </w:rPr>
              <w:t>100%</w:t>
            </w:r>
          </w:p>
        </w:tc>
      </w:tr>
    </w:tbl>
    <w:bookmarkEnd w:id="17"/>
    <w:p w14:paraId="3A4AF18B" w14:textId="6A94C04A" w:rsidR="00EF53AB" w:rsidRPr="006E317E" w:rsidRDefault="006C32C6" w:rsidP="001A1A14">
      <w:pPr>
        <w:pStyle w:val="Pealdis"/>
        <w:spacing w:after="240"/>
        <w:jc w:val="both"/>
      </w:pPr>
      <w:r>
        <w:t xml:space="preserve">Tabel </w:t>
      </w:r>
      <w:r>
        <w:fldChar w:fldCharType="begin"/>
      </w:r>
      <w:r>
        <w:instrText xml:space="preserve"> SEQ Tabel \* ARABIC </w:instrText>
      </w:r>
      <w:r>
        <w:fldChar w:fldCharType="separate"/>
      </w:r>
      <w:r w:rsidR="00247D84">
        <w:rPr>
          <w:noProof/>
        </w:rPr>
        <w:t>1</w:t>
      </w:r>
      <w:r>
        <w:fldChar w:fldCharType="end"/>
      </w:r>
      <w:r>
        <w:t xml:space="preserve"> </w:t>
      </w:r>
      <w:r w:rsidR="00EF53AB" w:rsidRPr="006E317E">
        <w:t xml:space="preserve">Lairibateenuse lõppkasutajate </w:t>
      </w:r>
      <w:r w:rsidR="0007135D">
        <w:t>kliendiliin</w:t>
      </w:r>
      <w:r w:rsidR="00EF53AB" w:rsidRPr="006E317E">
        <w:t>ide jaotus juurdepääsuvõrgu tehnoloogia alusel 2018 –2023</w:t>
      </w:r>
    </w:p>
    <w:p w14:paraId="682129A6" w14:textId="707F370B" w:rsidR="00EF53AB" w:rsidRPr="006E317E" w:rsidRDefault="00EF53AB" w:rsidP="00AA241E">
      <w:pPr>
        <w:jc w:val="both"/>
      </w:pPr>
      <w:r w:rsidRPr="006E317E">
        <w:t>Vaskpaar</w:t>
      </w:r>
      <w:r w:rsidR="63BC126F" w:rsidRPr="006E317E">
        <w:t>-</w:t>
      </w:r>
      <w:r w:rsidRPr="006E317E">
        <w:t xml:space="preserve">juurdepääsuvõrkudes on ajalooliselt kasutanud </w:t>
      </w:r>
      <w:proofErr w:type="spellStart"/>
      <w:r w:rsidRPr="006E317E">
        <w:t>xDSL</w:t>
      </w:r>
      <w:proofErr w:type="spellEnd"/>
      <w:r w:rsidRPr="005D266E">
        <w:rPr>
          <w:vertAlign w:val="superscript"/>
        </w:rPr>
        <w:footnoteReference w:id="16"/>
      </w:r>
      <w:r w:rsidRPr="006E317E">
        <w:t>-tehnoloogiad, nagu ADSL, ADSL2+, HDSL, SHDSL, mis on tehnoloogiate perekond, edastades teavet ajaloolise telefoni vaskjuurdepääsu võrgu kaudu. ADSL-tehnoloogia on olnud üks enimkasutatavaid DSL-</w:t>
      </w:r>
      <w:r w:rsidRPr="006E317E">
        <w:lastRenderedPageBreak/>
        <w:t xml:space="preserve">tehnoloogiaid. ADSL-i ja muude DSL-tehnoloogiate kasutamisel sõltub andmeedastuskiirus vase </w:t>
      </w:r>
      <w:r w:rsidR="00336554">
        <w:t>kliend</w:t>
      </w:r>
      <w:r w:rsidRPr="006E317E">
        <w:t>iliini kvaliteedist, pikkusest jne.</w:t>
      </w:r>
    </w:p>
    <w:p w14:paraId="5B47C26F" w14:textId="44585499" w:rsidR="00EF53AB" w:rsidRPr="006E317E" w:rsidRDefault="00EF53AB" w:rsidP="00AA241E">
      <w:pPr>
        <w:jc w:val="both"/>
      </w:pPr>
      <w:r w:rsidRPr="006E317E">
        <w:t>Tehnoloogia arengu tulemusena ja tarbijate sooviga tarbida suurema kiirusega lairiba</w:t>
      </w:r>
      <w:r w:rsidR="006516A0" w:rsidRPr="006E317E">
        <w:t>teenuseid</w:t>
      </w:r>
      <w:r w:rsidRPr="006E317E">
        <w:t xml:space="preserve"> on DSL-tehnoloogiate kasutamine märkimisväärselt vähenenud, vaskpaar </w:t>
      </w:r>
      <w:r w:rsidR="0007135D">
        <w:t>kliendiliin</w:t>
      </w:r>
      <w:r w:rsidRPr="006E317E">
        <w:t>id on täielikult või osaliselt asendatud kiudoptiliste</w:t>
      </w:r>
      <w:r w:rsidR="000214D5">
        <w:t xml:space="preserve"> e valguskaabel</w:t>
      </w:r>
      <w:r w:rsidRPr="006E317E">
        <w:t xml:space="preserve"> ja arenenumate tehnoloogiate kasutuselevõtuga</w:t>
      </w:r>
      <w:r w:rsidR="00DA6C16" w:rsidRPr="006E317E">
        <w:t>, näiteks nagu mobii</w:t>
      </w:r>
      <w:r w:rsidR="00414C61" w:rsidRPr="006E317E">
        <w:t>lsidevõrgus püsiasukohaga internetiühendused</w:t>
      </w:r>
      <w:r w:rsidRPr="006E317E">
        <w:t>. Vasega võrreldes on valguskaabel kiud elektromagnetiliste häireteta, pakkudes palju suuremat andmeedastuskiirust ja paremat kvaliteeti.</w:t>
      </w:r>
    </w:p>
    <w:p w14:paraId="6AFB0333" w14:textId="77777777" w:rsidR="00EF53AB" w:rsidRPr="006E317E" w:rsidRDefault="00EF53AB" w:rsidP="00AA241E">
      <w:pPr>
        <w:jc w:val="both"/>
      </w:pPr>
      <w:r w:rsidRPr="006E317E">
        <w:t>Juurdepääsuvõrgu ja selle tehnoloogiate moderniseerimisel kasutatakse praktikas järgmisi termineid:</w:t>
      </w:r>
    </w:p>
    <w:p w14:paraId="3AB6A46D" w14:textId="77777777" w:rsidR="00EF53AB" w:rsidRPr="006E317E" w:rsidRDefault="00EF53AB" w:rsidP="00AA241E">
      <w:pPr>
        <w:pStyle w:val="Loendilik"/>
        <w:numPr>
          <w:ilvl w:val="0"/>
          <w:numId w:val="96"/>
        </w:numPr>
        <w:jc w:val="both"/>
      </w:pPr>
      <w:r w:rsidRPr="006E317E">
        <w:t>järgmise põlvkonna juurdepääsuvõrgud, mis on määratletud järgmise põlvkonna juurdepääsuvõrke käsitlevas soovituses;</w:t>
      </w:r>
    </w:p>
    <w:p w14:paraId="0BCECED4" w14:textId="77777777" w:rsidR="00EF53AB" w:rsidRPr="006E317E" w:rsidRDefault="00EF53AB" w:rsidP="00AA241E">
      <w:pPr>
        <w:pStyle w:val="Loendilik"/>
        <w:numPr>
          <w:ilvl w:val="0"/>
          <w:numId w:val="96"/>
        </w:numPr>
        <w:jc w:val="both"/>
      </w:pPr>
      <w:r w:rsidRPr="006E317E">
        <w:t>ülisuure läbilaskevõimega võrgud.</w:t>
      </w:r>
    </w:p>
    <w:p w14:paraId="17E15DB4" w14:textId="489E54E5" w:rsidR="00EF53AB" w:rsidRPr="006E317E" w:rsidRDefault="00EF53AB" w:rsidP="00AA241E">
      <w:pPr>
        <w:jc w:val="both"/>
      </w:pPr>
      <w:r w:rsidRPr="006E317E">
        <w:t>Järgmise põlvkonna juurdepääsuvõrgud on vaskpaar</w:t>
      </w:r>
      <w:r w:rsidR="0979B521" w:rsidRPr="006E317E">
        <w:t>-</w:t>
      </w:r>
      <w:r w:rsidRPr="006E317E">
        <w:t>juurdepääsuvõrgud, mis koosnevad täielikult või osaliselt valguskaabel</w:t>
      </w:r>
      <w:r w:rsidR="3236FED2" w:rsidRPr="006E317E">
        <w:t>võrgu</w:t>
      </w:r>
      <w:r w:rsidRPr="006E317E">
        <w:t xml:space="preserve"> elementidest ja on võimelised pakkuma paremate parameetritega (nt suurem läbilaskevõime) lairibateenuseid võrreldes vaskpaarvõrkudes pakutavate parameetritega. Enamikul juhtudel luuakse järgmise põlvkonna juurdepääsuvõrgud juba olemasolevate vaskpaarvõrkude uuendamisega.</w:t>
      </w:r>
    </w:p>
    <w:p w14:paraId="3BD48F31" w14:textId="63A10E96" w:rsidR="00EF53AB" w:rsidRPr="006E317E" w:rsidRDefault="00EF53AB" w:rsidP="00AA241E">
      <w:pPr>
        <w:jc w:val="both"/>
      </w:pPr>
      <w:r w:rsidRPr="006E317E">
        <w:t xml:space="preserve">Vaskpaarvõrkude järgmise põlvkonna juurdepääsu võrkudeks on </w:t>
      </w:r>
      <w:proofErr w:type="spellStart"/>
      <w:r w:rsidR="001B4582">
        <w:t>v</w:t>
      </w:r>
      <w:r w:rsidRPr="00AD2A3F">
        <w:rPr>
          <w:i/>
          <w:iCs/>
        </w:rPr>
        <w:t>ectoring</w:t>
      </w:r>
      <w:proofErr w:type="spellEnd"/>
      <w:r w:rsidRPr="005D266E">
        <w:rPr>
          <w:vertAlign w:val="superscript"/>
        </w:rPr>
        <w:footnoteReference w:id="17"/>
      </w:r>
      <w:r w:rsidR="003553B3">
        <w:t xml:space="preserve"> </w:t>
      </w:r>
      <w:r w:rsidRPr="006E317E">
        <w:t xml:space="preserve">ja </w:t>
      </w:r>
      <w:r w:rsidR="00C40830" w:rsidRPr="00AD2A3F">
        <w:rPr>
          <w:i/>
          <w:iCs/>
        </w:rPr>
        <w:t xml:space="preserve">G. </w:t>
      </w:r>
      <w:proofErr w:type="spellStart"/>
      <w:r w:rsidR="00C40830" w:rsidRPr="00AD2A3F">
        <w:rPr>
          <w:i/>
          <w:iCs/>
        </w:rPr>
        <w:t>Fast</w:t>
      </w:r>
      <w:proofErr w:type="spellEnd"/>
      <w:r w:rsidR="00C40830" w:rsidRPr="006E317E">
        <w:t xml:space="preserve"> </w:t>
      </w:r>
      <w:r w:rsidRPr="005D266E">
        <w:rPr>
          <w:vertAlign w:val="superscript"/>
        </w:rPr>
        <w:footnoteReference w:id="18"/>
      </w:r>
      <w:r w:rsidRPr="006E317E">
        <w:t xml:space="preserve"> tehnoloogilised lahendused. Nende lahenduste vahendusel saab pakkuda suur kiirusega lairibateenuseid ja vaskpaar juurdepääsu võrgu läbilaskevõime </w:t>
      </w:r>
      <w:proofErr w:type="spellStart"/>
      <w:r w:rsidR="00EC646B" w:rsidRPr="006E317E">
        <w:t>mitmekümnekordistub</w:t>
      </w:r>
      <w:proofErr w:type="spellEnd"/>
      <w:r w:rsidRPr="006E317E">
        <w:t xml:space="preserve">. Paraku on tänaseks jõudnud areng sinnamaale, kus piiravana tulevad vastu </w:t>
      </w:r>
      <w:r w:rsidR="00532579">
        <w:t>vaskpaarvõrgu</w:t>
      </w:r>
      <w:r w:rsidRPr="006E317E">
        <w:t xml:space="preserve"> füüsikalised omadused ning </w:t>
      </w:r>
      <w:r w:rsidR="00532579">
        <w:t>vaskpaarvõrgu</w:t>
      </w:r>
      <w:r w:rsidRPr="006E317E">
        <w:t xml:space="preserve"> kaudu andmesidekiirusi kasvatada pikkadel vahemaadel ei ole hetkel saada oleva tehnoloogiaga üle 500 m kaabliga tehniliselt mõistlik. </w:t>
      </w:r>
    </w:p>
    <w:p w14:paraId="64862B9B" w14:textId="4EBE47DE" w:rsidR="00EF53AB" w:rsidRPr="006E317E" w:rsidRDefault="00EF53AB" w:rsidP="00AA241E">
      <w:pPr>
        <w:jc w:val="both"/>
      </w:pPr>
      <w:r w:rsidRPr="006E317E">
        <w:t xml:space="preserve">Tänu tehnoloogilistele arengutele on algselt vaid telefoniteenuse osutamiseks mõeldud vaskkaablipaarid leidnud laialdast kasutamist lairibateenuste osutamiseks. Nii on alates aastast 2000 Telia pakkunud ADSL, ADSL2 ja ADSL2+ põhiseid teenuseid. Eesti turule jõudis uus vasetehnoloogia 2016. aastal lisandus </w:t>
      </w:r>
      <w:r w:rsidRPr="00AD2A3F">
        <w:rPr>
          <w:i/>
          <w:iCs/>
        </w:rPr>
        <w:t>G.</w:t>
      </w:r>
      <w:r w:rsidR="003553B3" w:rsidRPr="00AD2A3F">
        <w:rPr>
          <w:i/>
          <w:iCs/>
        </w:rPr>
        <w:t xml:space="preserve"> </w:t>
      </w:r>
      <w:proofErr w:type="spellStart"/>
      <w:r w:rsidRPr="00AD2A3F">
        <w:rPr>
          <w:i/>
          <w:iCs/>
        </w:rPr>
        <w:t>Fast</w:t>
      </w:r>
      <w:proofErr w:type="spellEnd"/>
      <w:r w:rsidRPr="006E317E">
        <w:t xml:space="preserve">. Tänu mainitud uutele lairibatehnoloogiatele on võimalik olemasolevatel </w:t>
      </w:r>
      <w:r w:rsidR="00532579">
        <w:t>vaskpaar</w:t>
      </w:r>
      <w:r w:rsidRPr="006E317E">
        <w:t xml:space="preserve"> ühendustel tõsta internetiühenduste kiirusi VDSL2 puhul tasemele 60/20 Mbit/s ja </w:t>
      </w:r>
      <w:bookmarkStart w:id="18" w:name="_Hlk173228645"/>
      <w:r w:rsidRPr="00AD2A3F">
        <w:rPr>
          <w:i/>
          <w:iCs/>
        </w:rPr>
        <w:t>G.</w:t>
      </w:r>
      <w:r w:rsidR="003553B3" w:rsidRPr="00AD2A3F">
        <w:rPr>
          <w:i/>
          <w:iCs/>
        </w:rPr>
        <w:t xml:space="preserve"> </w:t>
      </w:r>
      <w:proofErr w:type="spellStart"/>
      <w:r w:rsidRPr="00AD2A3F">
        <w:rPr>
          <w:i/>
          <w:iCs/>
        </w:rPr>
        <w:t>Fast</w:t>
      </w:r>
      <w:proofErr w:type="spellEnd"/>
      <w:r w:rsidRPr="006E317E">
        <w:t xml:space="preserve"> </w:t>
      </w:r>
      <w:bookmarkEnd w:id="18"/>
      <w:r w:rsidRPr="006E317E">
        <w:t xml:space="preserve">puhul tasemele 200/100 Mbit/s ja enam. Määravaks saab antud juhul kliendiliini vasepaaride pikkus (VDSL2 eeldab </w:t>
      </w:r>
      <w:r w:rsidR="0007135D">
        <w:t>kliendiliin</w:t>
      </w:r>
      <w:r w:rsidRPr="006E317E">
        <w:t xml:space="preserve">i &lt; 1 km; </w:t>
      </w:r>
      <w:r w:rsidRPr="00AD2A3F">
        <w:rPr>
          <w:i/>
          <w:iCs/>
        </w:rPr>
        <w:t>G.</w:t>
      </w:r>
      <w:r w:rsidR="003553B3" w:rsidRPr="00AD2A3F">
        <w:rPr>
          <w:i/>
          <w:iCs/>
        </w:rPr>
        <w:t xml:space="preserve"> </w:t>
      </w:r>
      <w:proofErr w:type="spellStart"/>
      <w:r w:rsidRPr="00AD2A3F">
        <w:rPr>
          <w:i/>
          <w:iCs/>
        </w:rPr>
        <w:t>Fast</w:t>
      </w:r>
      <w:proofErr w:type="spellEnd"/>
      <w:r w:rsidRPr="006E317E">
        <w:t xml:space="preserve"> </w:t>
      </w:r>
      <w:r w:rsidR="0007135D">
        <w:t>kliendiliin</w:t>
      </w:r>
      <w:r w:rsidRPr="006E317E">
        <w:t xml:space="preserve">i &lt; 500 m). Mõlema tehnoloogia rakendamine piirdub seadmete osalise vahetamisega teenusepakkuja võrgusõlmes ja lõppkasutaja ruuteri vahetusega. Seega on tegemist odava, kuid siiski piiratud </w:t>
      </w:r>
      <w:r w:rsidRPr="006E317E">
        <w:lastRenderedPageBreak/>
        <w:t xml:space="preserve">võimalustega võrgu uuendusega, tänu millele on võimalik tiheasustusega piirkondades internetiühenduste kiirusi tõsta. Selle eelduseks on siiski </w:t>
      </w:r>
      <w:r w:rsidR="00306F9B">
        <w:t>valgus</w:t>
      </w:r>
      <w:r w:rsidR="00306F9B" w:rsidRPr="006E317E">
        <w:t>kaabel</w:t>
      </w:r>
      <w:r w:rsidRPr="006E317E">
        <w:t xml:space="preserve"> ühenduse jõudmine sidesõlme või uutesse</w:t>
      </w:r>
      <w:r w:rsidR="00C40830">
        <w:t xml:space="preserve"> </w:t>
      </w:r>
      <w:r w:rsidRPr="006E317E">
        <w:t xml:space="preserve">sidesõlmedesse, millest edasi kulgevad </w:t>
      </w:r>
      <w:r w:rsidR="00532579">
        <w:t>vaskpaar(i</w:t>
      </w:r>
      <w:r w:rsidRPr="006E317E">
        <w:t>d</w:t>
      </w:r>
      <w:r w:rsidR="00532579">
        <w:t>)</w:t>
      </w:r>
      <w:r w:rsidRPr="006E317E">
        <w:t xml:space="preserve"> lõppkasutajani. Arvestades tehnoloogia piiratud võimekusega, sobib selline lahendus pigem tiheasustatud piirkondades pakutavate teenuste andmesidekiiruste parandamiseks.</w:t>
      </w:r>
      <w:r w:rsidRPr="005D266E">
        <w:rPr>
          <w:vertAlign w:val="superscript"/>
        </w:rPr>
        <w:footnoteReference w:id="19"/>
      </w:r>
    </w:p>
    <w:p w14:paraId="0A43CD3A" w14:textId="77777777" w:rsidR="00EF53AB" w:rsidRPr="006E317E" w:rsidRDefault="00EF53AB" w:rsidP="00AA241E">
      <w:pPr>
        <w:jc w:val="both"/>
      </w:pPr>
      <w:r w:rsidRPr="006E317E">
        <w:rPr>
          <w:noProof/>
        </w:rPr>
        <w:drawing>
          <wp:inline distT="0" distB="0" distL="0" distR="0" wp14:anchorId="57274C76" wp14:editId="755C35C4">
            <wp:extent cx="5760720" cy="2803525"/>
            <wp:effectExtent l="0" t="0" r="0" b="0"/>
            <wp:docPr id="54" name="Pil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54"/>
                    <pic:cNvPicPr/>
                  </pic:nvPicPr>
                  <pic:blipFill>
                    <a:blip r:embed="rId12">
                      <a:extLst>
                        <a:ext uri="{FF2B5EF4-FFF2-40B4-BE49-F238E27FC236}">
                          <a16:creationId xmlns:c="http://schemas.openxmlformats.org/drawingml/2006/chart"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C829D26B-E60B-4939-B675-1E2876D02148}"/>
                        </a:ext>
                      </a:extLst>
                    </a:blip>
                    <a:stretch>
                      <a:fillRect/>
                    </a:stretch>
                  </pic:blipFill>
                  <pic:spPr>
                    <a:xfrm>
                      <a:off x="0" y="0"/>
                      <a:ext cx="5760720" cy="2803525"/>
                    </a:xfrm>
                    <a:prstGeom prst="rect">
                      <a:avLst/>
                    </a:prstGeom>
                  </pic:spPr>
                </pic:pic>
              </a:graphicData>
            </a:graphic>
          </wp:inline>
        </w:drawing>
      </w:r>
    </w:p>
    <w:p w14:paraId="6624DD78" w14:textId="51E19EFF" w:rsidR="00EF53AB" w:rsidRPr="006E317E" w:rsidRDefault="006C32C6" w:rsidP="001A1A14">
      <w:pPr>
        <w:pStyle w:val="Pealdis"/>
        <w:spacing w:after="240"/>
        <w:jc w:val="both"/>
      </w:pPr>
      <w:r>
        <w:t xml:space="preserve">Joonis </w:t>
      </w:r>
      <w:r>
        <w:fldChar w:fldCharType="begin"/>
      </w:r>
      <w:r>
        <w:instrText xml:space="preserve"> SEQ Joonis \* ARABIC </w:instrText>
      </w:r>
      <w:r>
        <w:fldChar w:fldCharType="separate"/>
      </w:r>
      <w:r w:rsidR="00E5522B">
        <w:rPr>
          <w:noProof/>
        </w:rPr>
        <w:t>2</w:t>
      </w:r>
      <w:r>
        <w:fldChar w:fldCharType="end"/>
      </w:r>
      <w:r w:rsidR="00EF53AB" w:rsidRPr="006E317E">
        <w:t xml:space="preserve"> Vaskpaar juurdepääsu</w:t>
      </w:r>
      <w:r w:rsidR="0007135D">
        <w:t>kliendiliin</w:t>
      </w:r>
      <w:r w:rsidR="00EF53AB" w:rsidRPr="006E317E">
        <w:t>ide pikkus järgmise põlvkonna juurdepääsuvõrgudes</w:t>
      </w:r>
    </w:p>
    <w:p w14:paraId="2F5135A9" w14:textId="77777777" w:rsidR="00EF53AB" w:rsidRPr="006E317E" w:rsidRDefault="00EF53AB" w:rsidP="00AA241E">
      <w:pPr>
        <w:jc w:val="both"/>
      </w:pPr>
      <w:proofErr w:type="spellStart"/>
      <w:r w:rsidRPr="00F22C24">
        <w:rPr>
          <w:i/>
          <w:iCs/>
        </w:rPr>
        <w:t>G.Fast</w:t>
      </w:r>
      <w:proofErr w:type="spellEnd"/>
      <w:r w:rsidRPr="006E317E">
        <w:t xml:space="preserve"> tehnoloogiat peetakse uue põlvkonna DSL-tehnoloogiaks ja see hõlmab kõiki VDSL-i pakutavaid funktsioone, sealhulgas vektoriseerimist, mis hõlbustab signaali </w:t>
      </w:r>
      <w:proofErr w:type="spellStart"/>
      <w:r w:rsidRPr="006E317E">
        <w:t>ülekostvusest</w:t>
      </w:r>
      <w:proofErr w:type="spellEnd"/>
      <w:r w:rsidRPr="006E317E">
        <w:t xml:space="preserve"> (</w:t>
      </w:r>
      <w:r w:rsidRPr="003553B3">
        <w:rPr>
          <w:i/>
          <w:iCs/>
        </w:rPr>
        <w:t xml:space="preserve">FEXT </w:t>
      </w:r>
      <w:proofErr w:type="spellStart"/>
      <w:r w:rsidRPr="00AD2A3F">
        <w:rPr>
          <w:i/>
          <w:iCs/>
        </w:rPr>
        <w:t>far</w:t>
      </w:r>
      <w:proofErr w:type="spellEnd"/>
      <w:r w:rsidRPr="00AD2A3F">
        <w:rPr>
          <w:i/>
          <w:iCs/>
        </w:rPr>
        <w:t xml:space="preserve"> end </w:t>
      </w:r>
      <w:proofErr w:type="spellStart"/>
      <w:r w:rsidRPr="00AD2A3F">
        <w:rPr>
          <w:i/>
          <w:iCs/>
        </w:rPr>
        <w:t>crosstalk</w:t>
      </w:r>
      <w:proofErr w:type="spellEnd"/>
      <w:r w:rsidRPr="006E317E">
        <w:t xml:space="preserve"> </w:t>
      </w:r>
      <w:r w:rsidRPr="005D266E">
        <w:rPr>
          <w:vertAlign w:val="superscript"/>
        </w:rPr>
        <w:footnoteReference w:id="20"/>
      </w:r>
      <w:r w:rsidRPr="006E317E">
        <w:t>) põhjustatud häirete leevendamist.</w:t>
      </w:r>
      <w:r w:rsidRPr="005D266E">
        <w:rPr>
          <w:vertAlign w:val="superscript"/>
        </w:rPr>
        <w:footnoteReference w:id="21"/>
      </w:r>
      <w:r w:rsidRPr="006E317E">
        <w:t xml:space="preserve"> </w:t>
      </w:r>
    </w:p>
    <w:p w14:paraId="598471E7" w14:textId="419409F3" w:rsidR="00EF53AB" w:rsidRPr="006E317E" w:rsidRDefault="00EF53AB" w:rsidP="00AA241E">
      <w:pPr>
        <w:jc w:val="both"/>
      </w:pPr>
      <w:r w:rsidRPr="006E317E">
        <w:t xml:space="preserve">Majanduslikult on Saksamaa näitel arvutatud, et </w:t>
      </w:r>
      <w:proofErr w:type="spellStart"/>
      <w:r w:rsidR="001B4582">
        <w:t>v</w:t>
      </w:r>
      <w:r w:rsidRPr="00AD2A3F">
        <w:rPr>
          <w:i/>
          <w:iCs/>
        </w:rPr>
        <w:t>ectoring</w:t>
      </w:r>
      <w:proofErr w:type="spellEnd"/>
      <w:r w:rsidRPr="006E317E">
        <w:t xml:space="preserve"> on viis korda odavam tehnoloogia, kui uue </w:t>
      </w:r>
      <w:r w:rsidR="00D75620" w:rsidRPr="00D75620">
        <w:t>valguskaabel</w:t>
      </w:r>
      <w:r w:rsidR="00261B04" w:rsidRPr="006E317E">
        <w:t xml:space="preserve"> </w:t>
      </w:r>
      <w:r w:rsidRPr="006E317E">
        <w:t>võrgu ehitus kliendi koduni välja</w:t>
      </w:r>
      <w:r w:rsidRPr="005D266E">
        <w:rPr>
          <w:vertAlign w:val="superscript"/>
        </w:rPr>
        <w:footnoteReference w:id="22"/>
      </w:r>
      <w:r w:rsidRPr="006E317E">
        <w:t xml:space="preserve">. Sama on leidnud Suurbritannia Ühendatud Kuningriigi lairibavõrgu uuendamise maksumuse välja arvutanud </w:t>
      </w:r>
      <w:proofErr w:type="spellStart"/>
      <w:r w:rsidRPr="00AD2A3F">
        <w:rPr>
          <w:i/>
          <w:iCs/>
        </w:rPr>
        <w:t>Analys</w:t>
      </w:r>
      <w:r w:rsidR="00D75620" w:rsidRPr="00AD2A3F">
        <w:rPr>
          <w:i/>
          <w:iCs/>
        </w:rPr>
        <w:t>u</w:t>
      </w:r>
      <w:r w:rsidRPr="00AD2A3F">
        <w:rPr>
          <w:i/>
          <w:iCs/>
        </w:rPr>
        <w:t>s</w:t>
      </w:r>
      <w:proofErr w:type="spellEnd"/>
      <w:r w:rsidRPr="00AD2A3F">
        <w:rPr>
          <w:i/>
          <w:iCs/>
        </w:rPr>
        <w:t xml:space="preserve"> </w:t>
      </w:r>
      <w:proofErr w:type="spellStart"/>
      <w:r w:rsidRPr="00AD2A3F">
        <w:rPr>
          <w:i/>
          <w:iCs/>
        </w:rPr>
        <w:t>Mason</w:t>
      </w:r>
      <w:proofErr w:type="spellEnd"/>
      <w:r w:rsidRPr="006E317E">
        <w:t xml:space="preserve">, et VDSL on kuni viis korda odavam ning kõige kallim on P2P </w:t>
      </w:r>
      <w:r w:rsidR="00A3232C">
        <w:t>valguskaabelvõrgu</w:t>
      </w:r>
      <w:r w:rsidRPr="006E317E">
        <w:t xml:space="preserve"> väljaehitamine</w:t>
      </w:r>
      <w:r w:rsidRPr="005D266E">
        <w:rPr>
          <w:vertAlign w:val="superscript"/>
        </w:rPr>
        <w:footnoteReference w:id="23"/>
      </w:r>
      <w:r w:rsidRPr="006E317E">
        <w:t>.</w:t>
      </w:r>
    </w:p>
    <w:p w14:paraId="49129F22" w14:textId="3FE49BD9" w:rsidR="00EF53AB" w:rsidRPr="006E317E" w:rsidRDefault="00EF53AB" w:rsidP="00AA241E">
      <w:pPr>
        <w:jc w:val="both"/>
      </w:pPr>
      <w:r w:rsidRPr="006E317E">
        <w:t>Vaskpaar juurdepääsuvõrkude kasutus on viimastel aastale Eestis vähenenud lange</w:t>
      </w:r>
      <w:r w:rsidR="00346A0F" w:rsidRPr="006E317E">
        <w:t>d</w:t>
      </w:r>
      <w:r w:rsidRPr="006E317E">
        <w:t xml:space="preserve">es viie aasta jooksul 13% ja kasutuses olevate </w:t>
      </w:r>
      <w:r w:rsidR="0007135D">
        <w:t>kliendiliin</w:t>
      </w:r>
      <w:r w:rsidRPr="006E317E">
        <w:t xml:space="preserve">ide arv on langenud 37%. Peamiseks </w:t>
      </w:r>
      <w:r w:rsidR="00AD1150">
        <w:t>vaskpaar</w:t>
      </w:r>
      <w:r w:rsidRPr="006E317E">
        <w:t xml:space="preserve">võrgu </w:t>
      </w:r>
      <w:r w:rsidR="003553B3">
        <w:t>b</w:t>
      </w:r>
      <w:r w:rsidRPr="006E317E">
        <w:t xml:space="preserve">aasil teenuse osutajaks Eestis on Telia. Lähema viie </w:t>
      </w:r>
      <w:r w:rsidR="00346A0F" w:rsidRPr="006E317E">
        <w:t>a</w:t>
      </w:r>
      <w:r w:rsidRPr="006E317E">
        <w:t>asta jooksul kavat</w:t>
      </w:r>
      <w:r w:rsidR="00346A0F" w:rsidRPr="006E317E">
        <w:t>seb</w:t>
      </w:r>
      <w:r w:rsidRPr="006E317E">
        <w:t xml:space="preserve"> Telia loobuda vaskpaarvõrgu tehnoloogia kasutamist ja kõik lõpptarbijad üle viia valguskaabel</w:t>
      </w:r>
      <w:r w:rsidR="454D6440" w:rsidRPr="006E317E">
        <w:t>-</w:t>
      </w:r>
      <w:r w:rsidRPr="006E317E">
        <w:t xml:space="preserve"> või mobiil</w:t>
      </w:r>
      <w:r w:rsidR="556DEF3B" w:rsidRPr="006E317E">
        <w:t>side</w:t>
      </w:r>
      <w:r w:rsidRPr="006E317E">
        <w:t xml:space="preserve">võrgu tehnoloogiale (vaata tabel </w:t>
      </w:r>
      <w:r w:rsidRPr="002E251B">
        <w:t>1</w:t>
      </w:r>
      <w:r w:rsidRPr="006E317E">
        <w:t>).</w:t>
      </w:r>
    </w:p>
    <w:p w14:paraId="6A6FAAA0" w14:textId="22268E19" w:rsidR="00EF53AB" w:rsidRPr="006E317E" w:rsidRDefault="00EF53AB" w:rsidP="00AA241E">
      <w:pPr>
        <w:jc w:val="both"/>
        <w:rPr>
          <w:highlight w:val="cyan"/>
        </w:rPr>
      </w:pPr>
      <w:r w:rsidRPr="006E317E">
        <w:lastRenderedPageBreak/>
        <w:t>Ülisuure läbilaskevõimega võrk on elektroonili</w:t>
      </w:r>
      <w:r w:rsidR="0EE6BC9D" w:rsidRPr="006E317E">
        <w:t>s</w:t>
      </w:r>
      <w:r w:rsidRPr="006E317E">
        <w:t>e side</w:t>
      </w:r>
      <w:r w:rsidR="2AEB4F59" w:rsidRPr="006E317E">
        <w:t xml:space="preserve"> </w:t>
      </w:r>
      <w:r w:rsidRPr="006E317E">
        <w:t>võrk, mis koosneb täielikult või osaliselt valguskaablitest  vähemalt kuni teenuse osutamise kohas asuva jaotuspunktini, või elektroonilise side võrk, mis on võimeline pakkuma tavapärase</w:t>
      </w:r>
      <w:r w:rsidR="003553B3">
        <w:t xml:space="preserve"> andmeside</w:t>
      </w:r>
      <w:r w:rsidRPr="006E317E">
        <w:t xml:space="preserve"> koormusajaga sarnaseid </w:t>
      </w:r>
      <w:r w:rsidR="003553B3">
        <w:t xml:space="preserve">võrgu andmeside </w:t>
      </w:r>
      <w:r w:rsidRPr="006E317E">
        <w:t>tippkoormuse aegu, st samasugust elektroonilise side võrgu jõudlust ja sellest tulenevalt  teenuse kvaliteedi parameetrid saadaolevas alla- ja üleslüli ribalaiuses.</w:t>
      </w:r>
    </w:p>
    <w:p w14:paraId="58F19CB5" w14:textId="77777777" w:rsidR="00EF53AB" w:rsidRPr="006E317E" w:rsidRDefault="00EF53AB" w:rsidP="00AA241E">
      <w:pPr>
        <w:jc w:val="both"/>
      </w:pPr>
      <w:r w:rsidRPr="006516A0">
        <w:t xml:space="preserve">Rahvusvaheliselt tuntakse valguskaablil põhinevat ühendust </w:t>
      </w:r>
      <w:proofErr w:type="spellStart"/>
      <w:r w:rsidRPr="006516A0">
        <w:t>FTTx</w:t>
      </w:r>
      <w:proofErr w:type="spellEnd"/>
      <w:r w:rsidRPr="006516A0">
        <w:t xml:space="preserve"> lühendi all, mis tähendab üldiselt valguskaabliühendust. </w:t>
      </w:r>
    </w:p>
    <w:p w14:paraId="0244E0F9" w14:textId="77777777" w:rsidR="00EF53AB" w:rsidRPr="006E317E" w:rsidRDefault="00EF53AB" w:rsidP="00AA241E">
      <w:pPr>
        <w:jc w:val="both"/>
      </w:pPr>
      <w:r w:rsidRPr="006E317E">
        <w:t>Valguskaabel juurdepääs jaguneb mitmeks erinevaks juurdepääsu võrgu arhitektuuriks/tehnoloogiaks:</w:t>
      </w:r>
    </w:p>
    <w:p w14:paraId="277753AD" w14:textId="1CC80475" w:rsidR="00EF53AB" w:rsidRPr="006E317E" w:rsidRDefault="00EF53AB" w:rsidP="00AA241E">
      <w:pPr>
        <w:pStyle w:val="Loendilik"/>
        <w:numPr>
          <w:ilvl w:val="0"/>
          <w:numId w:val="74"/>
        </w:numPr>
        <w:jc w:val="both"/>
      </w:pPr>
      <w:r w:rsidRPr="006E317E">
        <w:t xml:space="preserve">Valguskaabel tänavakapini (FTTN ehk </w:t>
      </w:r>
      <w:r w:rsidRPr="00095616">
        <w:rPr>
          <w:i/>
          <w:iCs/>
          <w:lang w:val="en-GB"/>
        </w:rPr>
        <w:t>Fiber to the Node</w:t>
      </w:r>
      <w:r w:rsidRPr="006E317E">
        <w:t>);</w:t>
      </w:r>
    </w:p>
    <w:p w14:paraId="27D1D590" w14:textId="405FBC45" w:rsidR="00EF53AB" w:rsidRPr="006E317E" w:rsidRDefault="00EF53AB" w:rsidP="00AA241E">
      <w:pPr>
        <w:pStyle w:val="Loendilik"/>
        <w:numPr>
          <w:ilvl w:val="0"/>
          <w:numId w:val="74"/>
        </w:numPr>
        <w:jc w:val="both"/>
      </w:pPr>
      <w:r w:rsidRPr="006E317E">
        <w:t xml:space="preserve">Valguskaabel majani  (FTTP ehk </w:t>
      </w:r>
      <w:r w:rsidRPr="00095616">
        <w:rPr>
          <w:i/>
          <w:iCs/>
          <w:lang w:val="en-GB"/>
        </w:rPr>
        <w:t>Fiber to the Premises</w:t>
      </w:r>
      <w:r w:rsidRPr="006E317E">
        <w:t>);</w:t>
      </w:r>
    </w:p>
    <w:p w14:paraId="37FACB42" w14:textId="77777777" w:rsidR="00EF53AB" w:rsidRPr="006E317E" w:rsidRDefault="00EF53AB" w:rsidP="00AA241E">
      <w:pPr>
        <w:pStyle w:val="Loendilik"/>
        <w:numPr>
          <w:ilvl w:val="0"/>
          <w:numId w:val="74"/>
        </w:numPr>
        <w:jc w:val="both"/>
      </w:pPr>
      <w:r w:rsidRPr="006E317E">
        <w:t xml:space="preserve">Mitme korteriga hoonesse või ärimajasse (FTTB ehk </w:t>
      </w:r>
      <w:r w:rsidRPr="00095616">
        <w:rPr>
          <w:i/>
          <w:iCs/>
          <w:lang w:val="en-GB"/>
        </w:rPr>
        <w:t>Fiber to the Building</w:t>
      </w:r>
      <w:r w:rsidRPr="006E317E">
        <w:t>);</w:t>
      </w:r>
    </w:p>
    <w:p w14:paraId="2B546391" w14:textId="33C66CA6" w:rsidR="00EF53AB" w:rsidRPr="006E317E" w:rsidRDefault="00EF53AB" w:rsidP="00AA241E">
      <w:pPr>
        <w:pStyle w:val="Loendilik"/>
        <w:numPr>
          <w:ilvl w:val="0"/>
          <w:numId w:val="74"/>
        </w:numPr>
        <w:jc w:val="both"/>
      </w:pPr>
      <w:r w:rsidRPr="006E317E">
        <w:t xml:space="preserve">Eramusse või kodusse (FTTH, </w:t>
      </w:r>
      <w:r w:rsidRPr="00095616">
        <w:rPr>
          <w:i/>
          <w:iCs/>
          <w:lang w:val="en-GB"/>
        </w:rPr>
        <w:t>Fiber to the Home</w:t>
      </w:r>
      <w:r w:rsidRPr="006E317E">
        <w:t>).</w:t>
      </w:r>
    </w:p>
    <w:p w14:paraId="458E74D1" w14:textId="637B6675" w:rsidR="00EF53AB" w:rsidRPr="006E317E" w:rsidRDefault="00EF53AB" w:rsidP="00AA241E">
      <w:pPr>
        <w:jc w:val="both"/>
      </w:pPr>
      <w:r w:rsidRPr="006E317E">
        <w:t>FTTN on juurdepääsuvõrgu arhitektuur, kus valguskaabel juurdepääsusõlmest (ODF-ist) jõuab jaotuskap</w:t>
      </w:r>
      <w:r w:rsidR="415534BC" w:rsidRPr="006E317E">
        <w:t>p</w:t>
      </w:r>
      <w:r w:rsidRPr="006E317E">
        <w:t xml:space="preserve">i, samal ajal kui olemasolevate </w:t>
      </w:r>
      <w:r w:rsidR="00532579">
        <w:t>vaskpaaride</w:t>
      </w:r>
      <w:r w:rsidRPr="006E317E">
        <w:t xml:space="preserve"> kasutamine jätkub jaotuskilbist lõppkasutaja ruumidesse. FTTN-i raames võib pakkuda VDSL-tehnoloogiaid, nagu VDSL, VDSL2 või VDSL2 </w:t>
      </w:r>
      <w:proofErr w:type="spellStart"/>
      <w:r w:rsidR="001B4582">
        <w:t>v</w:t>
      </w:r>
      <w:r w:rsidRPr="00AD2A3F">
        <w:rPr>
          <w:i/>
          <w:iCs/>
        </w:rPr>
        <w:t>ectoring</w:t>
      </w:r>
      <w:proofErr w:type="spellEnd"/>
      <w:r w:rsidRPr="006E317E">
        <w:t>. Mida lühem on vasktorustiku kaugus jaotuskilbist lõppkasutaja ruumideni, seda suuremat andmeedastuskiirust on võimalik tagada.</w:t>
      </w:r>
    </w:p>
    <w:p w14:paraId="05245F5B" w14:textId="684D1345" w:rsidR="00EF53AB" w:rsidRPr="006E317E" w:rsidRDefault="00EF53AB" w:rsidP="00AA241E">
      <w:pPr>
        <w:jc w:val="both"/>
      </w:pPr>
      <w:r w:rsidRPr="006E317E">
        <w:t xml:space="preserve">FTTB on juurdepääsuvõrgu arhitektuur, kus valguskaabel juurdepääsusõlmest (ODF-ist) jõuab hoone piirini, näiteks kortermaja keldrisse või ärimaja ühendusruumi ja viimane osa (hoone piirist lõppkasutaja ruumideni või äripinnani) on varustatud muu edastusvahendiga kui </w:t>
      </w:r>
      <w:r w:rsidR="00261B04">
        <w:t xml:space="preserve">valguskaabel </w:t>
      </w:r>
      <w:r w:rsidRPr="006E317E">
        <w:t>kiud, st vaskkaabliga üldjuhul CAT 5 või CAT-6 (</w:t>
      </w:r>
      <w:r w:rsidR="006516A0" w:rsidRPr="00AD2A3F">
        <w:rPr>
          <w:i/>
          <w:iCs/>
        </w:rPr>
        <w:t>Copper</w:t>
      </w:r>
      <w:r w:rsidRPr="00AD2A3F">
        <w:rPr>
          <w:i/>
          <w:iCs/>
        </w:rPr>
        <w:t xml:space="preserve"> </w:t>
      </w:r>
      <w:proofErr w:type="spellStart"/>
      <w:r w:rsidRPr="00AD2A3F">
        <w:rPr>
          <w:i/>
          <w:iCs/>
        </w:rPr>
        <w:t>Patch</w:t>
      </w:r>
      <w:proofErr w:type="spellEnd"/>
      <w:r w:rsidRPr="00AD2A3F">
        <w:rPr>
          <w:i/>
          <w:iCs/>
        </w:rPr>
        <w:t xml:space="preserve"> </w:t>
      </w:r>
      <w:proofErr w:type="spellStart"/>
      <w:r w:rsidRPr="00AD2A3F">
        <w:rPr>
          <w:i/>
          <w:iCs/>
        </w:rPr>
        <w:t>Cable</w:t>
      </w:r>
      <w:proofErr w:type="spellEnd"/>
      <w:r w:rsidRPr="006E317E">
        <w:t xml:space="preserve">). </w:t>
      </w:r>
    </w:p>
    <w:p w14:paraId="5F6AC8F9" w14:textId="211BDA0A" w:rsidR="00EF53AB" w:rsidRPr="006E317E" w:rsidRDefault="00EF53AB" w:rsidP="00AA241E">
      <w:pPr>
        <w:jc w:val="both"/>
      </w:pPr>
      <w:r w:rsidRPr="006E317E">
        <w:t xml:space="preserve">FTTH on juurdepääsuvõrgu arhitektuur, kus </w:t>
      </w:r>
      <w:bookmarkStart w:id="19" w:name="_Hlk173234390"/>
      <w:r w:rsidR="00261B04">
        <w:t>valgus</w:t>
      </w:r>
      <w:r w:rsidRPr="006E317E">
        <w:t xml:space="preserve">kaabel </w:t>
      </w:r>
      <w:bookmarkEnd w:id="19"/>
      <w:r w:rsidRPr="006E317E">
        <w:t xml:space="preserve">juurdepääsusõlmest (ODF-ist) jõuab </w:t>
      </w:r>
      <w:r w:rsidR="62419170" w:rsidRPr="006E317E">
        <w:t xml:space="preserve">lõppkasutaja </w:t>
      </w:r>
      <w:r w:rsidRPr="006E317E">
        <w:t xml:space="preserve">ruumide piirini ja on </w:t>
      </w:r>
      <w:r w:rsidR="3D1C0EB0" w:rsidRPr="006E317E">
        <w:t xml:space="preserve">teenuse pakkumiseks </w:t>
      </w:r>
      <w:r w:rsidRPr="006E317E">
        <w:t xml:space="preserve">valmis: ruumides või </w:t>
      </w:r>
      <w:r w:rsidR="6DB68F5A" w:rsidRPr="006E317E">
        <w:t>lõppkasutaja</w:t>
      </w:r>
      <w:r w:rsidRPr="006E317E">
        <w:t xml:space="preserve">ruumi välisseinal või mitte kaugemal kui 2 meetrit </w:t>
      </w:r>
      <w:r w:rsidR="1892B3AD" w:rsidRPr="006E317E">
        <w:t xml:space="preserve">lõppkasutaja </w:t>
      </w:r>
      <w:r w:rsidRPr="006E317E">
        <w:t xml:space="preserve">ruumist. </w:t>
      </w:r>
    </w:p>
    <w:p w14:paraId="1EACEB06" w14:textId="4A1FDF52" w:rsidR="00EF53AB" w:rsidRPr="006E317E" w:rsidRDefault="00EF53AB" w:rsidP="00AA241E">
      <w:pPr>
        <w:jc w:val="both"/>
      </w:pPr>
      <w:r w:rsidRPr="006E317E">
        <w:t xml:space="preserve">Valguskaablil põhinevat sidevõrku on võimalik ehitada nii, et kliendini läheb otsekiud (P2P ehk </w:t>
      </w:r>
      <w:proofErr w:type="spellStart"/>
      <w:r w:rsidRPr="00AD2A3F">
        <w:rPr>
          <w:i/>
          <w:iCs/>
        </w:rPr>
        <w:t>Point</w:t>
      </w:r>
      <w:proofErr w:type="spellEnd"/>
      <w:r w:rsidRPr="00AD2A3F">
        <w:rPr>
          <w:i/>
          <w:iCs/>
        </w:rPr>
        <w:t xml:space="preserve"> </w:t>
      </w:r>
      <w:proofErr w:type="spellStart"/>
      <w:r w:rsidRPr="00AD2A3F">
        <w:rPr>
          <w:i/>
          <w:iCs/>
        </w:rPr>
        <w:t>to</w:t>
      </w:r>
      <w:proofErr w:type="spellEnd"/>
      <w:r w:rsidRPr="00AD2A3F">
        <w:rPr>
          <w:i/>
          <w:iCs/>
        </w:rPr>
        <w:t xml:space="preserve"> </w:t>
      </w:r>
      <w:proofErr w:type="spellStart"/>
      <w:r w:rsidRPr="00AD2A3F">
        <w:rPr>
          <w:i/>
          <w:iCs/>
        </w:rPr>
        <w:t>Point</w:t>
      </w:r>
      <w:proofErr w:type="spellEnd"/>
      <w:r w:rsidRPr="006E317E">
        <w:t xml:space="preserve">) või jõuab klientideni küll valguskaabli kiud, kuid see on eespool sidevõrgus kõigi tarbijate vahel jagatud. Sellisel tehnoloogial, kus tehnoloogiliselt </w:t>
      </w:r>
      <w:proofErr w:type="spellStart"/>
      <w:r w:rsidRPr="006E317E">
        <w:t>splitteritega</w:t>
      </w:r>
      <w:proofErr w:type="spellEnd"/>
      <w:r w:rsidRPr="006E317E">
        <w:t xml:space="preserve"> (kombineeritult 1/2, 1/4, 1/8, 1/16, 1/32, 1/64) jagatakse valguskaabli üks sideoperaatori jaamast väljuv kiud kuni 128-ks kiuks, nimetatakse passiivseks </w:t>
      </w:r>
      <w:r w:rsidR="000214D5">
        <w:t>valguskaabel</w:t>
      </w:r>
      <w:r w:rsidRPr="006E317E">
        <w:t xml:space="preserve"> võrguks ehk rahvusvaheliselt PON (</w:t>
      </w:r>
      <w:proofErr w:type="spellStart"/>
      <w:r w:rsidRPr="00AD2A3F">
        <w:rPr>
          <w:i/>
          <w:iCs/>
        </w:rPr>
        <w:t>Passive</w:t>
      </w:r>
      <w:proofErr w:type="spellEnd"/>
      <w:r w:rsidRPr="00AD2A3F">
        <w:rPr>
          <w:i/>
          <w:iCs/>
        </w:rPr>
        <w:t xml:space="preserve"> </w:t>
      </w:r>
      <w:proofErr w:type="spellStart"/>
      <w:r w:rsidRPr="00AD2A3F">
        <w:rPr>
          <w:i/>
          <w:iCs/>
        </w:rPr>
        <w:t>Optical</w:t>
      </w:r>
      <w:proofErr w:type="spellEnd"/>
      <w:r w:rsidRPr="00AD2A3F">
        <w:rPr>
          <w:i/>
          <w:iCs/>
        </w:rPr>
        <w:t xml:space="preserve"> Network</w:t>
      </w:r>
      <w:r w:rsidRPr="006E317E">
        <w:t>). Võrreldes FTTH P2P-ga säästab PON-võrkude kasutuselevõtt märkimisväärselt kulusid (säästes ruumi kaablikanalisatsioonis ja juurdepääsusõlmes, vähendades kapitali- ja hoolduskulusid jne).</w:t>
      </w:r>
    </w:p>
    <w:p w14:paraId="6AC1149A" w14:textId="77777777" w:rsidR="00EF53AB" w:rsidRPr="006E317E" w:rsidRDefault="00EF53AB" w:rsidP="00AA241E">
      <w:pPr>
        <w:jc w:val="both"/>
      </w:pPr>
      <w:r w:rsidRPr="006E317E">
        <w:rPr>
          <w:noProof/>
        </w:rPr>
        <w:lastRenderedPageBreak/>
        <w:drawing>
          <wp:inline distT="0" distB="0" distL="0" distR="0" wp14:anchorId="2500E76D" wp14:editId="2EBAF69F">
            <wp:extent cx="5429250" cy="2543175"/>
            <wp:effectExtent l="0" t="0" r="0" b="9525"/>
            <wp:docPr id="55" name="Pil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2543175"/>
                    </a:xfrm>
                    <a:prstGeom prst="rect">
                      <a:avLst/>
                    </a:prstGeom>
                    <a:noFill/>
                    <a:ln>
                      <a:noFill/>
                    </a:ln>
                  </pic:spPr>
                </pic:pic>
              </a:graphicData>
            </a:graphic>
          </wp:inline>
        </w:drawing>
      </w:r>
    </w:p>
    <w:p w14:paraId="0C404678" w14:textId="2743C3BB" w:rsidR="00EF53AB" w:rsidRPr="006E317E" w:rsidRDefault="006C32C6" w:rsidP="001A1A14">
      <w:pPr>
        <w:pStyle w:val="Pealdis"/>
        <w:spacing w:after="240"/>
        <w:jc w:val="both"/>
      </w:pPr>
      <w:r>
        <w:t xml:space="preserve">Joonis </w:t>
      </w:r>
      <w:r>
        <w:fldChar w:fldCharType="begin"/>
      </w:r>
      <w:r>
        <w:instrText xml:space="preserve"> SEQ Joonis \* ARABIC </w:instrText>
      </w:r>
      <w:r>
        <w:fldChar w:fldCharType="separate"/>
      </w:r>
      <w:r w:rsidR="00E5522B">
        <w:rPr>
          <w:noProof/>
        </w:rPr>
        <w:t>3</w:t>
      </w:r>
      <w:r>
        <w:fldChar w:fldCharType="end"/>
      </w:r>
      <w:r w:rsidR="00EF53AB" w:rsidRPr="006E317E">
        <w:t xml:space="preserve"> Valguskaabli PON võrkudes kasutatav 1/32 </w:t>
      </w:r>
      <w:proofErr w:type="spellStart"/>
      <w:r w:rsidR="00EF53AB" w:rsidRPr="006E317E">
        <w:t>spitteri</w:t>
      </w:r>
      <w:proofErr w:type="spellEnd"/>
      <w:r w:rsidR="00EF53AB" w:rsidRPr="006E317E">
        <w:t xml:space="preserve"> joonis</w:t>
      </w:r>
    </w:p>
    <w:p w14:paraId="18DC1A00" w14:textId="049A2944" w:rsidR="00EF53AB" w:rsidRPr="006E317E" w:rsidRDefault="00EF53AB" w:rsidP="00AA241E">
      <w:pPr>
        <w:jc w:val="both"/>
      </w:pPr>
      <w:r w:rsidRPr="006E317E">
        <w:t xml:space="preserve">Üks selline </w:t>
      </w:r>
      <w:proofErr w:type="spellStart"/>
      <w:r w:rsidRPr="006E317E">
        <w:t>splitter</w:t>
      </w:r>
      <w:proofErr w:type="spellEnd"/>
      <w:r w:rsidRPr="006E317E">
        <w:t xml:space="preserve"> on metallkestaga mõõtudega 50x7x4mm ning töötab temperatuuridel -40 kuni +85°C ning </w:t>
      </w:r>
      <w:proofErr w:type="spellStart"/>
      <w:r w:rsidRPr="006E317E">
        <w:t>splitter</w:t>
      </w:r>
      <w:proofErr w:type="spellEnd"/>
      <w:r w:rsidRPr="006E317E">
        <w:t xml:space="preserve"> ja selle külge keevitatud kaablid paigutatakse kas sidekappi või sidekaevus plastikust veekindlasse jätku.</w:t>
      </w:r>
    </w:p>
    <w:p w14:paraId="4EDE3283" w14:textId="77777777" w:rsidR="00EF53AB" w:rsidRPr="006E317E" w:rsidRDefault="00EF53AB" w:rsidP="00AA241E">
      <w:pPr>
        <w:jc w:val="both"/>
      </w:pPr>
      <w:r w:rsidRPr="006E317E">
        <w:t xml:space="preserve">PON võrgud võimaldavad küll kuni 1 Gbit/s ühendusi, kuid </w:t>
      </w:r>
      <w:proofErr w:type="spellStart"/>
      <w:r w:rsidRPr="006E317E">
        <w:t>spliterdamine</w:t>
      </w:r>
      <w:proofErr w:type="spellEnd"/>
      <w:r w:rsidRPr="006E317E">
        <w:t xml:space="preserve"> ei võimalda kunagi saavutada niisuguseid kiiruseid kui operaatori jaamast läheks iga kliendini omaette kiud.</w:t>
      </w:r>
    </w:p>
    <w:p w14:paraId="3D44B47D" w14:textId="49AAC146" w:rsidR="00EF53AB" w:rsidRPr="006E317E" w:rsidRDefault="00EF53AB" w:rsidP="00AA241E">
      <w:pPr>
        <w:jc w:val="both"/>
      </w:pPr>
      <w:r w:rsidRPr="006E317E">
        <w:t xml:space="preserve">Valguskaabel juurdepääsuvõrgu maht on viimasel viie aasta jooksul oluliselt kasvanud ja moodustab 60% lõppkasutajatele teenuse tarbimiseks kasutusse antud </w:t>
      </w:r>
      <w:r w:rsidR="0007135D">
        <w:t>kliendiliin</w:t>
      </w:r>
      <w:r w:rsidRPr="006E317E">
        <w:t xml:space="preserve">idest. Viie aastaga on  valguskaabeljuurdepääsu võrkude osakaal suurenenud 19% võrra (vaata tabel </w:t>
      </w:r>
      <w:r w:rsidRPr="002E251B">
        <w:t>1</w:t>
      </w:r>
      <w:r w:rsidRPr="006E317E">
        <w:t>). PON võrgu arhi</w:t>
      </w:r>
      <w:r w:rsidR="3F738C9F" w:rsidRPr="006E317E">
        <w:t>t</w:t>
      </w:r>
      <w:r w:rsidRPr="006E317E">
        <w:t>ektuur moodustab valguskaabel juurdepääsu</w:t>
      </w:r>
      <w:r w:rsidR="77BFA537" w:rsidRPr="006E317E">
        <w:t>võrgu</w:t>
      </w:r>
      <w:r w:rsidRPr="006E317E">
        <w:t xml:space="preserve"> kasutusel olevast mahust 57%. </w:t>
      </w:r>
    </w:p>
    <w:p w14:paraId="0FCD04A4" w14:textId="5001AD20" w:rsidR="00EF53AB" w:rsidRPr="006E317E" w:rsidRDefault="00EF53AB" w:rsidP="00AA241E">
      <w:pPr>
        <w:jc w:val="both"/>
      </w:pPr>
      <w:r w:rsidRPr="006E317E">
        <w:t xml:space="preserve">Telia pakub lõppkasutajatele interneti lairibateenust, kasutades peamiselt FTTH PON tehnoloogiat </w:t>
      </w:r>
      <w:r w:rsidR="6538F0B6" w:rsidRPr="006E317E">
        <w:t>ja</w:t>
      </w:r>
      <w:r w:rsidRPr="006E317E">
        <w:t xml:space="preserve"> see moodustas 2023</w:t>
      </w:r>
      <w:r w:rsidR="4A145AAE" w:rsidRPr="006E317E">
        <w:t>.</w:t>
      </w:r>
      <w:r w:rsidRPr="006E317E">
        <w:t xml:space="preserve"> aastal 70% kasutuses olevatest </w:t>
      </w:r>
      <w:proofErr w:type="spellStart"/>
      <w:r w:rsidRPr="006E317E">
        <w:t>valguskaabel</w:t>
      </w:r>
      <w:r w:rsidR="0007135D">
        <w:t>kliendiliin</w:t>
      </w:r>
      <w:r w:rsidRPr="006E317E">
        <w:t>idest</w:t>
      </w:r>
      <w:proofErr w:type="spellEnd"/>
      <w:r w:rsidRPr="006E317E">
        <w:t>. FTTB P2P tehnoloogia moodustas 2023 aasta Telia valguskaabelvõrgu osutavatest jaeteenustest 29% ja FTTH P2P osakaal Telia poolt osutavatest jaeteenustest on kaduvväike jäädes alla 1%.</w:t>
      </w:r>
    </w:p>
    <w:p w14:paraId="4737CA44" w14:textId="44B7F10C" w:rsidR="00EF53AB" w:rsidRPr="006E317E" w:rsidRDefault="00EF53AB" w:rsidP="00AA241E">
      <w:pPr>
        <w:jc w:val="both"/>
      </w:pPr>
      <w:r w:rsidRPr="006E317E">
        <w:t>Suuruselt teine ja</w:t>
      </w:r>
      <w:r w:rsidR="00095616">
        <w:t>e</w:t>
      </w:r>
      <w:r w:rsidRPr="006E317E">
        <w:t>teenuse osutaja Elisa osutab lairiba jaeteenuseid peamiselt oma valguskaa</w:t>
      </w:r>
      <w:r w:rsidR="18CBED7C" w:rsidRPr="006E317E">
        <w:t>b</w:t>
      </w:r>
      <w:r w:rsidRPr="006E317E">
        <w:t xml:space="preserve">el võrgus FTTH PON tehnoloogia vahendusel, vastav tehnoloogia moodustab 94% Elisa poolt </w:t>
      </w:r>
      <w:proofErr w:type="spellStart"/>
      <w:r w:rsidRPr="006E317E">
        <w:t>ja</w:t>
      </w:r>
      <w:r w:rsidR="00095616">
        <w:t>e</w:t>
      </w:r>
      <w:r w:rsidRPr="006E317E">
        <w:t>teenusena</w:t>
      </w:r>
      <w:proofErr w:type="spellEnd"/>
      <w:r w:rsidRPr="006E317E">
        <w:t xml:space="preserve"> kasutusel olevas</w:t>
      </w:r>
      <w:r w:rsidR="623823F3" w:rsidRPr="006E317E">
        <w:t>t</w:t>
      </w:r>
      <w:r w:rsidRPr="006E317E">
        <w:t xml:space="preserve"> Elisa valguskaabelvõrgust, ülejäänud 6% valguskaabel juurdepääsuvõrgust kasutab FTTH P2P tehnoloogiat. Ülejäänud valguskaabelvõrke omavad ja</w:t>
      </w:r>
      <w:r w:rsidR="00095616">
        <w:t>e</w:t>
      </w:r>
      <w:r w:rsidRPr="006E317E">
        <w:t>teenuse osutajad osuta</w:t>
      </w:r>
      <w:r w:rsidR="7B67B3D5" w:rsidRPr="006E317E">
        <w:t>v</w:t>
      </w:r>
      <w:r w:rsidRPr="006E317E">
        <w:t>ad teenusei</w:t>
      </w:r>
      <w:r w:rsidR="084E78F2" w:rsidRPr="006E317E">
        <w:t>d</w:t>
      </w:r>
      <w:r w:rsidRPr="006E317E">
        <w:t xml:space="preserve"> peamiselt FTTB P2P tehnoloogia vahendusel.</w:t>
      </w:r>
    </w:p>
    <w:p w14:paraId="42575F81" w14:textId="5973EBCA" w:rsidR="00EF53AB" w:rsidRPr="006E317E" w:rsidRDefault="00EF53AB" w:rsidP="00AA241E">
      <w:pPr>
        <w:jc w:val="both"/>
      </w:pPr>
      <w:r w:rsidRPr="006E317E">
        <w:t xml:space="preserve">Kolmandaks fikseeritud sidevõrgu tehnoloogiaks, mis on </w:t>
      </w:r>
      <w:r w:rsidR="00AF757E" w:rsidRPr="006E317E">
        <w:t>Eestis</w:t>
      </w:r>
      <w:r w:rsidRPr="006E317E">
        <w:t xml:space="preserve"> kasutusel jaeteenuse osutamiseks</w:t>
      </w:r>
      <w:r w:rsidR="133FDD54" w:rsidRPr="006E317E">
        <w:t>,</w:t>
      </w:r>
      <w:r w:rsidRPr="006E317E">
        <w:t xml:space="preserve"> on DOCSIS 3.0 (</w:t>
      </w:r>
      <w:proofErr w:type="spellStart"/>
      <w:r w:rsidRPr="00C14049">
        <w:rPr>
          <w:i/>
          <w:iCs/>
        </w:rPr>
        <w:t>Data</w:t>
      </w:r>
      <w:proofErr w:type="spellEnd"/>
      <w:r w:rsidRPr="00C14049">
        <w:rPr>
          <w:i/>
          <w:iCs/>
        </w:rPr>
        <w:t xml:space="preserve"> </w:t>
      </w:r>
      <w:proofErr w:type="spellStart"/>
      <w:r w:rsidRPr="00C14049">
        <w:rPr>
          <w:i/>
          <w:iCs/>
        </w:rPr>
        <w:t>Over</w:t>
      </w:r>
      <w:proofErr w:type="spellEnd"/>
      <w:r w:rsidRPr="00C14049">
        <w:rPr>
          <w:i/>
          <w:iCs/>
        </w:rPr>
        <w:t xml:space="preserve"> </w:t>
      </w:r>
      <w:proofErr w:type="spellStart"/>
      <w:r w:rsidRPr="00C14049">
        <w:rPr>
          <w:i/>
          <w:iCs/>
        </w:rPr>
        <w:t>Cable</w:t>
      </w:r>
      <w:proofErr w:type="spellEnd"/>
      <w:r w:rsidRPr="00C14049">
        <w:rPr>
          <w:i/>
          <w:iCs/>
        </w:rPr>
        <w:t xml:space="preserve"> Service </w:t>
      </w:r>
      <w:proofErr w:type="spellStart"/>
      <w:r w:rsidRPr="00C14049">
        <w:rPr>
          <w:i/>
          <w:iCs/>
        </w:rPr>
        <w:t>Interface</w:t>
      </w:r>
      <w:proofErr w:type="spellEnd"/>
      <w:r w:rsidRPr="00C14049">
        <w:rPr>
          <w:i/>
          <w:iCs/>
        </w:rPr>
        <w:t xml:space="preserve"> </w:t>
      </w:r>
      <w:proofErr w:type="spellStart"/>
      <w:r w:rsidRPr="00C14049">
        <w:rPr>
          <w:i/>
          <w:iCs/>
        </w:rPr>
        <w:t>Specification</w:t>
      </w:r>
      <w:proofErr w:type="spellEnd"/>
      <w:r w:rsidRPr="006E317E">
        <w:t xml:space="preserve">). </w:t>
      </w:r>
    </w:p>
    <w:p w14:paraId="2CF7B8AC" w14:textId="474769C2" w:rsidR="00EF53AB" w:rsidRPr="006E317E" w:rsidRDefault="00EF53AB" w:rsidP="00AA241E">
      <w:pPr>
        <w:jc w:val="both"/>
      </w:pPr>
      <w:r w:rsidRPr="006E317E">
        <w:t>DOCSIS 3.0 tehnoloogia võimaldab lairibateenust os</w:t>
      </w:r>
      <w:r w:rsidR="3009A87D" w:rsidRPr="006E317E">
        <w:t>u</w:t>
      </w:r>
      <w:r w:rsidRPr="006E317E">
        <w:t>tada</w:t>
      </w:r>
      <w:r w:rsidR="2ABE40CA" w:rsidRPr="006E317E">
        <w:t xml:space="preserve"> suurema</w:t>
      </w:r>
      <w:r w:rsidRPr="006E317E">
        <w:t xml:space="preserve"> kiir</w:t>
      </w:r>
      <w:r w:rsidR="685B7759" w:rsidRPr="006E317E">
        <w:t>usega</w:t>
      </w:r>
      <w:r w:rsidRPr="006E317E">
        <w:t>, kui ainult vaskpaarvõrgus osutatav</w:t>
      </w:r>
      <w:r w:rsidR="021FB2ED" w:rsidRPr="006E317E">
        <w:t>a</w:t>
      </w:r>
      <w:r w:rsidRPr="006E317E">
        <w:t xml:space="preserve"> teenus</w:t>
      </w:r>
      <w:r w:rsidR="0CB2E198" w:rsidRPr="006E317E">
        <w:t xml:space="preserve"> </w:t>
      </w:r>
      <w:r w:rsidR="5E2D9E07" w:rsidRPr="006E317E">
        <w:t>korral</w:t>
      </w:r>
      <w:r w:rsidRPr="006E317E">
        <w:t xml:space="preserve">. Valguskaabel võrkudes osutavatele teenustele jääb </w:t>
      </w:r>
      <w:r w:rsidRPr="006E317E">
        <w:lastRenderedPageBreak/>
        <w:t>DOCSIS 3.0 kiiruslike</w:t>
      </w:r>
      <w:r w:rsidR="708928FD" w:rsidRPr="006E317E">
        <w:t>s</w:t>
      </w:r>
      <w:r w:rsidRPr="006E317E">
        <w:t xml:space="preserve"> parameetrites alla. Arvutuslikult jäävad kiirused DOCSIS 3.0 võrgus kasutades 0,5 mm</w:t>
      </w:r>
      <w:r w:rsidRPr="006516A0">
        <w:rPr>
          <w:vertAlign w:val="superscript"/>
        </w:rPr>
        <w:t>2</w:t>
      </w:r>
      <w:r w:rsidRPr="006E317E">
        <w:t xml:space="preserve"> vaskkaablit 100 m vaskkaabli pikkuse puhul 900 Mbit/s, 200 m vaskkaabli pikkuse puhul 600</w:t>
      </w:r>
      <w:r w:rsidR="558DD969" w:rsidRPr="006E317E">
        <w:t xml:space="preserve"> </w:t>
      </w:r>
      <w:r w:rsidRPr="006E317E">
        <w:t>Mbit/s ja 300 m vaskkaabli pikkuse puhul 300 Mbit/s juurde</w:t>
      </w:r>
      <w:r w:rsidRPr="005D266E">
        <w:rPr>
          <w:vertAlign w:val="superscript"/>
        </w:rPr>
        <w:footnoteReference w:id="24"/>
      </w:r>
      <w:r w:rsidRPr="006E317E">
        <w:t>.</w:t>
      </w:r>
    </w:p>
    <w:p w14:paraId="36746C09" w14:textId="1339802E" w:rsidR="00EF53AB" w:rsidRPr="006E317E" w:rsidRDefault="00EF53AB" w:rsidP="00AA241E">
      <w:pPr>
        <w:jc w:val="both"/>
      </w:pPr>
      <w:r w:rsidRPr="006E317E">
        <w:t>Suurimaks DOCSIS 3.0 tehnoloogial põhineva võrgu baasil teenuse osutajaks on Elisa, kelle klientidest 70% tarbib lairibateenuseid nimetatud võrgu vahendus</w:t>
      </w:r>
      <w:r w:rsidR="00095616">
        <w:t>e</w:t>
      </w:r>
      <w:r w:rsidRPr="006E317E">
        <w:t xml:space="preserve">l. Elisal ei ole kavatsus üle minna </w:t>
      </w:r>
      <w:r w:rsidR="00095616" w:rsidRPr="006E317E">
        <w:t>tehnoloogiale</w:t>
      </w:r>
      <w:r w:rsidRPr="006E317E">
        <w:t xml:space="preserve"> DOCSIS 3.1, mis võimaldak</w:t>
      </w:r>
      <w:r w:rsidR="275BFFAB" w:rsidRPr="006E317E">
        <w:t>s</w:t>
      </w:r>
      <w:r w:rsidRPr="006E317E">
        <w:t xml:space="preserve"> osutada ülisuuri kiirusi kuni 1 </w:t>
      </w:r>
      <w:r w:rsidR="7D6C2F88" w:rsidRPr="006E317E">
        <w:t>G</w:t>
      </w:r>
      <w:r w:rsidRPr="006E317E">
        <w:t>bit/s. Viimas</w:t>
      </w:r>
      <w:r w:rsidR="6B630E67" w:rsidRPr="006E317E">
        <w:t>t</w:t>
      </w:r>
      <w:r w:rsidRPr="006E317E">
        <w:t>el aastatel on Elisa alustanud vananeva</w:t>
      </w:r>
      <w:r w:rsidR="753B7236" w:rsidRPr="006E317E">
        <w:t>te</w:t>
      </w:r>
      <w:r w:rsidRPr="006E317E">
        <w:t xml:space="preserve"> DOCSIS 3.0 võrkude asendamist valguskaabe</w:t>
      </w:r>
      <w:r w:rsidR="2B39EED2" w:rsidRPr="006E317E">
        <w:t>l</w:t>
      </w:r>
      <w:r w:rsidRPr="006E317E">
        <w:t xml:space="preserve"> FTTH PON </w:t>
      </w:r>
      <w:r w:rsidR="00095616" w:rsidRPr="006E317E">
        <w:t>lahendusega</w:t>
      </w:r>
      <w:r w:rsidRPr="006E317E">
        <w:t xml:space="preserve">. </w:t>
      </w:r>
    </w:p>
    <w:p w14:paraId="2B616F09" w14:textId="6B1F07C8" w:rsidR="00EF53AB" w:rsidRPr="006E317E" w:rsidRDefault="00EF53AB" w:rsidP="00AA241E">
      <w:pPr>
        <w:jc w:val="both"/>
      </w:pPr>
      <w:r w:rsidRPr="006E317E">
        <w:t>Tä</w:t>
      </w:r>
      <w:r w:rsidR="006516A0">
        <w:t>i</w:t>
      </w:r>
      <w:r w:rsidRPr="006E317E">
        <w:t xml:space="preserve">endavalt opereerivad </w:t>
      </w:r>
      <w:bookmarkStart w:id="20" w:name="_Hlk171353295"/>
      <w:r w:rsidRPr="006E317E">
        <w:t xml:space="preserve">DOCSIS 3.0 </w:t>
      </w:r>
      <w:bookmarkEnd w:id="20"/>
      <w:r w:rsidRPr="006E317E">
        <w:t>tehnoloogial põhineva</w:t>
      </w:r>
      <w:r w:rsidR="4CA87F35" w:rsidRPr="006E317E">
        <w:t>id</w:t>
      </w:r>
      <w:r w:rsidRPr="006E317E">
        <w:t xml:space="preserve"> võrke STV ja Tels</w:t>
      </w:r>
      <w:r w:rsidR="3C2BC945" w:rsidRPr="006E317E">
        <w:t>e</w:t>
      </w:r>
      <w:r w:rsidRPr="006E317E">
        <w:t>t, kui</w:t>
      </w:r>
      <w:r w:rsidR="5A7BA4F8" w:rsidRPr="006E317E">
        <w:t>d</w:t>
      </w:r>
      <w:r w:rsidRPr="006E317E">
        <w:t xml:space="preserve"> käesolevaks ajaks on nende võrkude osakaal STV ja Telseti võrgus muutunud väga väikseks, </w:t>
      </w:r>
      <w:r w:rsidR="006516A0" w:rsidRPr="006E317E">
        <w:t>vastavalt</w:t>
      </w:r>
      <w:r w:rsidRPr="006E317E">
        <w:t xml:space="preserve"> STV 5% ja Telset 8,5% kõigist lõpp</w:t>
      </w:r>
      <w:r w:rsidR="5836157E" w:rsidRPr="006E317E">
        <w:t>kasutajatest</w:t>
      </w:r>
      <w:r w:rsidRPr="006E317E">
        <w:t>.</w:t>
      </w:r>
    </w:p>
    <w:p w14:paraId="53ED76F9" w14:textId="207A83DC" w:rsidR="00EF53AB" w:rsidRPr="006E317E" w:rsidRDefault="00EF53AB" w:rsidP="00AA241E">
      <w:pPr>
        <w:jc w:val="both"/>
      </w:pPr>
      <w:r w:rsidRPr="006E317E">
        <w:t xml:space="preserve">Analüüsis vaadeldud tehnoloogiatest on </w:t>
      </w:r>
      <w:proofErr w:type="spellStart"/>
      <w:r w:rsidRPr="006E317E">
        <w:t>xDSL</w:t>
      </w:r>
      <w:proofErr w:type="spellEnd"/>
      <w:r w:rsidRPr="006E317E">
        <w:t xml:space="preserve"> vaskpaar võrgud vana ajalool</w:t>
      </w:r>
      <w:r w:rsidR="52966629" w:rsidRPr="006E317E">
        <w:t>i</w:t>
      </w:r>
      <w:r w:rsidRPr="006E317E">
        <w:t xml:space="preserve">ne tehnoloogia. </w:t>
      </w:r>
    </w:p>
    <w:p w14:paraId="57FA0BF7" w14:textId="7751B3D1" w:rsidR="00EF53AB" w:rsidRPr="006E317E" w:rsidRDefault="00EF53AB" w:rsidP="00AA241E">
      <w:pPr>
        <w:jc w:val="both"/>
      </w:pPr>
      <w:r w:rsidRPr="006E317E">
        <w:t>Jä</w:t>
      </w:r>
      <w:r w:rsidR="790DD303" w:rsidRPr="006E317E">
        <w:t>r</w:t>
      </w:r>
      <w:r w:rsidRPr="006E317E">
        <w:t>gmise põlvkonna sidevõrgu arhi</w:t>
      </w:r>
      <w:r w:rsidR="0BA189DA" w:rsidRPr="006E317E">
        <w:t>t</w:t>
      </w:r>
      <w:r w:rsidRPr="006E317E">
        <w:t xml:space="preserve">ektuurideks/tehnoloogiaks loetakse FTTN, FTTB, FTTH, VDSL, VDSL2 </w:t>
      </w:r>
      <w:proofErr w:type="spellStart"/>
      <w:r w:rsidR="001B4582">
        <w:t>v</w:t>
      </w:r>
      <w:r w:rsidRPr="00AD2A3F">
        <w:rPr>
          <w:i/>
          <w:iCs/>
        </w:rPr>
        <w:t>ectoring</w:t>
      </w:r>
      <w:proofErr w:type="spellEnd"/>
      <w:r w:rsidRPr="006E317E">
        <w:t xml:space="preserve"> ja DOCSIS 3.0/3.1 juurdepääsuvõrgud.</w:t>
      </w:r>
    </w:p>
    <w:p w14:paraId="2EA9F6F2" w14:textId="4D132E86" w:rsidR="00EF53AB" w:rsidRDefault="7305E4EF" w:rsidP="00AA241E">
      <w:pPr>
        <w:jc w:val="both"/>
      </w:pPr>
      <w:r w:rsidRPr="006E317E">
        <w:t xml:space="preserve">Dokumendis </w:t>
      </w:r>
      <w:r w:rsidR="00EF53AB" w:rsidRPr="006E317E">
        <w:t xml:space="preserve">"Digikompass 2030: Euroopa tee digikümnendil" (COM(2021) 118 </w:t>
      </w:r>
      <w:proofErr w:type="spellStart"/>
      <w:r w:rsidR="00EF53AB" w:rsidRPr="006E317E">
        <w:t>final</w:t>
      </w:r>
      <w:proofErr w:type="spellEnd"/>
      <w:r w:rsidR="00EF53AB" w:rsidRPr="006E317E">
        <w:t xml:space="preserve">) </w:t>
      </w:r>
      <w:r w:rsidR="00EF53AB" w:rsidRPr="005D266E">
        <w:rPr>
          <w:vertAlign w:val="superscript"/>
        </w:rPr>
        <w:footnoteReference w:id="25"/>
      </w:r>
      <w:r w:rsidR="00EF53AB" w:rsidRPr="006E317E">
        <w:t xml:space="preserve"> selgitatakse, et tehnoloogia arengu praeguses etapis võib väga suure läbilaskevõimega võrkudeks pidada järgmisi võrke:  FTTH, FTTB ja DOCSIS 3.1, kuna need tehnoloogiad on võimelised pakkuma allalaadimiskiirust 1 Gbit/s</w:t>
      </w:r>
      <w:r w:rsidR="00896B76">
        <w:t>.</w:t>
      </w:r>
    </w:p>
    <w:p w14:paraId="57456170" w14:textId="0F2CD65B" w:rsidR="00896B76" w:rsidRPr="006E317E" w:rsidRDefault="00896B76" w:rsidP="00AA241E">
      <w:pPr>
        <w:jc w:val="both"/>
      </w:pPr>
      <w:r>
        <w:t>Üheks järgmise põlvkonna  juurdepääsu võrgu tehnoloogiaks lisaks eelpool kirjeldatud tehnoloogiatele on mobiil</w:t>
      </w:r>
      <w:r w:rsidR="00CB666A">
        <w:t>side</w:t>
      </w:r>
      <w:r>
        <w:t xml:space="preserve">võrgu 4G ja 5G tehnoloogid. Need tehnoloogiad </w:t>
      </w:r>
      <w:r w:rsidR="00222644">
        <w:t>võimaldavad</w:t>
      </w:r>
      <w:r>
        <w:t xml:space="preserve"> üleslaadimis kiirusi </w:t>
      </w:r>
      <w:r w:rsidR="00DB0EB7">
        <w:t xml:space="preserve">üle 50Mbis/s ja </w:t>
      </w:r>
      <w:r w:rsidR="00BC42DA">
        <w:t>allalaadimis</w:t>
      </w:r>
      <w:r w:rsidR="00DB0EB7">
        <w:t xml:space="preserve"> kiirused üle 150Mbit/s ja vastavalt </w:t>
      </w:r>
      <w:r w:rsidR="00DB0EB7" w:rsidRPr="006E317E">
        <w:t>BERECi suunise</w:t>
      </w:r>
      <w:r w:rsidR="00DB0EB7">
        <w:t>le on</w:t>
      </w:r>
      <w:r w:rsidR="00DB0EB7" w:rsidRPr="006E317E">
        <w:t xml:space="preserve"> väga suure läbilaskevõimega </w:t>
      </w:r>
      <w:r w:rsidR="00DB0EB7" w:rsidRPr="00F81B21">
        <w:t>võrgud</w:t>
      </w:r>
      <w:r w:rsidR="00562668">
        <w:rPr>
          <w:rStyle w:val="Allmrkuseviide"/>
        </w:rPr>
        <w:footnoteReference w:id="26"/>
      </w:r>
      <w:r w:rsidR="00DB0EB7">
        <w:t>. Mobiil</w:t>
      </w:r>
      <w:r w:rsidR="00DE5927">
        <w:t>side</w:t>
      </w:r>
      <w:r w:rsidR="00DB0EB7">
        <w:t>võrgu</w:t>
      </w:r>
      <w:r w:rsidR="00FA108A">
        <w:t xml:space="preserve"> tehnoloogiate</w:t>
      </w:r>
      <w:r w:rsidR="00DB0EB7">
        <w:t xml:space="preserve"> G4 ja G5 juurdepääsu kasutajate maht kasvab </w:t>
      </w:r>
      <w:r w:rsidR="00F879E8">
        <w:t>kiiresti</w:t>
      </w:r>
      <w:r w:rsidR="00DB0EB7">
        <w:t xml:space="preserve"> ja seda on vaadeldud </w:t>
      </w:r>
      <w:proofErr w:type="spellStart"/>
      <w:r w:rsidR="00DB0EB7">
        <w:t>jaeturuanalüüsi</w:t>
      </w:r>
      <w:proofErr w:type="spellEnd"/>
      <w:r w:rsidR="00DB0EB7">
        <w:t xml:space="preserve"> punktis</w:t>
      </w:r>
      <w:r>
        <w:t xml:space="preserve"> </w:t>
      </w:r>
      <w:r w:rsidR="00F81B21">
        <w:t>3.1.1.1.</w:t>
      </w:r>
    </w:p>
    <w:p w14:paraId="3EF391BC" w14:textId="77777777" w:rsidR="00862E74" w:rsidRDefault="00862E74" w:rsidP="00862E74">
      <w:pPr>
        <w:pStyle w:val="Pealkiri2"/>
        <w:jc w:val="both"/>
      </w:pPr>
      <w:bookmarkStart w:id="21" w:name="_2.1.1_Sidevõrkude_tehnoloogiate"/>
      <w:bookmarkStart w:id="22" w:name="_2.1.2_Internetiühenduste_tehnoloogi"/>
      <w:bookmarkStart w:id="23" w:name="_2.2_Internetiühenduste_peamised"/>
      <w:bookmarkStart w:id="24" w:name="_2.3_Internetiühenduste_andmeside"/>
      <w:bookmarkStart w:id="25" w:name="_2.4_Internetiühenduste_jaehinnad"/>
      <w:bookmarkStart w:id="26" w:name="_TURU_PIIRITLEMINE"/>
      <w:bookmarkStart w:id="27" w:name="_Toc174710686"/>
      <w:bookmarkStart w:id="28" w:name="_Hlk106194741"/>
      <w:bookmarkStart w:id="29" w:name="_Toc170888941"/>
      <w:bookmarkStart w:id="30" w:name="_Toc174710689"/>
      <w:bookmarkEnd w:id="21"/>
      <w:bookmarkEnd w:id="22"/>
      <w:bookmarkEnd w:id="23"/>
      <w:bookmarkEnd w:id="24"/>
      <w:bookmarkEnd w:id="25"/>
      <w:bookmarkEnd w:id="26"/>
      <w:r>
        <w:t>Koostöö Konkurentsiametiga</w:t>
      </w:r>
      <w:bookmarkEnd w:id="27"/>
    </w:p>
    <w:p w14:paraId="212AAAE5" w14:textId="77777777" w:rsidR="00862E74" w:rsidRDefault="00862E74" w:rsidP="00862E74">
      <w:pPr>
        <w:jc w:val="both"/>
      </w:pPr>
      <w:r>
        <w:t>ESS § 144 lõigete 1 ja 2 kohaselt teevad TTJA ja Konkurentsiamet elektroonilise side valdkonnas turu reguleerimisel ja järelevalve teostamisel igakülgset koostööd ning võivad vajaduse korral vahetada omavahel asjakohast teavet.</w:t>
      </w:r>
    </w:p>
    <w:p w14:paraId="7CEAE59C" w14:textId="66F2F1F3" w:rsidR="00862E74" w:rsidRDefault="00862E74" w:rsidP="00862E74">
      <w:pPr>
        <w:jc w:val="both"/>
      </w:pPr>
      <w:r>
        <w:t>Märkimisväärse turujõuga ettevõtjaks tunnistamise või määramata jätmise otsuse kavandi edastab TTJA seisukoha saamiseks Konkurentsiametile. Konkurentsiameti seisukohad kajastatakse hiljem otsuse lisas</w:t>
      </w:r>
      <w:r w:rsidR="004C6E2D">
        <w:t xml:space="preserve"> 4</w:t>
      </w:r>
      <w:r>
        <w:t xml:space="preserve"> ja otsuse punktis „Riigisisene konsulteerimine“ all.</w:t>
      </w:r>
    </w:p>
    <w:p w14:paraId="6FDA0235" w14:textId="76F6282B" w:rsidR="0095323E" w:rsidRPr="00C54BF8" w:rsidRDefault="0095323E" w:rsidP="00AA241E">
      <w:pPr>
        <w:pStyle w:val="Pealkiri1"/>
      </w:pPr>
      <w:r w:rsidRPr="00C54BF8">
        <w:lastRenderedPageBreak/>
        <w:t>JAETURU</w:t>
      </w:r>
      <w:bookmarkEnd w:id="28"/>
      <w:bookmarkEnd w:id="29"/>
      <w:r w:rsidR="00737D46" w:rsidRPr="00C54BF8">
        <w:t xml:space="preserve"> </w:t>
      </w:r>
      <w:r w:rsidR="005A4333">
        <w:t>PIIRITLEMINE</w:t>
      </w:r>
      <w:bookmarkEnd w:id="30"/>
    </w:p>
    <w:p w14:paraId="3B9F5219" w14:textId="6A08EA71" w:rsidR="00F85A63" w:rsidRDefault="00F85A63" w:rsidP="00AA241E">
      <w:pPr>
        <w:jc w:val="both"/>
      </w:pPr>
      <w:r w:rsidRPr="006E317E">
        <w:t>Vastavalt EK 2018 turgude suunisele tuleks selleks, et kindlaks määrata eelnevat valdkonnaspetsiifilist reguleerimist vajav hulgiturg, alati kõigepealt analüüsida vastavatele hulgiturgudele järgnevat jaeturgu ja hinnata kas aluseks olev</w:t>
      </w:r>
      <w:r w:rsidR="00097E03" w:rsidRPr="006E317E">
        <w:t>al</w:t>
      </w:r>
      <w:r w:rsidRPr="006E317E">
        <w:t xml:space="preserve"> jaeturul eksisteerib või see saavutab tõhusa konkurentsi järgmise turuanalüüsini kestval perioodil </w:t>
      </w:r>
      <w:r w:rsidR="00D92F74" w:rsidRPr="006E317E">
        <w:t xml:space="preserve">ka ilma vastava </w:t>
      </w:r>
      <w:r w:rsidRPr="006E317E">
        <w:t>hulgi</w:t>
      </w:r>
      <w:r w:rsidR="00D92F74" w:rsidRPr="006E317E">
        <w:t>turu</w:t>
      </w:r>
      <w:r w:rsidRPr="006E317E">
        <w:t xml:space="preserve"> valdkonnaspetsiifilise regul</w:t>
      </w:r>
      <w:r w:rsidR="00D92F74" w:rsidRPr="006E317E">
        <w:t>eerimiseta</w:t>
      </w:r>
      <w:r w:rsidRPr="006E317E">
        <w:t>.</w:t>
      </w:r>
    </w:p>
    <w:p w14:paraId="4EFDD9FD" w14:textId="77777777" w:rsidR="00E6678D" w:rsidRPr="00E6678D" w:rsidRDefault="00E6678D" w:rsidP="00AA241E">
      <w:pPr>
        <w:pStyle w:val="Loendilik"/>
        <w:numPr>
          <w:ilvl w:val="0"/>
          <w:numId w:val="43"/>
        </w:numPr>
        <w:spacing w:before="120" w:after="240"/>
        <w:contextualSpacing w:val="0"/>
        <w:jc w:val="both"/>
        <w:outlineLvl w:val="1"/>
        <w:rPr>
          <w:b/>
          <w:i/>
          <w:iCs/>
          <w:vanish/>
        </w:rPr>
      </w:pPr>
      <w:bookmarkStart w:id="31" w:name="_Toc174094488"/>
      <w:bookmarkStart w:id="32" w:name="_Toc174094755"/>
      <w:bookmarkStart w:id="33" w:name="_Toc174095021"/>
      <w:bookmarkStart w:id="34" w:name="_Toc174095286"/>
      <w:bookmarkStart w:id="35" w:name="_Toc174095824"/>
      <w:bookmarkStart w:id="36" w:name="_Toc174096090"/>
      <w:bookmarkStart w:id="37" w:name="_Toc174535979"/>
      <w:bookmarkStart w:id="38" w:name="_Toc174617074"/>
      <w:bookmarkStart w:id="39" w:name="_Toc174618431"/>
      <w:bookmarkStart w:id="40" w:name="_Toc174627493"/>
      <w:bookmarkStart w:id="41" w:name="_Toc174704917"/>
      <w:bookmarkStart w:id="42" w:name="_Toc174709461"/>
      <w:bookmarkStart w:id="43" w:name="_Toc174710690"/>
      <w:bookmarkStart w:id="44" w:name="_Toc170888938"/>
      <w:bookmarkStart w:id="45" w:name="_Toc170888942"/>
      <w:bookmarkEnd w:id="31"/>
      <w:bookmarkEnd w:id="32"/>
      <w:bookmarkEnd w:id="33"/>
      <w:bookmarkEnd w:id="34"/>
      <w:bookmarkEnd w:id="35"/>
      <w:bookmarkEnd w:id="36"/>
      <w:bookmarkEnd w:id="37"/>
      <w:bookmarkEnd w:id="38"/>
      <w:bookmarkEnd w:id="39"/>
      <w:bookmarkEnd w:id="40"/>
      <w:bookmarkEnd w:id="41"/>
      <w:bookmarkEnd w:id="42"/>
      <w:bookmarkEnd w:id="43"/>
    </w:p>
    <w:p w14:paraId="0346D1A3" w14:textId="77777777" w:rsidR="00B3532C" w:rsidRPr="00B3532C" w:rsidRDefault="00B3532C" w:rsidP="00AA241E">
      <w:pPr>
        <w:pStyle w:val="Loendilik"/>
        <w:numPr>
          <w:ilvl w:val="0"/>
          <w:numId w:val="81"/>
        </w:numPr>
        <w:spacing w:before="120" w:after="240"/>
        <w:contextualSpacing w:val="0"/>
        <w:jc w:val="both"/>
        <w:outlineLvl w:val="1"/>
        <w:rPr>
          <w:b/>
          <w:iCs/>
          <w:vanish/>
        </w:rPr>
      </w:pPr>
      <w:bookmarkStart w:id="46" w:name="_Toc174094489"/>
      <w:bookmarkStart w:id="47" w:name="_Toc174094756"/>
      <w:bookmarkStart w:id="48" w:name="_Toc174095022"/>
      <w:bookmarkStart w:id="49" w:name="_Toc174095287"/>
      <w:bookmarkStart w:id="50" w:name="_Toc174095825"/>
      <w:bookmarkStart w:id="51" w:name="_Toc174096091"/>
      <w:bookmarkStart w:id="52" w:name="_Toc174535980"/>
      <w:bookmarkStart w:id="53" w:name="_Toc174617075"/>
      <w:bookmarkStart w:id="54" w:name="_Toc174618432"/>
      <w:bookmarkStart w:id="55" w:name="_Toc174627494"/>
      <w:bookmarkStart w:id="56" w:name="_Toc174704918"/>
      <w:bookmarkStart w:id="57" w:name="_Toc174709462"/>
      <w:bookmarkStart w:id="58" w:name="_Toc174710691"/>
      <w:bookmarkEnd w:id="46"/>
      <w:bookmarkEnd w:id="47"/>
      <w:bookmarkEnd w:id="48"/>
      <w:bookmarkEnd w:id="49"/>
      <w:bookmarkEnd w:id="50"/>
      <w:bookmarkEnd w:id="51"/>
      <w:bookmarkEnd w:id="52"/>
      <w:bookmarkEnd w:id="53"/>
      <w:bookmarkEnd w:id="54"/>
      <w:bookmarkEnd w:id="55"/>
      <w:bookmarkEnd w:id="56"/>
      <w:bookmarkEnd w:id="57"/>
      <w:bookmarkEnd w:id="58"/>
    </w:p>
    <w:p w14:paraId="1DBDE848" w14:textId="59855336" w:rsidR="00F23431" w:rsidRDefault="00F23431" w:rsidP="00AA241E">
      <w:pPr>
        <w:pStyle w:val="Pealkiri2"/>
        <w:jc w:val="both"/>
      </w:pPr>
      <w:bookmarkStart w:id="59" w:name="_Toc174710692"/>
      <w:bookmarkEnd w:id="44"/>
      <w:r w:rsidRPr="00AA7B44">
        <w:t>J</w:t>
      </w:r>
      <w:r w:rsidR="00D07EED">
        <w:t>aeturu analüüsi</w:t>
      </w:r>
      <w:r w:rsidR="00E97FDA">
        <w:t xml:space="preserve"> õiguslikud</w:t>
      </w:r>
      <w:r w:rsidRPr="00AA7B44">
        <w:t xml:space="preserve"> </w:t>
      </w:r>
      <w:r w:rsidR="00E97FDA">
        <w:t>alused</w:t>
      </w:r>
      <w:r w:rsidRPr="00AA7B44">
        <w:t xml:space="preserve"> </w:t>
      </w:r>
      <w:r w:rsidR="00E97FDA">
        <w:t>ja</w:t>
      </w:r>
      <w:r w:rsidRPr="00AA7B44">
        <w:t xml:space="preserve"> </w:t>
      </w:r>
      <w:r w:rsidR="00E97FDA">
        <w:t>üldine</w:t>
      </w:r>
      <w:r w:rsidRPr="00AA7B44">
        <w:t xml:space="preserve"> </w:t>
      </w:r>
      <w:r w:rsidR="00E97FDA">
        <w:t>eesmärk</w:t>
      </w:r>
      <w:bookmarkEnd w:id="59"/>
    </w:p>
    <w:p w14:paraId="2AAFEDDA" w14:textId="77777777" w:rsidR="00E85DC9" w:rsidRPr="00E85DC9" w:rsidRDefault="00E85DC9" w:rsidP="00AA241E">
      <w:pPr>
        <w:pStyle w:val="Loendilik"/>
        <w:keepNext/>
        <w:keepLines/>
        <w:numPr>
          <w:ilvl w:val="0"/>
          <w:numId w:val="67"/>
        </w:numPr>
        <w:spacing w:after="0" w:line="360" w:lineRule="auto"/>
        <w:contextualSpacing w:val="0"/>
        <w:jc w:val="both"/>
        <w:outlineLvl w:val="2"/>
        <w:rPr>
          <w:rFonts w:eastAsia="Calibri" w:cstheme="majorBidi"/>
          <w:bCs/>
          <w:i/>
          <w:iCs/>
          <w:vanish/>
          <w:color w:val="000000" w:themeColor="text1"/>
          <w:lang w:eastAsia="en-US"/>
        </w:rPr>
      </w:pPr>
      <w:bookmarkStart w:id="60" w:name="_Toc174096093"/>
      <w:bookmarkStart w:id="61" w:name="_Toc174535982"/>
      <w:bookmarkStart w:id="62" w:name="_Toc174618434"/>
      <w:bookmarkStart w:id="63" w:name="_Toc174627496"/>
      <w:bookmarkStart w:id="64" w:name="_Toc174704920"/>
      <w:bookmarkStart w:id="65" w:name="_Toc174709464"/>
      <w:bookmarkStart w:id="66" w:name="_Toc174710693"/>
      <w:bookmarkStart w:id="67" w:name="_Toc170888939"/>
      <w:bookmarkEnd w:id="60"/>
      <w:bookmarkEnd w:id="61"/>
      <w:bookmarkEnd w:id="62"/>
      <w:bookmarkEnd w:id="63"/>
      <w:bookmarkEnd w:id="64"/>
      <w:bookmarkEnd w:id="65"/>
      <w:bookmarkEnd w:id="66"/>
    </w:p>
    <w:p w14:paraId="74615D18" w14:textId="77777777" w:rsidR="00E85DC9" w:rsidRPr="00E85DC9" w:rsidRDefault="00E85DC9" w:rsidP="00AA241E">
      <w:pPr>
        <w:pStyle w:val="Loendilik"/>
        <w:keepNext/>
        <w:keepLines/>
        <w:numPr>
          <w:ilvl w:val="0"/>
          <w:numId w:val="67"/>
        </w:numPr>
        <w:spacing w:after="0" w:line="360" w:lineRule="auto"/>
        <w:contextualSpacing w:val="0"/>
        <w:jc w:val="both"/>
        <w:outlineLvl w:val="2"/>
        <w:rPr>
          <w:rFonts w:eastAsia="Calibri" w:cstheme="majorBidi"/>
          <w:bCs/>
          <w:i/>
          <w:iCs/>
          <w:vanish/>
          <w:color w:val="000000" w:themeColor="text1"/>
          <w:lang w:eastAsia="en-US"/>
        </w:rPr>
      </w:pPr>
      <w:bookmarkStart w:id="68" w:name="_Toc174096094"/>
      <w:bookmarkStart w:id="69" w:name="_Toc174535983"/>
      <w:bookmarkStart w:id="70" w:name="_Toc174618435"/>
      <w:bookmarkStart w:id="71" w:name="_Toc174627497"/>
      <w:bookmarkStart w:id="72" w:name="_Toc174704921"/>
      <w:bookmarkStart w:id="73" w:name="_Toc174709465"/>
      <w:bookmarkStart w:id="74" w:name="_Toc174710694"/>
      <w:bookmarkEnd w:id="68"/>
      <w:bookmarkEnd w:id="69"/>
      <w:bookmarkEnd w:id="70"/>
      <w:bookmarkEnd w:id="71"/>
      <w:bookmarkEnd w:id="72"/>
      <w:bookmarkEnd w:id="73"/>
      <w:bookmarkEnd w:id="74"/>
    </w:p>
    <w:p w14:paraId="0C60E6CB" w14:textId="77777777" w:rsidR="00E85DC9" w:rsidRPr="00E85DC9" w:rsidRDefault="00E85DC9" w:rsidP="00AA241E">
      <w:pPr>
        <w:pStyle w:val="Loendilik"/>
        <w:keepNext/>
        <w:keepLines/>
        <w:numPr>
          <w:ilvl w:val="1"/>
          <w:numId w:val="67"/>
        </w:numPr>
        <w:spacing w:after="0" w:line="360" w:lineRule="auto"/>
        <w:contextualSpacing w:val="0"/>
        <w:jc w:val="both"/>
        <w:outlineLvl w:val="2"/>
        <w:rPr>
          <w:rFonts w:eastAsia="Calibri" w:cstheme="majorBidi"/>
          <w:bCs/>
          <w:i/>
          <w:iCs/>
          <w:vanish/>
          <w:color w:val="000000" w:themeColor="text1"/>
          <w:lang w:eastAsia="en-US"/>
        </w:rPr>
      </w:pPr>
      <w:bookmarkStart w:id="75" w:name="_Toc174094493"/>
      <w:bookmarkStart w:id="76" w:name="_Toc174094760"/>
      <w:bookmarkStart w:id="77" w:name="_Toc174095026"/>
      <w:bookmarkStart w:id="78" w:name="_Toc174095291"/>
      <w:bookmarkStart w:id="79" w:name="_Toc174095829"/>
      <w:bookmarkStart w:id="80" w:name="_Toc174096095"/>
      <w:bookmarkStart w:id="81" w:name="_Toc174535984"/>
      <w:bookmarkStart w:id="82" w:name="_Toc174617079"/>
      <w:bookmarkStart w:id="83" w:name="_Toc174618436"/>
      <w:bookmarkStart w:id="84" w:name="_Toc174627498"/>
      <w:bookmarkStart w:id="85" w:name="_Toc174704922"/>
      <w:bookmarkStart w:id="86" w:name="_Toc174709466"/>
      <w:bookmarkStart w:id="87" w:name="_Toc174710695"/>
      <w:bookmarkEnd w:id="75"/>
      <w:bookmarkEnd w:id="76"/>
      <w:bookmarkEnd w:id="77"/>
      <w:bookmarkEnd w:id="78"/>
      <w:bookmarkEnd w:id="79"/>
      <w:bookmarkEnd w:id="80"/>
      <w:bookmarkEnd w:id="81"/>
      <w:bookmarkEnd w:id="82"/>
      <w:bookmarkEnd w:id="83"/>
      <w:bookmarkEnd w:id="84"/>
      <w:bookmarkEnd w:id="85"/>
      <w:bookmarkEnd w:id="86"/>
      <w:bookmarkEnd w:id="87"/>
    </w:p>
    <w:p w14:paraId="4D69E4FF" w14:textId="77777777" w:rsidR="002E0D07" w:rsidRPr="002E0D07" w:rsidRDefault="002E0D07" w:rsidP="00AA241E">
      <w:pPr>
        <w:pStyle w:val="Loendilik"/>
        <w:keepNext/>
        <w:keepLines/>
        <w:numPr>
          <w:ilvl w:val="0"/>
          <w:numId w:val="82"/>
        </w:numPr>
        <w:spacing w:after="0" w:line="259" w:lineRule="auto"/>
        <w:contextualSpacing w:val="0"/>
        <w:jc w:val="both"/>
        <w:outlineLvl w:val="2"/>
        <w:rPr>
          <w:rFonts w:eastAsia="Times New Roman" w:cs="Times New Roman"/>
          <w:b/>
          <w:i/>
          <w:iCs/>
          <w:vanish/>
          <w:color w:val="000000" w:themeColor="text1"/>
          <w:lang w:eastAsia="et-EE"/>
        </w:rPr>
      </w:pPr>
      <w:bookmarkStart w:id="88" w:name="_Toc174096096"/>
      <w:bookmarkStart w:id="89" w:name="_Toc174535985"/>
      <w:bookmarkStart w:id="90" w:name="_Toc174618437"/>
      <w:bookmarkStart w:id="91" w:name="_Toc174627499"/>
      <w:bookmarkStart w:id="92" w:name="_Toc174704923"/>
      <w:bookmarkStart w:id="93" w:name="_Toc174709467"/>
      <w:bookmarkStart w:id="94" w:name="_Toc174710696"/>
      <w:bookmarkEnd w:id="88"/>
      <w:bookmarkEnd w:id="89"/>
      <w:bookmarkEnd w:id="90"/>
      <w:bookmarkEnd w:id="91"/>
      <w:bookmarkEnd w:id="92"/>
      <w:bookmarkEnd w:id="93"/>
      <w:bookmarkEnd w:id="94"/>
    </w:p>
    <w:p w14:paraId="247257C0" w14:textId="77777777" w:rsidR="002E0D07" w:rsidRPr="002E0D07" w:rsidRDefault="002E0D07" w:rsidP="00AA241E">
      <w:pPr>
        <w:pStyle w:val="Loendilik"/>
        <w:keepNext/>
        <w:keepLines/>
        <w:numPr>
          <w:ilvl w:val="0"/>
          <w:numId w:val="82"/>
        </w:numPr>
        <w:spacing w:after="0" w:line="259" w:lineRule="auto"/>
        <w:contextualSpacing w:val="0"/>
        <w:jc w:val="both"/>
        <w:outlineLvl w:val="2"/>
        <w:rPr>
          <w:rFonts w:eastAsia="Times New Roman" w:cs="Times New Roman"/>
          <w:b/>
          <w:i/>
          <w:iCs/>
          <w:vanish/>
          <w:color w:val="000000" w:themeColor="text1"/>
          <w:lang w:eastAsia="et-EE"/>
        </w:rPr>
      </w:pPr>
      <w:bookmarkStart w:id="95" w:name="_Toc174096097"/>
      <w:bookmarkStart w:id="96" w:name="_Toc174535986"/>
      <w:bookmarkStart w:id="97" w:name="_Toc174618438"/>
      <w:bookmarkStart w:id="98" w:name="_Toc174627500"/>
      <w:bookmarkStart w:id="99" w:name="_Toc174704924"/>
      <w:bookmarkStart w:id="100" w:name="_Toc174709468"/>
      <w:bookmarkStart w:id="101" w:name="_Toc174710697"/>
      <w:bookmarkEnd w:id="95"/>
      <w:bookmarkEnd w:id="96"/>
      <w:bookmarkEnd w:id="97"/>
      <w:bookmarkEnd w:id="98"/>
      <w:bookmarkEnd w:id="99"/>
      <w:bookmarkEnd w:id="100"/>
      <w:bookmarkEnd w:id="101"/>
    </w:p>
    <w:p w14:paraId="1514A49A" w14:textId="77777777" w:rsidR="002E0D07" w:rsidRPr="002E0D07" w:rsidRDefault="002E0D07" w:rsidP="00AA241E">
      <w:pPr>
        <w:pStyle w:val="Loendilik"/>
        <w:keepNext/>
        <w:keepLines/>
        <w:numPr>
          <w:ilvl w:val="1"/>
          <w:numId w:val="82"/>
        </w:numPr>
        <w:spacing w:after="0" w:line="259" w:lineRule="auto"/>
        <w:contextualSpacing w:val="0"/>
        <w:jc w:val="both"/>
        <w:outlineLvl w:val="2"/>
        <w:rPr>
          <w:rFonts w:eastAsia="Times New Roman" w:cs="Times New Roman"/>
          <w:b/>
          <w:i/>
          <w:iCs/>
          <w:vanish/>
          <w:color w:val="000000" w:themeColor="text1"/>
          <w:lang w:eastAsia="et-EE"/>
        </w:rPr>
      </w:pPr>
      <w:bookmarkStart w:id="102" w:name="_Toc174094496"/>
      <w:bookmarkStart w:id="103" w:name="_Toc174094763"/>
      <w:bookmarkStart w:id="104" w:name="_Toc174095029"/>
      <w:bookmarkStart w:id="105" w:name="_Toc174095294"/>
      <w:bookmarkStart w:id="106" w:name="_Toc174095832"/>
      <w:bookmarkStart w:id="107" w:name="_Toc174096098"/>
      <w:bookmarkStart w:id="108" w:name="_Toc174535987"/>
      <w:bookmarkStart w:id="109" w:name="_Toc174617082"/>
      <w:bookmarkStart w:id="110" w:name="_Toc174618439"/>
      <w:bookmarkStart w:id="111" w:name="_Toc174627501"/>
      <w:bookmarkStart w:id="112" w:name="_Toc174704925"/>
      <w:bookmarkStart w:id="113" w:name="_Toc174709469"/>
      <w:bookmarkStart w:id="114" w:name="_Toc174710698"/>
      <w:bookmarkEnd w:id="102"/>
      <w:bookmarkEnd w:id="103"/>
      <w:bookmarkEnd w:id="104"/>
      <w:bookmarkEnd w:id="105"/>
      <w:bookmarkEnd w:id="106"/>
      <w:bookmarkEnd w:id="107"/>
      <w:bookmarkEnd w:id="108"/>
      <w:bookmarkEnd w:id="109"/>
      <w:bookmarkEnd w:id="110"/>
      <w:bookmarkEnd w:id="111"/>
      <w:bookmarkEnd w:id="112"/>
      <w:bookmarkEnd w:id="113"/>
      <w:bookmarkEnd w:id="114"/>
    </w:p>
    <w:p w14:paraId="4C0563A6" w14:textId="77777777" w:rsidR="002E0D07" w:rsidRPr="002E0D07" w:rsidRDefault="002E0D07" w:rsidP="00AA241E">
      <w:pPr>
        <w:pStyle w:val="Loendilik"/>
        <w:keepNext/>
        <w:keepLines/>
        <w:numPr>
          <w:ilvl w:val="0"/>
          <w:numId w:val="83"/>
        </w:numPr>
        <w:spacing w:before="240" w:after="240" w:line="360" w:lineRule="auto"/>
        <w:contextualSpacing w:val="0"/>
        <w:jc w:val="both"/>
        <w:outlineLvl w:val="2"/>
        <w:rPr>
          <w:rFonts w:eastAsia="Calibri" w:cstheme="majorBidi"/>
          <w:bCs/>
          <w:i/>
          <w:iCs/>
          <w:vanish/>
          <w:color w:val="000000" w:themeColor="text1"/>
          <w:lang w:eastAsia="en-US"/>
        </w:rPr>
      </w:pPr>
      <w:bookmarkStart w:id="115" w:name="_Toc174096099"/>
      <w:bookmarkStart w:id="116" w:name="_Toc174535988"/>
      <w:bookmarkStart w:id="117" w:name="_Toc174618440"/>
      <w:bookmarkStart w:id="118" w:name="_Toc174627502"/>
      <w:bookmarkStart w:id="119" w:name="_Toc174704926"/>
      <w:bookmarkStart w:id="120" w:name="_Toc174709470"/>
      <w:bookmarkStart w:id="121" w:name="_Toc174710699"/>
      <w:bookmarkEnd w:id="115"/>
      <w:bookmarkEnd w:id="116"/>
      <w:bookmarkEnd w:id="117"/>
      <w:bookmarkEnd w:id="118"/>
      <w:bookmarkEnd w:id="119"/>
      <w:bookmarkEnd w:id="120"/>
      <w:bookmarkEnd w:id="121"/>
    </w:p>
    <w:p w14:paraId="16A0E20B" w14:textId="77777777" w:rsidR="002E0D07" w:rsidRPr="002E0D07" w:rsidRDefault="002E0D07" w:rsidP="00AA241E">
      <w:pPr>
        <w:pStyle w:val="Loendilik"/>
        <w:keepNext/>
        <w:keepLines/>
        <w:numPr>
          <w:ilvl w:val="0"/>
          <w:numId w:val="83"/>
        </w:numPr>
        <w:spacing w:before="240" w:after="240" w:line="360" w:lineRule="auto"/>
        <w:contextualSpacing w:val="0"/>
        <w:jc w:val="both"/>
        <w:outlineLvl w:val="2"/>
        <w:rPr>
          <w:rFonts w:eastAsia="Calibri" w:cstheme="majorBidi"/>
          <w:bCs/>
          <w:i/>
          <w:iCs/>
          <w:vanish/>
          <w:color w:val="000000" w:themeColor="text1"/>
          <w:lang w:eastAsia="en-US"/>
        </w:rPr>
      </w:pPr>
      <w:bookmarkStart w:id="122" w:name="_Toc174618441"/>
      <w:bookmarkStart w:id="123" w:name="_Toc174627503"/>
      <w:bookmarkStart w:id="124" w:name="_Toc174704927"/>
      <w:bookmarkStart w:id="125" w:name="_Toc174709471"/>
      <w:bookmarkStart w:id="126" w:name="_Toc174710700"/>
      <w:bookmarkEnd w:id="122"/>
      <w:bookmarkEnd w:id="123"/>
      <w:bookmarkEnd w:id="124"/>
      <w:bookmarkEnd w:id="125"/>
      <w:bookmarkEnd w:id="126"/>
    </w:p>
    <w:p w14:paraId="38EAA3D0" w14:textId="77777777" w:rsidR="002E0D07" w:rsidRPr="002E0D07" w:rsidRDefault="002E0D07" w:rsidP="00AA241E">
      <w:pPr>
        <w:pStyle w:val="Loendilik"/>
        <w:keepNext/>
        <w:keepLines/>
        <w:numPr>
          <w:ilvl w:val="1"/>
          <w:numId w:val="83"/>
        </w:numPr>
        <w:spacing w:before="240" w:after="240" w:line="360" w:lineRule="auto"/>
        <w:contextualSpacing w:val="0"/>
        <w:jc w:val="both"/>
        <w:outlineLvl w:val="2"/>
        <w:rPr>
          <w:rFonts w:eastAsia="Calibri" w:cstheme="majorBidi"/>
          <w:bCs/>
          <w:i/>
          <w:iCs/>
          <w:vanish/>
          <w:color w:val="000000" w:themeColor="text1"/>
          <w:lang w:eastAsia="en-US"/>
        </w:rPr>
      </w:pPr>
      <w:bookmarkStart w:id="127" w:name="_Toc174617085"/>
      <w:bookmarkStart w:id="128" w:name="_Toc174618442"/>
      <w:bookmarkStart w:id="129" w:name="_Toc174627504"/>
      <w:bookmarkStart w:id="130" w:name="_Toc174704928"/>
      <w:bookmarkStart w:id="131" w:name="_Toc174709472"/>
      <w:bookmarkStart w:id="132" w:name="_Toc174710701"/>
      <w:bookmarkEnd w:id="127"/>
      <w:bookmarkEnd w:id="128"/>
      <w:bookmarkEnd w:id="129"/>
      <w:bookmarkEnd w:id="130"/>
      <w:bookmarkEnd w:id="131"/>
      <w:bookmarkEnd w:id="132"/>
    </w:p>
    <w:p w14:paraId="1700399F" w14:textId="350C6E27" w:rsidR="00F23431" w:rsidRDefault="00F23431" w:rsidP="009805E1">
      <w:pPr>
        <w:pStyle w:val="Pealkiri3"/>
      </w:pPr>
      <w:bookmarkStart w:id="133" w:name="_Toc174710702"/>
      <w:r w:rsidRPr="002E0D07">
        <w:t>Internetiühenduste jaeturu konkurentsi analüüsi õiguslikud alused</w:t>
      </w:r>
      <w:bookmarkEnd w:id="67"/>
      <w:bookmarkEnd w:id="133"/>
      <w:r w:rsidRPr="002E0D07">
        <w:t xml:space="preserve"> </w:t>
      </w:r>
    </w:p>
    <w:p w14:paraId="225C30B5" w14:textId="4FA5B5AC" w:rsidR="00F23431" w:rsidRPr="006E317E" w:rsidRDefault="00F23431" w:rsidP="00AA241E">
      <w:pPr>
        <w:jc w:val="both"/>
      </w:pPr>
      <w:r w:rsidRPr="006E317E">
        <w:t>Sideteenuste turgude valdkonnaspetsiifilise regulatsiooni õiguslikuks aluseks on  elektroonilise side seaduse</w:t>
      </w:r>
      <w:r w:rsidRPr="005D266E">
        <w:rPr>
          <w:vertAlign w:val="superscript"/>
        </w:rPr>
        <w:footnoteReference w:id="27"/>
      </w:r>
      <w:r w:rsidRPr="006E317E">
        <w:t xml:space="preserve"> (ESS) </w:t>
      </w:r>
      <w:r w:rsidR="008C159A">
        <w:t xml:space="preserve">ptk. </w:t>
      </w:r>
      <w:r w:rsidRPr="006E317E">
        <w:t>5, mis põhineb Euroopa elektroonilise side seadustikul (Euroopa Parlamendi ja Nõukogu direktiiv (EL) 2018/1972, nimetatakse ka sidekoodeks). Samuti ettevõtlus- ja infotehnoloogiaministri 16.12.2021 määrus nr 78 „Turuanalüüsi teostamise põhimõtted ja kord ning juurdepääsu- ja sidumise teenuse näidispakkumise andmekoosseis“ (nimetatakse ka ESS</w:t>
      </w:r>
      <w:r w:rsidRPr="006E317E">
        <w:noBreakHyphen/>
        <w:t>i turuanalüüsi määrus).</w:t>
      </w:r>
    </w:p>
    <w:p w14:paraId="45C5506B" w14:textId="77777777" w:rsidR="00F23431" w:rsidRPr="006E317E" w:rsidRDefault="00F23431" w:rsidP="00AA241E">
      <w:pPr>
        <w:jc w:val="both"/>
      </w:pPr>
      <w:r w:rsidRPr="006E317E">
        <w:t>ESS § 43 ja 44 kohaselt teostatakse valdkonnaspetsiifilise regulatsiooni kooskõlas Euroopa Liidu (nimetatakse ka EL</w:t>
      </w:r>
      <w:r w:rsidRPr="005D266E">
        <w:rPr>
          <w:vertAlign w:val="superscript"/>
        </w:rPr>
        <w:footnoteReference w:id="28"/>
      </w:r>
      <w:r w:rsidRPr="006E317E">
        <w:t>) konkurentsiõiguse põhimõtetega ning Euroopa Komisjoni (nimetatakse ka EK</w:t>
      </w:r>
      <w:r w:rsidRPr="005D266E">
        <w:rPr>
          <w:vertAlign w:val="superscript"/>
        </w:rPr>
        <w:footnoteReference w:id="29"/>
      </w:r>
      <w:r w:rsidRPr="006E317E">
        <w:t>) ja Euroopa Sideameti</w:t>
      </w:r>
      <w:r w:rsidRPr="005D266E">
        <w:rPr>
          <w:vertAlign w:val="superscript"/>
        </w:rPr>
        <w:footnoteReference w:id="30"/>
      </w:r>
      <w:r w:rsidRPr="006E317E">
        <w:t xml:space="preserve"> (BEREC) suunistega, seal hulgas:</w:t>
      </w:r>
    </w:p>
    <w:p w14:paraId="3DAAE958" w14:textId="77777777" w:rsidR="00F23431" w:rsidRPr="006E317E" w:rsidRDefault="00F23431" w:rsidP="00AA241E">
      <w:pPr>
        <w:jc w:val="both"/>
      </w:pPr>
      <w:r w:rsidRPr="006E317E">
        <w:t>EK soovitus (EL) 2020/2245, 18. detsember 2020, elektroonilise side sektori asjaomaste toote- ja teenuseturgude kohta, mis vastavalt Euroopa Parlamendi ja nõukogu direktiivile (EL) 2018/1972 (millega kehtestatakse Euroopa elektroonilise side seadustik) vajavad eelnevat reguleerimist (nimetatakse ka EK 2020 turgude soovitus</w:t>
      </w:r>
      <w:r w:rsidRPr="005D266E">
        <w:rPr>
          <w:vertAlign w:val="superscript"/>
        </w:rPr>
        <w:footnoteReference w:id="31"/>
      </w:r>
      <w:r w:rsidRPr="006E317E">
        <w:t>);</w:t>
      </w:r>
    </w:p>
    <w:p w14:paraId="60C6B1F4" w14:textId="77777777" w:rsidR="00F23431" w:rsidRPr="006E317E" w:rsidRDefault="00F23431" w:rsidP="00AA241E">
      <w:pPr>
        <w:jc w:val="both"/>
      </w:pPr>
      <w:r w:rsidRPr="006E317E">
        <w:t xml:space="preserve">EK selgitavad märkused EK 2020 turgude soovitusele (COMMISSION STAFF WORKING DOCUMENT, EXPLANATORY NOTE, </w:t>
      </w:r>
      <w:proofErr w:type="spellStart"/>
      <w:r w:rsidRPr="006E317E">
        <w:t>Accompanying</w:t>
      </w:r>
      <w:proofErr w:type="spellEnd"/>
      <w:r w:rsidRPr="006E317E">
        <w:t xml:space="preserve"> </w:t>
      </w:r>
      <w:proofErr w:type="spellStart"/>
      <w:r w:rsidRPr="006E317E">
        <w:t>the</w:t>
      </w:r>
      <w:proofErr w:type="spellEnd"/>
      <w:r w:rsidRPr="006E317E">
        <w:t xml:space="preserve"> Document COMMISSION RECOMMENDATION on elevant </w:t>
      </w:r>
      <w:proofErr w:type="spellStart"/>
      <w:r w:rsidRPr="006E317E">
        <w:t>product</w:t>
      </w:r>
      <w:proofErr w:type="spellEnd"/>
      <w:r w:rsidRPr="006E317E">
        <w:t xml:space="preserve"> and </w:t>
      </w:r>
      <w:proofErr w:type="spellStart"/>
      <w:r w:rsidRPr="006E317E">
        <w:t>service</w:t>
      </w:r>
      <w:proofErr w:type="spellEnd"/>
      <w:r w:rsidRPr="006E317E">
        <w:t xml:space="preserve"> </w:t>
      </w:r>
      <w:proofErr w:type="spellStart"/>
      <w:r w:rsidRPr="006E317E">
        <w:t>markets</w:t>
      </w:r>
      <w:proofErr w:type="spellEnd"/>
      <w:r w:rsidRPr="006E317E">
        <w:t xml:space="preserve"> </w:t>
      </w:r>
      <w:proofErr w:type="spellStart"/>
      <w:r w:rsidRPr="006E317E">
        <w:t>within</w:t>
      </w:r>
      <w:proofErr w:type="spellEnd"/>
      <w:r w:rsidRPr="006E317E">
        <w:t xml:space="preserve"> </w:t>
      </w:r>
      <w:proofErr w:type="spellStart"/>
      <w:r w:rsidRPr="006E317E">
        <w:t>the</w:t>
      </w:r>
      <w:proofErr w:type="spellEnd"/>
      <w:r w:rsidRPr="006E317E">
        <w:t xml:space="preserve"> </w:t>
      </w:r>
      <w:proofErr w:type="spellStart"/>
      <w:r w:rsidRPr="006E317E">
        <w:t>electronic</w:t>
      </w:r>
      <w:proofErr w:type="spellEnd"/>
      <w:r w:rsidRPr="006E317E">
        <w:t xml:space="preserve"> </w:t>
      </w:r>
      <w:proofErr w:type="spellStart"/>
      <w:r w:rsidRPr="006E317E">
        <w:t>communications</w:t>
      </w:r>
      <w:proofErr w:type="spellEnd"/>
      <w:r w:rsidRPr="006E317E">
        <w:t xml:space="preserve"> </w:t>
      </w:r>
      <w:proofErr w:type="spellStart"/>
      <w:r w:rsidRPr="006E317E">
        <w:t>sector</w:t>
      </w:r>
      <w:proofErr w:type="spellEnd"/>
      <w:r w:rsidRPr="006E317E">
        <w:t xml:space="preserve"> </w:t>
      </w:r>
      <w:proofErr w:type="spellStart"/>
      <w:r w:rsidRPr="006E317E">
        <w:t>susceptible</w:t>
      </w:r>
      <w:proofErr w:type="spellEnd"/>
      <w:r w:rsidRPr="006E317E">
        <w:t xml:space="preserve"> </w:t>
      </w:r>
      <w:proofErr w:type="spellStart"/>
      <w:r w:rsidRPr="006E317E">
        <w:t>to</w:t>
      </w:r>
      <w:proofErr w:type="spellEnd"/>
      <w:r w:rsidRPr="006E317E">
        <w:t xml:space="preserve"> </w:t>
      </w:r>
      <w:proofErr w:type="spellStart"/>
      <w:r w:rsidRPr="006E317E">
        <w:t>ex</w:t>
      </w:r>
      <w:proofErr w:type="spellEnd"/>
      <w:r w:rsidRPr="006E317E">
        <w:t xml:space="preserve"> </w:t>
      </w:r>
      <w:proofErr w:type="spellStart"/>
      <w:r w:rsidRPr="006E317E">
        <w:t>ante</w:t>
      </w:r>
      <w:proofErr w:type="spellEnd"/>
      <w:r w:rsidRPr="006E317E">
        <w:t xml:space="preserve"> </w:t>
      </w:r>
      <w:proofErr w:type="spellStart"/>
      <w:r w:rsidRPr="006E317E">
        <w:t>regulation</w:t>
      </w:r>
      <w:proofErr w:type="spellEnd"/>
      <w:r w:rsidRPr="006E317E">
        <w:t xml:space="preserve"> in </w:t>
      </w:r>
      <w:proofErr w:type="spellStart"/>
      <w:r w:rsidRPr="006E317E">
        <w:t>accordance</w:t>
      </w:r>
      <w:proofErr w:type="spellEnd"/>
      <w:r w:rsidRPr="006E317E">
        <w:t xml:space="preserve"> </w:t>
      </w:r>
      <w:proofErr w:type="spellStart"/>
      <w:r w:rsidRPr="006E317E">
        <w:t>with</w:t>
      </w:r>
      <w:proofErr w:type="spellEnd"/>
      <w:r w:rsidRPr="006E317E">
        <w:t xml:space="preserve"> </w:t>
      </w:r>
      <w:proofErr w:type="spellStart"/>
      <w:r w:rsidRPr="006E317E">
        <w:t>Directive</w:t>
      </w:r>
      <w:proofErr w:type="spellEnd"/>
      <w:r w:rsidRPr="006E317E">
        <w:t xml:space="preserve"> (EU) </w:t>
      </w:r>
      <w:r w:rsidRPr="006E317E">
        <w:lastRenderedPageBreak/>
        <w:t xml:space="preserve">2018/1972 of </w:t>
      </w:r>
      <w:proofErr w:type="spellStart"/>
      <w:r w:rsidRPr="006E317E">
        <w:t>the</w:t>
      </w:r>
      <w:proofErr w:type="spellEnd"/>
      <w:r w:rsidRPr="006E317E">
        <w:t xml:space="preserve"> </w:t>
      </w:r>
      <w:proofErr w:type="spellStart"/>
      <w:r w:rsidRPr="006E317E">
        <w:t>European</w:t>
      </w:r>
      <w:proofErr w:type="spellEnd"/>
      <w:r w:rsidRPr="006E317E">
        <w:t xml:space="preserve"> </w:t>
      </w:r>
      <w:proofErr w:type="spellStart"/>
      <w:r w:rsidRPr="006E317E">
        <w:t>Parliament</w:t>
      </w:r>
      <w:proofErr w:type="spellEnd"/>
      <w:r w:rsidRPr="006E317E">
        <w:t xml:space="preserve"> and of </w:t>
      </w:r>
      <w:proofErr w:type="spellStart"/>
      <w:r w:rsidRPr="006E317E">
        <w:t>the</w:t>
      </w:r>
      <w:proofErr w:type="spellEnd"/>
      <w:r w:rsidRPr="006E317E">
        <w:t xml:space="preserve"> </w:t>
      </w:r>
      <w:proofErr w:type="spellStart"/>
      <w:r w:rsidRPr="006E317E">
        <w:t>Council</w:t>
      </w:r>
      <w:proofErr w:type="spellEnd"/>
      <w:r w:rsidRPr="006E317E">
        <w:t xml:space="preserve"> of </w:t>
      </w:r>
      <w:proofErr w:type="spellStart"/>
      <w:r w:rsidRPr="006E317E">
        <w:t>December</w:t>
      </w:r>
      <w:proofErr w:type="spellEnd"/>
      <w:r w:rsidRPr="006E317E">
        <w:t xml:space="preserve"> 2018 </w:t>
      </w:r>
      <w:proofErr w:type="spellStart"/>
      <w:r w:rsidRPr="006E317E">
        <w:t>establishing</w:t>
      </w:r>
      <w:proofErr w:type="spellEnd"/>
      <w:r w:rsidRPr="006E317E">
        <w:t xml:space="preserve"> </w:t>
      </w:r>
      <w:proofErr w:type="spellStart"/>
      <w:r w:rsidRPr="006E317E">
        <w:t>the</w:t>
      </w:r>
      <w:proofErr w:type="spellEnd"/>
      <w:r w:rsidRPr="006E317E">
        <w:t xml:space="preserve"> </w:t>
      </w:r>
      <w:proofErr w:type="spellStart"/>
      <w:r w:rsidRPr="006E317E">
        <w:t>European</w:t>
      </w:r>
      <w:proofErr w:type="spellEnd"/>
      <w:r w:rsidRPr="006E317E">
        <w:t xml:space="preserve"> </w:t>
      </w:r>
      <w:proofErr w:type="spellStart"/>
      <w:r w:rsidRPr="006E317E">
        <w:t>Electronic</w:t>
      </w:r>
      <w:proofErr w:type="spellEnd"/>
      <w:r w:rsidRPr="006E317E">
        <w:t xml:space="preserve"> </w:t>
      </w:r>
      <w:proofErr w:type="spellStart"/>
      <w:r w:rsidRPr="006E317E">
        <w:t>Communications</w:t>
      </w:r>
      <w:proofErr w:type="spellEnd"/>
      <w:r w:rsidRPr="006E317E">
        <w:t xml:space="preserve"> Code, C(2020) 8750 </w:t>
      </w:r>
      <w:proofErr w:type="spellStart"/>
      <w:r w:rsidRPr="006E317E">
        <w:t>final</w:t>
      </w:r>
      <w:proofErr w:type="spellEnd"/>
      <w:r w:rsidRPr="006E317E">
        <w:t>)</w:t>
      </w:r>
      <w:r w:rsidRPr="005D266E">
        <w:rPr>
          <w:vertAlign w:val="superscript"/>
        </w:rPr>
        <w:footnoteReference w:id="32"/>
      </w:r>
      <w:r w:rsidRPr="006E317E">
        <w:t>;</w:t>
      </w:r>
    </w:p>
    <w:p w14:paraId="41A5C771" w14:textId="77777777" w:rsidR="00F23431" w:rsidRPr="006E317E" w:rsidRDefault="00F23431" w:rsidP="00AA241E">
      <w:pPr>
        <w:jc w:val="both"/>
      </w:pPr>
      <w:r w:rsidRPr="006E317E">
        <w:t>Euroopa Komisjoni soovitus 2014/710/EL, 9. oktoober 2014, elektroonilise side sektori asjaomaste toote- ja teenuseturgude kohta, mis vastavalt Euroopa Parlamendi ja nõukogu direktiivile 2002/21/EÜ (elektrooniliste sidevõrkude ja -teenuste ühise reguleeriva raamistiku kohta) vajavad eelnevat reguleerimist (nimetatakse ka EK 2014 turgude soovitus</w:t>
      </w:r>
      <w:r w:rsidRPr="005D266E">
        <w:rPr>
          <w:vertAlign w:val="superscript"/>
        </w:rPr>
        <w:footnoteReference w:id="33"/>
      </w:r>
      <w:r w:rsidRPr="006E317E">
        <w:t>);</w:t>
      </w:r>
    </w:p>
    <w:p w14:paraId="0FE0FFD0" w14:textId="77777777" w:rsidR="00F23431" w:rsidRPr="006E317E" w:rsidRDefault="00F23431" w:rsidP="00AA241E">
      <w:pPr>
        <w:jc w:val="both"/>
      </w:pPr>
      <w:r w:rsidRPr="006E317E">
        <w:t>EK teatis 2018/C 159/01, suunised turuanalüüsi ja märkimisväärse turujõu hindamise kohta vastavalt EL elektrooniliste sidevõrkude ja -teenuste reguleerivale raamistikule (nimetatakse ka EK 2018 turgude suunis</w:t>
      </w:r>
      <w:r w:rsidRPr="005D266E">
        <w:rPr>
          <w:vertAlign w:val="superscript"/>
        </w:rPr>
        <w:footnoteReference w:id="34"/>
      </w:r>
      <w:r w:rsidRPr="006E317E">
        <w:t>);</w:t>
      </w:r>
    </w:p>
    <w:p w14:paraId="45C28629" w14:textId="77777777" w:rsidR="00F23431" w:rsidRPr="006E317E" w:rsidRDefault="00F23431" w:rsidP="00AA241E">
      <w:pPr>
        <w:jc w:val="both"/>
      </w:pPr>
      <w:r w:rsidRPr="006E317E">
        <w:t xml:space="preserve">EK selgitavad märkused 2018 turgude suunise kohta (C(2018) 2374 </w:t>
      </w:r>
      <w:proofErr w:type="spellStart"/>
      <w:r w:rsidRPr="006E317E">
        <w:t>final</w:t>
      </w:r>
      <w:proofErr w:type="spellEnd"/>
      <w:r w:rsidRPr="006E317E">
        <w:t>)</w:t>
      </w:r>
      <w:r w:rsidRPr="005D266E">
        <w:rPr>
          <w:vertAlign w:val="superscript"/>
        </w:rPr>
        <w:footnoteReference w:id="35"/>
      </w:r>
      <w:r w:rsidRPr="006E317E">
        <w:t>;</w:t>
      </w:r>
    </w:p>
    <w:p w14:paraId="52A1A431" w14:textId="77777777" w:rsidR="00F23431" w:rsidRPr="006E317E" w:rsidRDefault="00F23431" w:rsidP="00AA241E">
      <w:pPr>
        <w:jc w:val="both"/>
      </w:pPr>
      <w:r w:rsidRPr="006E317E">
        <w:t xml:space="preserve">BERECi suunised väga suure läbilaskevõimega võrkude kohta (BEREC </w:t>
      </w:r>
      <w:proofErr w:type="spellStart"/>
      <w:r w:rsidRPr="006E317E">
        <w:t>Guidelines</w:t>
      </w:r>
      <w:proofErr w:type="spellEnd"/>
      <w:r w:rsidRPr="006E317E">
        <w:t xml:space="preserve"> on </w:t>
      </w:r>
      <w:proofErr w:type="spellStart"/>
      <w:r w:rsidRPr="006E317E">
        <w:t>Very</w:t>
      </w:r>
      <w:proofErr w:type="spellEnd"/>
      <w:r w:rsidRPr="006E317E">
        <w:t xml:space="preserve"> </w:t>
      </w:r>
      <w:proofErr w:type="spellStart"/>
      <w:r w:rsidRPr="006E317E">
        <w:t>High</w:t>
      </w:r>
      <w:proofErr w:type="spellEnd"/>
      <w:r w:rsidRPr="006E317E">
        <w:t xml:space="preserve"> </w:t>
      </w:r>
      <w:proofErr w:type="spellStart"/>
      <w:r w:rsidRPr="006E317E">
        <w:t>Capacity</w:t>
      </w:r>
      <w:proofErr w:type="spellEnd"/>
      <w:r w:rsidRPr="006E317E">
        <w:t xml:space="preserve"> Networks, 09-03-2023 no </w:t>
      </w:r>
      <w:proofErr w:type="spellStart"/>
      <w:r w:rsidRPr="006E317E">
        <w:t>BoR</w:t>
      </w:r>
      <w:proofErr w:type="spellEnd"/>
      <w:r w:rsidRPr="006E317E">
        <w:t xml:space="preserve"> (23) 42)</w:t>
      </w:r>
      <w:r w:rsidRPr="005D266E">
        <w:rPr>
          <w:vertAlign w:val="superscript"/>
        </w:rPr>
        <w:footnoteReference w:id="36"/>
      </w:r>
      <w:r w:rsidRPr="006E317E">
        <w:t>;</w:t>
      </w:r>
    </w:p>
    <w:p w14:paraId="1E24C8B7" w14:textId="77777777" w:rsidR="00F23431" w:rsidRPr="006E317E" w:rsidRDefault="00F23431" w:rsidP="00AA241E">
      <w:pPr>
        <w:jc w:val="both"/>
      </w:pPr>
      <w:r w:rsidRPr="006E317E">
        <w:t xml:space="preserve">BERECi raport konkurentsi kohta mitme järgmise põlvkonna juurdepääsuvõrgu operaatori vahel samas geograafilises piirkonnas (BEREC </w:t>
      </w:r>
      <w:proofErr w:type="spellStart"/>
      <w:r w:rsidRPr="006E317E">
        <w:t>Report</w:t>
      </w:r>
      <w:proofErr w:type="spellEnd"/>
      <w:r w:rsidRPr="006E317E">
        <w:t xml:space="preserve"> on </w:t>
      </w:r>
      <w:proofErr w:type="spellStart"/>
      <w:r w:rsidRPr="006E317E">
        <w:t>Competition</w:t>
      </w:r>
      <w:proofErr w:type="spellEnd"/>
      <w:r w:rsidRPr="006E317E">
        <w:t xml:space="preserve"> </w:t>
      </w:r>
      <w:proofErr w:type="spellStart"/>
      <w:r w:rsidRPr="006E317E">
        <w:t>amongst</w:t>
      </w:r>
      <w:proofErr w:type="spellEnd"/>
      <w:r w:rsidRPr="006E317E">
        <w:t xml:space="preserve"> </w:t>
      </w:r>
      <w:proofErr w:type="spellStart"/>
      <w:r w:rsidRPr="006E317E">
        <w:t>multiple</w:t>
      </w:r>
      <w:proofErr w:type="spellEnd"/>
      <w:r w:rsidRPr="006E317E">
        <w:t xml:space="preserve"> </w:t>
      </w:r>
      <w:proofErr w:type="spellStart"/>
      <w:r w:rsidRPr="006E317E">
        <w:t>operators</w:t>
      </w:r>
      <w:proofErr w:type="spellEnd"/>
      <w:r w:rsidRPr="006E317E">
        <w:t xml:space="preserve"> of NGA-</w:t>
      </w:r>
      <w:proofErr w:type="spellStart"/>
      <w:r w:rsidRPr="006E317E">
        <w:t>networks</w:t>
      </w:r>
      <w:proofErr w:type="spellEnd"/>
      <w:r w:rsidRPr="006E317E">
        <w:t xml:space="preserve"> in </w:t>
      </w:r>
      <w:proofErr w:type="spellStart"/>
      <w:r w:rsidRPr="006E317E">
        <w:t>the</w:t>
      </w:r>
      <w:proofErr w:type="spellEnd"/>
      <w:r w:rsidRPr="006E317E">
        <w:t xml:space="preserve"> </w:t>
      </w:r>
      <w:proofErr w:type="spellStart"/>
      <w:r w:rsidRPr="006E317E">
        <w:t>same</w:t>
      </w:r>
      <w:proofErr w:type="spellEnd"/>
      <w:r w:rsidRPr="006E317E">
        <w:t xml:space="preserve"> </w:t>
      </w:r>
      <w:proofErr w:type="spellStart"/>
      <w:r w:rsidRPr="006E317E">
        <w:t>geographical</w:t>
      </w:r>
      <w:proofErr w:type="spellEnd"/>
      <w:r w:rsidRPr="006E317E">
        <w:t xml:space="preserve"> </w:t>
      </w:r>
      <w:proofErr w:type="spellStart"/>
      <w:r w:rsidRPr="006E317E">
        <w:t>region</w:t>
      </w:r>
      <w:proofErr w:type="spellEnd"/>
      <w:r w:rsidRPr="006E317E">
        <w:t xml:space="preserve">, 12.12.2022 no </w:t>
      </w:r>
      <w:proofErr w:type="spellStart"/>
      <w:r w:rsidRPr="006E317E">
        <w:t>BoR</w:t>
      </w:r>
      <w:proofErr w:type="spellEnd"/>
      <w:r w:rsidRPr="006E317E">
        <w:t xml:space="preserve"> (22) 188 )</w:t>
      </w:r>
      <w:r w:rsidRPr="005D266E">
        <w:rPr>
          <w:vertAlign w:val="superscript"/>
        </w:rPr>
        <w:footnoteReference w:id="37"/>
      </w:r>
      <w:r w:rsidRPr="006E317E">
        <w:t>;</w:t>
      </w:r>
    </w:p>
    <w:p w14:paraId="0434D0F4" w14:textId="77777777" w:rsidR="00F23431" w:rsidRPr="006E317E" w:rsidRDefault="00F23431" w:rsidP="00AA241E">
      <w:pPr>
        <w:jc w:val="both"/>
      </w:pPr>
      <w:r w:rsidRPr="006E317E">
        <w:t xml:space="preserve">BERECi raport turuanalüüsi geograafilisi aspekte käsitleva ühise seisukoha kohaldamise kohta (BEREC </w:t>
      </w:r>
      <w:proofErr w:type="spellStart"/>
      <w:r w:rsidRPr="006E317E">
        <w:t>Report</w:t>
      </w:r>
      <w:proofErr w:type="spellEnd"/>
      <w:r w:rsidRPr="006E317E">
        <w:t xml:space="preserve"> on </w:t>
      </w:r>
      <w:proofErr w:type="spellStart"/>
      <w:r w:rsidRPr="006E317E">
        <w:t>the</w:t>
      </w:r>
      <w:proofErr w:type="spellEnd"/>
      <w:r w:rsidRPr="006E317E">
        <w:t xml:space="preserve"> </w:t>
      </w:r>
      <w:proofErr w:type="spellStart"/>
      <w:r w:rsidRPr="006E317E">
        <w:t>application</w:t>
      </w:r>
      <w:proofErr w:type="spellEnd"/>
      <w:r w:rsidRPr="006E317E">
        <w:t xml:space="preserve"> of </w:t>
      </w:r>
      <w:proofErr w:type="spellStart"/>
      <w:r w:rsidRPr="006E317E">
        <w:t>the</w:t>
      </w:r>
      <w:proofErr w:type="spellEnd"/>
      <w:r w:rsidRPr="006E317E">
        <w:t xml:space="preserve"> </w:t>
      </w:r>
      <w:proofErr w:type="spellStart"/>
      <w:r w:rsidRPr="006E317E">
        <w:t>Common</w:t>
      </w:r>
      <w:proofErr w:type="spellEnd"/>
      <w:r w:rsidRPr="006E317E">
        <w:t xml:space="preserve"> </w:t>
      </w:r>
      <w:proofErr w:type="spellStart"/>
      <w:r w:rsidRPr="006E317E">
        <w:t>Position</w:t>
      </w:r>
      <w:proofErr w:type="spellEnd"/>
      <w:r w:rsidRPr="006E317E">
        <w:t xml:space="preserve"> on </w:t>
      </w:r>
      <w:proofErr w:type="spellStart"/>
      <w:r w:rsidRPr="006E317E">
        <w:t>geographic</w:t>
      </w:r>
      <w:proofErr w:type="spellEnd"/>
      <w:r w:rsidRPr="006E317E">
        <w:t xml:space="preserve"> </w:t>
      </w:r>
      <w:proofErr w:type="spellStart"/>
      <w:r w:rsidRPr="006E317E">
        <w:t>aspects</w:t>
      </w:r>
      <w:proofErr w:type="spellEnd"/>
      <w:r w:rsidRPr="006E317E">
        <w:t xml:space="preserve"> of market analysis, 06.12.2018 no </w:t>
      </w:r>
      <w:proofErr w:type="spellStart"/>
      <w:r w:rsidRPr="006E317E">
        <w:t>BoR</w:t>
      </w:r>
      <w:proofErr w:type="spellEnd"/>
      <w:r w:rsidRPr="006E317E">
        <w:t xml:space="preserve"> (18) 213)</w:t>
      </w:r>
      <w:r w:rsidRPr="005D266E">
        <w:rPr>
          <w:vertAlign w:val="superscript"/>
        </w:rPr>
        <w:footnoteReference w:id="38"/>
      </w:r>
      <w:r w:rsidRPr="006E317E">
        <w:t>;</w:t>
      </w:r>
    </w:p>
    <w:p w14:paraId="7940C427" w14:textId="77777777" w:rsidR="00F23431" w:rsidRDefault="00F23431" w:rsidP="00AA241E">
      <w:pPr>
        <w:jc w:val="both"/>
      </w:pPr>
      <w:r w:rsidRPr="006E317E">
        <w:t xml:space="preserve">BERECi ühine seisukoht turuanalüüsi geograafiliste aspektide kohta (BEREC </w:t>
      </w:r>
      <w:proofErr w:type="spellStart"/>
      <w:r w:rsidRPr="006E317E">
        <w:t>Common</w:t>
      </w:r>
      <w:proofErr w:type="spellEnd"/>
      <w:r w:rsidRPr="006E317E">
        <w:t xml:space="preserve"> </w:t>
      </w:r>
      <w:proofErr w:type="spellStart"/>
      <w:r w:rsidRPr="006E317E">
        <w:t>Position</w:t>
      </w:r>
      <w:proofErr w:type="spellEnd"/>
      <w:r w:rsidRPr="006E317E">
        <w:t xml:space="preserve"> on </w:t>
      </w:r>
      <w:proofErr w:type="spellStart"/>
      <w:r w:rsidRPr="006E317E">
        <w:t>geographic</w:t>
      </w:r>
      <w:proofErr w:type="spellEnd"/>
      <w:r w:rsidRPr="006E317E">
        <w:t xml:space="preserve"> </w:t>
      </w:r>
      <w:proofErr w:type="spellStart"/>
      <w:r w:rsidRPr="006E317E">
        <w:t>aspects</w:t>
      </w:r>
      <w:proofErr w:type="spellEnd"/>
      <w:r w:rsidRPr="006E317E">
        <w:t xml:space="preserve"> of market analysis, 05.06.2014 no </w:t>
      </w:r>
      <w:proofErr w:type="spellStart"/>
      <w:r w:rsidRPr="006E317E">
        <w:t>BoR</w:t>
      </w:r>
      <w:proofErr w:type="spellEnd"/>
      <w:r w:rsidRPr="006E317E">
        <w:t xml:space="preserve"> (14) 73)</w:t>
      </w:r>
      <w:r w:rsidRPr="005D266E">
        <w:rPr>
          <w:vertAlign w:val="superscript"/>
        </w:rPr>
        <w:footnoteReference w:id="39"/>
      </w:r>
    </w:p>
    <w:p w14:paraId="00CCC57D" w14:textId="534F37A9" w:rsidR="00F23431" w:rsidRDefault="00F23431" w:rsidP="009805E1">
      <w:pPr>
        <w:pStyle w:val="Pealkiri3"/>
      </w:pPr>
      <w:bookmarkStart w:id="134" w:name="_Toc170888940"/>
      <w:bookmarkStart w:id="135" w:name="_Toc174710703"/>
      <w:r w:rsidRPr="001F01F3">
        <w:lastRenderedPageBreak/>
        <w:t>Internetiühenduse jaeturu konkurentsi analüüsi üldine eesmärk</w:t>
      </w:r>
      <w:bookmarkEnd w:id="134"/>
      <w:bookmarkEnd w:id="135"/>
      <w:r w:rsidRPr="001F01F3">
        <w:t xml:space="preserve"> </w:t>
      </w:r>
    </w:p>
    <w:p w14:paraId="697315A5" w14:textId="533D3B4F" w:rsidR="00F23431" w:rsidRPr="006E317E" w:rsidRDefault="00F23431" w:rsidP="00AA241E">
      <w:pPr>
        <w:jc w:val="both"/>
      </w:pPr>
      <w:r w:rsidRPr="006E317E">
        <w:t xml:space="preserve">ESS § 40 kohaselt on sideteenuse turgude valdkonnaspetsiifilise reguleerimise eesmärk tagada konkurentsi soodustamisega sideteenuse osutajate paljusus, nende võrdne ja mittediskrimineeriv kohtlemine ning osutatavate teenuste kvaliteet ja kättesaadavus lõppkasutajatele. Turgude valdkonnaspetsiifilist regulatsiooni teostab Tarbijakaitse ja Tehnilise Järelevalve Amet (nimetatakse ka TTJA). </w:t>
      </w:r>
    </w:p>
    <w:p w14:paraId="7F12439D" w14:textId="55C6FDE8" w:rsidR="00F23431" w:rsidRPr="006E317E" w:rsidRDefault="00F23431" w:rsidP="00AA241E">
      <w:pPr>
        <w:jc w:val="both"/>
      </w:pPr>
      <w:r w:rsidRPr="006E317E">
        <w:t xml:space="preserve">Kooskõlas ESS </w:t>
      </w:r>
      <w:r w:rsidR="008C159A">
        <w:t>ptk.-</w:t>
      </w:r>
      <w:proofErr w:type="spellStart"/>
      <w:r w:rsidRPr="006E317E">
        <w:t>ga</w:t>
      </w:r>
      <w:proofErr w:type="spellEnd"/>
      <w:r w:rsidRPr="006E317E">
        <w:t xml:space="preserve"> 5 peab TTJA läbi viima turuanalüüsi EK 2020 </w:t>
      </w:r>
      <w:bookmarkStart w:id="136" w:name="_Hlk165561277"/>
      <w:r w:rsidRPr="006E317E">
        <w:t>turgude</w:t>
      </w:r>
      <w:bookmarkEnd w:id="136"/>
      <w:r w:rsidRPr="006E317E">
        <w:t xml:space="preserve"> soovituses sätestatud ja käesoleva otsuse koostamise ajal TJA 16.06.17 otsusega</w:t>
      </w:r>
      <w:r w:rsidRPr="005D266E">
        <w:rPr>
          <w:vertAlign w:val="superscript"/>
        </w:rPr>
        <w:footnoteReference w:id="40"/>
      </w:r>
      <w:r w:rsidRPr="006E317E">
        <w:t xml:space="preserve"> nr 1-10/17-228 (nimetatakse ka TTJA 2017 hulgituru 1 otsus)  reguleeritud sidevõrgu kohaliku juurdepääsu hulgiturul </w:t>
      </w:r>
      <w:bookmarkStart w:id="137" w:name="_Hlk108088431"/>
      <w:r w:rsidRPr="006E317E">
        <w:t>(EK 2020 turgude soovituses märgitud kui hulgiturg 1, nimetatakse ka hulgiturg 1)</w:t>
      </w:r>
      <w:bookmarkEnd w:id="137"/>
      <w:r w:rsidRPr="006E317E">
        <w:t xml:space="preserve">, kus on </w:t>
      </w:r>
      <w:bookmarkStart w:id="138" w:name="_Hlk106625558"/>
      <w:r w:rsidRPr="006E317E">
        <w:t>peamisteks teenusteks kliendiliini rent teisele sideettevõtjale</w:t>
      </w:r>
      <w:bookmarkEnd w:id="138"/>
      <w:r w:rsidRPr="006E317E">
        <w:t xml:space="preserve"> ning tugiteenuseks sidekanalisatsioonile juurdepääsu hulgiteenus. </w:t>
      </w:r>
    </w:p>
    <w:p w14:paraId="7AB8D4B8" w14:textId="77777777" w:rsidR="00F23431" w:rsidRPr="006E317E" w:rsidRDefault="00F23431" w:rsidP="00AA241E">
      <w:pPr>
        <w:jc w:val="both"/>
      </w:pPr>
      <w:r w:rsidRPr="006E317E">
        <w:t xml:space="preserve">Samuti peab TTJA läbi viima turuanalüüsi EK 2014 turgude soovituses sätestatud ning hetkel </w:t>
      </w:r>
      <w:bookmarkStart w:id="139" w:name="_Hlk174093252"/>
      <w:r w:rsidRPr="006E317E">
        <w:t>16.06.17 TJA otsusega</w:t>
      </w:r>
      <w:r w:rsidRPr="005D266E">
        <w:rPr>
          <w:vertAlign w:val="superscript"/>
        </w:rPr>
        <w:footnoteReference w:id="41"/>
      </w:r>
      <w:r w:rsidRPr="006E317E">
        <w:t xml:space="preserve"> nr 1-10/17-227 </w:t>
      </w:r>
      <w:bookmarkEnd w:id="139"/>
      <w:r w:rsidRPr="006E317E">
        <w:t xml:space="preserve">reguleeritud sidevõrgu keskse juurdepääsu hulgiturul (EK 2014 turgude soovituses märgitud kui hulgiturg 3b, nimetatakse ka hulgiturg 3b), kus on peamiseks teenuseks sidevõrgu keskselt tasemelt (ülekandevõrgust) kuni sidevõrgu lõpp-punktini (juurdepääsuvõrgus) virtuaalselt eraldatud internetiühendusele (bitivoole) juurdepääsu hulgiteenus (nimetatakse ka bitivoo rent teisele sideettevõtjale). </w:t>
      </w:r>
    </w:p>
    <w:p w14:paraId="1FC58C42" w14:textId="4DE5B10E" w:rsidR="00F23431" w:rsidRDefault="00F23431" w:rsidP="00AA241E">
      <w:pPr>
        <w:jc w:val="both"/>
      </w:pPr>
      <w:r w:rsidRPr="006E317E">
        <w:t xml:space="preserve">Vastavalt EK 2018 turgude suunisele tuleks selleks, et kindlaks määrata valdkonnaspetsiifilist reguleerimist vajav hulgiturg, alati kõigepealt analüüsida vastavatele hulgiturgudele järgnevat jaeturgu (vt </w:t>
      </w:r>
      <w:r w:rsidRPr="000B7BC5">
        <w:t>joonise</w:t>
      </w:r>
      <w:r w:rsidR="003425E5">
        <w:t>id</w:t>
      </w:r>
      <w:r w:rsidRPr="000B7BC5">
        <w:t xml:space="preserve"> </w:t>
      </w:r>
      <w:r w:rsidR="007A5094">
        <w:t>4</w:t>
      </w:r>
      <w:r w:rsidR="003425E5">
        <w:t xml:space="preserve"> ja</w:t>
      </w:r>
      <w:r w:rsidRPr="000B7BC5">
        <w:t xml:space="preserve"> </w:t>
      </w:r>
      <w:r w:rsidR="003425E5">
        <w:t>5</w:t>
      </w:r>
      <w:r w:rsidRPr="006E317E">
        <w:t xml:space="preserve">) ja hinnata kas vastav jaeturg vastab tulevikus (järgmise turuanalüüsini kestval perioodil) konkurentsinõuetele hulgimüügi valdkonnaspetsiifilise regulatsiooni puudumisel. Sel eesmärgil peaksid riigi reguleerivad asutused võtma arvesse kehtivaid jaeturu tingimusi ning eeldatavat või ettenähtavat jaeturu arengut järgmise läbivaatamisperioodi jooksul valdkonnaspetsiifilise regulatsiooni puudumisel hulgiturul (seda nimetatakse ka </w:t>
      </w:r>
      <w:proofErr w:type="spellStart"/>
      <w:r w:rsidR="008E5A13">
        <w:rPr>
          <w:i/>
          <w:iCs/>
        </w:rPr>
        <w:t>Gr</w:t>
      </w:r>
      <w:r w:rsidR="00C318C1">
        <w:rPr>
          <w:i/>
          <w:iCs/>
        </w:rPr>
        <w:t>e</w:t>
      </w:r>
      <w:r w:rsidR="008E5A13">
        <w:rPr>
          <w:i/>
          <w:iCs/>
        </w:rPr>
        <w:t>enfieldi</w:t>
      </w:r>
      <w:proofErr w:type="spellEnd"/>
      <w:r w:rsidRPr="00742FC9">
        <w:rPr>
          <w:i/>
          <w:iCs/>
        </w:rPr>
        <w:t xml:space="preserve"> </w:t>
      </w:r>
      <w:r w:rsidR="00742FC9">
        <w:rPr>
          <w:i/>
          <w:iCs/>
        </w:rPr>
        <w:t xml:space="preserve">e </w:t>
      </w:r>
      <w:r w:rsidR="00E46D59">
        <w:rPr>
          <w:i/>
          <w:iCs/>
        </w:rPr>
        <w:t>muudetud</w:t>
      </w:r>
      <w:r w:rsidR="00742FC9">
        <w:rPr>
          <w:i/>
          <w:iCs/>
        </w:rPr>
        <w:t xml:space="preserve"> </w:t>
      </w:r>
      <w:r w:rsidRPr="006E317E">
        <w:t xml:space="preserve">lähenemisviisiks). Teisest küljest tuleks jaeturu analüüsi tegemisel arvesse võtta mõju, mida avaldavad muud liiki (sektoripõhised) määrused, otsused või õigusaktid asjaomasele jae- ja hulgiturule kogu asjaomasel perioodil. Kui analüüsitav jaeturg  vastab </w:t>
      </w:r>
      <w:proofErr w:type="spellStart"/>
      <w:r w:rsidR="008E5A13">
        <w:rPr>
          <w:i/>
          <w:iCs/>
        </w:rPr>
        <w:t>Gr</w:t>
      </w:r>
      <w:r w:rsidR="00C318C1">
        <w:rPr>
          <w:i/>
          <w:iCs/>
        </w:rPr>
        <w:t>e</w:t>
      </w:r>
      <w:r w:rsidR="008E5A13">
        <w:rPr>
          <w:i/>
          <w:iCs/>
        </w:rPr>
        <w:t>enfieldi</w:t>
      </w:r>
      <w:proofErr w:type="spellEnd"/>
      <w:r w:rsidRPr="00742FC9">
        <w:rPr>
          <w:i/>
          <w:iCs/>
        </w:rPr>
        <w:t xml:space="preserve"> </w:t>
      </w:r>
      <w:r w:rsidRPr="006E317E">
        <w:t xml:space="preserve">lähenemisviisi alusel tulevikus (järgmise turuanalüüsini kestval perioodil) konkurentsinõuetele, peaks riigi reguleeriv asutus tegema järelduse, et valdkonnaspetsiifilist regulatsiooni ei ole hulgimüügitasandil rohkem vaja. </w:t>
      </w:r>
    </w:p>
    <w:p w14:paraId="0ED750EA" w14:textId="1FE4033C" w:rsidR="00B517F6" w:rsidRDefault="00F23431" w:rsidP="00AA241E">
      <w:pPr>
        <w:jc w:val="both"/>
      </w:pPr>
      <w:r w:rsidRPr="006E317E">
        <w:t xml:space="preserve">Ka EK 2020 turgude soovituse sissejuhatuse punkti 23 kohaselt peaksid riikide reguleerivad asutused hulgiturgude valdkonnaspetsiifilise regulatsiooni analüüse alustama jaeturgude analüüsist. Jaeturgu tuleks analüüsida tulevikku (järgmise turuanalüüsini kestev perioodi) vaatavalt ja eeldusel, et puudub valdkonnaspetsiifiline reguleerimine asjakohasel hulgiturul, võttes </w:t>
      </w:r>
      <w:r w:rsidRPr="006E317E">
        <w:lastRenderedPageBreak/>
        <w:t xml:space="preserve">lähtepunktiks olemasolevad turutingimused. Analüüsides tuleks hinnata, kas jaeturul </w:t>
      </w:r>
      <w:r w:rsidR="00C83282" w:rsidRPr="006E317E">
        <w:t xml:space="preserve">eksisteerib </w:t>
      </w:r>
      <w:r w:rsidR="00D77069" w:rsidRPr="006E317E">
        <w:t xml:space="preserve">tõhus </w:t>
      </w:r>
      <w:r w:rsidRPr="006E317E">
        <w:t>konkurents või kas konkurentsi puudumine on püsiv, võttes arvesse eeldatavaid ja prognoositavaid muutusi jaeturul. Samuti tuleks arvestada mõjuga, mida avaldab muud laadi reguleerimine, mida kohaldatakse asjakohas(t)</w:t>
      </w:r>
      <w:proofErr w:type="spellStart"/>
      <w:r w:rsidRPr="006E317E">
        <w:t>ele</w:t>
      </w:r>
      <w:proofErr w:type="spellEnd"/>
      <w:r w:rsidRPr="006E317E">
        <w:t xml:space="preserve"> jae- ja hulgiturule (-turgudele) asjaomase reguleerimisperioodi jooksul.</w:t>
      </w:r>
    </w:p>
    <w:p w14:paraId="095CDE3B" w14:textId="77777777" w:rsidR="00B517F6" w:rsidRDefault="00B517F6" w:rsidP="00AA241E">
      <w:pPr>
        <w:jc w:val="both"/>
      </w:pPr>
      <w:r>
        <w:br w:type="page"/>
      </w:r>
    </w:p>
    <w:p w14:paraId="656647F9" w14:textId="4CEED660" w:rsidR="00F23431" w:rsidRDefault="00B517F6" w:rsidP="00AA241E">
      <w:pPr>
        <w:jc w:val="both"/>
      </w:pPr>
      <w:r w:rsidRPr="00B517F6">
        <w:rPr>
          <w:rFonts w:cs="Times New Roman"/>
          <w:noProof/>
        </w:rPr>
        <w:lastRenderedPageBreak/>
        <mc:AlternateContent>
          <mc:Choice Requires="wpc">
            <w:drawing>
              <wp:inline distT="0" distB="0" distL="0" distR="0" wp14:anchorId="01A30D13" wp14:editId="283243C0">
                <wp:extent cx="5760720" cy="5029200"/>
                <wp:effectExtent l="0" t="0" r="11430" b="0"/>
                <wp:docPr id="591177652" name="Lõuend 59117765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55419908" name="Ristkülik 3"/>
                        <wps:cNvSpPr/>
                        <wps:spPr>
                          <a:xfrm>
                            <a:off x="439" y="811506"/>
                            <a:ext cx="1628775" cy="913129"/>
                          </a:xfrm>
                          <a:prstGeom prst="rect">
                            <a:avLst/>
                          </a:prstGeom>
                          <a:solidFill>
                            <a:schemeClr val="accent6">
                              <a:lumMod val="60000"/>
                              <a:lumOff val="40000"/>
                            </a:schemeClr>
                          </a:solidFill>
                        </wps:spPr>
                        <wps:style>
                          <a:lnRef idx="1">
                            <a:schemeClr val="accent5"/>
                          </a:lnRef>
                          <a:fillRef idx="2">
                            <a:schemeClr val="accent5"/>
                          </a:fillRef>
                          <a:effectRef idx="1">
                            <a:schemeClr val="accent5"/>
                          </a:effectRef>
                          <a:fontRef idx="minor">
                            <a:schemeClr val="dk1"/>
                          </a:fontRef>
                        </wps:style>
                        <wps:txbx>
                          <w:txbxContent>
                            <w:p w14:paraId="618A76E6" w14:textId="77777777" w:rsidR="00B517F6" w:rsidRPr="00FF6832" w:rsidRDefault="00B517F6" w:rsidP="00B517F6">
                              <w:pPr>
                                <w:spacing w:after="0" w:line="240" w:lineRule="auto"/>
                                <w:jc w:val="center"/>
                                <w:rPr>
                                  <w:rFonts w:eastAsia="Calibri"/>
                                </w:rPr>
                              </w:pPr>
                              <w:r>
                                <w:rPr>
                                  <w:rFonts w:eastAsia="Calibri"/>
                                  <w:b/>
                                  <w:bCs/>
                                </w:rPr>
                                <w:t>Jaeturul eksisteerib madal konkurents ja eelnev hulgiturg on nimetatud EK 2020 turgude soovituses</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93140809" name="Ristkülik 4"/>
                        <wps:cNvSpPr/>
                        <wps:spPr>
                          <a:xfrm>
                            <a:off x="2638425" y="3629381"/>
                            <a:ext cx="3112462" cy="5760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E82552F" w14:textId="77777777" w:rsidR="00B517F6" w:rsidRDefault="00B517F6" w:rsidP="00B517F6">
                              <w:pPr>
                                <w:spacing w:after="0" w:line="240" w:lineRule="auto"/>
                                <w:jc w:val="center"/>
                                <w:rPr>
                                  <w:rFonts w:eastAsia="Calibri"/>
                                  <w:b/>
                                  <w:bCs/>
                                </w:rPr>
                              </w:pPr>
                              <w:r>
                                <w:rPr>
                                  <w:rFonts w:eastAsia="Calibri"/>
                                  <w:b/>
                                  <w:bCs/>
                                </w:rPr>
                                <w:t>EI</w:t>
                              </w:r>
                            </w:p>
                            <w:p w14:paraId="490AD1C0" w14:textId="77777777" w:rsidR="00B517F6" w:rsidRPr="00E75D28" w:rsidRDefault="00B517F6" w:rsidP="00B517F6">
                              <w:pPr>
                                <w:spacing w:after="0" w:line="240" w:lineRule="auto"/>
                                <w:jc w:val="center"/>
                                <w:rPr>
                                  <w:rFonts w:eastAsia="Calibri"/>
                                  <w:sz w:val="22"/>
                                  <w:szCs w:val="22"/>
                                </w:rPr>
                              </w:pPr>
                              <w:r w:rsidRPr="00E75D28">
                                <w:rPr>
                                  <w:rFonts w:eastAsia="Calibri"/>
                                  <w:sz w:val="22"/>
                                  <w:szCs w:val="22"/>
                                </w:rPr>
                                <w:t>Puudub alus eelneval hulgiturul  MTE määramiseks ja vastav hulgiturg tuleb de-reguleerida</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866974460" name="Ristkülik 5"/>
                        <wps:cNvSpPr/>
                        <wps:spPr>
                          <a:xfrm>
                            <a:off x="1895771" y="3630918"/>
                            <a:ext cx="677748" cy="574478"/>
                          </a:xfrm>
                          <a:prstGeom prst="rect">
                            <a:avLst/>
                          </a:prstGeom>
                          <a:solidFill>
                            <a:schemeClr val="accent6">
                              <a:lumMod val="60000"/>
                              <a:lumOff val="40000"/>
                            </a:schemeClr>
                          </a:solidFill>
                        </wps:spPr>
                        <wps:style>
                          <a:lnRef idx="1">
                            <a:schemeClr val="accent5"/>
                          </a:lnRef>
                          <a:fillRef idx="2">
                            <a:schemeClr val="accent5"/>
                          </a:fillRef>
                          <a:effectRef idx="1">
                            <a:schemeClr val="accent5"/>
                          </a:effectRef>
                          <a:fontRef idx="minor">
                            <a:schemeClr val="dk1"/>
                          </a:fontRef>
                        </wps:style>
                        <wps:txbx>
                          <w:txbxContent>
                            <w:p w14:paraId="6E730E53" w14:textId="77777777" w:rsidR="00B517F6" w:rsidRDefault="00B517F6" w:rsidP="00B517F6">
                              <w:pPr>
                                <w:spacing w:line="252" w:lineRule="auto"/>
                                <w:jc w:val="center"/>
                                <w:rPr>
                                  <w:rFonts w:eastAsia="Calibri"/>
                                  <w:b/>
                                  <w:bCs/>
                                </w:rPr>
                              </w:pPr>
                              <w:r>
                                <w:rPr>
                                  <w:rFonts w:eastAsia="Calibri"/>
                                  <w:b/>
                                  <w:bCs/>
                                </w:rPr>
                                <w:t>JAH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686508" name="Ristkülik 6"/>
                        <wps:cNvSpPr/>
                        <wps:spPr>
                          <a:xfrm>
                            <a:off x="1874506" y="1943833"/>
                            <a:ext cx="3885934" cy="143279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145F530" w14:textId="77777777" w:rsidR="00B517F6" w:rsidRDefault="00B517F6" w:rsidP="00B517F6">
                              <w:pPr>
                                <w:spacing w:after="0" w:line="240" w:lineRule="auto"/>
                                <w:jc w:val="center"/>
                                <w:rPr>
                                  <w:rFonts w:eastAsia="Calibri"/>
                                  <w:b/>
                                  <w:bCs/>
                                </w:rPr>
                              </w:pPr>
                              <w:r>
                                <w:rPr>
                                  <w:rFonts w:eastAsia="Calibri"/>
                                  <w:b/>
                                  <w:bCs/>
                                </w:rPr>
                                <w:t xml:space="preserve">Jaeturule eelneval hulgiturul </w:t>
                              </w:r>
                            </w:p>
                            <w:p w14:paraId="03DC119A" w14:textId="77777777" w:rsidR="00B517F6" w:rsidRDefault="00B517F6" w:rsidP="00B517F6">
                              <w:pPr>
                                <w:spacing w:after="0" w:line="240" w:lineRule="auto"/>
                                <w:jc w:val="center"/>
                                <w:rPr>
                                  <w:rFonts w:eastAsia="Calibri"/>
                                  <w:b/>
                                  <w:bCs/>
                                </w:rPr>
                              </w:pPr>
                              <w:r>
                                <w:rPr>
                                  <w:rFonts w:eastAsia="Calibri"/>
                                  <w:b/>
                                  <w:bCs/>
                                </w:rPr>
                                <w:t>tuleb läbi viia kolme kriteeriumi test,  mille korral tuleb hinnata kas on täidetud kõik kolm tingimust:</w:t>
                              </w:r>
                            </w:p>
                            <w:p w14:paraId="2C9BE849" w14:textId="77777777" w:rsidR="00B517F6" w:rsidRPr="00DD3F8E" w:rsidRDefault="00B517F6" w:rsidP="000E49EF">
                              <w:pPr>
                                <w:pStyle w:val="Loendilik"/>
                                <w:numPr>
                                  <w:ilvl w:val="0"/>
                                  <w:numId w:val="111"/>
                                </w:numPr>
                                <w:spacing w:after="0" w:line="240" w:lineRule="auto"/>
                                <w:rPr>
                                  <w:rFonts w:eastAsia="Calibri"/>
                                </w:rPr>
                              </w:pPr>
                              <w:r>
                                <w:rPr>
                                  <w:rFonts w:eastAsia="Calibri"/>
                                </w:rPr>
                                <w:t>es</w:t>
                              </w:r>
                              <w:r w:rsidRPr="00DD3F8E">
                                <w:rPr>
                                  <w:rFonts w:eastAsia="Calibri"/>
                                </w:rPr>
                                <w:t>inevad püsivalt kõrged turule sisenemise tõkked;</w:t>
                              </w:r>
                            </w:p>
                            <w:p w14:paraId="742AF9DB" w14:textId="77777777" w:rsidR="00B517F6" w:rsidRPr="00DD3F8E" w:rsidRDefault="00B517F6" w:rsidP="000E49EF">
                              <w:pPr>
                                <w:pStyle w:val="Loendilik"/>
                                <w:numPr>
                                  <w:ilvl w:val="0"/>
                                  <w:numId w:val="111"/>
                                </w:numPr>
                                <w:spacing w:after="0" w:line="240" w:lineRule="auto"/>
                                <w:rPr>
                                  <w:rFonts w:eastAsia="Calibri"/>
                                </w:rPr>
                              </w:pPr>
                              <w:r w:rsidRPr="00DD3F8E">
                                <w:rPr>
                                  <w:rFonts w:eastAsia="Calibri"/>
                                </w:rPr>
                                <w:t>turu struktuur ei võimalda tõhusa konkurentsiolukorra saavutamist ettenähtud ajavahemiku jooksul;</w:t>
                              </w:r>
                            </w:p>
                            <w:p w14:paraId="2FC02F62" w14:textId="77777777" w:rsidR="00B517F6" w:rsidRPr="00DD3F8E" w:rsidRDefault="00B517F6" w:rsidP="000E49EF">
                              <w:pPr>
                                <w:pStyle w:val="Loendilik"/>
                                <w:numPr>
                                  <w:ilvl w:val="0"/>
                                  <w:numId w:val="111"/>
                                </w:numPr>
                                <w:spacing w:after="0" w:line="240" w:lineRule="auto"/>
                                <w:rPr>
                                  <w:rFonts w:eastAsia="Calibri"/>
                                </w:rPr>
                              </w:pPr>
                              <w:r w:rsidRPr="00DD3F8E">
                                <w:rPr>
                                  <w:rFonts w:eastAsia="Calibri"/>
                                </w:rPr>
                                <w:t>ainult konkurentsiõiguse kohaldamine ei ole piisav väljaselgitatud turuhäire(te) kõrvaldamisek</w:t>
                              </w:r>
                              <w:r>
                                <w:rPr>
                                  <w:rFonts w:eastAsia="Calibri"/>
                                </w:rPr>
                                <w:t>s</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50754586" name="Ristkülik 7"/>
                        <wps:cNvSpPr/>
                        <wps:spPr>
                          <a:xfrm>
                            <a:off x="8779" y="4363545"/>
                            <a:ext cx="5751941" cy="541830"/>
                          </a:xfrm>
                          <a:prstGeom prst="rect">
                            <a:avLst/>
                          </a:prstGeom>
                          <a:solidFill>
                            <a:schemeClr val="accent6">
                              <a:lumMod val="60000"/>
                              <a:lumOff val="40000"/>
                            </a:schemeClr>
                          </a:solidFill>
                        </wps:spPr>
                        <wps:style>
                          <a:lnRef idx="1">
                            <a:schemeClr val="accent4"/>
                          </a:lnRef>
                          <a:fillRef idx="2">
                            <a:schemeClr val="accent4"/>
                          </a:fillRef>
                          <a:effectRef idx="1">
                            <a:schemeClr val="accent4"/>
                          </a:effectRef>
                          <a:fontRef idx="minor">
                            <a:schemeClr val="dk1"/>
                          </a:fontRef>
                        </wps:style>
                        <wps:txbx>
                          <w:txbxContent>
                            <w:p w14:paraId="7CB8E4F6" w14:textId="77777777" w:rsidR="00B517F6" w:rsidRDefault="00B517F6" w:rsidP="00B517F6">
                              <w:pPr>
                                <w:spacing w:after="0" w:line="240" w:lineRule="auto"/>
                                <w:jc w:val="center"/>
                                <w:rPr>
                                  <w:rFonts w:eastAsia="Calibri"/>
                                  <w:b/>
                                  <w:bCs/>
                                </w:rPr>
                              </w:pPr>
                              <w:r>
                                <w:rPr>
                                  <w:rFonts w:eastAsia="Calibri"/>
                                  <w:b/>
                                  <w:bCs/>
                                </w:rPr>
                                <w:t>Jaeturule eelneval hulgiturul märkimisväärse turujõuga ettevõtja  välja selgitamine ja määramine ning asjakohaste kohustuste kehtestamine</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258347892" name="Konnektor: nurkne 11"/>
                        <wps:cNvCnPr>
                          <a:stCxn id="1130213981" idx="1"/>
                          <a:endCxn id="657445283" idx="0"/>
                        </wps:cNvCnPr>
                        <wps:spPr>
                          <a:xfrm rot="16200000" flipH="1">
                            <a:off x="3680808" y="-304009"/>
                            <a:ext cx="315101" cy="1915838"/>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32027956" name="Konnektor: nurkne 12"/>
                        <wps:cNvCnPr>
                          <a:stCxn id="1130213981" idx="1"/>
                          <a:endCxn id="855419908" idx="0"/>
                        </wps:cNvCnPr>
                        <wps:spPr>
                          <a:xfrm rot="5400000">
                            <a:off x="1690086" y="-378899"/>
                            <a:ext cx="315094" cy="2065612"/>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78189605" name="Konnektor: nurkne 13"/>
                        <wps:cNvCnPr>
                          <a:stCxn id="855419908" idx="2"/>
                          <a:endCxn id="150754586" idx="0"/>
                        </wps:cNvCnPr>
                        <wps:spPr>
                          <a:xfrm rot="16200000" flipH="1">
                            <a:off x="530419" y="2008931"/>
                            <a:ext cx="2638739" cy="2069923"/>
                          </a:xfrm>
                          <a:prstGeom prst="bentConnector3">
                            <a:avLst>
                              <a:gd name="adj1" fmla="val 96565"/>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25371987" name="Konnektor: nurkne 22"/>
                        <wps:cNvCnPr>
                          <a:stCxn id="657445283" idx="2"/>
                          <a:endCxn id="143686508" idx="0"/>
                        </wps:cNvCnPr>
                        <wps:spPr>
                          <a:xfrm rot="5400000">
                            <a:off x="4197295" y="1344725"/>
                            <a:ext cx="219160" cy="978804"/>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56087315" name="Konnektor: nurkne 23"/>
                        <wps:cNvCnPr>
                          <a:stCxn id="143686508" idx="2"/>
                          <a:endCxn id="866974460" idx="0"/>
                        </wps:cNvCnPr>
                        <wps:spPr>
                          <a:xfrm rot="5400000">
                            <a:off x="2898912" y="2712356"/>
                            <a:ext cx="254295" cy="1582828"/>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419818086" name="Konnektor: nurkne 24"/>
                        <wps:cNvCnPr>
                          <a:stCxn id="143686508" idx="2"/>
                          <a:endCxn id="93140809" idx="0"/>
                        </wps:cNvCnPr>
                        <wps:spPr>
                          <a:xfrm rot="16200000" flipH="1">
                            <a:off x="3879685" y="3314410"/>
                            <a:ext cx="252758" cy="377183"/>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317877811" name="Konnektor: nurkne 27"/>
                        <wps:cNvCnPr>
                          <a:stCxn id="866974460" idx="2"/>
                          <a:endCxn id="150754586" idx="0"/>
                        </wps:cNvCnPr>
                        <wps:spPr>
                          <a:xfrm rot="16200000" flipH="1">
                            <a:off x="2480623" y="3959417"/>
                            <a:ext cx="158149" cy="650105"/>
                          </a:xfrm>
                          <a:prstGeom prst="bentConnector3">
                            <a:avLst>
                              <a:gd name="adj1" fmla="val 31932"/>
                            </a:avLst>
                          </a:prstGeom>
                          <a:ln w="19050"/>
                        </wps:spPr>
                        <wps:style>
                          <a:lnRef idx="1">
                            <a:schemeClr val="accent1"/>
                          </a:lnRef>
                          <a:fillRef idx="0">
                            <a:schemeClr val="accent1"/>
                          </a:fillRef>
                          <a:effectRef idx="0">
                            <a:schemeClr val="accent1"/>
                          </a:effectRef>
                          <a:fontRef idx="minor">
                            <a:schemeClr val="tx1"/>
                          </a:fontRef>
                        </wps:style>
                        <wps:bodyPr/>
                      </wps:wsp>
                      <wps:wsp>
                        <wps:cNvPr id="1205480037" name="Ristkülik 3"/>
                        <wps:cNvSpPr/>
                        <wps:spPr>
                          <a:xfrm>
                            <a:off x="2047338" y="811512"/>
                            <a:ext cx="1696426" cy="91316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9F21DCA" w14:textId="77777777" w:rsidR="00B517F6" w:rsidRDefault="00B517F6" w:rsidP="00B517F6">
                              <w:pPr>
                                <w:spacing w:line="256" w:lineRule="auto"/>
                                <w:jc w:val="center"/>
                                <w:rPr>
                                  <w:rFonts w:eastAsia="Calibri"/>
                                  <w:b/>
                                  <w:bCs/>
                                </w:rPr>
                              </w:pPr>
                              <w:r>
                                <w:rPr>
                                  <w:rFonts w:eastAsia="Calibri"/>
                                  <w:b/>
                                  <w:bCs/>
                                </w:rPr>
                                <w:t>Jaeturul eksisteerib madal konkurents ja eelnev  hulgiturg ei ole nimetatud EK 2020 turgude soovituses</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657445283" name="Ristkülik 3"/>
                        <wps:cNvSpPr/>
                        <wps:spPr>
                          <a:xfrm>
                            <a:off x="4019989" y="811513"/>
                            <a:ext cx="1552575" cy="91314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2627E4C" w14:textId="77777777" w:rsidR="00B517F6" w:rsidRDefault="00B517F6" w:rsidP="00B517F6">
                              <w:pPr>
                                <w:spacing w:line="256" w:lineRule="auto"/>
                                <w:jc w:val="center"/>
                                <w:rPr>
                                  <w:rFonts w:eastAsia="Calibri"/>
                                  <w:b/>
                                  <w:bCs/>
                                </w:rPr>
                              </w:pPr>
                              <w:r>
                                <w:rPr>
                                  <w:rFonts w:eastAsia="Calibri"/>
                                  <w:b/>
                                  <w:bCs/>
                                </w:rPr>
                                <w:t>Jaeturul eksisteerib kõrge konkurents</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407714680" name="Konnektor: nurkne 22"/>
                        <wps:cNvCnPr>
                          <a:stCxn id="1205480037" idx="2"/>
                          <a:endCxn id="143686508" idx="0"/>
                        </wps:cNvCnPr>
                        <wps:spPr>
                          <a:xfrm rot="16200000" flipH="1">
                            <a:off x="3246939" y="1373173"/>
                            <a:ext cx="219146" cy="921922"/>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02071781" name="Sirge noolkonnektor 62"/>
                        <wps:cNvCnPr>
                          <a:stCxn id="1130213981" idx="1"/>
                          <a:endCxn id="1205480037" idx="0"/>
                        </wps:cNvCnPr>
                        <wps:spPr>
                          <a:xfrm>
                            <a:off x="2880439" y="496360"/>
                            <a:ext cx="15112" cy="3151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130213981" name="Ristkülik: lõigatud vastasnurkadega 52"/>
                        <wps:cNvSpPr/>
                        <wps:spPr>
                          <a:xfrm>
                            <a:off x="439" y="49812"/>
                            <a:ext cx="5760000" cy="446580"/>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14:paraId="19BBC63F" w14:textId="77777777" w:rsidR="00B517F6" w:rsidRDefault="00B517F6" w:rsidP="00B517F6">
                              <w:pPr>
                                <w:spacing w:after="0" w:line="240" w:lineRule="auto"/>
                                <w:jc w:val="center"/>
                                <w:rPr>
                                  <w:rFonts w:eastAsia="Calibri"/>
                                  <w:b/>
                                  <w:bCs/>
                                </w:rPr>
                              </w:pPr>
                              <w:r>
                                <w:rPr>
                                  <w:rFonts w:eastAsia="Calibri"/>
                                  <w:b/>
                                  <w:bCs/>
                                </w:rPr>
                                <w:t>Jaeturu konkurentsi analüüs</w:t>
                              </w:r>
                            </w:p>
                          </w:txbxContent>
                        </wps:txbx>
                        <wps:bodyPr rot="0" spcFirstLastPara="0" vert="horz" wrap="square" lIns="91440" tIns="0" rIns="91440" bIns="0" numCol="1" spcCol="0" rtlCol="0" fromWordArt="0" anchor="ctr" anchorCtr="0" forceAA="0" compatLnSpc="1">
                          <a:prstTxWarp prst="textNoShape">
                            <a:avLst/>
                          </a:prstTxWarp>
                          <a:noAutofit/>
                        </wps:bodyPr>
                      </wps:wsp>
                    </wpc:wpc>
                  </a:graphicData>
                </a:graphic>
              </wp:inline>
            </w:drawing>
          </mc:Choice>
          <mc:Fallback>
            <w:pict>
              <v:group w14:anchorId="01A30D13" id="Lõuend 591177652" o:spid="_x0000_s1051" editas="canvas" style="width:453.6pt;height:396pt;mso-position-horizontal-relative:char;mso-position-vertical-relative:line" coordsize="57607,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width:57607;height:50292;visibility:visible;mso-wrap-style:square" filled="t">
                  <v:fill o:detectmouseclick="t"/>
                  <v:path o:connecttype="none"/>
                </v:shape>
                <v:rect id="Ristkülik 3" o:spid="_x0000_s1053" style="position:absolute;left:4;top:8115;width:16288;height:9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" fillcolor="#8dd873 [1945]" strokecolor="#a02b93 [3208]" strokeweight=".5pt">
                  <v:textbox inset=",0,,0">
                    <w:txbxContent>
                      <w:p w14:paraId="618A76E6" w14:textId="77777777" w:rsidR="00B517F6" w:rsidRPr="00FF6832" w:rsidRDefault="00B517F6" w:rsidP="00B517F6">
                        <w:pPr>
                          <w:spacing w:after="0" w:line="240" w:lineRule="auto"/>
                          <w:jc w:val="center"/>
                          <w:rPr>
                            <w:rFonts w:eastAsia="Calibri"/>
                          </w:rPr>
                        </w:pPr>
                        <w:r>
                          <w:rPr>
                            <w:rFonts w:eastAsia="Calibri"/>
                            <w:b/>
                            <w:bCs/>
                          </w:rPr>
                          <w:t>Jaeturul eksisteerib madal konkurents ja eelnev hulgiturg on nimetatud EK 2020 turgude soovituses</w:t>
                        </w:r>
                      </w:p>
                    </w:txbxContent>
                  </v:textbox>
                </v:rect>
                <v:rect id="Ristkülik 4" o:spid="_x0000_s1054" style="position:absolute;left:26384;top:36293;width:31124;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" fillcolor="#d35dc6 [2168]" strokecolor="#a02b93 [3208]" strokeweight=".5pt">
                  <v:fill color2="#ca3bba [2616]" rotate="t" colors="0 #d09fc8;.5 #c692be;1 #c17eb6" focus="100%" type="gradient">
                    <o:fill v:ext="view" type="gradientUnscaled"/>
                  </v:fill>
                  <v:textbox inset=",0,,0">
                    <w:txbxContent>
                      <w:p w14:paraId="5E82552F" w14:textId="77777777" w:rsidR="00B517F6" w:rsidRDefault="00B517F6" w:rsidP="00B517F6">
                        <w:pPr>
                          <w:spacing w:after="0" w:line="240" w:lineRule="auto"/>
                          <w:jc w:val="center"/>
                          <w:rPr>
                            <w:rFonts w:eastAsia="Calibri"/>
                            <w:b/>
                            <w:bCs/>
                          </w:rPr>
                        </w:pPr>
                        <w:r>
                          <w:rPr>
                            <w:rFonts w:eastAsia="Calibri"/>
                            <w:b/>
                            <w:bCs/>
                          </w:rPr>
                          <w:t>EI</w:t>
                        </w:r>
                      </w:p>
                      <w:p w14:paraId="490AD1C0" w14:textId="77777777" w:rsidR="00B517F6" w:rsidRPr="00E75D28" w:rsidRDefault="00B517F6" w:rsidP="00B517F6">
                        <w:pPr>
                          <w:spacing w:after="0" w:line="240" w:lineRule="auto"/>
                          <w:jc w:val="center"/>
                          <w:rPr>
                            <w:rFonts w:eastAsia="Calibri"/>
                            <w:sz w:val="22"/>
                            <w:szCs w:val="22"/>
                          </w:rPr>
                        </w:pPr>
                        <w:r w:rsidRPr="00E75D28">
                          <w:rPr>
                            <w:rFonts w:eastAsia="Calibri"/>
                            <w:sz w:val="22"/>
                            <w:szCs w:val="22"/>
                          </w:rPr>
                          <w:t>Puudub alus eelneval hulgiturul  MTE määramiseks ja vastav hulgiturg tuleb de-reguleerida</w:t>
                        </w:r>
                      </w:p>
                    </w:txbxContent>
                  </v:textbox>
                </v:rect>
                <v:rect id="Ristkülik 5" o:spid="_x0000_s1055" style="position:absolute;left:18957;top:36309;width:6778;height:5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" fillcolor="#8dd873 [1945]" strokecolor="#a02b93 [3208]" strokeweight=".5pt">
                  <v:textbox>
                    <w:txbxContent>
                      <w:p w14:paraId="6E730E53" w14:textId="77777777" w:rsidR="00B517F6" w:rsidRDefault="00B517F6" w:rsidP="00B517F6">
                        <w:pPr>
                          <w:spacing w:line="252" w:lineRule="auto"/>
                          <w:jc w:val="center"/>
                          <w:rPr>
                            <w:rFonts w:eastAsia="Calibri"/>
                            <w:b/>
                            <w:bCs/>
                          </w:rPr>
                        </w:pPr>
                        <w:r>
                          <w:rPr>
                            <w:rFonts w:eastAsia="Calibri"/>
                            <w:b/>
                            <w:bCs/>
                          </w:rPr>
                          <w:t>JAH</w:t>
                        </w:r>
                      </w:p>
                    </w:txbxContent>
                  </v:textbox>
                </v:rect>
                <v:rect id="Ristkülik 6" o:spid="_x0000_s1056" style="position:absolute;left:18745;top:19438;width:38859;height:14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" fillcolor="#d35dc6 [2168]" strokecolor="#a02b93 [3208]" strokeweight=".5pt">
                  <v:fill color2="#ca3bba [2616]" rotate="t" colors="0 #d09fc8;.5 #c692be;1 #c17eb6" focus="100%" type="gradient">
                    <o:fill v:ext="view" type="gradientUnscaled"/>
                  </v:fill>
                  <v:textbox inset=",0,,0">
                    <w:txbxContent>
                      <w:p w14:paraId="5145F530" w14:textId="77777777" w:rsidR="00B517F6" w:rsidRDefault="00B517F6" w:rsidP="00B517F6">
                        <w:pPr>
                          <w:spacing w:after="0" w:line="240" w:lineRule="auto"/>
                          <w:jc w:val="center"/>
                          <w:rPr>
                            <w:rFonts w:eastAsia="Calibri"/>
                            <w:b/>
                            <w:bCs/>
                          </w:rPr>
                        </w:pPr>
                        <w:r>
                          <w:rPr>
                            <w:rFonts w:eastAsia="Calibri"/>
                            <w:b/>
                            <w:bCs/>
                          </w:rPr>
                          <w:t xml:space="preserve">Jaeturule eelneval hulgiturul </w:t>
                        </w:r>
                      </w:p>
                      <w:p w14:paraId="03DC119A" w14:textId="77777777" w:rsidR="00B517F6" w:rsidRDefault="00B517F6" w:rsidP="00B517F6">
                        <w:pPr>
                          <w:spacing w:after="0" w:line="240" w:lineRule="auto"/>
                          <w:jc w:val="center"/>
                          <w:rPr>
                            <w:rFonts w:eastAsia="Calibri"/>
                            <w:b/>
                            <w:bCs/>
                          </w:rPr>
                        </w:pPr>
                        <w:r>
                          <w:rPr>
                            <w:rFonts w:eastAsia="Calibri"/>
                            <w:b/>
                            <w:bCs/>
                          </w:rPr>
                          <w:t>tuleb läbi viia kolme kriteeriumi test,  mille korral tuleb hinnata kas on täidetud kõik kolm tingimust:</w:t>
                        </w:r>
                      </w:p>
                      <w:p w14:paraId="2C9BE849" w14:textId="77777777" w:rsidR="00B517F6" w:rsidRPr="00DD3F8E" w:rsidRDefault="00B517F6" w:rsidP="000E49EF">
                        <w:pPr>
                          <w:pStyle w:val="Loendilik"/>
                          <w:numPr>
                            <w:ilvl w:val="0"/>
                            <w:numId w:val="111"/>
                          </w:numPr>
                          <w:spacing w:after="0" w:line="240" w:lineRule="auto"/>
                          <w:rPr>
                            <w:rFonts w:eastAsia="Calibri"/>
                          </w:rPr>
                        </w:pPr>
                        <w:r>
                          <w:rPr>
                            <w:rFonts w:eastAsia="Calibri"/>
                          </w:rPr>
                          <w:t>es</w:t>
                        </w:r>
                        <w:r w:rsidRPr="00DD3F8E">
                          <w:rPr>
                            <w:rFonts w:eastAsia="Calibri"/>
                          </w:rPr>
                          <w:t>inevad püsivalt kõrged turule sisenemise tõkked;</w:t>
                        </w:r>
                      </w:p>
                      <w:p w14:paraId="742AF9DB" w14:textId="77777777" w:rsidR="00B517F6" w:rsidRPr="00DD3F8E" w:rsidRDefault="00B517F6" w:rsidP="000E49EF">
                        <w:pPr>
                          <w:pStyle w:val="Loendilik"/>
                          <w:numPr>
                            <w:ilvl w:val="0"/>
                            <w:numId w:val="111"/>
                          </w:numPr>
                          <w:spacing w:after="0" w:line="240" w:lineRule="auto"/>
                          <w:rPr>
                            <w:rFonts w:eastAsia="Calibri"/>
                          </w:rPr>
                        </w:pPr>
                        <w:r w:rsidRPr="00DD3F8E">
                          <w:rPr>
                            <w:rFonts w:eastAsia="Calibri"/>
                          </w:rPr>
                          <w:t>turu struktuur ei võimalda tõhusa konkurentsiolukorra saavutamist ettenähtud ajavahemiku jooksul;</w:t>
                        </w:r>
                      </w:p>
                      <w:p w14:paraId="2FC02F62" w14:textId="77777777" w:rsidR="00B517F6" w:rsidRPr="00DD3F8E" w:rsidRDefault="00B517F6" w:rsidP="000E49EF">
                        <w:pPr>
                          <w:pStyle w:val="Loendilik"/>
                          <w:numPr>
                            <w:ilvl w:val="0"/>
                            <w:numId w:val="111"/>
                          </w:numPr>
                          <w:spacing w:after="0" w:line="240" w:lineRule="auto"/>
                          <w:rPr>
                            <w:rFonts w:eastAsia="Calibri"/>
                          </w:rPr>
                        </w:pPr>
                        <w:r w:rsidRPr="00DD3F8E">
                          <w:rPr>
                            <w:rFonts w:eastAsia="Calibri"/>
                          </w:rPr>
                          <w:t>ainult konkurentsiõiguse kohaldamine ei ole piisav väljaselgitatud turuhäire(te) kõrvaldamisek</w:t>
                        </w:r>
                        <w:r>
                          <w:rPr>
                            <w:rFonts w:eastAsia="Calibri"/>
                          </w:rPr>
                          <w:t>s</w:t>
                        </w:r>
                      </w:p>
                    </w:txbxContent>
                  </v:textbox>
                </v:rect>
                <v:rect id="Ristkülik 7" o:spid="_x0000_s1057" style="position:absolute;left:87;top:43635;width:57520;height:5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" fillcolor="#8dd873 [1945]" strokecolor="#0f9ed5 [3207]" strokeweight=".5pt">
                  <v:textbox inset=",0,,0">
                    <w:txbxContent>
                      <w:p w14:paraId="7CB8E4F6" w14:textId="77777777" w:rsidR="00B517F6" w:rsidRDefault="00B517F6" w:rsidP="00B517F6">
                        <w:pPr>
                          <w:spacing w:after="0" w:line="240" w:lineRule="auto"/>
                          <w:jc w:val="center"/>
                          <w:rPr>
                            <w:rFonts w:eastAsia="Calibri"/>
                            <w:b/>
                            <w:bCs/>
                          </w:rPr>
                        </w:pPr>
                        <w:r>
                          <w:rPr>
                            <w:rFonts w:eastAsia="Calibri"/>
                            <w:b/>
                            <w:bCs/>
                          </w:rPr>
                          <w:t>Jaeturule eelneval hulgiturul märkimisväärse turujõuga ettevõtja  välja selgitamine ja määramine ning asjakohaste kohustuste kehtestamine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Konnektor: nurkne 11" o:spid="_x0000_s1058" type="#_x0000_t34" style="position:absolute;left:36807;top:-3040;width:3151;height:191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" strokecolor="#156082 [3204]" strokeweight="1.5pt">
                  <v:stroke endarrow="block"/>
                </v:shape>
                <v:shape id="Konnektor: nurkne 12" o:spid="_x0000_s1059" type="#_x0000_t34" style="position:absolute;left:16900;top:-3789;width:3151;height:2065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" strokecolor="#156082 [3204]" strokeweight="1.5pt">
                  <v:stroke endarrow="block"/>
                </v:shape>
                <v:shape id="Konnektor: nurkne 13" o:spid="_x0000_s1060" type="#_x0000_t34" style="position:absolute;left:5304;top:20089;width:26387;height:2069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" adj="20858" strokecolor="#156082 [3204]" strokeweight="1.5pt">
                  <v:stroke endarrow="block"/>
                </v:shape>
                <v:shape id="Konnektor: nurkne 22" o:spid="_x0000_s1061" type="#_x0000_t34" style="position:absolute;left:41972;top:13447;width:2192;height:9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" strokecolor="#156082 [3204]" strokeweight="1.5pt">
                  <v:stroke endarrow="block"/>
                </v:shape>
                <v:shape id="Konnektor: nurkne 23" o:spid="_x0000_s1062" type="#_x0000_t34" style="position:absolute;left:28988;top:27124;width:2543;height:158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" strokecolor="#156082 [3204]" strokeweight="1.5pt">
                  <v:stroke endarrow="block"/>
                </v:shape>
                <v:shape id="Konnektor: nurkne 24" o:spid="_x0000_s1063" type="#_x0000_t34" style="position:absolute;left:38796;top:33144;width:2527;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" strokecolor="#156082 [3204]" strokeweight="1.5pt">
                  <v:stroke endarrow="block"/>
                </v:shape>
                <v:shape id="Konnektor: nurkne 27" o:spid="_x0000_s1064" type="#_x0000_t34" style="position:absolute;left:24806;top:39593;width:1582;height:650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" adj="6897" strokecolor="#156082 [3204]" strokeweight="1.5pt"/>
                <v:rect id="Ristkülik 3" o:spid="_x0000_s1065" style="position:absolute;left:20473;top:8115;width:16964;height:9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" fillcolor="#d35dc6 [2168]" strokecolor="#a02b93 [3208]" strokeweight=".5pt">
                  <v:fill color2="#ca3bba [2616]" rotate="t" colors="0 #d09fc8;.5 #c692be;1 #c17eb6" focus="100%" type="gradient">
                    <o:fill v:ext="view" type="gradientUnscaled"/>
                  </v:fill>
                  <v:textbox inset=",0,,0">
                    <w:txbxContent>
                      <w:p w14:paraId="69F21DCA" w14:textId="77777777" w:rsidR="00B517F6" w:rsidRDefault="00B517F6" w:rsidP="00B517F6">
                        <w:pPr>
                          <w:spacing w:line="256" w:lineRule="auto"/>
                          <w:jc w:val="center"/>
                          <w:rPr>
                            <w:rFonts w:eastAsia="Calibri"/>
                            <w:b/>
                            <w:bCs/>
                          </w:rPr>
                        </w:pPr>
                        <w:r>
                          <w:rPr>
                            <w:rFonts w:eastAsia="Calibri"/>
                            <w:b/>
                            <w:bCs/>
                          </w:rPr>
                          <w:t>Jaeturul eksisteerib madal konkurents ja eelnev  hulgiturg ei ole nimetatud EK 2020 turgude soovituses</w:t>
                        </w:r>
                      </w:p>
                    </w:txbxContent>
                  </v:textbox>
                </v:rect>
                <v:rect id="Ristkülik 3" o:spid="_x0000_s1066" style="position:absolute;left:40199;top:8115;width:15526;height:9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" fillcolor="#d35dc6 [2168]" strokecolor="#a02b93 [3208]" strokeweight=".5pt">
                  <v:fill color2="#ca3bba [2616]" rotate="t" colors="0 #d09fc8;.5 #c692be;1 #c17eb6" focus="100%" type="gradient">
                    <o:fill v:ext="view" type="gradientUnscaled"/>
                  </v:fill>
                  <v:textbox inset=",0,,0">
                    <w:txbxContent>
                      <w:p w14:paraId="72627E4C" w14:textId="77777777" w:rsidR="00B517F6" w:rsidRDefault="00B517F6" w:rsidP="00B517F6">
                        <w:pPr>
                          <w:spacing w:line="256" w:lineRule="auto"/>
                          <w:jc w:val="center"/>
                          <w:rPr>
                            <w:rFonts w:eastAsia="Calibri"/>
                            <w:b/>
                            <w:bCs/>
                          </w:rPr>
                        </w:pPr>
                        <w:r>
                          <w:rPr>
                            <w:rFonts w:eastAsia="Calibri"/>
                            <w:b/>
                            <w:bCs/>
                          </w:rPr>
                          <w:t>Jaeturul eksisteerib kõrge konkurents</w:t>
                        </w:r>
                      </w:p>
                    </w:txbxContent>
                  </v:textbox>
                </v:rect>
                <v:shape id="Konnektor: nurkne 22" o:spid="_x0000_s1067" type="#_x0000_t34" style="position:absolute;left:32469;top:13731;width:2192;height:921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" strokecolor="#156082 [3204]" strokeweight="1.5pt">
                  <v:stroke endarrow="block"/>
                </v:shape>
                <v:shapetype id="_x0000_t32" coordsize="21600,21600" o:spt="32" o:oned="t" path="m,l21600,21600e" filled="f">
                  <v:path arrowok="t" fillok="f" o:connecttype="none"/>
                  <o:lock v:ext="edit" shapetype="t"/>
                </v:shapetype>
                <v:shape id="Sirge noolkonnektor 62" o:spid="_x0000_s1068" type="#_x0000_t32" style="position:absolute;left:28804;top:4963;width:151;height:3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" strokecolor="#156082 [3204]" strokeweight="1.5pt">
                  <v:stroke endarrow="block" joinstyle="miter"/>
                </v:shape>
                <v:shape id="Ristkülik: lõigatud vastasnurkadega 52" o:spid="_x0000_s1069" style="position:absolute;left:4;top:498;width:57600;height:4465;visibility:visible;mso-wrap-style:square;v-text-anchor:middle" coordsize="5760000,446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" adj="-11796480,,5400" path="m,l5685569,r74431,74431l5760000,446580r,l74431,446580,,372149,,xe" fillcolor="#f09f76 [2165]" strokecolor="#e97132 [3205]" strokeweight=".5pt">
                  <v:fill color2="#ed8b59 [2613]" rotate="t" colors="0 #f5b8a4;.5 #f2ab96;1 #f59e81" focus="100%" type="gradient">
                    <o:fill v:ext="view" type="gradientUnscaled"/>
                  </v:fill>
                  <v:stroke joinstyle="miter"/>
                  <v:formulas/>
                  <v:path arrowok="t" o:connecttype="custom" o:connectlocs="0,0;5685569,0;5760000,74431;5760000,446580;5760000,446580;74431,446580;0,372149;0,0" o:connectangles="0,0,0,0,0,0,0,0" textboxrect="0,0,5760000,446580"/>
                  <v:textbox inset=",0,,0">
                    <w:txbxContent>
                      <w:p w14:paraId="19BBC63F" w14:textId="77777777" w:rsidR="00B517F6" w:rsidRDefault="00B517F6" w:rsidP="00B517F6">
                        <w:pPr>
                          <w:spacing w:after="0" w:line="240" w:lineRule="auto"/>
                          <w:jc w:val="center"/>
                          <w:rPr>
                            <w:rFonts w:eastAsia="Calibri"/>
                            <w:b/>
                            <w:bCs/>
                          </w:rPr>
                        </w:pPr>
                        <w:r>
                          <w:rPr>
                            <w:rFonts w:eastAsia="Calibri"/>
                            <w:b/>
                            <w:bCs/>
                          </w:rPr>
                          <w:t>Jaeturu konkurentsi analüüs</w:t>
                        </w:r>
                      </w:p>
                    </w:txbxContent>
                  </v:textbox>
                </v:shape>
                <w10:anchorlock/>
              </v:group>
            </w:pict>
          </mc:Fallback>
        </mc:AlternateContent>
      </w:r>
    </w:p>
    <w:p w14:paraId="7594EE01" w14:textId="7FC64C96" w:rsidR="00B517F6" w:rsidRPr="006E317E" w:rsidRDefault="00B517F6" w:rsidP="00AA241E">
      <w:pPr>
        <w:pStyle w:val="Pealdis"/>
        <w:jc w:val="both"/>
      </w:pPr>
      <w:r>
        <w:t xml:space="preserve">Joonis </w:t>
      </w:r>
      <w:r>
        <w:fldChar w:fldCharType="begin"/>
      </w:r>
      <w:r>
        <w:instrText xml:space="preserve"> SEQ Joonis \* ARABIC </w:instrText>
      </w:r>
      <w:r>
        <w:fldChar w:fldCharType="separate"/>
      </w:r>
      <w:r w:rsidR="00E5522B">
        <w:rPr>
          <w:noProof/>
        </w:rPr>
        <w:t>4</w:t>
      </w:r>
      <w:r>
        <w:fldChar w:fldCharType="end"/>
      </w:r>
      <w:r>
        <w:t xml:space="preserve"> </w:t>
      </w:r>
      <w:r w:rsidRPr="00B517F6">
        <w:t>Jaeturu analüüsi ja valdkonnaspetsiifiliste hulgiturgude analüüsi seosed</w:t>
      </w:r>
    </w:p>
    <w:p w14:paraId="7547DBAC" w14:textId="7CB3F576" w:rsidR="00F23431" w:rsidRDefault="00F23431" w:rsidP="00AA241E">
      <w:pPr>
        <w:jc w:val="both"/>
      </w:pPr>
      <w:r w:rsidRPr="006E317E">
        <w:t xml:space="preserve">Seega </w:t>
      </w:r>
      <w:proofErr w:type="spellStart"/>
      <w:r w:rsidR="008E5A13">
        <w:rPr>
          <w:i/>
          <w:iCs/>
        </w:rPr>
        <w:t>Gr</w:t>
      </w:r>
      <w:r w:rsidR="00C318C1">
        <w:rPr>
          <w:i/>
          <w:iCs/>
        </w:rPr>
        <w:t>e</w:t>
      </w:r>
      <w:r w:rsidR="008E5A13">
        <w:rPr>
          <w:i/>
          <w:iCs/>
        </w:rPr>
        <w:t>enfieldi</w:t>
      </w:r>
      <w:proofErr w:type="spellEnd"/>
      <w:r w:rsidRPr="006E317E">
        <w:t xml:space="preserve"> lähenemisviisi alusel tuleb eelkõige analüüsida jaeturu konkurentsi</w:t>
      </w:r>
      <w:r w:rsidR="00B517F6">
        <w:t xml:space="preserve"> ( vt Joonis 4)</w:t>
      </w:r>
      <w:r w:rsidRPr="006E317E">
        <w:t>, mis baseerub sidevõrku omavate sideettevõtjate poolt endale (</w:t>
      </w:r>
      <w:proofErr w:type="spellStart"/>
      <w:r w:rsidRPr="00E46D59">
        <w:rPr>
          <w:i/>
          <w:iCs/>
        </w:rPr>
        <w:t>self-supply</w:t>
      </w:r>
      <w:proofErr w:type="spellEnd"/>
      <w:r w:rsidRPr="006E317E">
        <w:t>) osutatavate hulgiturgude 1 ja 3b toodete baasil ehk enda sidevõrgu toodete baasil, aga ka teiste sideettevõtjate pakutavate hulgiturgude 1 ja 3b toodete baasil ehk teiste ettevõtete sidevõrkude toodete baasil, mille osutamine ei ole valdkonnaspetsiifiliselt reguleeritud ehk välja arvatud hulgiturgude 1 ja 3b tooted, mida osutab MTE.</w:t>
      </w:r>
    </w:p>
    <w:p w14:paraId="4C9BD3CA" w14:textId="1118D5E3" w:rsidR="00AD2A3F" w:rsidRPr="006E317E" w:rsidRDefault="00AD2A3F" w:rsidP="00AA241E">
      <w:pPr>
        <w:jc w:val="both"/>
      </w:pPr>
      <w:r w:rsidRPr="009C5626">
        <w:rPr>
          <w:rFonts w:cs="Times New Roman"/>
          <w:noProof/>
        </w:rPr>
        <w:lastRenderedPageBreak/>
        <w:drawing>
          <wp:inline distT="0" distB="0" distL="0" distR="0" wp14:anchorId="00D21AD1" wp14:editId="6677253B">
            <wp:extent cx="5943600" cy="5686009"/>
            <wp:effectExtent l="0" t="0" r="0" b="0"/>
            <wp:docPr id="432058478" name="Pilt 43205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686009"/>
                    </a:xfrm>
                    <a:prstGeom prst="rect">
                      <a:avLst/>
                    </a:prstGeom>
                    <a:noFill/>
                  </pic:spPr>
                </pic:pic>
              </a:graphicData>
            </a:graphic>
          </wp:inline>
        </w:drawing>
      </w:r>
    </w:p>
    <w:p w14:paraId="4CFBE62C" w14:textId="757502E9" w:rsidR="000B7BC5" w:rsidRPr="009C5626" w:rsidRDefault="00B517F6" w:rsidP="00AA241E">
      <w:pPr>
        <w:pStyle w:val="Pealdis"/>
        <w:jc w:val="both"/>
      </w:pPr>
      <w:r>
        <w:t xml:space="preserve">Joonis </w:t>
      </w:r>
      <w:r>
        <w:fldChar w:fldCharType="begin"/>
      </w:r>
      <w:r>
        <w:instrText xml:space="preserve"> SEQ Joonis \* ARABIC </w:instrText>
      </w:r>
      <w:r>
        <w:fldChar w:fldCharType="separate"/>
      </w:r>
      <w:r w:rsidR="00E5522B">
        <w:rPr>
          <w:noProof/>
        </w:rPr>
        <w:t>5</w:t>
      </w:r>
      <w:r>
        <w:fldChar w:fldCharType="end"/>
      </w:r>
      <w:r>
        <w:t xml:space="preserve"> </w:t>
      </w:r>
      <w:r w:rsidR="000B7BC5" w:rsidRPr="009C5626">
        <w:t>Internetiühenduste jaeturu ja MTE regulatsiooniga hulgiturgude seosed, eelnevad ja järgnevad turud.</w:t>
      </w:r>
    </w:p>
    <w:p w14:paraId="0CD44324" w14:textId="24FD9E8E" w:rsidR="00F23431" w:rsidRPr="006E317E" w:rsidRDefault="00F23431" w:rsidP="00AA241E">
      <w:pPr>
        <w:jc w:val="both"/>
      </w:pPr>
      <w:r w:rsidRPr="006E317E">
        <w:t xml:space="preserve">EK 2020 turgude soovituse kohaselt tuleb </w:t>
      </w:r>
      <w:r w:rsidR="00C83282" w:rsidRPr="006E317E">
        <w:t xml:space="preserve">tõhusa </w:t>
      </w:r>
      <w:r w:rsidRPr="006E317E">
        <w:t>ja mitte</w:t>
      </w:r>
      <w:r w:rsidR="00C83282" w:rsidRPr="006E317E">
        <w:t>tõhusa</w:t>
      </w:r>
      <w:r w:rsidRPr="006E317E">
        <w:t xml:space="preserve"> konkurentsiga internetiühenduste jaeturu piirkondades teostada sellele eelnevatel hulgiturgudel (vt turgude järgnevus Jooniselt </w:t>
      </w:r>
      <w:r w:rsidR="007A5094">
        <w:t>4</w:t>
      </w:r>
      <w:r w:rsidRPr="006E317E">
        <w:t>) valdkonnaspetsiifilise regulatsiooni rakendamise analüüse erinevalt:</w:t>
      </w:r>
    </w:p>
    <w:p w14:paraId="65F425CA" w14:textId="61C6CE7F" w:rsidR="00F23431" w:rsidRPr="006E317E" w:rsidRDefault="00C83282" w:rsidP="00AA241E">
      <w:pPr>
        <w:pStyle w:val="Loendilik"/>
        <w:numPr>
          <w:ilvl w:val="0"/>
          <w:numId w:val="86"/>
        </w:numPr>
        <w:jc w:val="both"/>
      </w:pPr>
      <w:r w:rsidRPr="006E317E">
        <w:t>tõhusa</w:t>
      </w:r>
      <w:r w:rsidR="00F23431" w:rsidRPr="006E317E">
        <w:t xml:space="preserve"> konkurentsiga jaeturu piirkonnas kaalutakse eelneval hulgiturul, olenemata sellest, kas vastav hulgiturg on EK 2020 turgude soovituse nimekirjas või mitte, valdkonnaspetsiifilise regulatsiooni lõpetamist</w:t>
      </w:r>
      <w:r w:rsidR="00F23431" w:rsidRPr="005D266E">
        <w:rPr>
          <w:vertAlign w:val="superscript"/>
        </w:rPr>
        <w:footnoteReference w:id="42"/>
      </w:r>
      <w:r w:rsidR="00F23431" w:rsidRPr="006E317E">
        <w:t xml:space="preserve"> viies selleks eelnevalt läbi Euroopa </w:t>
      </w:r>
      <w:r w:rsidR="00F23431" w:rsidRPr="006E317E">
        <w:lastRenderedPageBreak/>
        <w:t>elektroonilise side seadustikus (EL 2018/1972, edaspidi ka sidekoodeks) sätestatud vastava hulgituru kolme kriteeriumi testi</w:t>
      </w:r>
      <w:r w:rsidR="00F23431" w:rsidRPr="005D266E">
        <w:rPr>
          <w:vertAlign w:val="superscript"/>
        </w:rPr>
        <w:footnoteReference w:id="43"/>
      </w:r>
      <w:r w:rsidR="00DD5986">
        <w:t>,</w:t>
      </w:r>
      <w:r w:rsidR="00F23431" w:rsidRPr="006E317E">
        <w:t xml:space="preserve"> kui test valdkonnaspetsiifilise regulatsiooni põhjendatust ei kinnita, siis hulgiturul MTE välja selgitamise analüüsi ei teostata ja kui hulgiturg on valdkonnaspetsiifiliselt reguleeritud, siis see de-reguleeritakse, kui test kinnitab valdkonnaspetsiifilise regulatsiooni põhjendatus, siis jätkatakse MTE  välja selgitamise analüüsiga; </w:t>
      </w:r>
    </w:p>
    <w:p w14:paraId="4AE80383" w14:textId="298410D7" w:rsidR="00F23431" w:rsidRPr="006E317E" w:rsidRDefault="00F23431" w:rsidP="00AA241E">
      <w:pPr>
        <w:pStyle w:val="Loendilik"/>
        <w:numPr>
          <w:ilvl w:val="0"/>
          <w:numId w:val="86"/>
        </w:numPr>
        <w:jc w:val="both"/>
      </w:pPr>
      <w:r w:rsidRPr="006E317E">
        <w:t>mitte</w:t>
      </w:r>
      <w:r w:rsidR="00C83282" w:rsidRPr="006E317E">
        <w:t>tõhusa</w:t>
      </w:r>
      <w:r w:rsidRPr="006E317E">
        <w:t xml:space="preserve"> konkurentsiga jaeturu piirkonnas sellele eelnevatel hulgiturgudel, mis ei ole EK 2020 turgude soovituse nimekirjas (näiteks sidevõrgule keskse juurdepääsu hulgiturg, edaspidi ka hulgiturg 3b) alustatakse valdkonnaspetsiifilise regulatsiooni rakendamise analüüsi hulgituru kolme kriteeriumi testiga</w:t>
      </w:r>
      <w:r w:rsidRPr="005D266E">
        <w:rPr>
          <w:vertAlign w:val="superscript"/>
        </w:rPr>
        <w:footnoteReference w:id="44"/>
      </w:r>
      <w:r w:rsidRPr="006E317E">
        <w:t xml:space="preserve"> ja kui test kinnitab, et vastaval hulgiturul on valdkonnaspetsiifiline reguleerimine põhjendatud, siis jätkatakse MTE  välja selgitamise analüüsiga, kui test valdkonnaspetsiifilise regulatsiooni põhjendatust ei kinnita, siis hulgiturul MTE välja selgitamise analüüsi ei teostata ja kui hulgiturg on valdkonnaspetsiifiliselt reguleeritud, siis see de-reguleeritakse;</w:t>
      </w:r>
    </w:p>
    <w:p w14:paraId="1FCC94CA" w14:textId="32C4FC07" w:rsidR="00F23431" w:rsidRPr="006E317E" w:rsidRDefault="00F23431" w:rsidP="00AA241E">
      <w:pPr>
        <w:pStyle w:val="Loendilik"/>
        <w:numPr>
          <w:ilvl w:val="0"/>
          <w:numId w:val="86"/>
        </w:numPr>
        <w:jc w:val="both"/>
      </w:pPr>
      <w:r w:rsidRPr="006E317E">
        <w:t>mitte</w:t>
      </w:r>
      <w:r w:rsidR="00C83282" w:rsidRPr="006E317E">
        <w:t>tõhusa</w:t>
      </w:r>
      <w:r w:rsidRPr="006E317E">
        <w:t xml:space="preserve"> konkurentsiga jaeturu piirkonnas sellele eelnevatel hulgiturgudel, mis on EK 2020 turgude soovituse nimekirjas (näiteks sidevõrgule kohaliku juurdepääsu hulgiturg, edaspidi ka hulgiturg 1) võib jätta kolme kriteeriumi testi tegemata</w:t>
      </w:r>
      <w:r w:rsidRPr="005D266E">
        <w:rPr>
          <w:vertAlign w:val="superscript"/>
        </w:rPr>
        <w:footnoteReference w:id="45"/>
      </w:r>
      <w:r w:rsidRPr="006E317E">
        <w:t xml:space="preserve"> ja teostada ainult MTE välja selgitamise analüüs.  </w:t>
      </w:r>
    </w:p>
    <w:p w14:paraId="0A7E8CD5" w14:textId="282D213D" w:rsidR="0095323E" w:rsidRPr="006E317E" w:rsidRDefault="00F23431" w:rsidP="00AA241E">
      <w:pPr>
        <w:jc w:val="both"/>
      </w:pPr>
      <w:r w:rsidRPr="006E317E">
        <w:t xml:space="preserve">Seega on käesoleva internetiühenduste jaeturu konkurentsi analüüsi eesmärk </w:t>
      </w:r>
      <w:r w:rsidR="001F34BF" w:rsidRPr="006E317E">
        <w:t>määratleda</w:t>
      </w:r>
      <w:r w:rsidR="00D65205" w:rsidRPr="006E317E">
        <w:t xml:space="preserve"> hulgiturgud</w:t>
      </w:r>
      <w:r w:rsidR="00AF74FE" w:rsidRPr="006E317E">
        <w:t>ele 1 ja 3b järgneva</w:t>
      </w:r>
      <w:r w:rsidRPr="006E317E">
        <w:t xml:space="preserve"> internetiühenduste jaeturu </w:t>
      </w:r>
      <w:r w:rsidR="001F34BF" w:rsidRPr="006E317E">
        <w:t>tooted j</w:t>
      </w:r>
      <w:r w:rsidR="00E97C14" w:rsidRPr="006E317E">
        <w:t xml:space="preserve">a </w:t>
      </w:r>
      <w:r w:rsidR="0035229A" w:rsidRPr="006E317E">
        <w:t>geograafili</w:t>
      </w:r>
      <w:r w:rsidR="00072DC8" w:rsidRPr="006E317E">
        <w:t>ne ulatus</w:t>
      </w:r>
      <w:r w:rsidR="00025084" w:rsidRPr="006E317E">
        <w:t xml:space="preserve"> ning hinnata </w:t>
      </w:r>
      <w:r w:rsidR="00DE4E8C" w:rsidRPr="006E317E">
        <w:t>jaeturu konkurentsi taset. S</w:t>
      </w:r>
      <w:r w:rsidR="00072DC8" w:rsidRPr="006E317E">
        <w:t xml:space="preserve">eejuures </w:t>
      </w:r>
      <w:r w:rsidRPr="006E317E">
        <w:t xml:space="preserve">tuvastada, kas </w:t>
      </w:r>
      <w:r w:rsidR="00025084" w:rsidRPr="006E317E">
        <w:t>k</w:t>
      </w:r>
      <w:r w:rsidRPr="006E317E">
        <w:t>onkurentsitingimus</w:t>
      </w:r>
      <w:r w:rsidR="00025084" w:rsidRPr="006E317E">
        <w:t>ed</w:t>
      </w:r>
      <w:r w:rsidRPr="006E317E">
        <w:t xml:space="preserve"> </w:t>
      </w:r>
      <w:r w:rsidR="00025084" w:rsidRPr="006E317E">
        <w:t>on</w:t>
      </w:r>
      <w:r w:rsidRPr="006E317E">
        <w:t xml:space="preserve"> ühetaolised üle Eesti või eksisteerivad piirkondlikud erinevused, mis annaks aluse piiritleda ka jaeturule eelnevad hulgiturud geograafiliselt erinevate piirkondadena ning teostada seal valdkonnaspetsiifilise regulatsiooni rakendamise analüüse erinevalt. Käesoleva analüüsi eesmärk ei ole tuvastada internetiühenduste jaeturul märkimisväärse turujõuga ettevõtjat kooskõlas ESS §-ga 54. </w:t>
      </w:r>
      <w:bookmarkEnd w:id="45"/>
    </w:p>
    <w:p w14:paraId="3EC62846" w14:textId="77777777" w:rsidR="00095BC2" w:rsidRPr="00095BC2" w:rsidRDefault="00095BC2" w:rsidP="00AA241E">
      <w:pPr>
        <w:pStyle w:val="Loendilik"/>
        <w:keepNext/>
        <w:keepLines/>
        <w:numPr>
          <w:ilvl w:val="0"/>
          <w:numId w:val="39"/>
        </w:numPr>
        <w:spacing w:before="240" w:after="0" w:line="257" w:lineRule="auto"/>
        <w:contextualSpacing w:val="0"/>
        <w:jc w:val="both"/>
        <w:outlineLvl w:val="0"/>
        <w:rPr>
          <w:rFonts w:eastAsia="Times New Roman" w:cs="Times New Roman"/>
          <w:b/>
          <w:vanish/>
          <w:sz w:val="28"/>
          <w:szCs w:val="28"/>
          <w:lang w:eastAsia="lv-LV"/>
        </w:rPr>
      </w:pPr>
      <w:bookmarkStart w:id="140" w:name="_Toc174094502"/>
      <w:bookmarkStart w:id="141" w:name="_Toc174094769"/>
      <w:bookmarkStart w:id="142" w:name="_Toc174095035"/>
      <w:bookmarkStart w:id="143" w:name="_Toc174095300"/>
      <w:bookmarkStart w:id="144" w:name="_Toc174095838"/>
      <w:bookmarkStart w:id="145" w:name="_Toc174096104"/>
      <w:bookmarkStart w:id="146" w:name="_Toc174535993"/>
      <w:bookmarkStart w:id="147" w:name="_Toc174617088"/>
      <w:bookmarkStart w:id="148" w:name="_Toc174618445"/>
      <w:bookmarkStart w:id="149" w:name="_Toc174627507"/>
      <w:bookmarkStart w:id="150" w:name="_Toc174704931"/>
      <w:bookmarkStart w:id="151" w:name="_Toc174709475"/>
      <w:bookmarkStart w:id="152" w:name="_Toc174710704"/>
      <w:bookmarkStart w:id="153" w:name="_Toc170888943"/>
      <w:bookmarkEnd w:id="140"/>
      <w:bookmarkEnd w:id="141"/>
      <w:bookmarkEnd w:id="142"/>
      <w:bookmarkEnd w:id="143"/>
      <w:bookmarkEnd w:id="144"/>
      <w:bookmarkEnd w:id="145"/>
      <w:bookmarkEnd w:id="146"/>
      <w:bookmarkEnd w:id="147"/>
      <w:bookmarkEnd w:id="148"/>
      <w:bookmarkEnd w:id="149"/>
      <w:bookmarkEnd w:id="150"/>
      <w:bookmarkEnd w:id="151"/>
      <w:bookmarkEnd w:id="152"/>
    </w:p>
    <w:p w14:paraId="20D59E90" w14:textId="035D6B47" w:rsidR="00272C18" w:rsidRPr="006E317E" w:rsidRDefault="0095323E" w:rsidP="00AA241E">
      <w:pPr>
        <w:pStyle w:val="Pealkiri2"/>
        <w:jc w:val="both"/>
      </w:pPr>
      <w:bookmarkStart w:id="154" w:name="_Toc174710705"/>
      <w:r w:rsidRPr="005F60C0">
        <w:t>JAETURU TOODETE PIIRITLEMINE</w:t>
      </w:r>
      <w:bookmarkEnd w:id="153"/>
      <w:bookmarkEnd w:id="154"/>
    </w:p>
    <w:p w14:paraId="1A0C3231" w14:textId="77777777" w:rsidR="00E85DC9" w:rsidRPr="00E85DC9" w:rsidRDefault="00E85DC9" w:rsidP="00AA241E">
      <w:pPr>
        <w:pStyle w:val="Loendilik"/>
        <w:numPr>
          <w:ilvl w:val="0"/>
          <w:numId w:val="40"/>
        </w:numPr>
        <w:contextualSpacing w:val="0"/>
        <w:jc w:val="both"/>
        <w:rPr>
          <w:vanish/>
        </w:rPr>
      </w:pPr>
    </w:p>
    <w:p w14:paraId="2E7BAB16" w14:textId="77777777" w:rsidR="00E85DC9" w:rsidRPr="00E85DC9" w:rsidRDefault="00E85DC9" w:rsidP="00AA241E">
      <w:pPr>
        <w:pStyle w:val="Loendilik"/>
        <w:numPr>
          <w:ilvl w:val="0"/>
          <w:numId w:val="40"/>
        </w:numPr>
        <w:contextualSpacing w:val="0"/>
        <w:jc w:val="both"/>
        <w:rPr>
          <w:vanish/>
        </w:rPr>
      </w:pPr>
    </w:p>
    <w:p w14:paraId="34344FD5" w14:textId="77777777" w:rsidR="00E85DC9" w:rsidRPr="00E85DC9" w:rsidRDefault="00E85DC9" w:rsidP="00AA241E">
      <w:pPr>
        <w:pStyle w:val="Loendilik"/>
        <w:numPr>
          <w:ilvl w:val="0"/>
          <w:numId w:val="40"/>
        </w:numPr>
        <w:contextualSpacing w:val="0"/>
        <w:jc w:val="both"/>
        <w:rPr>
          <w:vanish/>
        </w:rPr>
      </w:pPr>
    </w:p>
    <w:p w14:paraId="73810D8F" w14:textId="77777777" w:rsidR="0064509E" w:rsidRPr="0064509E" w:rsidRDefault="0064509E" w:rsidP="00AA241E">
      <w:pPr>
        <w:pStyle w:val="Loendilik"/>
        <w:keepNext/>
        <w:keepLines/>
        <w:numPr>
          <w:ilvl w:val="1"/>
          <w:numId w:val="125"/>
        </w:numPr>
        <w:spacing w:before="240" w:after="240" w:line="360" w:lineRule="auto"/>
        <w:contextualSpacing w:val="0"/>
        <w:jc w:val="both"/>
        <w:outlineLvl w:val="2"/>
        <w:rPr>
          <w:rFonts w:eastAsia="Calibri" w:cstheme="majorBidi"/>
          <w:bCs/>
          <w:i/>
          <w:iCs/>
          <w:vanish/>
          <w:color w:val="000000" w:themeColor="text1"/>
          <w:lang w:eastAsia="en-US"/>
        </w:rPr>
      </w:pPr>
      <w:bookmarkStart w:id="155" w:name="_Toc174617090"/>
      <w:bookmarkStart w:id="156" w:name="_Toc174618447"/>
      <w:bookmarkStart w:id="157" w:name="_Toc174627509"/>
      <w:bookmarkStart w:id="158" w:name="_Toc174704933"/>
      <w:bookmarkStart w:id="159" w:name="_Toc174709477"/>
      <w:bookmarkStart w:id="160" w:name="_Toc174710706"/>
      <w:bookmarkEnd w:id="155"/>
      <w:bookmarkEnd w:id="156"/>
      <w:bookmarkEnd w:id="157"/>
      <w:bookmarkEnd w:id="158"/>
      <w:bookmarkEnd w:id="159"/>
      <w:bookmarkEnd w:id="160"/>
    </w:p>
    <w:p w14:paraId="3CE33432" w14:textId="77777777" w:rsidR="0064509E" w:rsidRPr="0064509E" w:rsidRDefault="0064509E" w:rsidP="00AA241E">
      <w:pPr>
        <w:pStyle w:val="Loendilik"/>
        <w:keepNext/>
        <w:keepLines/>
        <w:numPr>
          <w:ilvl w:val="1"/>
          <w:numId w:val="125"/>
        </w:numPr>
        <w:spacing w:before="240" w:after="240" w:line="360" w:lineRule="auto"/>
        <w:contextualSpacing w:val="0"/>
        <w:jc w:val="both"/>
        <w:outlineLvl w:val="2"/>
        <w:rPr>
          <w:rFonts w:eastAsia="Calibri" w:cstheme="majorBidi"/>
          <w:bCs/>
          <w:i/>
          <w:iCs/>
          <w:vanish/>
          <w:color w:val="000000" w:themeColor="text1"/>
          <w:lang w:eastAsia="en-US"/>
        </w:rPr>
      </w:pPr>
      <w:bookmarkStart w:id="161" w:name="_Toc174617091"/>
      <w:bookmarkStart w:id="162" w:name="_Toc174618448"/>
      <w:bookmarkStart w:id="163" w:name="_Toc174627510"/>
      <w:bookmarkStart w:id="164" w:name="_Toc174704934"/>
      <w:bookmarkStart w:id="165" w:name="_Toc174709478"/>
      <w:bookmarkStart w:id="166" w:name="_Toc174710707"/>
      <w:bookmarkEnd w:id="161"/>
      <w:bookmarkEnd w:id="162"/>
      <w:bookmarkEnd w:id="163"/>
      <w:bookmarkEnd w:id="164"/>
      <w:bookmarkEnd w:id="165"/>
      <w:bookmarkEnd w:id="166"/>
    </w:p>
    <w:p w14:paraId="400FD0D6" w14:textId="38F22787" w:rsidR="00272C18" w:rsidRDefault="00272C18" w:rsidP="009805E1">
      <w:pPr>
        <w:pStyle w:val="Pealkiri3"/>
        <w:numPr>
          <w:ilvl w:val="2"/>
          <w:numId w:val="125"/>
        </w:numPr>
      </w:pPr>
      <w:bookmarkStart w:id="167" w:name="_Toc174710708"/>
      <w:r w:rsidRPr="00957782">
        <w:t>Jaeturu</w:t>
      </w:r>
      <w:r w:rsidRPr="00E55951">
        <w:t xml:space="preserve"> </w:t>
      </w:r>
      <w:r w:rsidR="0001772B" w:rsidRPr="00E55951">
        <w:t xml:space="preserve">toote </w:t>
      </w:r>
      <w:r w:rsidRPr="00E55951">
        <w:t>piiritlemise eesmärk ja alused</w:t>
      </w:r>
      <w:bookmarkEnd w:id="167"/>
    </w:p>
    <w:p w14:paraId="4D98DD14" w14:textId="77777777" w:rsidR="00272C18" w:rsidRPr="006E317E" w:rsidRDefault="00272C18" w:rsidP="00AA241E">
      <w:pPr>
        <w:jc w:val="both"/>
      </w:pPr>
      <w:r w:rsidRPr="006E317E">
        <w:t>Turu piiritlemise eesmärk on välja selgitada ja piiritleda analüüsitava turu tooted ehk põhiteenused ja geograafiline ulatus.</w:t>
      </w:r>
    </w:p>
    <w:p w14:paraId="7C661CDB" w14:textId="77777777" w:rsidR="00272C18" w:rsidRPr="006E317E" w:rsidRDefault="00272C18" w:rsidP="00AA241E">
      <w:pPr>
        <w:jc w:val="both"/>
      </w:pPr>
      <w:r w:rsidRPr="006E317E">
        <w:t>Turu piiritlemise alused on sätestatud ESS § 43. Selle kohaselt piiritleb TTJA kooskõlas EL konkurentsiõiguse põhimõtetega sideteenuste turud ja nende geograafilise käibimisala, võttes arvesse taristupõhist konkurentsi nendes piirkondades. Turgude piiritlemisel lähtub TTJA ka ESS §-s 1002 sätestatud sideteenuse geograafilise katvuse andmekogu andmetest ning EK turgude loetelu puudutavatest soovitustest ja suunistest. Käesoleva otsuse koostamise ajal on sellisteks asjakohasteks soovitusteks ja suunisteks EK 2020 turgude soovitus ja EK 2018 turgude suunis.</w:t>
      </w:r>
    </w:p>
    <w:p w14:paraId="0ECC3D27" w14:textId="77777777" w:rsidR="0095323E" w:rsidRDefault="0095323E" w:rsidP="00AA241E">
      <w:pPr>
        <w:jc w:val="both"/>
      </w:pPr>
      <w:r w:rsidRPr="006E317E">
        <w:t>Jaeturu toodete piiritlemisel järgis TTJA EK 2018 turgude suunist</w:t>
      </w:r>
      <w:r w:rsidRPr="005D266E">
        <w:rPr>
          <w:vertAlign w:val="superscript"/>
        </w:rPr>
        <w:footnoteReference w:id="46"/>
      </w:r>
      <w:r w:rsidRPr="006E317E">
        <w:t xml:space="preserve">, mille  kohaselt hõlmavad asjaomase turud tooted kõiki tooteid või teenuseid, mis on piisavalt omavahel vahetatavad või asendatavad mitte üksnes nende objektiivsete omaduste, hindade ja kasutustotstarbe poolest, vaid ka seoses konkurentsitingimustega ja/või pakkumise ja nõudluse struktuuriga kõnealusel turul. Tooted või teenused, mis on üksnes vähesel või suhtelisel määral omavahel vahetatavad, ei moodusta sama turu osa. Riigi reguleerivad asutused peaksid asjaomase toote või teenuse turu määratlemisel kõigepealt rühmitama tooted või teenused, mida tarbijad samal eesmärgil kasutavad (lõppkasutus). Kuigi toote või teenuse lõppkasutus on tihedalt seotud selle füüsiliste omadustega, võidakse samal eesmärgil kasutada tehnoloogiliselt erinevaid tooteid või teenuseid. </w:t>
      </w:r>
    </w:p>
    <w:p w14:paraId="094DA302" w14:textId="77777777" w:rsidR="00DD3AA5" w:rsidRPr="00DD3AA5" w:rsidRDefault="00DD3AA5" w:rsidP="00AA241E">
      <w:pPr>
        <w:pStyle w:val="Loendilik"/>
        <w:keepNext/>
        <w:keepLines/>
        <w:numPr>
          <w:ilvl w:val="0"/>
          <w:numId w:val="58"/>
        </w:numPr>
        <w:spacing w:before="160" w:after="80" w:line="360" w:lineRule="auto"/>
        <w:contextualSpacing w:val="0"/>
        <w:jc w:val="both"/>
        <w:outlineLvl w:val="2"/>
        <w:rPr>
          <w:rFonts w:eastAsia="Calibri" w:cstheme="majorBidi"/>
          <w:bCs/>
          <w:vanish/>
          <w:color w:val="000000" w:themeColor="text1"/>
          <w:lang w:eastAsia="en-US"/>
        </w:rPr>
      </w:pPr>
      <w:bookmarkStart w:id="168" w:name="_Toc174094505"/>
      <w:bookmarkStart w:id="169" w:name="_Toc174094772"/>
      <w:bookmarkStart w:id="170" w:name="_Toc174095038"/>
      <w:bookmarkStart w:id="171" w:name="_Toc174095303"/>
      <w:bookmarkStart w:id="172" w:name="_Toc174095841"/>
      <w:bookmarkStart w:id="173" w:name="_Toc174096107"/>
      <w:bookmarkStart w:id="174" w:name="_Toc174535996"/>
      <w:bookmarkStart w:id="175" w:name="_Toc174617093"/>
      <w:bookmarkStart w:id="176" w:name="_Toc174618450"/>
      <w:bookmarkStart w:id="177" w:name="_Toc174627512"/>
      <w:bookmarkStart w:id="178" w:name="_Toc174704936"/>
      <w:bookmarkStart w:id="179" w:name="_Toc174709480"/>
      <w:bookmarkStart w:id="180" w:name="_Toc174710709"/>
      <w:bookmarkStart w:id="181" w:name="_Toc170888944"/>
      <w:bookmarkEnd w:id="168"/>
      <w:bookmarkEnd w:id="169"/>
      <w:bookmarkEnd w:id="170"/>
      <w:bookmarkEnd w:id="171"/>
      <w:bookmarkEnd w:id="172"/>
      <w:bookmarkEnd w:id="173"/>
      <w:bookmarkEnd w:id="174"/>
      <w:bookmarkEnd w:id="175"/>
      <w:bookmarkEnd w:id="176"/>
      <w:bookmarkEnd w:id="177"/>
      <w:bookmarkEnd w:id="178"/>
      <w:bookmarkEnd w:id="179"/>
      <w:bookmarkEnd w:id="180"/>
    </w:p>
    <w:p w14:paraId="19925222" w14:textId="77777777" w:rsidR="00DD3AA5" w:rsidRPr="00DD3AA5" w:rsidRDefault="00DD3AA5" w:rsidP="00AA241E">
      <w:pPr>
        <w:pStyle w:val="Loendilik"/>
        <w:keepNext/>
        <w:keepLines/>
        <w:numPr>
          <w:ilvl w:val="1"/>
          <w:numId w:val="58"/>
        </w:numPr>
        <w:spacing w:before="160" w:after="80" w:line="360" w:lineRule="auto"/>
        <w:contextualSpacing w:val="0"/>
        <w:jc w:val="both"/>
        <w:outlineLvl w:val="2"/>
        <w:rPr>
          <w:rFonts w:eastAsia="Calibri" w:cstheme="majorBidi"/>
          <w:bCs/>
          <w:vanish/>
          <w:color w:val="000000" w:themeColor="text1"/>
          <w:lang w:eastAsia="en-US"/>
        </w:rPr>
      </w:pPr>
      <w:bookmarkStart w:id="182" w:name="_Toc174094506"/>
      <w:bookmarkStart w:id="183" w:name="_Toc174094773"/>
      <w:bookmarkStart w:id="184" w:name="_Toc174095039"/>
      <w:bookmarkStart w:id="185" w:name="_Toc174095304"/>
      <w:bookmarkStart w:id="186" w:name="_Toc174095842"/>
      <w:bookmarkStart w:id="187" w:name="_Toc174096108"/>
      <w:bookmarkStart w:id="188" w:name="_Toc174535997"/>
      <w:bookmarkStart w:id="189" w:name="_Toc174617094"/>
      <w:bookmarkStart w:id="190" w:name="_Toc174618451"/>
      <w:bookmarkStart w:id="191" w:name="_Toc174627513"/>
      <w:bookmarkStart w:id="192" w:name="_Toc174704937"/>
      <w:bookmarkStart w:id="193" w:name="_Toc174709481"/>
      <w:bookmarkStart w:id="194" w:name="_Toc174710710"/>
      <w:bookmarkEnd w:id="182"/>
      <w:bookmarkEnd w:id="183"/>
      <w:bookmarkEnd w:id="184"/>
      <w:bookmarkEnd w:id="185"/>
      <w:bookmarkEnd w:id="186"/>
      <w:bookmarkEnd w:id="187"/>
      <w:bookmarkEnd w:id="188"/>
      <w:bookmarkEnd w:id="189"/>
      <w:bookmarkEnd w:id="190"/>
      <w:bookmarkEnd w:id="191"/>
      <w:bookmarkEnd w:id="192"/>
      <w:bookmarkEnd w:id="193"/>
      <w:bookmarkEnd w:id="194"/>
    </w:p>
    <w:p w14:paraId="316DE54C" w14:textId="77777777" w:rsidR="007C17EE" w:rsidRPr="007C17EE" w:rsidRDefault="007C17EE" w:rsidP="00AA241E">
      <w:pPr>
        <w:pStyle w:val="Loendilik"/>
        <w:keepNext/>
        <w:keepLines/>
        <w:numPr>
          <w:ilvl w:val="0"/>
          <w:numId w:val="63"/>
        </w:numPr>
        <w:spacing w:before="160" w:after="80" w:line="360" w:lineRule="auto"/>
        <w:contextualSpacing w:val="0"/>
        <w:jc w:val="both"/>
        <w:outlineLvl w:val="2"/>
        <w:rPr>
          <w:rFonts w:eastAsia="Calibri" w:cstheme="majorBidi"/>
          <w:bCs/>
          <w:vanish/>
          <w:color w:val="000000" w:themeColor="text1"/>
          <w:lang w:eastAsia="en-US"/>
        </w:rPr>
      </w:pPr>
      <w:bookmarkStart w:id="195" w:name="_Toc174096109"/>
      <w:bookmarkStart w:id="196" w:name="_Toc174535998"/>
      <w:bookmarkStart w:id="197" w:name="_Toc174618452"/>
      <w:bookmarkStart w:id="198" w:name="_Toc174627514"/>
      <w:bookmarkStart w:id="199" w:name="_Toc174704938"/>
      <w:bookmarkStart w:id="200" w:name="_Toc174709482"/>
      <w:bookmarkStart w:id="201" w:name="_Toc174710711"/>
      <w:bookmarkEnd w:id="195"/>
      <w:bookmarkEnd w:id="196"/>
      <w:bookmarkEnd w:id="197"/>
      <w:bookmarkEnd w:id="198"/>
      <w:bookmarkEnd w:id="199"/>
      <w:bookmarkEnd w:id="200"/>
      <w:bookmarkEnd w:id="201"/>
    </w:p>
    <w:p w14:paraId="579C0BBA" w14:textId="77777777" w:rsidR="007C17EE" w:rsidRPr="007C17EE" w:rsidRDefault="007C17EE" w:rsidP="00AA241E">
      <w:pPr>
        <w:pStyle w:val="Loendilik"/>
        <w:keepNext/>
        <w:keepLines/>
        <w:numPr>
          <w:ilvl w:val="1"/>
          <w:numId w:val="63"/>
        </w:numPr>
        <w:spacing w:before="160" w:after="80" w:line="360" w:lineRule="auto"/>
        <w:contextualSpacing w:val="0"/>
        <w:jc w:val="both"/>
        <w:outlineLvl w:val="2"/>
        <w:rPr>
          <w:rFonts w:eastAsia="Calibri" w:cstheme="majorBidi"/>
          <w:bCs/>
          <w:vanish/>
          <w:color w:val="000000" w:themeColor="text1"/>
          <w:lang w:eastAsia="en-US"/>
        </w:rPr>
      </w:pPr>
      <w:bookmarkStart w:id="202" w:name="_Toc174094508"/>
      <w:bookmarkStart w:id="203" w:name="_Toc174094775"/>
      <w:bookmarkStart w:id="204" w:name="_Toc174095041"/>
      <w:bookmarkStart w:id="205" w:name="_Toc174095306"/>
      <w:bookmarkStart w:id="206" w:name="_Toc174095844"/>
      <w:bookmarkStart w:id="207" w:name="_Toc174096110"/>
      <w:bookmarkStart w:id="208" w:name="_Toc174535999"/>
      <w:bookmarkStart w:id="209" w:name="_Toc174617096"/>
      <w:bookmarkStart w:id="210" w:name="_Toc174618453"/>
      <w:bookmarkStart w:id="211" w:name="_Toc174627515"/>
      <w:bookmarkStart w:id="212" w:name="_Toc174704939"/>
      <w:bookmarkStart w:id="213" w:name="_Toc174709483"/>
      <w:bookmarkStart w:id="214" w:name="_Toc174710712"/>
      <w:bookmarkEnd w:id="202"/>
      <w:bookmarkEnd w:id="203"/>
      <w:bookmarkEnd w:id="204"/>
      <w:bookmarkEnd w:id="205"/>
      <w:bookmarkEnd w:id="206"/>
      <w:bookmarkEnd w:id="207"/>
      <w:bookmarkEnd w:id="208"/>
      <w:bookmarkEnd w:id="209"/>
      <w:bookmarkEnd w:id="210"/>
      <w:bookmarkEnd w:id="211"/>
      <w:bookmarkEnd w:id="212"/>
      <w:bookmarkEnd w:id="213"/>
      <w:bookmarkEnd w:id="214"/>
    </w:p>
    <w:p w14:paraId="18B24604" w14:textId="77777777" w:rsidR="007C3612" w:rsidRPr="007C3612" w:rsidRDefault="007C3612" w:rsidP="00AA241E">
      <w:pPr>
        <w:pStyle w:val="Loendilik"/>
        <w:keepNext/>
        <w:keepLines/>
        <w:numPr>
          <w:ilvl w:val="0"/>
          <w:numId w:val="62"/>
        </w:numPr>
        <w:spacing w:before="160" w:after="80" w:line="360" w:lineRule="auto"/>
        <w:contextualSpacing w:val="0"/>
        <w:jc w:val="both"/>
        <w:outlineLvl w:val="2"/>
        <w:rPr>
          <w:rFonts w:eastAsia="Calibri" w:cstheme="majorBidi"/>
          <w:bCs/>
          <w:vanish/>
          <w:color w:val="000000" w:themeColor="text1"/>
          <w:lang w:eastAsia="en-US"/>
        </w:rPr>
      </w:pPr>
      <w:bookmarkStart w:id="215" w:name="_Toc174096111"/>
      <w:bookmarkStart w:id="216" w:name="_Toc174536000"/>
      <w:bookmarkStart w:id="217" w:name="_Toc174618454"/>
      <w:bookmarkStart w:id="218" w:name="_Toc174627516"/>
      <w:bookmarkStart w:id="219" w:name="_Toc174704940"/>
      <w:bookmarkStart w:id="220" w:name="_Toc174709484"/>
      <w:bookmarkStart w:id="221" w:name="_Toc174710713"/>
      <w:bookmarkEnd w:id="215"/>
      <w:bookmarkEnd w:id="216"/>
      <w:bookmarkEnd w:id="217"/>
      <w:bookmarkEnd w:id="218"/>
      <w:bookmarkEnd w:id="219"/>
      <w:bookmarkEnd w:id="220"/>
      <w:bookmarkEnd w:id="221"/>
    </w:p>
    <w:p w14:paraId="23029900" w14:textId="77777777" w:rsidR="007C3612" w:rsidRPr="007C3612" w:rsidRDefault="007C3612" w:rsidP="00AA241E">
      <w:pPr>
        <w:pStyle w:val="Loendilik"/>
        <w:keepNext/>
        <w:keepLines/>
        <w:numPr>
          <w:ilvl w:val="1"/>
          <w:numId w:val="62"/>
        </w:numPr>
        <w:spacing w:before="160" w:after="80" w:line="360" w:lineRule="auto"/>
        <w:contextualSpacing w:val="0"/>
        <w:jc w:val="both"/>
        <w:outlineLvl w:val="2"/>
        <w:rPr>
          <w:rFonts w:eastAsia="Calibri" w:cstheme="majorBidi"/>
          <w:bCs/>
          <w:vanish/>
          <w:color w:val="000000" w:themeColor="text1"/>
          <w:lang w:eastAsia="en-US"/>
        </w:rPr>
      </w:pPr>
      <w:bookmarkStart w:id="222" w:name="_Toc174094510"/>
      <w:bookmarkStart w:id="223" w:name="_Toc174094777"/>
      <w:bookmarkStart w:id="224" w:name="_Toc174095043"/>
      <w:bookmarkStart w:id="225" w:name="_Toc174095308"/>
      <w:bookmarkStart w:id="226" w:name="_Toc174095846"/>
      <w:bookmarkStart w:id="227" w:name="_Toc174096112"/>
      <w:bookmarkStart w:id="228" w:name="_Toc174536001"/>
      <w:bookmarkStart w:id="229" w:name="_Toc174617098"/>
      <w:bookmarkStart w:id="230" w:name="_Toc174618455"/>
      <w:bookmarkStart w:id="231" w:name="_Toc174627517"/>
      <w:bookmarkStart w:id="232" w:name="_Toc174704941"/>
      <w:bookmarkStart w:id="233" w:name="_Toc174709485"/>
      <w:bookmarkStart w:id="234" w:name="_Toc174710714"/>
      <w:bookmarkEnd w:id="222"/>
      <w:bookmarkEnd w:id="223"/>
      <w:bookmarkEnd w:id="224"/>
      <w:bookmarkEnd w:id="225"/>
      <w:bookmarkEnd w:id="226"/>
      <w:bookmarkEnd w:id="227"/>
      <w:bookmarkEnd w:id="228"/>
      <w:bookmarkEnd w:id="229"/>
      <w:bookmarkEnd w:id="230"/>
      <w:bookmarkEnd w:id="231"/>
      <w:bookmarkEnd w:id="232"/>
      <w:bookmarkEnd w:id="233"/>
      <w:bookmarkEnd w:id="234"/>
    </w:p>
    <w:p w14:paraId="12D349EE" w14:textId="77777777" w:rsidR="00744480" w:rsidRPr="00744480" w:rsidRDefault="00744480" w:rsidP="00AA241E">
      <w:pPr>
        <w:pStyle w:val="Loendilik"/>
        <w:keepNext/>
        <w:keepLines/>
        <w:numPr>
          <w:ilvl w:val="0"/>
          <w:numId w:val="67"/>
        </w:numPr>
        <w:spacing w:before="160" w:after="80" w:line="360" w:lineRule="auto"/>
        <w:contextualSpacing w:val="0"/>
        <w:jc w:val="both"/>
        <w:outlineLvl w:val="2"/>
        <w:rPr>
          <w:rFonts w:eastAsia="Calibri" w:cstheme="majorBidi"/>
          <w:bCs/>
          <w:vanish/>
          <w:color w:val="000000" w:themeColor="text1"/>
          <w:lang w:eastAsia="en-US"/>
        </w:rPr>
      </w:pPr>
      <w:bookmarkStart w:id="235" w:name="_Toc174096113"/>
      <w:bookmarkStart w:id="236" w:name="_Toc174536002"/>
      <w:bookmarkStart w:id="237" w:name="_Toc174618456"/>
      <w:bookmarkStart w:id="238" w:name="_Toc174627518"/>
      <w:bookmarkStart w:id="239" w:name="_Toc174704942"/>
      <w:bookmarkStart w:id="240" w:name="_Toc174709486"/>
      <w:bookmarkStart w:id="241" w:name="_Toc174710715"/>
      <w:bookmarkEnd w:id="235"/>
      <w:bookmarkEnd w:id="236"/>
      <w:bookmarkEnd w:id="237"/>
      <w:bookmarkEnd w:id="238"/>
      <w:bookmarkEnd w:id="239"/>
      <w:bookmarkEnd w:id="240"/>
      <w:bookmarkEnd w:id="241"/>
    </w:p>
    <w:p w14:paraId="67E66580" w14:textId="77777777" w:rsidR="00744480" w:rsidRPr="00744480" w:rsidRDefault="00744480" w:rsidP="00AA241E">
      <w:pPr>
        <w:pStyle w:val="Loendilik"/>
        <w:keepNext/>
        <w:keepLines/>
        <w:numPr>
          <w:ilvl w:val="1"/>
          <w:numId w:val="67"/>
        </w:numPr>
        <w:spacing w:before="160" w:after="80" w:line="360" w:lineRule="auto"/>
        <w:contextualSpacing w:val="0"/>
        <w:jc w:val="both"/>
        <w:outlineLvl w:val="2"/>
        <w:rPr>
          <w:rFonts w:eastAsia="Calibri" w:cstheme="majorBidi"/>
          <w:bCs/>
          <w:vanish/>
          <w:color w:val="000000" w:themeColor="text1"/>
          <w:lang w:eastAsia="en-US"/>
        </w:rPr>
      </w:pPr>
      <w:bookmarkStart w:id="242" w:name="_Toc174094512"/>
      <w:bookmarkStart w:id="243" w:name="_Toc174094779"/>
      <w:bookmarkStart w:id="244" w:name="_Toc174095045"/>
      <w:bookmarkStart w:id="245" w:name="_Toc174095310"/>
      <w:bookmarkStart w:id="246" w:name="_Toc174095848"/>
      <w:bookmarkStart w:id="247" w:name="_Toc174096114"/>
      <w:bookmarkStart w:id="248" w:name="_Toc174536003"/>
      <w:bookmarkStart w:id="249" w:name="_Toc174617100"/>
      <w:bookmarkStart w:id="250" w:name="_Toc174618457"/>
      <w:bookmarkStart w:id="251" w:name="_Toc174627519"/>
      <w:bookmarkStart w:id="252" w:name="_Toc174704943"/>
      <w:bookmarkStart w:id="253" w:name="_Toc174709487"/>
      <w:bookmarkStart w:id="254" w:name="_Toc174710716"/>
      <w:bookmarkEnd w:id="242"/>
      <w:bookmarkEnd w:id="243"/>
      <w:bookmarkEnd w:id="244"/>
      <w:bookmarkEnd w:id="245"/>
      <w:bookmarkEnd w:id="246"/>
      <w:bookmarkEnd w:id="247"/>
      <w:bookmarkEnd w:id="248"/>
      <w:bookmarkEnd w:id="249"/>
      <w:bookmarkEnd w:id="250"/>
      <w:bookmarkEnd w:id="251"/>
      <w:bookmarkEnd w:id="252"/>
      <w:bookmarkEnd w:id="253"/>
      <w:bookmarkEnd w:id="254"/>
    </w:p>
    <w:p w14:paraId="1F94E553" w14:textId="347653FB" w:rsidR="0095323E" w:rsidRDefault="0095323E" w:rsidP="009805E1">
      <w:pPr>
        <w:pStyle w:val="Pealkiri3"/>
      </w:pPr>
      <w:bookmarkStart w:id="255" w:name="_Toc174096115"/>
      <w:bookmarkStart w:id="256" w:name="_Toc174536004"/>
      <w:bookmarkStart w:id="257" w:name="_Toc174710717"/>
      <w:bookmarkEnd w:id="255"/>
      <w:bookmarkEnd w:id="256"/>
      <w:r w:rsidRPr="006E317E">
        <w:t>Hulgiturgude 1 ja 3b toodetel baseeruvad jaeturu tooted</w:t>
      </w:r>
      <w:bookmarkEnd w:id="181"/>
      <w:bookmarkEnd w:id="257"/>
    </w:p>
    <w:p w14:paraId="6A5BD42A" w14:textId="550643BA" w:rsidR="0095323E" w:rsidRPr="006E317E" w:rsidRDefault="0095323E" w:rsidP="00AA241E">
      <w:pPr>
        <w:jc w:val="both"/>
      </w:pPr>
      <w:r w:rsidRPr="006E317E">
        <w:t>Kuna käesoleva jaeturu analüüsi eesmärk on tuvastada, kas eksisteerib geograafilisi piirkondi, kus võib olla asjakohane rakendada hulgiturgudel 1 ja 3b valdkonnaspetsiifilist regulatsiooni, siis tuleb esmalt määratleda vastavate hulgiturgudega seotud jaeturud.</w:t>
      </w:r>
    </w:p>
    <w:p w14:paraId="5FE72EDD" w14:textId="6F9A77DA" w:rsidR="0095323E" w:rsidRPr="006E317E" w:rsidRDefault="0095323E" w:rsidP="00AA241E">
      <w:pPr>
        <w:jc w:val="both"/>
      </w:pPr>
      <w:r w:rsidRPr="006E317E">
        <w:t xml:space="preserve">Hulgiturgude 1 ja 3b tooted on sidevõrgu tooted, mis kokkuvõtlikult seisnevad sidevõrgu teatud elementide loomises, haldamises ja kasutada andmises endale või teistele sideettevõtetele sideteenuste osutamiseks era- ja äriklientidele. Hulgiturg 1 toode seisneb kliendiliini (nt </w:t>
      </w:r>
      <w:r w:rsidR="00AD1150">
        <w:t>vaskpaar</w:t>
      </w:r>
      <w:r w:rsidRPr="006E317E">
        <w:t xml:space="preserve"> või valguskaabli kiud sidevõrgu juurdepääsuvõrgu peajaotuspunktist kuni lõpp-punktini) loomises, haldamises ja kasutada andmises endale või teistele sideettevõtjatele sideteenuste osutamiseks era- ja äriklientidele. Hulgiturg 3b toode seisneb sidevõrgu ülekande- ja juurdepääsuvõrgu loomises, haldamises ja selle baasil ülekandevõrgu sõlmest kuni juurdepääsuvõrgus paikneva lõpp-punktini bitivoo ühenduse (nimetatakse ka lairibaühenduseks) loomises, haldamises ja kasutada andmises endale või teistele sideettevõtjatele sideteenuste osutamiseks era- ja äriklientidele.</w:t>
      </w:r>
    </w:p>
    <w:p w14:paraId="42FDCBCC" w14:textId="77777777" w:rsidR="0095323E" w:rsidRPr="004D5C95" w:rsidRDefault="0095323E" w:rsidP="00AA241E">
      <w:pPr>
        <w:jc w:val="both"/>
        <w:rPr>
          <w:b/>
        </w:rPr>
      </w:pPr>
      <w:r w:rsidRPr="006E317E">
        <w:lastRenderedPageBreak/>
        <w:t xml:space="preserve">Nõudlus ja pakkumine hulgiturgude 1 ja 3b toodete järele sõltub era- ja äriklientide nõudlusest jaetasandil standardsete sideteenuste järele, mida nende hulgitoodete alusel osutatakse. </w:t>
      </w:r>
      <w:r w:rsidRPr="004D5C95">
        <w:rPr>
          <w:b/>
        </w:rPr>
        <w:t xml:space="preserve">Peamiselt osutatakse hulgiturgude 1 ja 3b toodete alusel püsiasukohas tarbimiseks suunatud internetiühenduse jaeteenust, mis seisneb era- ja äriklientide terminalseadmete sidevõrguga ühendamises, mis tagab juurdepääsu internetile ja selle lõpp-punktidele sõltumata kasutatavast sidevõrgu tehnoloogiast või terminalseadmest. </w:t>
      </w:r>
    </w:p>
    <w:p w14:paraId="1D802016" w14:textId="3E6B3AAE" w:rsidR="0095323E" w:rsidRDefault="0095323E" w:rsidP="00AA241E">
      <w:pPr>
        <w:spacing w:after="240"/>
        <w:jc w:val="both"/>
      </w:pPr>
      <w:r w:rsidRPr="006E317E">
        <w:t xml:space="preserve">Internetiühendus võimaldab </w:t>
      </w:r>
      <w:proofErr w:type="spellStart"/>
      <w:r w:rsidRPr="006E317E">
        <w:t>jaekliendil</w:t>
      </w:r>
      <w:proofErr w:type="spellEnd"/>
      <w:r w:rsidRPr="006E317E">
        <w:t xml:space="preserve"> tarbida kõneteenuseid, TV-teenuseid, kontori- ja kodutöö rakendusi, samuti muid erinevatele elektroonilistel rakendustel baseeruvaid sisuteenuseid sh sotsiaalmeedia, samuti masinate vahelise side teenuseid (</w:t>
      </w:r>
      <w:proofErr w:type="spellStart"/>
      <w:r w:rsidRPr="003F4F89">
        <w:rPr>
          <w:i/>
          <w:iCs/>
        </w:rPr>
        <w:t>machine</w:t>
      </w:r>
      <w:proofErr w:type="spellEnd"/>
      <w:r w:rsidRPr="003F4F89">
        <w:rPr>
          <w:i/>
          <w:iCs/>
        </w:rPr>
        <w:t xml:space="preserve"> </w:t>
      </w:r>
      <w:proofErr w:type="spellStart"/>
      <w:r w:rsidRPr="003F4F89">
        <w:rPr>
          <w:i/>
          <w:iCs/>
        </w:rPr>
        <w:t>to</w:t>
      </w:r>
      <w:proofErr w:type="spellEnd"/>
      <w:r w:rsidRPr="003F4F89">
        <w:rPr>
          <w:i/>
          <w:iCs/>
        </w:rPr>
        <w:t xml:space="preserve"> </w:t>
      </w:r>
      <w:proofErr w:type="spellStart"/>
      <w:r w:rsidRPr="003F4F89">
        <w:rPr>
          <w:i/>
          <w:iCs/>
        </w:rPr>
        <w:t>machine</w:t>
      </w:r>
      <w:proofErr w:type="spellEnd"/>
      <w:r w:rsidRPr="003F4F89">
        <w:rPr>
          <w:i/>
          <w:iCs/>
        </w:rPr>
        <w:t xml:space="preserve"> </w:t>
      </w:r>
      <w:proofErr w:type="spellStart"/>
      <w:r w:rsidRPr="003F4F89">
        <w:rPr>
          <w:i/>
          <w:iCs/>
        </w:rPr>
        <w:t>communication</w:t>
      </w:r>
      <w:proofErr w:type="spellEnd"/>
      <w:r w:rsidRPr="006E317E">
        <w:t xml:space="preserve">, M2M). </w:t>
      </w:r>
      <w:r w:rsidR="00EE7CBB" w:rsidRPr="006E317E">
        <w:t>Eestlaste internetiühenduste</w:t>
      </w:r>
      <w:r w:rsidR="00531BC0" w:rsidRPr="006E317E">
        <w:t xml:space="preserve"> kasutamise</w:t>
      </w:r>
      <w:r w:rsidR="00EE7CBB" w:rsidRPr="006E317E">
        <w:t xml:space="preserve"> harjumusi on näiteks kirjeldatud siin</w:t>
      </w:r>
      <w:r w:rsidR="005B37B6" w:rsidRPr="006E317E">
        <w:t xml:space="preserve"> (inglise keeles)</w:t>
      </w:r>
      <w:r w:rsidR="00EE7CBB" w:rsidRPr="006E317E">
        <w:t xml:space="preserve"> </w:t>
      </w:r>
      <w:hyperlink r:id="rId15">
        <w:r w:rsidR="00531BC0" w:rsidRPr="006E317E">
          <w:rPr>
            <w:rStyle w:val="Hperlink"/>
          </w:rPr>
          <w:t xml:space="preserve">Digital 2024: Estonia — </w:t>
        </w:r>
        <w:proofErr w:type="spellStart"/>
        <w:r w:rsidR="00531BC0" w:rsidRPr="006E317E">
          <w:rPr>
            <w:rStyle w:val="Hperlink"/>
          </w:rPr>
          <w:t>DataReportal</w:t>
        </w:r>
        <w:proofErr w:type="spellEnd"/>
        <w:r w:rsidR="00531BC0" w:rsidRPr="006E317E">
          <w:rPr>
            <w:rStyle w:val="Hperlink"/>
          </w:rPr>
          <w:t xml:space="preserve"> – Global Digital </w:t>
        </w:r>
        <w:proofErr w:type="spellStart"/>
        <w:r w:rsidR="00531BC0" w:rsidRPr="006E317E">
          <w:rPr>
            <w:rStyle w:val="Hperlink"/>
          </w:rPr>
          <w:t>Insights</w:t>
        </w:r>
        <w:proofErr w:type="spellEnd"/>
      </w:hyperlink>
      <w:r w:rsidR="004D6530" w:rsidRPr="006E317E">
        <w:t xml:space="preserve"> ja siin </w:t>
      </w:r>
      <w:r w:rsidR="005B37B6" w:rsidRPr="006E317E">
        <w:t>(</w:t>
      </w:r>
      <w:r w:rsidR="00ED30B6" w:rsidRPr="006E317E">
        <w:t xml:space="preserve">eesti keeles) </w:t>
      </w:r>
      <w:hyperlink r:id="rId16" w:anchor="huvitavat-statistikat-internetikasutusest-eestis">
        <w:r w:rsidR="004D6530" w:rsidRPr="006E317E">
          <w:rPr>
            <w:rStyle w:val="Hperlink"/>
          </w:rPr>
          <w:t xml:space="preserve">Interneti ja sotsiaalmeedia kasutamise trendid Eestis ja maailmas aastal 2024 - mida arvestada oma digiturunduses? - </w:t>
        </w:r>
        <w:proofErr w:type="spellStart"/>
        <w:r w:rsidR="004D6530" w:rsidRPr="006E317E">
          <w:rPr>
            <w:rStyle w:val="Hperlink"/>
          </w:rPr>
          <w:t>Milos</w:t>
        </w:r>
        <w:proofErr w:type="spellEnd"/>
        <w:r w:rsidR="004D6530" w:rsidRPr="006E317E">
          <w:rPr>
            <w:rStyle w:val="Hperlink"/>
          </w:rPr>
          <w:t xml:space="preserve"> OÜ</w:t>
        </w:r>
      </w:hyperlink>
      <w:r w:rsidR="007E7335" w:rsidRPr="006E317E">
        <w:t>.</w:t>
      </w:r>
    </w:p>
    <w:p w14:paraId="774B7CF1" w14:textId="7E4B3A99" w:rsidR="0095323E" w:rsidRPr="00A9741E" w:rsidRDefault="0095323E" w:rsidP="009805E1">
      <w:pPr>
        <w:pStyle w:val="Pealkiri3"/>
      </w:pPr>
      <w:bookmarkStart w:id="258" w:name="_Toc174094516"/>
      <w:bookmarkStart w:id="259" w:name="_Toc174094783"/>
      <w:bookmarkStart w:id="260" w:name="_Toc174095049"/>
      <w:bookmarkStart w:id="261" w:name="_Toc174095314"/>
      <w:bookmarkStart w:id="262" w:name="_Toc174095852"/>
      <w:bookmarkStart w:id="263" w:name="_Toc174096118"/>
      <w:bookmarkStart w:id="264" w:name="_Toc174536007"/>
      <w:bookmarkStart w:id="265" w:name="_Toc170888945"/>
      <w:bookmarkStart w:id="266" w:name="_Toc174710718"/>
      <w:bookmarkEnd w:id="258"/>
      <w:bookmarkEnd w:id="259"/>
      <w:bookmarkEnd w:id="260"/>
      <w:bookmarkEnd w:id="261"/>
      <w:bookmarkEnd w:id="262"/>
      <w:bookmarkEnd w:id="263"/>
      <w:bookmarkEnd w:id="264"/>
      <w:r w:rsidRPr="00A9741E">
        <w:t>Jaeturu konkurentsi analüüsi kaasatavad sidevõrkude tehnoloogiad</w:t>
      </w:r>
      <w:bookmarkEnd w:id="265"/>
      <w:bookmarkEnd w:id="266"/>
      <w:r w:rsidRPr="00A9741E">
        <w:t xml:space="preserve"> </w:t>
      </w:r>
    </w:p>
    <w:p w14:paraId="5C041D57" w14:textId="30B87572" w:rsidR="0095323E" w:rsidRPr="006E317E" w:rsidRDefault="0095323E" w:rsidP="00AA241E">
      <w:pPr>
        <w:jc w:val="both"/>
      </w:pPr>
      <w:r w:rsidRPr="006E317E">
        <w:t xml:space="preserve">Eestis osutatakse püsiasukohaga standardseid internetiühenduse jaeteenuseid järgmiste sidevõrgu tehnoloogiate baasil (andmed 2023 aasta lõpu seisuga, vt </w:t>
      </w:r>
      <w:r w:rsidR="007A5094">
        <w:t>J</w:t>
      </w:r>
      <w:r w:rsidRPr="006E317E">
        <w:t xml:space="preserve">oonist </w:t>
      </w:r>
      <w:r w:rsidR="007A5094">
        <w:t>5</w:t>
      </w:r>
      <w:r w:rsidRPr="000B7BC5">
        <w:t>):</w:t>
      </w:r>
    </w:p>
    <w:p w14:paraId="24E67896" w14:textId="77777777" w:rsidR="0095323E" w:rsidRPr="006E317E" w:rsidRDefault="0095323E" w:rsidP="00AA241E">
      <w:pPr>
        <w:pStyle w:val="Loendilik"/>
        <w:numPr>
          <w:ilvl w:val="0"/>
          <w:numId w:val="104"/>
        </w:numPr>
        <w:jc w:val="both"/>
      </w:pPr>
      <w:r w:rsidRPr="006E317E">
        <w:t xml:space="preserve">valguskaabli FTTB, FTTH baasil 47%, ühenduste arv kasvav, </w:t>
      </w:r>
    </w:p>
    <w:p w14:paraId="38ACCE23" w14:textId="77777777" w:rsidR="0095323E" w:rsidRPr="006E317E" w:rsidRDefault="0095323E" w:rsidP="00AA241E">
      <w:pPr>
        <w:pStyle w:val="Loendilik"/>
        <w:numPr>
          <w:ilvl w:val="0"/>
          <w:numId w:val="104"/>
        </w:numPr>
        <w:jc w:val="both"/>
      </w:pPr>
      <w:r w:rsidRPr="006E317E">
        <w:t>mobiilsidevõrgu 4G ja 5G baasil püsiasukohas tarbimiseks suunatud piiramatu mahuga internetiühendused</w:t>
      </w:r>
      <w:r w:rsidRPr="005D266E">
        <w:rPr>
          <w:vertAlign w:val="superscript"/>
        </w:rPr>
        <w:footnoteReference w:id="47"/>
      </w:r>
      <w:r w:rsidRPr="006E317E">
        <w:t xml:space="preserve"> 24%, arv kasvav,</w:t>
      </w:r>
    </w:p>
    <w:p w14:paraId="586CDEAB" w14:textId="77777777" w:rsidR="0095323E" w:rsidRPr="006E317E" w:rsidRDefault="0095323E" w:rsidP="00AA241E">
      <w:pPr>
        <w:pStyle w:val="Loendilik"/>
        <w:numPr>
          <w:ilvl w:val="0"/>
          <w:numId w:val="104"/>
        </w:numPr>
        <w:jc w:val="both"/>
      </w:pPr>
      <w:r w:rsidRPr="006E317E">
        <w:t>koaksiaalkaabli DOCSIS 3.0 baasil 13%, ühenduste arv kahanev,</w:t>
      </w:r>
    </w:p>
    <w:p w14:paraId="63A72AAC" w14:textId="55B4E06E" w:rsidR="0095323E" w:rsidRPr="006E317E" w:rsidRDefault="00532579" w:rsidP="00AA241E">
      <w:pPr>
        <w:pStyle w:val="Loendilik"/>
        <w:numPr>
          <w:ilvl w:val="0"/>
          <w:numId w:val="104"/>
        </w:numPr>
        <w:jc w:val="both"/>
      </w:pPr>
      <w:r>
        <w:t>vaskpaar</w:t>
      </w:r>
      <w:r w:rsidR="0095323E" w:rsidRPr="006E317E">
        <w:t xml:space="preserve"> </w:t>
      </w:r>
      <w:proofErr w:type="spellStart"/>
      <w:r w:rsidR="0095323E" w:rsidRPr="006E317E">
        <w:t>VDSLx</w:t>
      </w:r>
      <w:proofErr w:type="spellEnd"/>
      <w:r w:rsidR="007E6C65">
        <w:t xml:space="preserve"> sh</w:t>
      </w:r>
      <w:r w:rsidR="0095323E" w:rsidRPr="006E317E">
        <w:t xml:space="preserve"> </w:t>
      </w:r>
      <w:proofErr w:type="spellStart"/>
      <w:r w:rsidR="0095323E" w:rsidRPr="00B52EF5">
        <w:rPr>
          <w:i/>
          <w:iCs/>
        </w:rPr>
        <w:t>vectoring</w:t>
      </w:r>
      <w:proofErr w:type="spellEnd"/>
      <w:r w:rsidR="0095323E" w:rsidRPr="006E317E">
        <w:t xml:space="preserve"> (sh </w:t>
      </w:r>
      <w:r w:rsidR="0095323E" w:rsidRPr="00593916">
        <w:t>Vplus35b</w:t>
      </w:r>
      <w:r w:rsidR="0095323E" w:rsidRPr="006E317E">
        <w:t>) baasil 13%, sh ühenduste arv kahanev,</w:t>
      </w:r>
    </w:p>
    <w:p w14:paraId="1F1CFF8C" w14:textId="4036D4DF" w:rsidR="0095323E" w:rsidRPr="006E317E" w:rsidRDefault="00532579" w:rsidP="00AA241E">
      <w:pPr>
        <w:pStyle w:val="Loendilik"/>
        <w:numPr>
          <w:ilvl w:val="0"/>
          <w:numId w:val="104"/>
        </w:numPr>
        <w:jc w:val="both"/>
      </w:pPr>
      <w:r>
        <w:t>vaskpaar</w:t>
      </w:r>
      <w:r w:rsidR="0095323E" w:rsidRPr="006E317E">
        <w:t xml:space="preserve"> </w:t>
      </w:r>
      <w:proofErr w:type="spellStart"/>
      <w:r w:rsidR="0095323E" w:rsidRPr="006E317E">
        <w:t>ADSLx</w:t>
      </w:r>
      <w:proofErr w:type="spellEnd"/>
      <w:r w:rsidR="0095323E" w:rsidRPr="006E317E">
        <w:t xml:space="preserve"> baasil 2%, sh ühenduste arv kahanev,</w:t>
      </w:r>
    </w:p>
    <w:p w14:paraId="36846963" w14:textId="77777777" w:rsidR="0095323E" w:rsidRPr="006E317E" w:rsidRDefault="0095323E" w:rsidP="00AA241E">
      <w:pPr>
        <w:pStyle w:val="Loendilik"/>
        <w:numPr>
          <w:ilvl w:val="0"/>
          <w:numId w:val="104"/>
        </w:numPr>
        <w:jc w:val="both"/>
      </w:pPr>
      <w:r w:rsidRPr="006E317E">
        <w:t xml:space="preserve">raadiosidevõrgu </w:t>
      </w:r>
      <w:bookmarkStart w:id="267" w:name="_Hlk168560601"/>
      <w:r w:rsidRPr="006E317E">
        <w:t xml:space="preserve">2,4 GHz ja 5 GHz baasil </w:t>
      </w:r>
      <w:bookmarkEnd w:id="267"/>
      <w:r w:rsidRPr="006E317E">
        <w:t>1%, sh ühenduste arv kahanev.</w:t>
      </w:r>
    </w:p>
    <w:p w14:paraId="7739AE4C" w14:textId="60E5844C" w:rsidR="0095323E" w:rsidRPr="006E317E" w:rsidRDefault="0095323E" w:rsidP="00AA241E">
      <w:pPr>
        <w:jc w:val="both"/>
      </w:pPr>
      <w:r w:rsidRPr="006E317E">
        <w:t xml:space="preserve">Satelliitsidevõrkude internetiühendused on Eestis praegu levinud vähesel määral, TTJA hinnangul mitte rohkem kui mõned tuhanded ühendused, eelkõige oma kõrge </w:t>
      </w:r>
      <w:r w:rsidRPr="00512685">
        <w:t>hinna tõttu.</w:t>
      </w:r>
    </w:p>
    <w:p w14:paraId="7AE0935D" w14:textId="2FC5E68D" w:rsidR="0095323E" w:rsidRPr="006E317E" w:rsidRDefault="006147CD" w:rsidP="00AA241E">
      <w:pPr>
        <w:jc w:val="both"/>
      </w:pPr>
      <w:r w:rsidRPr="006E317E">
        <w:rPr>
          <w:noProof/>
        </w:rPr>
        <w:lastRenderedPageBreak/>
        <w:drawing>
          <wp:inline distT="0" distB="0" distL="0" distR="0" wp14:anchorId="5F627D3E" wp14:editId="01CA63A1">
            <wp:extent cx="5791200" cy="5530372"/>
            <wp:effectExtent l="0" t="0" r="0" b="0"/>
            <wp:docPr id="56" name="Pil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56"/>
                    <pic:cNvPicPr/>
                  </pic:nvPicPr>
                  <pic:blipFill>
                    <a:blip r:embed="rId17">
                      <a:extLst>
                        <a:ext uri="{28A0092B-C50C-407E-A947-70E740481C1C}">
                          <a14:useLocalDpi xmlns:a14="http://schemas.microsoft.com/office/drawing/2010/main" val="0"/>
                        </a:ext>
                      </a:extLst>
                    </a:blip>
                    <a:stretch>
                      <a:fillRect/>
                    </a:stretch>
                  </pic:blipFill>
                  <pic:spPr>
                    <a:xfrm>
                      <a:off x="0" y="0"/>
                      <a:ext cx="5791200" cy="5530372"/>
                    </a:xfrm>
                    <a:prstGeom prst="rect">
                      <a:avLst/>
                    </a:prstGeom>
                  </pic:spPr>
                </pic:pic>
              </a:graphicData>
            </a:graphic>
          </wp:inline>
        </w:drawing>
      </w:r>
    </w:p>
    <w:p w14:paraId="75A5FBB9" w14:textId="2F7E514F" w:rsidR="006C32C6" w:rsidRPr="000F38CA" w:rsidRDefault="000F38CA" w:rsidP="00AA241E">
      <w:pPr>
        <w:pStyle w:val="Pealdis"/>
        <w:jc w:val="both"/>
      </w:pPr>
      <w:r>
        <w:t xml:space="preserve">Joonis </w:t>
      </w:r>
      <w:r>
        <w:fldChar w:fldCharType="begin"/>
      </w:r>
      <w:r>
        <w:instrText xml:space="preserve"> SEQ Joonis \* ARABIC </w:instrText>
      </w:r>
      <w:r>
        <w:fldChar w:fldCharType="separate"/>
      </w:r>
      <w:r w:rsidR="00E5522B">
        <w:rPr>
          <w:noProof/>
        </w:rPr>
        <w:t>6</w:t>
      </w:r>
      <w:r>
        <w:fldChar w:fldCharType="end"/>
      </w:r>
      <w:r w:rsidR="006C32C6" w:rsidRPr="00512685">
        <w:rPr>
          <w:b w:val="0"/>
          <w:bCs w:val="0"/>
          <w:sz w:val="24"/>
          <w:szCs w:val="24"/>
        </w:rPr>
        <w:t xml:space="preserve"> </w:t>
      </w:r>
      <w:r w:rsidR="0095323E" w:rsidRPr="000F38CA">
        <w:t>Kaabel-, mobiil- ja raadiosidevõrgu era- ja äriklientide kasutusele</w:t>
      </w:r>
      <w:r w:rsidR="0F9EC772" w:rsidRPr="000F38CA">
        <w:t xml:space="preserve"> </w:t>
      </w:r>
      <w:r w:rsidR="0095323E" w:rsidRPr="000F38CA">
        <w:t>võetud püsiasukohaga internetiühenduste arv aastatel 2017 – 2023</w:t>
      </w:r>
    </w:p>
    <w:p w14:paraId="14825D6F" w14:textId="7B66ACF5" w:rsidR="00D94F88" w:rsidRDefault="0095323E" w:rsidP="00AA241E">
      <w:pPr>
        <w:jc w:val="both"/>
      </w:pPr>
      <w:r w:rsidRPr="006E317E">
        <w:t xml:space="preserve">Mobiilsidevõrgu puhul on kaasatud ainult piiramatu mahuga internetiühenduste paketid, mis on suunatud püsiasukohaga tarbimiseks </w:t>
      </w:r>
      <w:proofErr w:type="spellStart"/>
      <w:r w:rsidRPr="006E317E">
        <w:t>ruuteris</w:t>
      </w:r>
      <w:proofErr w:type="spellEnd"/>
      <w:r w:rsidRPr="006E317E">
        <w:t xml:space="preserve"> ning laua-, süle- ja tahvelarvutis, müüakse üldjuhul koduinterneti ja kontoriinterneti paket</w:t>
      </w:r>
      <w:r w:rsidR="43CF4480" w:rsidRPr="006E317E">
        <w:t>t</w:t>
      </w:r>
      <w:r w:rsidRPr="006E317E">
        <w:t xml:space="preserve">idena, kuid nende osas tehniliselt siiski ei piirata kasutamist ka mitte-püsiasukohaga ehk ei ole seotud ainult ühe mobiilsidevõrgu baasjaamaga. </w:t>
      </w:r>
    </w:p>
    <w:p w14:paraId="5768DE7D" w14:textId="77777777" w:rsidR="00D94F88" w:rsidRDefault="00D94F88" w:rsidP="00AA241E">
      <w:pPr>
        <w:jc w:val="both"/>
      </w:pPr>
      <w:r>
        <w:br w:type="page"/>
      </w:r>
    </w:p>
    <w:p w14:paraId="3E915323" w14:textId="77777777" w:rsidR="004625DD" w:rsidRPr="004625DD" w:rsidRDefault="004625DD" w:rsidP="004625DD">
      <w:pPr>
        <w:pStyle w:val="Loendilik"/>
        <w:keepNext/>
        <w:keepLines/>
        <w:numPr>
          <w:ilvl w:val="0"/>
          <w:numId w:val="60"/>
        </w:numPr>
        <w:tabs>
          <w:tab w:val="left" w:pos="1985"/>
        </w:tabs>
        <w:spacing w:before="120" w:after="240"/>
        <w:contextualSpacing w:val="0"/>
        <w:jc w:val="both"/>
        <w:outlineLvl w:val="3"/>
        <w:rPr>
          <w:rFonts w:eastAsiaTheme="majorEastAsia" w:cstheme="majorBidi"/>
          <w:i/>
          <w:iCs/>
          <w:vanish/>
          <w:lang w:eastAsia="en-US"/>
        </w:rPr>
      </w:pPr>
    </w:p>
    <w:p w14:paraId="7489C014" w14:textId="77777777" w:rsidR="004625DD" w:rsidRPr="004625DD" w:rsidRDefault="004625DD" w:rsidP="004625DD">
      <w:pPr>
        <w:pStyle w:val="Loendilik"/>
        <w:keepNext/>
        <w:keepLines/>
        <w:numPr>
          <w:ilvl w:val="0"/>
          <w:numId w:val="60"/>
        </w:numPr>
        <w:tabs>
          <w:tab w:val="left" w:pos="1985"/>
        </w:tabs>
        <w:spacing w:before="120" w:after="240"/>
        <w:contextualSpacing w:val="0"/>
        <w:jc w:val="both"/>
        <w:outlineLvl w:val="3"/>
        <w:rPr>
          <w:rFonts w:eastAsiaTheme="majorEastAsia" w:cstheme="majorBidi"/>
          <w:i/>
          <w:iCs/>
          <w:vanish/>
          <w:lang w:eastAsia="en-US"/>
        </w:rPr>
      </w:pPr>
    </w:p>
    <w:p w14:paraId="4137A135" w14:textId="77777777" w:rsidR="004625DD" w:rsidRPr="004625DD" w:rsidRDefault="004625DD" w:rsidP="004625DD">
      <w:pPr>
        <w:pStyle w:val="Loendilik"/>
        <w:keepNext/>
        <w:keepLines/>
        <w:numPr>
          <w:ilvl w:val="1"/>
          <w:numId w:val="60"/>
        </w:numPr>
        <w:tabs>
          <w:tab w:val="left" w:pos="1985"/>
        </w:tabs>
        <w:spacing w:before="120" w:after="240"/>
        <w:contextualSpacing w:val="0"/>
        <w:jc w:val="both"/>
        <w:outlineLvl w:val="3"/>
        <w:rPr>
          <w:rFonts w:eastAsiaTheme="majorEastAsia" w:cstheme="majorBidi"/>
          <w:i/>
          <w:iCs/>
          <w:vanish/>
          <w:lang w:eastAsia="en-US"/>
        </w:rPr>
      </w:pPr>
    </w:p>
    <w:p w14:paraId="6DA3AE61" w14:textId="77777777" w:rsidR="004625DD" w:rsidRPr="004625DD" w:rsidRDefault="004625DD" w:rsidP="004625DD">
      <w:pPr>
        <w:pStyle w:val="Loendilik"/>
        <w:keepNext/>
        <w:keepLines/>
        <w:numPr>
          <w:ilvl w:val="1"/>
          <w:numId w:val="60"/>
        </w:numPr>
        <w:tabs>
          <w:tab w:val="left" w:pos="1985"/>
        </w:tabs>
        <w:spacing w:before="120" w:after="240"/>
        <w:contextualSpacing w:val="0"/>
        <w:jc w:val="both"/>
        <w:outlineLvl w:val="3"/>
        <w:rPr>
          <w:rFonts w:eastAsiaTheme="majorEastAsia" w:cstheme="majorBidi"/>
          <w:i/>
          <w:iCs/>
          <w:vanish/>
          <w:lang w:eastAsia="en-US"/>
        </w:rPr>
      </w:pPr>
    </w:p>
    <w:p w14:paraId="47771A5B" w14:textId="77777777" w:rsidR="004625DD" w:rsidRPr="004625DD" w:rsidRDefault="004625DD" w:rsidP="004625DD">
      <w:pPr>
        <w:pStyle w:val="Loendilik"/>
        <w:keepNext/>
        <w:keepLines/>
        <w:numPr>
          <w:ilvl w:val="2"/>
          <w:numId w:val="60"/>
        </w:numPr>
        <w:tabs>
          <w:tab w:val="left" w:pos="1985"/>
        </w:tabs>
        <w:spacing w:before="120" w:after="240"/>
        <w:contextualSpacing w:val="0"/>
        <w:jc w:val="both"/>
        <w:outlineLvl w:val="3"/>
        <w:rPr>
          <w:rFonts w:eastAsiaTheme="majorEastAsia" w:cstheme="majorBidi"/>
          <w:i/>
          <w:iCs/>
          <w:vanish/>
          <w:lang w:eastAsia="en-US"/>
        </w:rPr>
      </w:pPr>
    </w:p>
    <w:p w14:paraId="51B26D53" w14:textId="77777777" w:rsidR="004625DD" w:rsidRPr="004625DD" w:rsidRDefault="004625DD" w:rsidP="004625DD">
      <w:pPr>
        <w:pStyle w:val="Loendilik"/>
        <w:keepNext/>
        <w:keepLines/>
        <w:numPr>
          <w:ilvl w:val="2"/>
          <w:numId w:val="60"/>
        </w:numPr>
        <w:tabs>
          <w:tab w:val="left" w:pos="1985"/>
        </w:tabs>
        <w:spacing w:before="120" w:after="240"/>
        <w:contextualSpacing w:val="0"/>
        <w:jc w:val="both"/>
        <w:outlineLvl w:val="3"/>
        <w:rPr>
          <w:rFonts w:eastAsiaTheme="majorEastAsia" w:cstheme="majorBidi"/>
          <w:i/>
          <w:iCs/>
          <w:vanish/>
          <w:lang w:eastAsia="en-US"/>
        </w:rPr>
      </w:pPr>
    </w:p>
    <w:p w14:paraId="650B6FFD" w14:textId="77777777" w:rsidR="004625DD" w:rsidRPr="004625DD" w:rsidRDefault="004625DD" w:rsidP="004625DD">
      <w:pPr>
        <w:pStyle w:val="Loendilik"/>
        <w:keepNext/>
        <w:keepLines/>
        <w:numPr>
          <w:ilvl w:val="2"/>
          <w:numId w:val="60"/>
        </w:numPr>
        <w:tabs>
          <w:tab w:val="left" w:pos="1985"/>
        </w:tabs>
        <w:spacing w:before="120" w:after="240"/>
        <w:contextualSpacing w:val="0"/>
        <w:jc w:val="both"/>
        <w:outlineLvl w:val="3"/>
        <w:rPr>
          <w:rFonts w:eastAsiaTheme="majorEastAsia" w:cstheme="majorBidi"/>
          <w:i/>
          <w:iCs/>
          <w:vanish/>
          <w:lang w:eastAsia="en-US"/>
        </w:rPr>
      </w:pPr>
    </w:p>
    <w:p w14:paraId="47D99A8D" w14:textId="77777777" w:rsidR="0095323E" w:rsidRPr="00C7334F" w:rsidRDefault="0095323E" w:rsidP="004625DD">
      <w:pPr>
        <w:pStyle w:val="Heading49"/>
        <w:numPr>
          <w:ilvl w:val="3"/>
          <w:numId w:val="60"/>
        </w:numPr>
      </w:pPr>
      <w:r w:rsidRPr="00C7334F">
        <w:t>Millised internetiühendusi võimaldavad sidevõrgu tehnoloogiad kaasatakse jaeturu konkurentsi analüüsi?</w:t>
      </w:r>
    </w:p>
    <w:p w14:paraId="77523AB3" w14:textId="3F3B5C94" w:rsidR="0095323E" w:rsidRPr="00753CD8" w:rsidRDefault="0095323E" w:rsidP="00AA241E">
      <w:pPr>
        <w:jc w:val="both"/>
        <w:rPr>
          <w:b/>
        </w:rPr>
      </w:pPr>
      <w:r w:rsidRPr="00753CD8">
        <w:rPr>
          <w:b/>
        </w:rPr>
        <w:t xml:space="preserve">TTJA hinnangul on mõistlik ja otstarbekas kaasata püsiasukohaga internetiühenduste jaeturu konkurentsi analüüsi kõik püsiasukohaga tarbimiseks suunatud piiramatu mahuga internetiühendusi võimaldavad sidevõrgu tehnoloogiad, mille kasutuse maht on vähemalt </w:t>
      </w:r>
      <w:r w:rsidR="003C7CC7" w:rsidRPr="00753CD8">
        <w:rPr>
          <w:b/>
        </w:rPr>
        <w:t>1</w:t>
      </w:r>
      <w:r w:rsidRPr="00753CD8">
        <w:rPr>
          <w:b/>
        </w:rPr>
        <w:t xml:space="preserve">% kõikide võrkude kasutuses ühenduste kogumahust. Sellisteks enam kasutatavateks internetiühendusi võimaldavateks sidevõrgu tehnoloogiateks on </w:t>
      </w:r>
      <w:proofErr w:type="spellStart"/>
      <w:r w:rsidR="003C7CC7" w:rsidRPr="00753CD8">
        <w:rPr>
          <w:b/>
        </w:rPr>
        <w:t>ADSLx</w:t>
      </w:r>
      <w:proofErr w:type="spellEnd"/>
      <w:r w:rsidR="003C7CC7" w:rsidRPr="00753CD8">
        <w:rPr>
          <w:b/>
        </w:rPr>
        <w:t xml:space="preserve">, </w:t>
      </w:r>
      <w:proofErr w:type="spellStart"/>
      <w:r w:rsidRPr="00753CD8">
        <w:rPr>
          <w:b/>
        </w:rPr>
        <w:t>VDSLx</w:t>
      </w:r>
      <w:proofErr w:type="spellEnd"/>
      <w:r w:rsidRPr="00753CD8">
        <w:rPr>
          <w:b/>
        </w:rPr>
        <w:t xml:space="preserve"> </w:t>
      </w:r>
      <w:r w:rsidR="007E6C65" w:rsidRPr="00753CD8">
        <w:rPr>
          <w:b/>
        </w:rPr>
        <w:t xml:space="preserve">sh </w:t>
      </w:r>
      <w:proofErr w:type="spellStart"/>
      <w:r w:rsidRPr="00BF761A">
        <w:rPr>
          <w:b/>
          <w:i/>
          <w:iCs/>
        </w:rPr>
        <w:t>vectoring</w:t>
      </w:r>
      <w:proofErr w:type="spellEnd"/>
      <w:r w:rsidRPr="00753CD8">
        <w:rPr>
          <w:b/>
        </w:rPr>
        <w:t xml:space="preserve"> (sh Vplus35b) </w:t>
      </w:r>
      <w:r w:rsidR="00532579">
        <w:rPr>
          <w:b/>
        </w:rPr>
        <w:t>vaskpaar</w:t>
      </w:r>
      <w:r w:rsidRPr="00753CD8">
        <w:rPr>
          <w:b/>
        </w:rPr>
        <w:t xml:space="preserve">võrk, DOCSIS 3.0 koaksiaalkaablivõrk, FTTH &amp; FTTB valguskaablivõrk ning 4G &amp; 5G mobiilsidevõrk. </w:t>
      </w:r>
    </w:p>
    <w:p w14:paraId="7B87B051" w14:textId="1F38E761" w:rsidR="003C7CC7" w:rsidRDefault="003C7CC7" w:rsidP="00AA241E">
      <w:pPr>
        <w:jc w:val="both"/>
      </w:pPr>
      <w:r w:rsidRPr="006E317E">
        <w:t>TTJA-</w:t>
      </w:r>
      <w:proofErr w:type="spellStart"/>
      <w:r w:rsidRPr="006E317E">
        <w:t>le</w:t>
      </w:r>
      <w:proofErr w:type="spellEnd"/>
      <w:r w:rsidRPr="006E317E">
        <w:t xml:space="preserve"> teada olevalt asendab Telia </w:t>
      </w:r>
      <w:proofErr w:type="spellStart"/>
      <w:r w:rsidRPr="006E317E">
        <w:t>ADSLx</w:t>
      </w:r>
      <w:proofErr w:type="spellEnd"/>
      <w:r w:rsidRPr="006E317E">
        <w:t xml:space="preserve"> </w:t>
      </w:r>
      <w:r w:rsidR="00AD1150">
        <w:t>vaskpaar</w:t>
      </w:r>
      <w:r w:rsidRPr="006E317E">
        <w:t xml:space="preserve">võrku järkjärgult </w:t>
      </w:r>
      <w:bookmarkStart w:id="268" w:name="_Hlk167895232"/>
      <w:proofErr w:type="spellStart"/>
      <w:r w:rsidRPr="006E317E">
        <w:t>VDSLx</w:t>
      </w:r>
      <w:proofErr w:type="spellEnd"/>
      <w:r w:rsidRPr="006E317E">
        <w:t xml:space="preserve"> või </w:t>
      </w:r>
      <w:proofErr w:type="spellStart"/>
      <w:r w:rsidRPr="006E317E">
        <w:t>VDSLx</w:t>
      </w:r>
      <w:proofErr w:type="spellEnd"/>
      <w:r w:rsidR="007E6C65">
        <w:t xml:space="preserve"> </w:t>
      </w:r>
      <w:proofErr w:type="spellStart"/>
      <w:r w:rsidRPr="006E317E">
        <w:t>vectoring</w:t>
      </w:r>
      <w:proofErr w:type="spellEnd"/>
      <w:r w:rsidRPr="006E317E">
        <w:t xml:space="preserve"> või </w:t>
      </w:r>
      <w:proofErr w:type="spellStart"/>
      <w:r w:rsidRPr="006E317E">
        <w:t>VDSLx</w:t>
      </w:r>
      <w:proofErr w:type="spellEnd"/>
      <w:r w:rsidR="007E6C65">
        <w:t xml:space="preserve"> </w:t>
      </w:r>
      <w:proofErr w:type="spellStart"/>
      <w:r w:rsidRPr="000B43DC">
        <w:rPr>
          <w:i/>
          <w:iCs/>
        </w:rPr>
        <w:t>vectoring</w:t>
      </w:r>
      <w:proofErr w:type="spellEnd"/>
      <w:r w:rsidR="007E6C65">
        <w:t xml:space="preserve"> </w:t>
      </w:r>
      <w:r w:rsidRPr="00593916">
        <w:t>Vplus35b</w:t>
      </w:r>
      <w:r w:rsidRPr="006E317E">
        <w:t xml:space="preserve"> </w:t>
      </w:r>
      <w:bookmarkEnd w:id="268"/>
      <w:r w:rsidR="00AD1150">
        <w:t>vaskpaar</w:t>
      </w:r>
      <w:r w:rsidRPr="006E317E">
        <w:t xml:space="preserve">võrguga või valguskaabelvõrguga või mobiilsidevõrguga olenevalt võrgu piirkonna asustustihedusest – tiheasustuspiirkondades asendatakse </w:t>
      </w:r>
      <w:proofErr w:type="spellStart"/>
      <w:r w:rsidRPr="006E317E">
        <w:t>ADSLx</w:t>
      </w:r>
      <w:proofErr w:type="spellEnd"/>
      <w:r w:rsidRPr="006E317E">
        <w:t xml:space="preserve"> võrk üldjuhul valguskaabelvõrguga ja hõreasustuspiirkondades üldjuhul </w:t>
      </w:r>
      <w:proofErr w:type="spellStart"/>
      <w:r w:rsidRPr="006E317E">
        <w:t>VDSLx</w:t>
      </w:r>
      <w:proofErr w:type="spellEnd"/>
      <w:r w:rsidR="007E6C65">
        <w:t xml:space="preserve"> </w:t>
      </w:r>
      <w:proofErr w:type="spellStart"/>
      <w:r w:rsidRPr="000B43DC">
        <w:rPr>
          <w:i/>
          <w:iCs/>
        </w:rPr>
        <w:t>vectoring</w:t>
      </w:r>
      <w:proofErr w:type="spellEnd"/>
      <w:r w:rsidRPr="006E317E">
        <w:t xml:space="preserve"> võrguga</w:t>
      </w:r>
      <w:r w:rsidR="007E6C65">
        <w:t xml:space="preserve"> (sh </w:t>
      </w:r>
      <w:proofErr w:type="spellStart"/>
      <w:r w:rsidR="007E6C65">
        <w:t>Vplus</w:t>
      </w:r>
      <w:proofErr w:type="spellEnd"/>
      <w:r w:rsidR="007E6C65">
        <w:t xml:space="preserve"> 35b)</w:t>
      </w:r>
      <w:r w:rsidRPr="006E317E">
        <w:t xml:space="preserve"> või mobiilsidevõrguga. </w:t>
      </w:r>
    </w:p>
    <w:p w14:paraId="093BB3FA" w14:textId="504AD34B" w:rsidR="0095323E" w:rsidRDefault="003C7CC7" w:rsidP="00AA241E">
      <w:pPr>
        <w:pStyle w:val="Heading49"/>
        <w:numPr>
          <w:ilvl w:val="3"/>
          <w:numId w:val="60"/>
        </w:numPr>
      </w:pPr>
      <w:r w:rsidRPr="003B1DC5">
        <w:t>R</w:t>
      </w:r>
      <w:r w:rsidR="0095323E" w:rsidRPr="003B1DC5">
        <w:t>aadiosidevõrgud</w:t>
      </w:r>
      <w:r w:rsidR="0095323E" w:rsidRPr="006E317E">
        <w:t xml:space="preserve"> 2,4 GHz ja 5 </w:t>
      </w:r>
      <w:r w:rsidR="0095323E" w:rsidRPr="003B1DC5">
        <w:t>GHz</w:t>
      </w:r>
      <w:r w:rsidR="0095323E" w:rsidRPr="006E317E">
        <w:t xml:space="preserve"> baasil</w:t>
      </w:r>
      <w:r>
        <w:t xml:space="preserve"> ja</w:t>
      </w:r>
      <w:r w:rsidR="0095323E" w:rsidRPr="006E317E">
        <w:t xml:space="preserve"> satelliitsidevõrgud </w:t>
      </w:r>
    </w:p>
    <w:p w14:paraId="52742AC7" w14:textId="1C0214B3" w:rsidR="0095323E" w:rsidRDefault="00BC4A27" w:rsidP="00AA241E">
      <w:pPr>
        <w:jc w:val="both"/>
      </w:pPr>
      <w:proofErr w:type="spellStart"/>
      <w:r w:rsidRPr="00753CD8">
        <w:rPr>
          <w:b/>
        </w:rPr>
        <w:t>WiFi</w:t>
      </w:r>
      <w:proofErr w:type="spellEnd"/>
      <w:r w:rsidR="0095323E" w:rsidRPr="00753CD8">
        <w:rPr>
          <w:b/>
        </w:rPr>
        <w:t xml:space="preserve"> (2,4 GHz ja 5 GHz baasil) raadiosidevõrke ja satelliitsidevõrke jaeturu konkurentsi analüüsi ei kaasata, kuna nende kasutuse maht on väga madal, </w:t>
      </w:r>
      <w:r w:rsidR="003C7CC7" w:rsidRPr="00753CD8">
        <w:rPr>
          <w:b/>
        </w:rPr>
        <w:t>kummalgi</w:t>
      </w:r>
      <w:r w:rsidR="0095323E" w:rsidRPr="00753CD8">
        <w:rPr>
          <w:b/>
        </w:rPr>
        <w:t xml:space="preserve"> mitte rohkem kui </w:t>
      </w:r>
      <w:r w:rsidR="003C7CC7" w:rsidRPr="00753CD8">
        <w:rPr>
          <w:b/>
        </w:rPr>
        <w:t>1</w:t>
      </w:r>
      <w:r w:rsidR="0095323E" w:rsidRPr="00753CD8">
        <w:rPr>
          <w:b/>
        </w:rPr>
        <w:t>% kasutuses internetiühenduste kogumahust</w:t>
      </w:r>
      <w:r w:rsidR="0095323E" w:rsidRPr="006E317E">
        <w:t xml:space="preserve">, vt </w:t>
      </w:r>
      <w:r w:rsidR="0095323E" w:rsidRPr="002E251B">
        <w:t xml:space="preserve">joonis </w:t>
      </w:r>
      <w:r w:rsidR="00101BB5" w:rsidRPr="002E251B">
        <w:t>6</w:t>
      </w:r>
      <w:r w:rsidR="0095323E" w:rsidRPr="006E317E">
        <w:t xml:space="preserve"> Seejuures </w:t>
      </w:r>
      <w:proofErr w:type="spellStart"/>
      <w:r w:rsidRPr="006E317E">
        <w:t>WiFi</w:t>
      </w:r>
      <w:proofErr w:type="spellEnd"/>
      <w:r w:rsidR="0095323E" w:rsidRPr="006E317E">
        <w:t xml:space="preserve"> raadiosidevõrgu kasutuse mahud vähenevad ja satelliitsidevõrkude oma kasvab, kuid mitte piisavalt kiiresti, et järgmise turuanalüüsini kestval perioodil mõjutada konkurentsi olukorda jaeturul. </w:t>
      </w:r>
    </w:p>
    <w:p w14:paraId="4D99ED88" w14:textId="77777777" w:rsidR="0095323E" w:rsidRPr="003B1DC5" w:rsidRDefault="0095323E" w:rsidP="00AA241E">
      <w:pPr>
        <w:pStyle w:val="Heading49"/>
        <w:numPr>
          <w:ilvl w:val="3"/>
          <w:numId w:val="60"/>
        </w:numPr>
      </w:pPr>
      <w:r w:rsidRPr="003B1DC5">
        <w:t>4G/5G mobiilsidevõrgud</w:t>
      </w:r>
    </w:p>
    <w:p w14:paraId="253A610F" w14:textId="6FC7C826" w:rsidR="0095323E" w:rsidRPr="00270A9F" w:rsidRDefault="0095323E" w:rsidP="00AA241E">
      <w:pPr>
        <w:jc w:val="both"/>
        <w:rPr>
          <w:b/>
        </w:rPr>
      </w:pPr>
      <w:r w:rsidRPr="006E317E">
        <w:t xml:space="preserve">TTJA ei kaasanud TTJA 2023 hulgituru 1 ja 3b otsuste kavandite juurde kuuluvate internetiühenduse jaeturu konkurentsi analüüsides 4G/5G mobiilsidevõrgu internetiühendusi, kuna leidis, et mobiilsidevõrgu internetiühenduste on mõnevõrra madalama suutlikkuse ja kvaliteedi stabiilsusega ning kõrgema hinnaga kui kaabelsidevõrgu internetiühendused ning järgmise turuanalüüsini kestval perioodil (2023-2028) on pigem tõenäoline, et mobiilsidevõrgu ühendused ei võimalda pakkuda kõigile lõppkasutajatele (eelkõige äriklientidele)  piisavalt asendust kaabelsidevõrgus internetiühendustele. </w:t>
      </w:r>
      <w:r w:rsidRPr="00270A9F">
        <w:rPr>
          <w:b/>
        </w:rPr>
        <w:t xml:space="preserve">Käesolevas otsuses on TTJA osaliselt muutnud oma seisukohta ja leiab, et </w:t>
      </w:r>
      <w:r w:rsidR="00532579">
        <w:rPr>
          <w:b/>
        </w:rPr>
        <w:t>vaskpaar</w:t>
      </w:r>
      <w:r w:rsidR="00736251">
        <w:rPr>
          <w:b/>
        </w:rPr>
        <w:t>-</w:t>
      </w:r>
      <w:r w:rsidRPr="00270A9F">
        <w:rPr>
          <w:b/>
        </w:rPr>
        <w:t xml:space="preserve"> ja koaksiaalkaablivõrgus pakutavatele internetiühenduste osas võimaldavad  püsiasukohas tarbimiseks suunatud piiramatu mahuga mobiilsidevõrgu internetiühendused pakkuda kõigile jaeklientidele (sealhulgas äriklientidele) piisavalt asendust juba järgmise turuanalüüsini kestval perioodil (2024-2029), eelkõige kuna mobiilsidevõrgu internetiühenduste kasv on olnud oodatust kiirem ja jõudnud 2023 lõpus juba 24%-</w:t>
      </w:r>
      <w:proofErr w:type="spellStart"/>
      <w:r w:rsidRPr="00270A9F">
        <w:rPr>
          <w:b/>
        </w:rPr>
        <w:t>ni</w:t>
      </w:r>
      <w:proofErr w:type="spellEnd"/>
      <w:r w:rsidRPr="00270A9F">
        <w:rPr>
          <w:b/>
        </w:rPr>
        <w:t xml:space="preserve"> kõigi sidevõrkude internetiühendustest (vt Joonis </w:t>
      </w:r>
      <w:r w:rsidR="0058376D">
        <w:rPr>
          <w:b/>
        </w:rPr>
        <w:t>6</w:t>
      </w:r>
      <w:r w:rsidR="00B1260A" w:rsidRPr="00270A9F">
        <w:rPr>
          <w:b/>
        </w:rPr>
        <w:t>)</w:t>
      </w:r>
      <w:r w:rsidRPr="00270A9F">
        <w:rPr>
          <w:b/>
        </w:rPr>
        <w:t xml:space="preserve">. Mobiilsidevõrgu operaatorid on teinud ja teevad jätkuvalt suuri investeeringuid oma 5G tehnoloogiaga internetiühenduste arendusse, misläbi mobiilsidevõrgus vabaneb täiendavat ressurssi ka 4G </w:t>
      </w:r>
      <w:r w:rsidRPr="00270A9F">
        <w:rPr>
          <w:b/>
        </w:rPr>
        <w:lastRenderedPageBreak/>
        <w:t xml:space="preserve">tehnoloogia baasil osutavate internetiühenduste jaoks, mis omakorda tõstab mobiilsidevõrgu internetiühenduste kvaliteedi stabiilsust. Samuti mobiilsidevõrgu ja kaabelsidevõrgu internetiühenduste kuutasud aja jooksul pigem ühtlustuvad (vt Tabeleid </w:t>
      </w:r>
      <w:r w:rsidR="00B1260A" w:rsidRPr="00270A9F">
        <w:rPr>
          <w:b/>
        </w:rPr>
        <w:t>2 ja 3</w:t>
      </w:r>
      <w:r w:rsidRPr="00270A9F">
        <w:rPr>
          <w:b/>
        </w:rPr>
        <w:t xml:space="preserve">). Samas valguskaabelvõrgu internetiühendustele TTJA hinnangul 4G/5G mobiilsidevõrgu internetiühendused jaeklientidele järgmise turuanalüüsini kestval perioodil piisavat asendust veel pakkuda ei suuda, eelkõige kuna puuduvad </w:t>
      </w:r>
      <w:proofErr w:type="spellStart"/>
      <w:r w:rsidRPr="00270A9F">
        <w:rPr>
          <w:b/>
        </w:rPr>
        <w:t>jaetooteid</w:t>
      </w:r>
      <w:proofErr w:type="spellEnd"/>
      <w:r w:rsidRPr="00270A9F">
        <w:rPr>
          <w:b/>
        </w:rPr>
        <w:t xml:space="preserve">, mis pakuksid sümmeetrilisi interneitühendusi ja väga suure läbilaskevõimega internetiühendusi (Mbps &gt; 1000). </w:t>
      </w:r>
    </w:p>
    <w:p w14:paraId="4BAA5072" w14:textId="69D60C19" w:rsidR="0095323E" w:rsidRPr="006E317E" w:rsidRDefault="0095323E" w:rsidP="00AA241E">
      <w:pPr>
        <w:jc w:val="both"/>
      </w:pPr>
      <w:r w:rsidRPr="006E317E">
        <w:t>4G/5G tehnoloogiate baasil pakuvad oma mobiil</w:t>
      </w:r>
      <w:r w:rsidR="00581878">
        <w:t>side</w:t>
      </w:r>
      <w:r w:rsidRPr="006E317E">
        <w:t>võrgus püsiasukohaga tarbimiseks suunatud piiramatu mahuga internetiühendusi kolm sideettevõtet: Telia, Elisa ja Tele2. Nende igaühe mobiilsidevõrgu katvus 4G tehnoloogia baasil on üleriigiliselt ühetaoline, 99% elu- ja ärihoonetest (elu- ja mitteelukondlikest) ja 99% elu- ja äriruumidest (elu- ja mitteeluruumidest). 5G tehnoloogia arendamiseks vajalikud esmased raadiosagedused väljastati mobiilsidevõrgu operaatoritele 2022 aasta suvel ning vastavate võrgutehnoloogiate rajamine ja arendamine alles käib. Seetõttu on 5G tehnoloogia katvus kõigil kolmel mobiilsidevõrgul erinev ja see hõlmab peamiselt tiheasustusega linnalisi piirkondasid. Sagedusalas 3410–3800 MHz on sagedusloa omanikul kohustus teha 5G tehnoloogial sideteenus ühe (1) aasta jooksul arvates sagedusloa saamisest lõppkasutajale kättesaadavaks ja tagama, et kahe (2) aasta jooksul arvates sagedusloa saamisest on üle Eesti paigaldatud ja aktiveeritud minimaalselt 200 5G tehnoloogial sideteenust osutavat tugijaama, millest 100 tugijaama võivad asuda Harju maakonnas, kuid igas maakonnas peab asuma vähemalt viis tugijaama</w:t>
      </w:r>
      <w:r w:rsidRPr="005D266E">
        <w:rPr>
          <w:vertAlign w:val="superscript"/>
        </w:rPr>
        <w:footnoteReference w:id="48"/>
      </w:r>
      <w:r w:rsidRPr="006E317E">
        <w:t>.  Sagedusalas 694–790 MHz on sagedusloa omanikul kohustus teha kahe (2) aasta jooksul arvates sagedusloa andmisest 5G tehnoloogial baseeruv sideteenus kättesaadavaks vähemalt 50% ulatuses igas maakonnas, välja arvatud Ida-Viru, Jõgeva, Tartu, Põlva ja Võru maakonnas ja nelja (4) aasta jooksul vähemalt 95% ulatuses igas maakonnas, välja arvatud Ida-Viru, Jõgeva, Tartu, Põlva ja Võru maakonnas. Seega kõigile Eesti elanikele on 5G internetiühendused tagatud tõenäoliselt alles 2026 aasta lõpuks, kuid suuremates linnades juba 2024 aasta lõpuks. Samas juba enne vajalike sageduslubade väljastamist pakkus Telia 5G NSA</w:t>
      </w:r>
      <w:r w:rsidRPr="005D266E">
        <w:rPr>
          <w:vertAlign w:val="superscript"/>
        </w:rPr>
        <w:footnoteReference w:id="49"/>
      </w:r>
      <w:r w:rsidRPr="006E317E">
        <w:t xml:space="preserve"> tehnoloogiaga internetiühendusi 4G raadiosageduste baasil. </w:t>
      </w:r>
    </w:p>
    <w:p w14:paraId="5FDCF0A4" w14:textId="77777777" w:rsidR="0095323E" w:rsidRPr="006E317E" w:rsidRDefault="0095323E" w:rsidP="00AA241E">
      <w:pPr>
        <w:jc w:val="both"/>
      </w:pPr>
      <w:r w:rsidRPr="006E317E">
        <w:t>Telia avaldatud teabe</w:t>
      </w:r>
      <w:r w:rsidRPr="005D266E">
        <w:rPr>
          <w:vertAlign w:val="superscript"/>
        </w:rPr>
        <w:footnoteReference w:id="50"/>
      </w:r>
      <w:r w:rsidRPr="006E317E">
        <w:t xml:space="preserve"> kohaselt on Telia 5G leviga kaetud 81% Eesti rahvastikust ning 5G arendused on ettevõtte üks peamisi prioriteete terve 2024. aasta jooksul. </w:t>
      </w:r>
    </w:p>
    <w:p w14:paraId="3A08AB81" w14:textId="77777777" w:rsidR="0095323E" w:rsidRPr="006E317E" w:rsidRDefault="0095323E" w:rsidP="00AA241E">
      <w:pPr>
        <w:jc w:val="both"/>
      </w:pPr>
      <w:r w:rsidRPr="006E317E">
        <w:t>Elisa avaldatud teabe</w:t>
      </w:r>
      <w:r w:rsidRPr="005D266E">
        <w:rPr>
          <w:vertAlign w:val="superscript"/>
        </w:rPr>
        <w:footnoteReference w:id="51"/>
      </w:r>
      <w:r w:rsidRPr="006E317E">
        <w:t xml:space="preserve"> kohaselt on Elisa 5G leviga kaetud 76% Eesti rahvastikust ning võrguarenduste eesmärgiks on veelgi parendada olemasolevate klientide mobiilse interneti kasutuskogemust.</w:t>
      </w:r>
    </w:p>
    <w:p w14:paraId="79A84B3A" w14:textId="77777777" w:rsidR="0095323E" w:rsidRPr="006E317E" w:rsidRDefault="0095323E" w:rsidP="00AA241E">
      <w:pPr>
        <w:jc w:val="both"/>
      </w:pPr>
      <w:r w:rsidRPr="006E317E">
        <w:lastRenderedPageBreak/>
        <w:t>Tele2 avaldatud teabe</w:t>
      </w:r>
      <w:r w:rsidRPr="005D266E">
        <w:rPr>
          <w:vertAlign w:val="superscript"/>
        </w:rPr>
        <w:footnoteReference w:id="52"/>
      </w:r>
      <w:r w:rsidRPr="006E317E">
        <w:t xml:space="preserve"> kohaselt kasvatas ettevõte 2023 aastal 5G-võrku kuus korda, viis viienda põlvkonna mobiilside 122 asulasse üle Eesti, tõi esimesena turule 5G võimekusega ettemaksega internetiühenduste paketid (</w:t>
      </w:r>
      <w:proofErr w:type="spellStart"/>
      <w:r w:rsidRPr="00D94F88">
        <w:rPr>
          <w:i/>
          <w:iCs/>
        </w:rPr>
        <w:t>prepaid</w:t>
      </w:r>
      <w:proofErr w:type="spellEnd"/>
      <w:r w:rsidRPr="00D94F88">
        <w:rPr>
          <w:i/>
          <w:iCs/>
        </w:rPr>
        <w:t xml:space="preserve"> SIM </w:t>
      </w:r>
      <w:proofErr w:type="spellStart"/>
      <w:r w:rsidRPr="00D94F88">
        <w:rPr>
          <w:i/>
          <w:iCs/>
        </w:rPr>
        <w:t>cards</w:t>
      </w:r>
      <w:proofErr w:type="spellEnd"/>
      <w:r w:rsidRPr="006E317E">
        <w:t>) ja püstitas uue kodumaise andmesidekiiruse rekordi.</w:t>
      </w:r>
    </w:p>
    <w:p w14:paraId="485AE854" w14:textId="77777777" w:rsidR="0095323E" w:rsidRPr="006E317E" w:rsidRDefault="0095323E" w:rsidP="00AA241E">
      <w:pPr>
        <w:jc w:val="both"/>
      </w:pPr>
      <w:r w:rsidRPr="006E317E">
        <w:t xml:space="preserve">Mobiilsidevõrgu 5G tehnoloogial baseeruvate kasutuses internetiühenduste täpset mahtu ei ole kerge tuvastada, kuna mobiilsidevõrgus püsiasukohaga tarbimiseks suunatud ja piiramatu mahuga internetiühendused on küll suunatud tarbimiseks peamiselt ühes kindlas asukohas, kui samas tehniliselt siiski ei ole piiratud kasutamiseks ainult ühes kindlas asukohas (aadressil), mistõttu  sellise ühenduse tarbija võib seda kasutada mitmes erinevas asukohas, näiteks tööpäevadel kodus ja nädalavahetustel suvilas. Samuti ei piirata 5G võimalusega internetiühenduste puhul erinevate 4G ja 5G sageduste kasutamist, vaid ühendus võib kasutada dünaamiliselt kõiki tema asukohas olevaid 4G ja 5G sagedusi olenevalt sellest, milline sagedus tarbimise hetkel kõige paremat kvaliteeti võimaldab. Seetõttu mobiilsidevõrgus internetiühendust tarbival </w:t>
      </w:r>
      <w:proofErr w:type="spellStart"/>
      <w:r w:rsidRPr="006E317E">
        <w:t>jaekliendil</w:t>
      </w:r>
      <w:proofErr w:type="spellEnd"/>
      <w:r w:rsidRPr="006E317E">
        <w:t xml:space="preserve"> võib olla terminal (nt </w:t>
      </w:r>
      <w:proofErr w:type="spellStart"/>
      <w:r w:rsidRPr="006E317E">
        <w:t>ruuter</w:t>
      </w:r>
      <w:proofErr w:type="spellEnd"/>
      <w:r w:rsidRPr="006E317E">
        <w:t>), millel on 5G võimekus, kuid terminali asukohas puudub võrgul veel 5G võimekus ja vastupidi, kliendil on terminal, millel puudub 5G võimekus, kuid see asub piirkonnas, kus võrgul juba on 5G võimekus. Üldiselt sideettevõtted ei piira tehniliselt kliendile mobiilsidevõrgus 5G tehnoloogia põhist internetiühenduse pakkumist 5G tehnoloogiaga kaetud geograafilistes piirkondades kui kliendil on olemas 5G võimekusega terminal. Eeltoodust tulenevalt esitasid mobiilsidevõrgus 5G tehnoloogial põhinevate internetiühenduste kasutuse kohta Telia, Elisa ja Tele2 erinevaid andmeid, mis ei ole omavahel otseselt võrreldavad.</w:t>
      </w:r>
    </w:p>
    <w:p w14:paraId="628FCCE2" w14:textId="77777777" w:rsidR="0095323E" w:rsidRPr="006E317E" w:rsidRDefault="0095323E" w:rsidP="00AA241E">
      <w:pPr>
        <w:jc w:val="both"/>
      </w:pPr>
      <w:r w:rsidRPr="006E317E">
        <w:t xml:space="preserve">Telia esitatud teabe kohaselt: </w:t>
      </w:r>
    </w:p>
    <w:p w14:paraId="41B3E94C" w14:textId="112EF815" w:rsidR="0095323E" w:rsidRPr="006E317E" w:rsidRDefault="0095323E" w:rsidP="00AA241E">
      <w:pPr>
        <w:jc w:val="both"/>
      </w:pPr>
      <w:r w:rsidRPr="006E317E">
        <w:t xml:space="preserve">Telial oli 2023 aasta lõpus 5G tehnoloogia </w:t>
      </w:r>
      <w:r w:rsidR="002119B6">
        <w:t>…*</w:t>
      </w:r>
      <w:r w:rsidRPr="006E317E">
        <w:t xml:space="preserve"> MHz sagedusalas  mobiilsidevõrgu püsiasukohaga tarbimiseks suunatud piiramatu mahuga kasutuses internetiühendusi </w:t>
      </w:r>
      <w:r w:rsidR="002119B6">
        <w:t>…*</w:t>
      </w:r>
      <w:r w:rsidRPr="006E317E">
        <w:t xml:space="preserve"> (neist eraklientide kasutuses </w:t>
      </w:r>
      <w:r w:rsidR="002119B6">
        <w:t>…*</w:t>
      </w:r>
      <w:r w:rsidRPr="006E317E">
        <w:t xml:space="preserve"> ja äriklientide </w:t>
      </w:r>
      <w:r w:rsidR="002119B6">
        <w:t>…*</w:t>
      </w:r>
      <w:r w:rsidRPr="006E317E">
        <w:t xml:space="preserve">)ja selle kasv võrreldes 2022 aasta lõpuga oli ca </w:t>
      </w:r>
      <w:r w:rsidR="002119B6">
        <w:t>…*</w:t>
      </w:r>
      <w:r w:rsidRPr="006E317E">
        <w:t>.</w:t>
      </w:r>
    </w:p>
    <w:p w14:paraId="2E09D15E" w14:textId="4FC5F0FC" w:rsidR="0095323E" w:rsidRPr="006E317E" w:rsidRDefault="0095323E" w:rsidP="00AA241E">
      <w:pPr>
        <w:jc w:val="both"/>
      </w:pPr>
      <w:r w:rsidRPr="006E317E">
        <w:t xml:space="preserve">Telial oli 2023 aasta lõpus 5G tehnoloogia </w:t>
      </w:r>
      <w:r w:rsidR="002119B6">
        <w:t>…*</w:t>
      </w:r>
      <w:r w:rsidR="002119B6">
        <w:t xml:space="preserve"> </w:t>
      </w:r>
      <w:r w:rsidRPr="006E317E">
        <w:t xml:space="preserve">MHz  ja/või  </w:t>
      </w:r>
      <w:r w:rsidR="002119B6">
        <w:t>…*</w:t>
      </w:r>
      <w:r w:rsidR="002119B6">
        <w:t xml:space="preserve"> </w:t>
      </w:r>
      <w:r w:rsidRPr="006E317E">
        <w:t xml:space="preserve">MHz sagedusalas mobiilsidevõrgu püsiasukohaga tarbimiseks suunatud piiramatu mahuga kasutuses internetiühendusi </w:t>
      </w:r>
      <w:r w:rsidR="0090127F">
        <w:rPr>
          <w:rFonts w:cs="Times New Roman"/>
        </w:rPr>
        <w:t>…</w:t>
      </w:r>
      <w:r w:rsidR="0090127F" w:rsidRPr="00883566">
        <w:rPr>
          <w:rFonts w:cs="Times New Roman"/>
        </w:rPr>
        <w:t>*</w:t>
      </w:r>
      <w:r w:rsidRPr="006E317E">
        <w:t xml:space="preserve"> (neist eraklientide kasutuses </w:t>
      </w:r>
      <w:r w:rsidR="002119B6">
        <w:t>…*</w:t>
      </w:r>
      <w:r w:rsidR="002119B6">
        <w:t xml:space="preserve"> </w:t>
      </w:r>
      <w:r w:rsidRPr="006E317E">
        <w:t xml:space="preserve">ja äriklientide </w:t>
      </w:r>
      <w:r w:rsidR="002119B6">
        <w:t>…*</w:t>
      </w:r>
      <w:r w:rsidRPr="006E317E">
        <w:t xml:space="preserve">)  ja selle kasv võrreldes 2022 aasta lõpuga oli </w:t>
      </w:r>
      <w:r w:rsidR="002119B6">
        <w:t>…*</w:t>
      </w:r>
      <w:r w:rsidRPr="006E317E">
        <w:t>.</w:t>
      </w:r>
    </w:p>
    <w:p w14:paraId="49B1C4EF" w14:textId="2BF00FE8" w:rsidR="0095323E" w:rsidRPr="006E317E" w:rsidRDefault="0095323E" w:rsidP="00AA241E">
      <w:pPr>
        <w:jc w:val="both"/>
      </w:pPr>
      <w:r w:rsidRPr="006E317E">
        <w:t>Telial oli 2023 lõpus 5G FWA internetiühenduste terminalseadmete (</w:t>
      </w:r>
      <w:proofErr w:type="spellStart"/>
      <w:r w:rsidRPr="006E317E">
        <w:t>ruuterid</w:t>
      </w:r>
      <w:proofErr w:type="spellEnd"/>
      <w:r w:rsidRPr="006E317E">
        <w:t xml:space="preserve">) arv võrgus </w:t>
      </w:r>
      <w:r w:rsidR="002119B6">
        <w:t>…*</w:t>
      </w:r>
      <w:r w:rsidRPr="006E317E">
        <w:t xml:space="preserve">, neist </w:t>
      </w:r>
      <w:r w:rsidR="002119B6">
        <w:t>…*</w:t>
      </w:r>
      <w:r w:rsidR="002119B6">
        <w:t xml:space="preserve"> </w:t>
      </w:r>
      <w:r w:rsidRPr="006E317E">
        <w:t xml:space="preserve">eraklientide ja </w:t>
      </w:r>
      <w:r w:rsidR="002119B6">
        <w:t>…*</w:t>
      </w:r>
      <w:r w:rsidR="002119B6">
        <w:t xml:space="preserve"> </w:t>
      </w:r>
      <w:r w:rsidRPr="006E317E">
        <w:t>äriklientide kasutuses.</w:t>
      </w:r>
    </w:p>
    <w:p w14:paraId="43DCF118" w14:textId="77777777" w:rsidR="0095323E" w:rsidRPr="006E317E" w:rsidRDefault="0095323E" w:rsidP="00AA241E">
      <w:pPr>
        <w:jc w:val="both"/>
      </w:pPr>
      <w:r w:rsidRPr="006E317E">
        <w:t>Elisa esitatud teabe kohaselt:</w:t>
      </w:r>
    </w:p>
    <w:p w14:paraId="0E1A119E" w14:textId="5CA57349" w:rsidR="0095323E" w:rsidRDefault="0095323E" w:rsidP="00AA241E">
      <w:pPr>
        <w:jc w:val="both"/>
      </w:pPr>
      <w:r w:rsidRPr="006E317E">
        <w:t>Elisal oli aasta lõpus 5G FWA internetiühenduste terminalseadmeid (</w:t>
      </w:r>
      <w:proofErr w:type="spellStart"/>
      <w:r w:rsidRPr="006E317E">
        <w:t>ruuterid</w:t>
      </w:r>
      <w:proofErr w:type="spellEnd"/>
      <w:r w:rsidRPr="006E317E">
        <w:t xml:space="preserve">) </w:t>
      </w:r>
      <w:r w:rsidR="002119B6">
        <w:t>…*</w:t>
      </w:r>
      <w:r w:rsidR="002119B6" w:rsidRPr="006E317E">
        <w:t xml:space="preserve"> </w:t>
      </w:r>
      <w:r w:rsidRPr="006E317E">
        <w:t xml:space="preserve">(neist eraklientide kasutuses </w:t>
      </w:r>
      <w:r w:rsidR="002119B6">
        <w:t>…*</w:t>
      </w:r>
      <w:r w:rsidR="002119B6">
        <w:t xml:space="preserve"> </w:t>
      </w:r>
      <w:r w:rsidRPr="006E317E">
        <w:t xml:space="preserve">ja äriklientide </w:t>
      </w:r>
      <w:r w:rsidR="002119B6">
        <w:t>…*</w:t>
      </w:r>
      <w:r w:rsidRPr="006E317E">
        <w:t xml:space="preserve">) ja selle kasv võrreldes 2022 aasta lõpuga oli </w:t>
      </w:r>
      <w:r w:rsidR="002119B6">
        <w:t>…*</w:t>
      </w:r>
      <w:r w:rsidRPr="006E317E">
        <w:t>.</w:t>
      </w:r>
    </w:p>
    <w:p w14:paraId="2F7FFA71" w14:textId="77777777" w:rsidR="002119B6" w:rsidRPr="006E317E" w:rsidRDefault="002119B6" w:rsidP="00AA241E">
      <w:pPr>
        <w:jc w:val="both"/>
      </w:pPr>
    </w:p>
    <w:p w14:paraId="1922A375" w14:textId="77777777" w:rsidR="0095323E" w:rsidRPr="006E317E" w:rsidRDefault="0095323E" w:rsidP="00AA241E">
      <w:pPr>
        <w:jc w:val="both"/>
      </w:pPr>
      <w:r w:rsidRPr="006E317E">
        <w:lastRenderedPageBreak/>
        <w:t>Tele2 esitatud teabe kohaselt:</w:t>
      </w:r>
    </w:p>
    <w:p w14:paraId="60E576CD" w14:textId="7E13F80F" w:rsidR="0095323E" w:rsidRDefault="0095323E" w:rsidP="00AA241E">
      <w:pPr>
        <w:spacing w:after="240"/>
        <w:jc w:val="both"/>
      </w:pPr>
      <w:r w:rsidRPr="006E317E">
        <w:t>Tele2 teavitas TTJA-</w:t>
      </w:r>
      <w:proofErr w:type="spellStart"/>
      <w:r w:rsidRPr="006E317E">
        <w:t>le</w:t>
      </w:r>
      <w:proofErr w:type="spellEnd"/>
      <w:r w:rsidRPr="006E317E">
        <w:t xml:space="preserve">, et neil puudub võimalus eristada, millised mobiilsidevõrgus püsiasukohaga tarbimiseks suunatud piiramatu mahuga jaeklientide kasutuses internetiühendustel on 5G tehnoloogia kasutamise võimalus, kuna vastavaid internetiühendusi on võimalik kasutada igal pool sõltumata asukohast, mistõttu ei fikseerita lõppkasutajatega sideteenuselepingus internetiühenduse kasutuse terminalseadme (ruuteri) asukohta ning Tele2-l puudub teave, millistes asukohtades ehk millise tehnoloogia (4G või 5G) võimalusega piirkondades vastavaid internetiühendusi kasutatakse. Tele2 kinnitas, et kõigile tema mobiilsidevõrgu piiramatu mahuga internetiühenduste kasutajatel (2023 aasta lõpus kokku ca </w:t>
      </w:r>
      <w:r w:rsidR="002119B6">
        <w:t>…*</w:t>
      </w:r>
      <w:r w:rsidR="002119B6">
        <w:t xml:space="preserve"> </w:t>
      </w:r>
      <w:r w:rsidRPr="006E317E">
        <w:t xml:space="preserve">ühendust) on 5G võimalus avatud. </w:t>
      </w:r>
    </w:p>
    <w:p w14:paraId="73627173" w14:textId="77777777" w:rsidR="005A7A57" w:rsidRPr="005A7A57" w:rsidRDefault="005A7A57" w:rsidP="00AA241E">
      <w:pPr>
        <w:pStyle w:val="Loendilik"/>
        <w:keepNext/>
        <w:keepLines/>
        <w:numPr>
          <w:ilvl w:val="1"/>
          <w:numId w:val="38"/>
        </w:numPr>
        <w:tabs>
          <w:tab w:val="left" w:pos="1985"/>
        </w:tabs>
        <w:spacing w:after="0"/>
        <w:contextualSpacing w:val="0"/>
        <w:jc w:val="both"/>
        <w:outlineLvl w:val="3"/>
        <w:rPr>
          <w:rFonts w:eastAsiaTheme="majorEastAsia" w:cstheme="majorBidi"/>
          <w:i/>
          <w:iCs/>
          <w:vanish/>
          <w:lang w:eastAsia="en-US"/>
        </w:rPr>
      </w:pPr>
      <w:bookmarkStart w:id="269" w:name="_Toc170888946"/>
    </w:p>
    <w:p w14:paraId="05F27F02" w14:textId="77777777" w:rsidR="005A7A57" w:rsidRPr="005A7A57" w:rsidRDefault="005A7A57" w:rsidP="00AA241E">
      <w:pPr>
        <w:pStyle w:val="Loendilik"/>
        <w:keepNext/>
        <w:keepLines/>
        <w:numPr>
          <w:ilvl w:val="1"/>
          <w:numId w:val="38"/>
        </w:numPr>
        <w:tabs>
          <w:tab w:val="left" w:pos="1985"/>
        </w:tabs>
        <w:spacing w:after="0"/>
        <w:contextualSpacing w:val="0"/>
        <w:jc w:val="both"/>
        <w:outlineLvl w:val="3"/>
        <w:rPr>
          <w:rFonts w:eastAsiaTheme="majorEastAsia" w:cstheme="majorBidi"/>
          <w:i/>
          <w:iCs/>
          <w:vanish/>
          <w:lang w:eastAsia="en-US"/>
        </w:rPr>
      </w:pPr>
    </w:p>
    <w:p w14:paraId="4F8F03BA" w14:textId="77777777" w:rsidR="005A7A57" w:rsidRPr="005A7A57" w:rsidRDefault="005A7A57" w:rsidP="00AA241E">
      <w:pPr>
        <w:pStyle w:val="Loendilik"/>
        <w:keepNext/>
        <w:keepLines/>
        <w:numPr>
          <w:ilvl w:val="2"/>
          <w:numId w:val="38"/>
        </w:numPr>
        <w:tabs>
          <w:tab w:val="left" w:pos="1985"/>
        </w:tabs>
        <w:spacing w:after="0"/>
        <w:contextualSpacing w:val="0"/>
        <w:jc w:val="both"/>
        <w:outlineLvl w:val="3"/>
        <w:rPr>
          <w:rFonts w:eastAsiaTheme="majorEastAsia" w:cstheme="majorBidi"/>
          <w:i/>
          <w:iCs/>
          <w:vanish/>
          <w:lang w:eastAsia="en-US"/>
        </w:rPr>
      </w:pPr>
    </w:p>
    <w:p w14:paraId="79EB9365" w14:textId="77777777" w:rsidR="005A7A57" w:rsidRPr="005A7A57" w:rsidRDefault="005A7A57" w:rsidP="00AA241E">
      <w:pPr>
        <w:pStyle w:val="Loendilik"/>
        <w:keepNext/>
        <w:keepLines/>
        <w:numPr>
          <w:ilvl w:val="3"/>
          <w:numId w:val="38"/>
        </w:numPr>
        <w:tabs>
          <w:tab w:val="left" w:pos="1985"/>
        </w:tabs>
        <w:spacing w:after="0"/>
        <w:contextualSpacing w:val="0"/>
        <w:jc w:val="both"/>
        <w:outlineLvl w:val="3"/>
        <w:rPr>
          <w:rFonts w:eastAsiaTheme="majorEastAsia" w:cstheme="majorBidi"/>
          <w:i/>
          <w:iCs/>
          <w:vanish/>
          <w:lang w:eastAsia="en-US"/>
        </w:rPr>
      </w:pPr>
    </w:p>
    <w:p w14:paraId="2C0D813A" w14:textId="25422794" w:rsidR="003C7CC7" w:rsidRDefault="0095323E" w:rsidP="009805E1">
      <w:pPr>
        <w:pStyle w:val="Pealkiri3"/>
      </w:pPr>
      <w:bookmarkStart w:id="270" w:name="_Toc174710719"/>
      <w:r w:rsidRPr="00171844">
        <w:t>Jae</w:t>
      </w:r>
      <w:r w:rsidR="00F53BB9">
        <w:t>turu</w:t>
      </w:r>
      <w:r w:rsidRPr="00855E58">
        <w:t xml:space="preserve"> tooteturgude </w:t>
      </w:r>
      <w:bookmarkEnd w:id="269"/>
      <w:r w:rsidR="00397ECA" w:rsidRPr="00397ECA">
        <w:t xml:space="preserve">piiritlemine sidevõrgu </w:t>
      </w:r>
      <w:r w:rsidR="009C534D">
        <w:t>tehnoloogiate</w:t>
      </w:r>
      <w:r w:rsidR="00397ECA" w:rsidRPr="00397ECA">
        <w:t xml:space="preserve"> alusel</w:t>
      </w:r>
      <w:bookmarkEnd w:id="270"/>
    </w:p>
    <w:p w14:paraId="43E934BA" w14:textId="77777777" w:rsidR="00662727" w:rsidRPr="00662727" w:rsidRDefault="00662727" w:rsidP="00662727">
      <w:pPr>
        <w:pStyle w:val="Loendilik"/>
        <w:keepNext/>
        <w:keepLines/>
        <w:numPr>
          <w:ilvl w:val="2"/>
          <w:numId w:val="60"/>
        </w:numPr>
        <w:tabs>
          <w:tab w:val="left" w:pos="1985"/>
        </w:tabs>
        <w:spacing w:before="120" w:after="240"/>
        <w:contextualSpacing w:val="0"/>
        <w:jc w:val="both"/>
        <w:outlineLvl w:val="3"/>
        <w:rPr>
          <w:rFonts w:eastAsiaTheme="majorEastAsia" w:cstheme="majorBidi"/>
          <w:i/>
          <w:iCs/>
          <w:vanish/>
          <w:lang w:eastAsia="en-US"/>
        </w:rPr>
      </w:pPr>
    </w:p>
    <w:p w14:paraId="6033EF79" w14:textId="704FE3F6" w:rsidR="0095323E" w:rsidRDefault="0095323E" w:rsidP="00AA241E">
      <w:pPr>
        <w:pStyle w:val="Heading49"/>
        <w:numPr>
          <w:ilvl w:val="3"/>
          <w:numId w:val="60"/>
        </w:numPr>
      </w:pPr>
      <w:r w:rsidRPr="006E317E">
        <w:t>Kuidas hinnata, kas jaeturule kaasatud sidevõrgu tehnoloogiad moodustavad ühtse jaeturu või mitu erinevat tooteturgu?</w:t>
      </w:r>
    </w:p>
    <w:p w14:paraId="4376E486" w14:textId="3299E636" w:rsidR="0095323E" w:rsidRPr="006E317E" w:rsidRDefault="0095323E" w:rsidP="00AA241E">
      <w:pPr>
        <w:jc w:val="both"/>
      </w:pPr>
      <w:r w:rsidRPr="006E317E">
        <w:t>Kuna jaeturu toodet võimaldavad pakkuda mitu erinevat sidevõrgu tehnoloogia liiki, mille tehnilised näitajad on erinevad, siis on mõistlik ja otstarbekas tuvastada, kas kõik need on jae toote tarbija vaates üksteisega piisavalt asendatavad ehk kas need kõik kuuluvad ühele turule või on mõned sidevõrgu tehnoloogiad, mis ei ole omavahel piisavalt asendatavad ehk tuleks moodustada erinevad tooteturud.</w:t>
      </w:r>
    </w:p>
    <w:p w14:paraId="56E546F2" w14:textId="07384219" w:rsidR="009B2BA7" w:rsidRDefault="0095323E" w:rsidP="00AA241E">
      <w:pPr>
        <w:jc w:val="both"/>
      </w:pPr>
      <w:r w:rsidRPr="004D5C95">
        <w:rPr>
          <w:b/>
        </w:rPr>
        <w:t>Selleks, et hinnata, kas jaeturule kaasatud sidevõrkude alusel moodustub ühtne jaeturg või erinevad tooteturud, on TTJA hinnangul kõige asjakohasem analüüsida, kas erinevad sidevõrgud on jae toodete tarbimisel jae kliendi vaatest omavahel piisavalt asendatavad toote omaduste ja hinna poolest</w:t>
      </w:r>
      <w:r w:rsidRPr="006E317E">
        <w:t xml:space="preserve">. </w:t>
      </w:r>
    </w:p>
    <w:p w14:paraId="633B3040" w14:textId="730E4248" w:rsidR="0095323E" w:rsidRDefault="0095323E" w:rsidP="00AA241E">
      <w:pPr>
        <w:pStyle w:val="Heading49"/>
        <w:numPr>
          <w:ilvl w:val="3"/>
          <w:numId w:val="60"/>
        </w:numPr>
      </w:pPr>
      <w:r w:rsidRPr="00355061">
        <w:t>Millised</w:t>
      </w:r>
      <w:r w:rsidRPr="006E317E">
        <w:t xml:space="preserve"> toote omaduste </w:t>
      </w:r>
      <w:r w:rsidR="004D5C95">
        <w:t>tehnilised</w:t>
      </w:r>
      <w:r w:rsidRPr="006E317E">
        <w:t xml:space="preserve"> näitajad on erakliendile kõige olulisemad?</w:t>
      </w:r>
    </w:p>
    <w:p w14:paraId="37F0A6F6" w14:textId="77777777" w:rsidR="0095323E" w:rsidRPr="006E317E" w:rsidRDefault="0095323E" w:rsidP="00AA241E">
      <w:pPr>
        <w:jc w:val="both"/>
      </w:pPr>
      <w:r w:rsidRPr="006E317E">
        <w:t>Erinevad sidevõrgu tehnoloogiad võimaldavad pakkuda erineva omadustega internetiühendusi. Internetiühenduse omaduse oluliseks näitajaks on ühenduse kiirus (Mbit/s). Samas iseloomustavad ühenduse omadusi ka ühenduse viivis ehk latentsus (</w:t>
      </w:r>
      <w:proofErr w:type="spellStart"/>
      <w:r w:rsidRPr="00D94F88">
        <w:rPr>
          <w:i/>
          <w:iCs/>
        </w:rPr>
        <w:t>latency</w:t>
      </w:r>
      <w:proofErr w:type="spellEnd"/>
      <w:r w:rsidRPr="006E317E">
        <w:t xml:space="preserve">). See on aeg, mis kulub andmepaketi saatmiseks ühest punktist teise ja vastuse naasmiseks. See näitab, kui kiiresti andmed liiguvad üle võrgu. Latentsust mõõdetakse tavaliselt </w:t>
      </w:r>
      <w:proofErr w:type="spellStart"/>
      <w:r w:rsidRPr="006E317E">
        <w:t>millisekundites</w:t>
      </w:r>
      <w:proofErr w:type="spellEnd"/>
      <w:r w:rsidRPr="006E317E">
        <w:t xml:space="preserve"> (ms). Madal latentsus tähendab kiiremat vastust ja sujuvamat kogemust, eriti reaalajas rakendustes nagu veebivideomängud, videokonverentsid ja </w:t>
      </w:r>
      <w:proofErr w:type="spellStart"/>
      <w:r w:rsidRPr="006E317E">
        <w:t>VoIP</w:t>
      </w:r>
      <w:proofErr w:type="spellEnd"/>
      <w:r w:rsidRPr="006E317E">
        <w:t>-kõned. Kõrge latentsus võib põhjustada viivitusi ja häirida selliste rakenduste kasutamist. Lisaks latentsusele on oluline ka võnkumine (</w:t>
      </w:r>
      <w:proofErr w:type="spellStart"/>
      <w:r w:rsidRPr="00D94F88">
        <w:rPr>
          <w:i/>
          <w:iCs/>
        </w:rPr>
        <w:t>jitter</w:t>
      </w:r>
      <w:proofErr w:type="spellEnd"/>
      <w:r w:rsidRPr="006E317E">
        <w:t>), mis tähistab latentsuse varieeruvust. Ebastabiilne latentsus (kõrge võnkumine) võib põhjustada andmeedastuse katkemisi ja halvendada kasutajakogemust.</w:t>
      </w:r>
    </w:p>
    <w:p w14:paraId="2641FBEB" w14:textId="77777777" w:rsidR="0095323E" w:rsidRPr="004D5C95" w:rsidRDefault="0095323E" w:rsidP="00AA241E">
      <w:pPr>
        <w:jc w:val="both"/>
        <w:rPr>
          <w:b/>
        </w:rPr>
      </w:pPr>
      <w:r w:rsidRPr="004D5C95">
        <w:rPr>
          <w:b/>
        </w:rPr>
        <w:t xml:space="preserve">Analüüsides sideettevõtjate avalikel veebilehtedel avaldatud internetiühenduse pakkumisi selgub, et kõige enam tõstetakse esile ühenduse omaduste osas selle kiirust ehk </w:t>
      </w:r>
      <w:r w:rsidRPr="004D5C95">
        <w:rPr>
          <w:b/>
        </w:rPr>
        <w:lastRenderedPageBreak/>
        <w:t>läbilaskevõimet.  Seega on jae kliendile kõige olulisem internetiühenduse omadus selle alla- ja üleslaadimise kiirus (Mbit/s).</w:t>
      </w:r>
    </w:p>
    <w:p w14:paraId="1EF27A0C" w14:textId="2C3CEA59" w:rsidR="0095323E" w:rsidRDefault="0095323E" w:rsidP="00AA241E">
      <w:pPr>
        <w:pStyle w:val="Heading49"/>
        <w:numPr>
          <w:ilvl w:val="3"/>
          <w:numId w:val="60"/>
        </w:numPr>
      </w:pPr>
      <w:r w:rsidRPr="006E317E">
        <w:t>Milliseid internetiühenduse kiirusi erinevad sidevõrgud võimaldavad?</w:t>
      </w:r>
    </w:p>
    <w:p w14:paraId="6F8A9036" w14:textId="77777777" w:rsidR="0095323E" w:rsidRPr="006E317E" w:rsidRDefault="0095323E" w:rsidP="00AA241E">
      <w:pPr>
        <w:jc w:val="both"/>
      </w:pPr>
      <w:r w:rsidRPr="006E317E">
        <w:t>Euroopa riikide internetiühenduste võrdluses</w:t>
      </w:r>
      <w:r w:rsidRPr="005D266E">
        <w:rPr>
          <w:vertAlign w:val="superscript"/>
        </w:rPr>
        <w:footnoteReference w:id="53"/>
      </w:r>
      <w:r w:rsidRPr="006E317E">
        <w:t xml:space="preserve"> on internetiühendused allalaadimise kiiruste alusel jaotatud järgmiselt:</w:t>
      </w:r>
    </w:p>
    <w:p w14:paraId="31CB4AAC" w14:textId="32E22444" w:rsidR="0095323E" w:rsidRPr="006E317E" w:rsidRDefault="0095323E" w:rsidP="00AA241E">
      <w:pPr>
        <w:ind w:firstLine="720"/>
        <w:jc w:val="both"/>
      </w:pPr>
      <w:r w:rsidRPr="006E317E">
        <w:t>Kiired ühendused, mille korral Mbit/s = 30, &lt; 100</w:t>
      </w:r>
      <w:r w:rsidR="14C87C35" w:rsidRPr="006E317E">
        <w:t>.</w:t>
      </w:r>
    </w:p>
    <w:p w14:paraId="5EFC876B" w14:textId="725DA279" w:rsidR="0095323E" w:rsidRPr="006E317E" w:rsidRDefault="0095323E" w:rsidP="00AA241E">
      <w:pPr>
        <w:ind w:firstLine="720"/>
        <w:jc w:val="both"/>
      </w:pPr>
      <w:r w:rsidRPr="006E317E">
        <w:t>Ülikiired ühendused, mille korral Mbit/s = 100, &lt; 1000</w:t>
      </w:r>
      <w:r w:rsidR="32A8ABDD" w:rsidRPr="006E317E">
        <w:t>.</w:t>
      </w:r>
    </w:p>
    <w:p w14:paraId="18E3F308" w14:textId="77777777" w:rsidR="0095323E" w:rsidRPr="006E317E" w:rsidRDefault="0095323E" w:rsidP="00AA241E">
      <w:pPr>
        <w:ind w:firstLine="720"/>
        <w:jc w:val="both"/>
      </w:pPr>
      <w:r w:rsidRPr="006E317E">
        <w:t>Väga suure läbilaskevõimega ühendused, mille korral Mbit/s &gt; 1000.</w:t>
      </w:r>
    </w:p>
    <w:p w14:paraId="7BEF479B" w14:textId="77777777" w:rsidR="0095323E" w:rsidRPr="006E317E" w:rsidRDefault="0095323E" w:rsidP="00AA241E">
      <w:pPr>
        <w:jc w:val="both"/>
      </w:pPr>
      <w:r w:rsidRPr="006E317E">
        <w:t>Majandus- ja kommunikatsiooniministeeriumi juhtimisel valminud „Eesti digiühiskonna 2030 arengukavas“</w:t>
      </w:r>
      <w:r w:rsidRPr="005D266E">
        <w:rPr>
          <w:vertAlign w:val="superscript"/>
        </w:rPr>
        <w:footnoteReference w:id="54"/>
      </w:r>
      <w:r w:rsidRPr="006E317E">
        <w:t xml:space="preserve"> on seatud eesmärgiks, et 2030. aastaks on Eestis asukohast sõltumata kättesaadav ülikiire (vähemalt 100 Mbps) internetiühendus, mida saab tõsta kuni väga suure läbilasevõimega (1000 Mbps) kiiruseni.</w:t>
      </w:r>
    </w:p>
    <w:p w14:paraId="259AED03" w14:textId="77777777" w:rsidR="0095323E" w:rsidRPr="006E317E" w:rsidRDefault="0095323E" w:rsidP="00AA241E">
      <w:pPr>
        <w:jc w:val="both"/>
      </w:pPr>
      <w:r w:rsidRPr="006E317E">
        <w:t>Käesoleva otsuse koostamise ajal sidevõrkude operaatorite avalikel veebilehtedel Eestis pakutavad internetiühendused</w:t>
      </w:r>
      <w:r w:rsidRPr="005D266E">
        <w:rPr>
          <w:vertAlign w:val="superscript"/>
        </w:rPr>
        <w:footnoteReference w:id="55"/>
      </w:r>
      <w:r w:rsidRPr="006E317E">
        <w:t xml:space="preserve"> lubavad maksimaalseid allalaadimise kiiruseid järgmiselt:</w:t>
      </w:r>
    </w:p>
    <w:p w14:paraId="43834E8D" w14:textId="4AC91B50" w:rsidR="0095323E" w:rsidRPr="006E317E" w:rsidRDefault="0095323E" w:rsidP="00AA241E">
      <w:pPr>
        <w:ind w:firstLine="720"/>
        <w:jc w:val="both"/>
      </w:pPr>
      <w:r w:rsidRPr="006E317E">
        <w:t xml:space="preserve">1) </w:t>
      </w:r>
      <w:r w:rsidR="00AD1150">
        <w:t>vaskpaar</w:t>
      </w:r>
      <w:r w:rsidRPr="006E317E">
        <w:t xml:space="preserve"> </w:t>
      </w:r>
      <w:proofErr w:type="spellStart"/>
      <w:r w:rsidRPr="006E317E">
        <w:t>ADSLx</w:t>
      </w:r>
      <w:proofErr w:type="spellEnd"/>
      <w:r w:rsidRPr="006E317E">
        <w:t xml:space="preserve"> – 1</w:t>
      </w:r>
      <w:r w:rsidR="007E6C65">
        <w:t>6</w:t>
      </w:r>
      <w:r w:rsidRPr="006E317E">
        <w:t xml:space="preserve"> Mbit</w:t>
      </w:r>
      <w:r w:rsidR="2943C686" w:rsidRPr="006E317E">
        <w:t>/</w:t>
      </w:r>
      <w:r w:rsidRPr="006E317E">
        <w:t>s</w:t>
      </w:r>
    </w:p>
    <w:p w14:paraId="1F69557C" w14:textId="3370E434" w:rsidR="0095323E" w:rsidRPr="006E317E" w:rsidRDefault="0095323E" w:rsidP="00AA241E">
      <w:pPr>
        <w:ind w:firstLine="720"/>
        <w:jc w:val="both"/>
      </w:pPr>
      <w:r w:rsidRPr="006E317E">
        <w:t xml:space="preserve">2) </w:t>
      </w:r>
      <w:r w:rsidR="00AD1150">
        <w:t>vaskpaar</w:t>
      </w:r>
      <w:r w:rsidRPr="006E317E">
        <w:t xml:space="preserve"> </w:t>
      </w:r>
      <w:proofErr w:type="spellStart"/>
      <w:r w:rsidRPr="006E317E">
        <w:t>VDSLx</w:t>
      </w:r>
      <w:proofErr w:type="spellEnd"/>
      <w:r w:rsidRPr="006E317E">
        <w:t xml:space="preserve"> – 20 kuni 40 Mbit/s olenevalt kliendiliini pikkusest;</w:t>
      </w:r>
    </w:p>
    <w:p w14:paraId="27013CDB" w14:textId="459A2D9A" w:rsidR="0095323E" w:rsidRPr="006E317E" w:rsidRDefault="0095323E" w:rsidP="00AA241E">
      <w:pPr>
        <w:ind w:firstLine="720"/>
        <w:jc w:val="both"/>
      </w:pPr>
      <w:r w:rsidRPr="006E317E">
        <w:t xml:space="preserve">3) raadiosidevõrk </w:t>
      </w:r>
      <w:proofErr w:type="spellStart"/>
      <w:r w:rsidR="00860885" w:rsidRPr="006E317E">
        <w:t>WiFi</w:t>
      </w:r>
      <w:proofErr w:type="spellEnd"/>
      <w:r w:rsidRPr="006E317E">
        <w:t xml:space="preserve"> – 50 Mbit/s;</w:t>
      </w:r>
    </w:p>
    <w:p w14:paraId="758869FC" w14:textId="5A73D14E" w:rsidR="0095323E" w:rsidRPr="006E317E" w:rsidRDefault="0095323E" w:rsidP="00AA241E">
      <w:pPr>
        <w:ind w:left="720"/>
        <w:jc w:val="both"/>
      </w:pPr>
      <w:r w:rsidRPr="006E317E">
        <w:t xml:space="preserve">4) </w:t>
      </w:r>
      <w:r w:rsidR="00AD1150">
        <w:t>vaskpaar</w:t>
      </w:r>
      <w:r w:rsidRPr="006E317E">
        <w:t xml:space="preserve"> </w:t>
      </w:r>
      <w:proofErr w:type="spellStart"/>
      <w:r w:rsidRPr="006E317E">
        <w:t>VDSLx</w:t>
      </w:r>
      <w:proofErr w:type="spellEnd"/>
      <w:r w:rsidR="007E6C65">
        <w:t xml:space="preserve"> </w:t>
      </w:r>
      <w:proofErr w:type="spellStart"/>
      <w:r w:rsidRPr="00BA3CB3">
        <w:rPr>
          <w:i/>
          <w:iCs/>
        </w:rPr>
        <w:t>vectoring</w:t>
      </w:r>
      <w:proofErr w:type="spellEnd"/>
      <w:r w:rsidRPr="006E317E">
        <w:t xml:space="preserve"> – 30 kuni 200 </w:t>
      </w:r>
      <w:r w:rsidR="3149B5E8" w:rsidRPr="006E317E">
        <w:t>Mbit/s</w:t>
      </w:r>
      <w:r w:rsidRPr="006E317E">
        <w:t xml:space="preserve"> olenevalt kliendiliini pikkusest ja kas kasutatakse täiendavalt </w:t>
      </w:r>
      <w:r w:rsidRPr="002754CA">
        <w:t xml:space="preserve">Vplus35b </w:t>
      </w:r>
      <w:r w:rsidRPr="006E317E">
        <w:t>tehnoloogiat või mitte;</w:t>
      </w:r>
    </w:p>
    <w:p w14:paraId="0D56CCE1" w14:textId="77777777" w:rsidR="0095323E" w:rsidRPr="006E317E" w:rsidRDefault="0095323E" w:rsidP="00AA241E">
      <w:pPr>
        <w:ind w:firstLine="720"/>
        <w:jc w:val="both"/>
      </w:pPr>
      <w:r w:rsidRPr="006E317E">
        <w:t>5) mobiilsidevõrk 4G – 100 Mbit/s;</w:t>
      </w:r>
    </w:p>
    <w:p w14:paraId="55FE8F9B" w14:textId="77777777" w:rsidR="0095323E" w:rsidRPr="006E317E" w:rsidRDefault="0095323E" w:rsidP="00AA241E">
      <w:pPr>
        <w:ind w:firstLine="720"/>
        <w:jc w:val="both"/>
      </w:pPr>
      <w:r w:rsidRPr="006E317E">
        <w:t>6) satelliitsidevõrk – 250 Mbit/s;</w:t>
      </w:r>
    </w:p>
    <w:p w14:paraId="21D80C2C" w14:textId="77777777" w:rsidR="0095323E" w:rsidRPr="006E317E" w:rsidRDefault="0095323E" w:rsidP="00AA241E">
      <w:pPr>
        <w:ind w:firstLine="720"/>
        <w:jc w:val="both"/>
      </w:pPr>
      <w:r w:rsidRPr="006E317E">
        <w:t>7) koaksiaalkaabel – 500 Mbit/s;</w:t>
      </w:r>
    </w:p>
    <w:p w14:paraId="7857A5CF" w14:textId="77777777" w:rsidR="0095323E" w:rsidRPr="006E317E" w:rsidRDefault="0095323E" w:rsidP="00AA241E">
      <w:pPr>
        <w:ind w:firstLine="720"/>
        <w:jc w:val="both"/>
      </w:pPr>
      <w:r w:rsidRPr="006E317E">
        <w:t>8) mobiilsidevõrk 5G – 500 Mbit/s;</w:t>
      </w:r>
    </w:p>
    <w:p w14:paraId="5580EE62" w14:textId="77777777" w:rsidR="0095323E" w:rsidRPr="006E317E" w:rsidRDefault="0095323E" w:rsidP="00AA241E">
      <w:pPr>
        <w:ind w:firstLine="720"/>
        <w:jc w:val="both"/>
      </w:pPr>
      <w:r w:rsidRPr="006E317E">
        <w:t>9) valguskaabel – 1000 Mbit/s.</w:t>
      </w:r>
    </w:p>
    <w:p w14:paraId="4E460CED" w14:textId="77777777" w:rsidR="0095323E" w:rsidRDefault="0095323E" w:rsidP="00AA241E">
      <w:pPr>
        <w:jc w:val="both"/>
      </w:pPr>
      <w:r w:rsidRPr="006E317E">
        <w:lastRenderedPageBreak/>
        <w:t>Seega käesoleva analüüsi koostamise ajal pakutavad sideettevõtjad väga suure läbilaskevõimega internetiühendusi (1000 Mbit/s ja rohkem) ainult valguskaabelvõrgu baasil</w:t>
      </w:r>
      <w:r w:rsidRPr="005D266E">
        <w:rPr>
          <w:vertAlign w:val="superscript"/>
        </w:rPr>
        <w:footnoteReference w:id="56"/>
      </w:r>
      <w:r w:rsidRPr="006E317E">
        <w:t>. Teiste sidevõrgu tehnoloogiate baasil väga suure läbilaskevõimega internetiühendusi ei pakuta.</w:t>
      </w:r>
    </w:p>
    <w:p w14:paraId="6C120033" w14:textId="77777777" w:rsidR="000B44C7" w:rsidRDefault="000B44C7" w:rsidP="00AA241E">
      <w:pPr>
        <w:jc w:val="both"/>
      </w:pPr>
    </w:p>
    <w:p w14:paraId="7EA86E33" w14:textId="1914271D" w:rsidR="0095323E" w:rsidRDefault="0095323E" w:rsidP="00AA241E">
      <w:pPr>
        <w:pStyle w:val="Heading49"/>
        <w:numPr>
          <w:ilvl w:val="3"/>
          <w:numId w:val="60"/>
        </w:numPr>
      </w:pPr>
      <w:r w:rsidRPr="00301BED">
        <w:t>Kaabelsidevõrkudes kasutusel olevad internetiühenduste kiirused</w:t>
      </w:r>
    </w:p>
    <w:p w14:paraId="1E989915" w14:textId="10119A5B" w:rsidR="0095323E" w:rsidRPr="006E317E" w:rsidRDefault="0095323E" w:rsidP="00AA241E">
      <w:pPr>
        <w:jc w:val="both"/>
      </w:pPr>
      <w:r w:rsidRPr="006E317E">
        <w:t xml:space="preserve">2023 aasta lõpus tarbisid kaabelsidevõrgu internetiühenduste era- ja ärikliendid kõige enam ülikiiret internetti (Mbps = 100, &lt; 1000), täpsemalt ca 184 000 ehk 38 % kasutuses ühendustest, vt Joonist </w:t>
      </w:r>
      <w:r w:rsidR="009B5F5E">
        <w:t>7</w:t>
      </w:r>
      <w:r w:rsidRPr="006E317E">
        <w:t>.  See on ka aastatel 2021-2023 mahult kõige kiiremini kasvav tarbitav internetiühenduse kiirus (+3%). Mahult kõige kiiremin</w:t>
      </w:r>
      <w:r w:rsidR="57267364" w:rsidRPr="006E317E">
        <w:t>i</w:t>
      </w:r>
      <w:r w:rsidRPr="006E317E">
        <w:t xml:space="preserve"> kahaneb aeglaste (alla 30 Mbit/s) internetiühenduste tarbimine (-9%), mille osakaal on langenud 27%-</w:t>
      </w:r>
      <w:proofErr w:type="spellStart"/>
      <w:r w:rsidRPr="006E317E">
        <w:t>ni</w:t>
      </w:r>
      <w:proofErr w:type="spellEnd"/>
      <w:r w:rsidRPr="006E317E">
        <w:t>. Kiirete ühenduste (Mbit/s = 30, &lt; 100) osakaal on püsinud stabiilselt 35%. Väga suure läbilaskevõimega ühenduste (&gt; 1000 Mbit/s) kasutus on marginaalne alla 1%, ning kasv aeglane, perioodil 2021-2023 on lisandunud ainult ca 1000 ühendust.</w:t>
      </w:r>
    </w:p>
    <w:p w14:paraId="5F358C86" w14:textId="77777777" w:rsidR="0095323E" w:rsidRPr="006E317E" w:rsidRDefault="0095323E" w:rsidP="00AA241E">
      <w:pPr>
        <w:jc w:val="both"/>
      </w:pPr>
      <w:r w:rsidRPr="006E317E">
        <w:rPr>
          <w:noProof/>
        </w:rPr>
        <w:lastRenderedPageBreak/>
        <w:drawing>
          <wp:inline distT="0" distB="0" distL="0" distR="0" wp14:anchorId="71D83C76" wp14:editId="41C6919A">
            <wp:extent cx="5431790" cy="5407660"/>
            <wp:effectExtent l="0" t="0" r="0" b="2540"/>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9"/>
                    <pic:cNvPicPr/>
                  </pic:nvPicPr>
                  <pic:blipFill>
                    <a:blip r:embed="rId18">
                      <a:extLst>
                        <a:ext uri="{28A0092B-C50C-407E-A947-70E740481C1C}">
                          <a14:useLocalDpi xmlns:a14="http://schemas.microsoft.com/office/drawing/2010/main" val="0"/>
                        </a:ext>
                      </a:extLst>
                    </a:blip>
                    <a:stretch>
                      <a:fillRect/>
                    </a:stretch>
                  </pic:blipFill>
                  <pic:spPr>
                    <a:xfrm>
                      <a:off x="0" y="0"/>
                      <a:ext cx="5431790" cy="5407660"/>
                    </a:xfrm>
                    <a:prstGeom prst="rect">
                      <a:avLst/>
                    </a:prstGeom>
                  </pic:spPr>
                </pic:pic>
              </a:graphicData>
            </a:graphic>
          </wp:inline>
        </w:drawing>
      </w:r>
    </w:p>
    <w:p w14:paraId="245CDEFA" w14:textId="0E5B61A3" w:rsidR="0095323E" w:rsidRPr="000F38CA" w:rsidRDefault="000F38CA" w:rsidP="00AA241E">
      <w:pPr>
        <w:pStyle w:val="Pealdis"/>
        <w:jc w:val="both"/>
      </w:pPr>
      <w:r>
        <w:t xml:space="preserve">Joonis </w:t>
      </w:r>
      <w:r>
        <w:fldChar w:fldCharType="begin"/>
      </w:r>
      <w:r>
        <w:instrText xml:space="preserve"> SEQ Joonis \* ARABIC </w:instrText>
      </w:r>
      <w:r>
        <w:fldChar w:fldCharType="separate"/>
      </w:r>
      <w:r w:rsidR="00E5522B">
        <w:rPr>
          <w:noProof/>
        </w:rPr>
        <w:t>7</w:t>
      </w:r>
      <w:r>
        <w:fldChar w:fldCharType="end"/>
      </w:r>
      <w:r>
        <w:t xml:space="preserve"> </w:t>
      </w:r>
      <w:r w:rsidR="0095323E" w:rsidRPr="000F38CA">
        <w:t>Era- ja äriklientide poolt kaabelsidevõrgus kasutusele võetud internetiühenduste allalaadimise kiiruste osakaalud aastatel 2017-2023, allikas sideettevõtjate poolt TTJA-</w:t>
      </w:r>
      <w:proofErr w:type="spellStart"/>
      <w:r w:rsidR="0095323E" w:rsidRPr="000F38CA">
        <w:t>le</w:t>
      </w:r>
      <w:proofErr w:type="spellEnd"/>
      <w:r w:rsidR="0095323E" w:rsidRPr="000F38CA">
        <w:t xml:space="preserve"> esitatavad kvartaalsed aruanded.</w:t>
      </w:r>
    </w:p>
    <w:p w14:paraId="2F85AC74" w14:textId="78481A51" w:rsidR="0095323E" w:rsidRDefault="0095323E" w:rsidP="00AA241E">
      <w:pPr>
        <w:pStyle w:val="Heading49"/>
        <w:numPr>
          <w:ilvl w:val="3"/>
          <w:numId w:val="60"/>
        </w:numPr>
      </w:pPr>
      <w:r w:rsidRPr="006E317E">
        <w:t>Mobiilsidevõrkudes kasutusel olevad internetiühenduste kiirused</w:t>
      </w:r>
    </w:p>
    <w:p w14:paraId="36359F8E" w14:textId="62BD761E" w:rsidR="0095323E" w:rsidRPr="006E317E" w:rsidRDefault="0095323E" w:rsidP="00AA241E">
      <w:pPr>
        <w:jc w:val="both"/>
      </w:pPr>
      <w:r w:rsidRPr="006E317E">
        <w:t>Sarnaselt kaabelsidevõrkudele kasutatakse ka mobiilsidevõrkudes 2023</w:t>
      </w:r>
      <w:r w:rsidR="00EB26EB">
        <w:t>.</w:t>
      </w:r>
      <w:r w:rsidRPr="006E317E">
        <w:t xml:space="preserve"> aasta lõpus kõige enam ülikiiret internetiühendust (&gt; 100 Mbit/s), täpsemalt 76% kasutuses olevatest ühendustest</w:t>
      </w:r>
      <w:r w:rsidR="00281BBC">
        <w:t xml:space="preserve">, vt Joonist </w:t>
      </w:r>
      <w:r w:rsidR="009B5F5E">
        <w:t>8</w:t>
      </w:r>
      <w:r w:rsidRPr="006E317E">
        <w:t>. Väga suure läbilaskevõimega internetiühendusi mobiilsidevõrgus käesoleva otsuse koostamise ajal veel ei pakuta, kuid operaatorid on teinud vastavaid teste</w:t>
      </w:r>
      <w:r w:rsidRPr="005D266E">
        <w:rPr>
          <w:vertAlign w:val="superscript"/>
        </w:rPr>
        <w:footnoteReference w:id="57"/>
      </w:r>
      <w:r w:rsidRPr="006E317E">
        <w:t>.</w:t>
      </w:r>
    </w:p>
    <w:p w14:paraId="4236D404" w14:textId="77777777" w:rsidR="0095323E" w:rsidRPr="006E317E" w:rsidRDefault="0095323E" w:rsidP="00AA241E">
      <w:pPr>
        <w:jc w:val="both"/>
      </w:pPr>
      <w:r w:rsidRPr="006E317E">
        <w:rPr>
          <w:noProof/>
        </w:rPr>
        <w:lastRenderedPageBreak/>
        <w:drawing>
          <wp:inline distT="0" distB="0" distL="0" distR="0" wp14:anchorId="4C9306AF" wp14:editId="053D2E3D">
            <wp:extent cx="4752975" cy="5806974"/>
            <wp:effectExtent l="0" t="0" r="0" b="3810"/>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4"/>
                    <pic:cNvPicPr/>
                  </pic:nvPicPr>
                  <pic:blipFill>
                    <a:blip r:embed="rId19">
                      <a:extLst>
                        <a:ext uri="{28A0092B-C50C-407E-A947-70E740481C1C}">
                          <a14:useLocalDpi xmlns:a14="http://schemas.microsoft.com/office/drawing/2010/main" val="0"/>
                        </a:ext>
                      </a:extLst>
                    </a:blip>
                    <a:stretch>
                      <a:fillRect/>
                    </a:stretch>
                  </pic:blipFill>
                  <pic:spPr>
                    <a:xfrm>
                      <a:off x="0" y="0"/>
                      <a:ext cx="4752975" cy="5806974"/>
                    </a:xfrm>
                    <a:prstGeom prst="rect">
                      <a:avLst/>
                    </a:prstGeom>
                  </pic:spPr>
                </pic:pic>
              </a:graphicData>
            </a:graphic>
          </wp:inline>
        </w:drawing>
      </w:r>
    </w:p>
    <w:p w14:paraId="4C707797" w14:textId="196936D1" w:rsidR="0095323E" w:rsidRPr="006E317E" w:rsidRDefault="000F38CA" w:rsidP="00AA241E">
      <w:pPr>
        <w:pStyle w:val="Pealdis"/>
        <w:jc w:val="both"/>
      </w:pPr>
      <w:r>
        <w:t xml:space="preserve">Joonis </w:t>
      </w:r>
      <w:r>
        <w:fldChar w:fldCharType="begin"/>
      </w:r>
      <w:r>
        <w:instrText xml:space="preserve"> SEQ Joonis \* ARABIC </w:instrText>
      </w:r>
      <w:r>
        <w:fldChar w:fldCharType="separate"/>
      </w:r>
      <w:r w:rsidR="00E5522B">
        <w:rPr>
          <w:noProof/>
        </w:rPr>
        <w:t>8</w:t>
      </w:r>
      <w:r>
        <w:fldChar w:fldCharType="end"/>
      </w:r>
      <w:r>
        <w:t xml:space="preserve"> </w:t>
      </w:r>
      <w:r w:rsidR="0095323E" w:rsidRPr="006E317E">
        <w:t>Era- ja äriklientide poolt mobiilsidevõrgus kasutusele võetud internetiühenduste allalaadimise kiiruste osakaalud aastatel 2017-2023, allikas sideettevõtjate poolt TTJA-</w:t>
      </w:r>
      <w:proofErr w:type="spellStart"/>
      <w:r w:rsidR="0095323E" w:rsidRPr="006E317E">
        <w:t>le</w:t>
      </w:r>
      <w:proofErr w:type="spellEnd"/>
      <w:r w:rsidR="0095323E" w:rsidRPr="006E317E">
        <w:t xml:space="preserve"> esitatavad kvartaalsed aruanded.</w:t>
      </w:r>
    </w:p>
    <w:p w14:paraId="11A8C967" w14:textId="7B80DD67" w:rsidR="0095323E" w:rsidRDefault="0095323E" w:rsidP="00AA241E">
      <w:pPr>
        <w:spacing w:after="240"/>
        <w:jc w:val="both"/>
      </w:pPr>
      <w:r w:rsidRPr="006E317E">
        <w:t>Kokkuvõtlikult tarbivad jaekliendid kaabel- ja mobiilsidevõrkudes kõige enam kiireid (Mbit/s = 30, &lt;100) ja ülikiireid internetiühendusi (Mbit/s = 100, &lt;1000).</w:t>
      </w:r>
    </w:p>
    <w:p w14:paraId="7AA88510" w14:textId="0C53E14F" w:rsidR="0095323E" w:rsidRPr="006E317E" w:rsidRDefault="00B86214" w:rsidP="00AA241E">
      <w:pPr>
        <w:pStyle w:val="Heading49"/>
        <w:numPr>
          <w:ilvl w:val="3"/>
          <w:numId w:val="60"/>
        </w:numPr>
      </w:pPr>
      <w:r w:rsidRPr="006E317E">
        <w:t>Jaekliendi jaoks internetiühenduste kiiruste alusel sidevõr</w:t>
      </w:r>
      <w:r>
        <w:t>k</w:t>
      </w:r>
      <w:r w:rsidRPr="006E317E">
        <w:t>ud</w:t>
      </w:r>
      <w:r>
        <w:t>e asendatavus</w:t>
      </w:r>
      <w:r w:rsidRPr="006E317E">
        <w:t xml:space="preserve"> </w:t>
      </w:r>
    </w:p>
    <w:p w14:paraId="2E059F57" w14:textId="42E8BE1C" w:rsidR="0095323E" w:rsidRPr="006E317E" w:rsidRDefault="0095323E" w:rsidP="00AA241E">
      <w:pPr>
        <w:jc w:val="both"/>
      </w:pPr>
      <w:r w:rsidRPr="006E317E">
        <w:t xml:space="preserve">Kasutuses olevate internetiühenduste kiiruste analüüsist selgub, et nii kaabel- kui ka mobiilsidevõrkudes on tarbijate poolt kõige eelistatum kiired (Mbit/s = 30, &lt;100) ja ülikiired internetiühendused (Mbit/s =100,&lt;1000). Ülikiiret internetiühendust suudavad pakkuda </w:t>
      </w:r>
      <w:proofErr w:type="spellStart"/>
      <w:r w:rsidRPr="006E317E">
        <w:t>VDSLx</w:t>
      </w:r>
      <w:proofErr w:type="spellEnd"/>
      <w:r w:rsidR="007E6C65">
        <w:t xml:space="preserve"> </w:t>
      </w:r>
      <w:proofErr w:type="spellStart"/>
      <w:r w:rsidRPr="002754CA">
        <w:t>vectoring</w:t>
      </w:r>
      <w:proofErr w:type="spellEnd"/>
      <w:r w:rsidR="007E6C65">
        <w:t xml:space="preserve"> </w:t>
      </w:r>
      <w:r w:rsidRPr="002754CA">
        <w:t>Vplus35b</w:t>
      </w:r>
      <w:r w:rsidRPr="006E317E">
        <w:t xml:space="preserve"> tehnoloogia </w:t>
      </w:r>
      <w:r w:rsidR="00AD1150">
        <w:t>vaskpaar</w:t>
      </w:r>
      <w:r w:rsidRPr="006E317E">
        <w:t xml:space="preserve">võrgus, DOCSIS 3.0 tehnoloogia koaksiaalkaabelvõrgus ja FTTH/FTTB tehnoloogiga valguskaabelvõrgus ning 4G ja 5G tehnoloogiad mobiilsidevõrgus. </w:t>
      </w:r>
      <w:r w:rsidRPr="006E317E">
        <w:lastRenderedPageBreak/>
        <w:t xml:space="preserve">Kiiret internetiühendust suudab pakkuda lisaks nimetatud sidevõrgu tehnoloogiatele ka </w:t>
      </w:r>
      <w:proofErr w:type="spellStart"/>
      <w:r w:rsidRPr="006E317E">
        <w:t>VDSLx</w:t>
      </w:r>
      <w:proofErr w:type="spellEnd"/>
      <w:r w:rsidRPr="006E317E">
        <w:t xml:space="preserve"> </w:t>
      </w:r>
      <w:r w:rsidR="007E6C65">
        <w:t xml:space="preserve">sh </w:t>
      </w:r>
      <w:proofErr w:type="spellStart"/>
      <w:r w:rsidRPr="002754CA">
        <w:t>vectoring</w:t>
      </w:r>
      <w:proofErr w:type="spellEnd"/>
      <w:r w:rsidRPr="006E317E">
        <w:t xml:space="preserve"> tehnoloogia </w:t>
      </w:r>
      <w:r w:rsidR="00AD1150">
        <w:t>vaskpaar</w:t>
      </w:r>
      <w:r w:rsidRPr="006E317E">
        <w:t>võrgus.</w:t>
      </w:r>
    </w:p>
    <w:p w14:paraId="28BE8F12" w14:textId="536506D3" w:rsidR="0095323E" w:rsidRPr="006E317E" w:rsidRDefault="0095323E" w:rsidP="00AA241E">
      <w:pPr>
        <w:jc w:val="both"/>
      </w:pPr>
      <w:r w:rsidRPr="006E317E">
        <w:t>Väga suure läbilaskevõimega internetiühendusi (Mbit/s</w:t>
      </w:r>
      <w:r w:rsidR="071A3EC7" w:rsidRPr="006E317E">
        <w:t xml:space="preserve"> </w:t>
      </w:r>
      <w:r w:rsidRPr="006E317E">
        <w:t>&gt;</w:t>
      </w:r>
      <w:r w:rsidR="6096F33F" w:rsidRPr="006E317E">
        <w:t xml:space="preserve"> </w:t>
      </w:r>
      <w:r w:rsidRPr="006E317E">
        <w:t>1000) pakutaks</w:t>
      </w:r>
      <w:r w:rsidR="3F0CD0EF" w:rsidRPr="006E317E">
        <w:t>e</w:t>
      </w:r>
      <w:r w:rsidRPr="006E317E">
        <w:t xml:space="preserve"> ainult </w:t>
      </w:r>
      <w:r w:rsidR="00A3232C">
        <w:t>valguskaabelvõrgu</w:t>
      </w:r>
      <w:r w:rsidRPr="006E317E">
        <w:t xml:space="preserve"> baasil. Samuti pakutakse ainult </w:t>
      </w:r>
      <w:r w:rsidR="00A3232C">
        <w:t>valguskaabelvõrgu</w:t>
      </w:r>
      <w:r w:rsidRPr="006E317E">
        <w:t>s tagatud sümmeetrilisi internetiühenduse kiiruseid, nt 100 Mbit/s üles ja 100 Mbit/s alla.</w:t>
      </w:r>
      <w:r w:rsidR="00A36A3A" w:rsidRPr="006E317E">
        <w:t xml:space="preserve"> Mobiilsidevõrgud on valdavalt optimeeritud pakkuma suurt allalaadimiskiirust, kuid </w:t>
      </w:r>
      <w:proofErr w:type="spellStart"/>
      <w:r w:rsidR="00A36A3A" w:rsidRPr="006E317E">
        <w:t>üleslaadimiskiirus</w:t>
      </w:r>
      <w:proofErr w:type="spellEnd"/>
      <w:r w:rsidR="00A36A3A" w:rsidRPr="006E317E">
        <w:t xml:space="preserve"> jääb sageli oluliselt väiksemaks</w:t>
      </w:r>
      <w:r w:rsidR="0AA0569D" w:rsidRPr="006E317E">
        <w:t>.</w:t>
      </w:r>
    </w:p>
    <w:p w14:paraId="31835D70" w14:textId="4D9BB1FB" w:rsidR="0095323E" w:rsidRPr="006E317E" w:rsidRDefault="0095323E" w:rsidP="00AA241E">
      <w:pPr>
        <w:jc w:val="both"/>
      </w:pPr>
      <w:r w:rsidRPr="00D711F7">
        <w:rPr>
          <w:b/>
        </w:rPr>
        <w:t xml:space="preserve">Seega, kuna valguskaabelvõrk ainukesena pakub väga suure läbilaskevõimega ühendusi ja tagatud sümmeetriliste kiirustega internetiühendusi, siis ei ole jaekliendi jaoks valguskaabelvõrk üldjuhul piisavalt asendatav teiste sidevõrkudega: </w:t>
      </w:r>
      <w:r w:rsidR="00AD1150">
        <w:rPr>
          <w:b/>
        </w:rPr>
        <w:t>vaskpaar</w:t>
      </w:r>
      <w:r w:rsidRPr="00D711F7">
        <w:rPr>
          <w:b/>
        </w:rPr>
        <w:t>-, koaksiaalkaabel ja mobiilsidevõrgud. Samas teised sidevõrgud on jae kliendi jaoks asendatavad valguskaabelvõrguga, kui kliendile on oluline sümmeetriline ülikiire internetiühendus või väga suure läbilaskevõimega internetiühendus</w:t>
      </w:r>
      <w:r w:rsidRPr="006E317E">
        <w:t xml:space="preserve">. </w:t>
      </w:r>
    </w:p>
    <w:p w14:paraId="17A4587F" w14:textId="252AD68D" w:rsidR="0095323E" w:rsidRPr="006E317E" w:rsidRDefault="00A3232C" w:rsidP="00AA241E">
      <w:pPr>
        <w:jc w:val="both"/>
      </w:pPr>
      <w:r>
        <w:t>Valguskaabelvõrgu</w:t>
      </w:r>
      <w:r w:rsidR="0095323E" w:rsidRPr="006E317E">
        <w:t xml:space="preserve"> kasutus on jõudsalt kasvav. Enamus </w:t>
      </w:r>
      <w:r>
        <w:t>valguskaabelvõrgu</w:t>
      </w:r>
      <w:r w:rsidR="0095323E" w:rsidRPr="006E317E">
        <w:t xml:space="preserve">ga liitujaid teevad seda võttes selle lisaks mõnele teisele sidevõrgu internetiühendusele (nt mobiilsidevõrgu internetiühendus) või üle tulles mõnelt teiselt sidevõrgu internetiühenduselt, nagu näiteks </w:t>
      </w:r>
      <w:r w:rsidR="00AD1150">
        <w:t>vaskpaar</w:t>
      </w:r>
      <w:r w:rsidR="0095323E" w:rsidRPr="006E317E">
        <w:t xml:space="preserve">-, koaksiaalkaabel-, või mobiilisidevõrgu internetiühenduselt, mis ei võimaldanud piisavalt kvaliteetset ühendust. Samuti vahetavad sidevõrgu operaatorid ise oma olemasolevaid vanu </w:t>
      </w:r>
      <w:r w:rsidR="00AD1150">
        <w:t>vaskpaar</w:t>
      </w:r>
      <w:r w:rsidR="0095323E" w:rsidRPr="006E317E">
        <w:t xml:space="preserve">- ja koaksiaalkaabelsidevõrke uute valguskaabelsidevõrkude vastu ning lülitavad vanad võrgud välja, mistõttu on jaekliendid sunnitud valguskaabelvõrkudele üle minema.   </w:t>
      </w:r>
    </w:p>
    <w:p w14:paraId="16E3CC91" w14:textId="5FFEA706" w:rsidR="0095323E" w:rsidRPr="006E317E" w:rsidRDefault="0095323E" w:rsidP="00AA241E">
      <w:pPr>
        <w:jc w:val="both"/>
      </w:pPr>
      <w:r w:rsidRPr="006E317E">
        <w:t>Seega mitte-valguskaablivõrkude internetiühenduste kasutajad on olnud nõus asendama oma mitte-</w:t>
      </w:r>
      <w:r w:rsidR="00A3232C">
        <w:t>valguskaabelvõrgu</w:t>
      </w:r>
      <w:r w:rsidRPr="006E317E">
        <w:t xml:space="preserve"> ühenduse </w:t>
      </w:r>
      <w:r w:rsidR="00A3232C">
        <w:t>valguskaabelvõrgu</w:t>
      </w:r>
      <w:r w:rsidRPr="006E317E">
        <w:t xml:space="preserve"> ühendusega, kui neil on tekkinud vajadus väga suure läbilaskevõimega internetiühenduse või sümmeetrilise ülikiire internetiühenduse võimaluse järele. Need, kes on liitunud </w:t>
      </w:r>
      <w:r w:rsidR="00A3232C">
        <w:t>valguskaabelvõrgu</w:t>
      </w:r>
      <w:r w:rsidRPr="006E317E">
        <w:t xml:space="preserve"> põhise internetiühendusega on teinud selleks üldjuhul märkimisväärseid kulutusi ajaliselt (lepingutega liitumine ning kinnistul ja siseruumides kaabli projekteerimine ja paigaldamine) ja finantsiliselt (liitumistasud ja paigaldusega seotud muud kulud). See tähendab, et nad on olnud nõus kandma neid võrgu vahetuse kulutusi, kuna nende jaoks on oluline võimalus saada kasutada vajadusel väga suure läbilaskevõimega ühendusi või sümmeetrilisi ülikiireid ühendusi, mida teised võrgud praegu ei paku. Samas ei ole teada, et </w:t>
      </w:r>
      <w:r w:rsidR="00A3232C">
        <w:t>valguskaabelvõrgu</w:t>
      </w:r>
      <w:r w:rsidRPr="006E317E">
        <w:t xml:space="preserve"> internetiühenduse kasutajad on olnud nõus kandma samas suures ulatuses kulutusi asendamaks oma </w:t>
      </w:r>
      <w:r w:rsidR="00A3232C">
        <w:t>valguskaabelvõrgu</w:t>
      </w:r>
      <w:r w:rsidRPr="006E317E">
        <w:t xml:space="preserve"> internetiühendus mõne teise mitte-</w:t>
      </w:r>
      <w:r w:rsidR="00A3232C">
        <w:t>valguskaabelvõrgu</w:t>
      </w:r>
      <w:r w:rsidRPr="006E317E">
        <w:t xml:space="preserve"> ühendusega, mille maksimaalsed kvaliteedinäitajad on üldjuhul madalamad.</w:t>
      </w:r>
    </w:p>
    <w:p w14:paraId="2EBAA89A" w14:textId="04138CA0" w:rsidR="00397ECA" w:rsidRDefault="00397ECA" w:rsidP="00AA241E">
      <w:pPr>
        <w:jc w:val="both"/>
        <w:rPr>
          <w:b/>
          <w:bCs/>
        </w:rPr>
      </w:pPr>
      <w:r w:rsidRPr="00397ECA">
        <w:rPr>
          <w:b/>
          <w:bCs/>
        </w:rPr>
        <w:t xml:space="preserve">Jaekliendi jaoks on internetiühenduse kiiruste alusel omavahel asendatavad asümmeetrilisi ühendusi pakkuvad </w:t>
      </w:r>
      <w:proofErr w:type="spellStart"/>
      <w:r w:rsidRPr="00397ECA">
        <w:rPr>
          <w:b/>
          <w:bCs/>
        </w:rPr>
        <w:t>ADSLx</w:t>
      </w:r>
      <w:proofErr w:type="spellEnd"/>
      <w:r w:rsidRPr="00397ECA">
        <w:rPr>
          <w:b/>
          <w:bCs/>
        </w:rPr>
        <w:t xml:space="preserve">, </w:t>
      </w:r>
      <w:proofErr w:type="spellStart"/>
      <w:r w:rsidRPr="00397ECA">
        <w:rPr>
          <w:b/>
          <w:bCs/>
        </w:rPr>
        <w:t>VDSLx</w:t>
      </w:r>
      <w:proofErr w:type="spellEnd"/>
      <w:r w:rsidRPr="00397ECA">
        <w:rPr>
          <w:b/>
          <w:bCs/>
        </w:rPr>
        <w:t xml:space="preserve"> </w:t>
      </w:r>
      <w:r w:rsidR="007E6C65">
        <w:rPr>
          <w:b/>
          <w:bCs/>
        </w:rPr>
        <w:t xml:space="preserve">sh </w:t>
      </w:r>
      <w:proofErr w:type="spellStart"/>
      <w:r w:rsidRPr="00397ECA">
        <w:rPr>
          <w:b/>
          <w:bCs/>
        </w:rPr>
        <w:t>vectoring</w:t>
      </w:r>
      <w:proofErr w:type="spellEnd"/>
      <w:r w:rsidRPr="00397ECA">
        <w:rPr>
          <w:b/>
          <w:bCs/>
        </w:rPr>
        <w:t xml:space="preserve"> (sh Vplus35b) </w:t>
      </w:r>
      <w:r w:rsidR="00AD1150">
        <w:rPr>
          <w:b/>
          <w:bCs/>
        </w:rPr>
        <w:t>vaskpaar</w:t>
      </w:r>
      <w:r w:rsidRPr="00397ECA">
        <w:rPr>
          <w:b/>
          <w:bCs/>
        </w:rPr>
        <w:t xml:space="preserve">võrk, DOCSIC 3.0 koaksiaalkaabelvõrk ja 4G/5G mobiilsidevõrk. Seejuures aeglasemat andmeside kiirust pakkuv ADSL ühendus on jaekliendi jaoks üldjuhul asendatav kiiremate </w:t>
      </w:r>
      <w:proofErr w:type="spellStart"/>
      <w:r w:rsidRPr="00397ECA">
        <w:rPr>
          <w:b/>
          <w:bCs/>
        </w:rPr>
        <w:t>VDSL</w:t>
      </w:r>
      <w:r w:rsidR="007E6C65">
        <w:rPr>
          <w:b/>
          <w:bCs/>
        </w:rPr>
        <w:t>x</w:t>
      </w:r>
      <w:proofErr w:type="spellEnd"/>
      <w:r w:rsidR="007E6C65">
        <w:rPr>
          <w:b/>
          <w:bCs/>
        </w:rPr>
        <w:t xml:space="preserve"> sh </w:t>
      </w:r>
      <w:proofErr w:type="spellStart"/>
      <w:r w:rsidR="007E6C65">
        <w:rPr>
          <w:b/>
          <w:bCs/>
        </w:rPr>
        <w:t>vectoring</w:t>
      </w:r>
      <w:proofErr w:type="spellEnd"/>
      <w:r w:rsidR="007E6C65">
        <w:rPr>
          <w:b/>
          <w:bCs/>
        </w:rPr>
        <w:t xml:space="preserve"> (sh Vplus35b)</w:t>
      </w:r>
      <w:r w:rsidRPr="00397ECA">
        <w:rPr>
          <w:b/>
          <w:bCs/>
        </w:rPr>
        <w:t xml:space="preserve">, DOCSIS 3.0 ja 4G/5G mobiilsidevõrgu ühendustega, kuid vastupidi </w:t>
      </w:r>
      <w:r w:rsidRPr="00397ECA">
        <w:rPr>
          <w:b/>
          <w:bCs/>
        </w:rPr>
        <w:lastRenderedPageBreak/>
        <w:t xml:space="preserve">pigem erand juhtudel, näiteks kui mobiilsidevõrgu kvaliteet ei ole </w:t>
      </w:r>
      <w:r w:rsidR="00183BEB">
        <w:rPr>
          <w:b/>
          <w:bCs/>
        </w:rPr>
        <w:t>mobiilsidevõr</w:t>
      </w:r>
      <w:r w:rsidRPr="00397ECA">
        <w:rPr>
          <w:b/>
          <w:bCs/>
        </w:rPr>
        <w:t>gu tugijaama kaugusest tulenevalt piisavalt stabiilne. Sümmeetrilisi ülikiireid ühendusi ja väga suure läbilaskevõimega ühendusi pakkuv FTTB/FTTH valguskaabelvõrk ei ole teiste sidevõrkudega asendatav, kuna teised sellise kvaliteediga ühendusi ei paku.</w:t>
      </w:r>
    </w:p>
    <w:p w14:paraId="06D642D4" w14:textId="17F538B6" w:rsidR="0095323E" w:rsidRDefault="00B86214" w:rsidP="00AA241E">
      <w:pPr>
        <w:pStyle w:val="Heading49"/>
        <w:numPr>
          <w:ilvl w:val="3"/>
          <w:numId w:val="60"/>
        </w:numPr>
      </w:pPr>
      <w:r w:rsidRPr="006E317E">
        <w:t xml:space="preserve">Jaekliendi jaoks </w:t>
      </w:r>
      <w:r w:rsidR="0095323E" w:rsidRPr="006E317E">
        <w:t>sidevõr</w:t>
      </w:r>
      <w:r>
        <w:t>kude asendatavus</w:t>
      </w:r>
      <w:r w:rsidR="0095323E" w:rsidRPr="006E317E">
        <w:t xml:space="preserve"> internetiühenduste hindade alusel </w:t>
      </w:r>
    </w:p>
    <w:p w14:paraId="64CE7111" w14:textId="6E4F04B0" w:rsidR="0095323E" w:rsidRPr="006E317E" w:rsidRDefault="0095323E" w:rsidP="00AA241E">
      <w:pPr>
        <w:jc w:val="both"/>
      </w:pPr>
      <w:r w:rsidRPr="006E317E">
        <w:t xml:space="preserve">Avalikel veebilehtedel avaldatud hinnakirjade alusel sideettevõtjad oma kaabelsidevõrgu internetiühenduste kuutasusid sidevõrgu liigi alusel ei erista. Kuutasud kasvavad pakutava internetiühenduse kiiruse kasvades. Nii Telia, kes pakub internetiühendusi </w:t>
      </w:r>
      <w:r w:rsidR="00AD1150">
        <w:t>vaskpaar</w:t>
      </w:r>
      <w:r w:rsidRPr="006E317E">
        <w:t>- ja valguskaabelvõrgu baasil, kui ka Elisa ja STV, kes pakuvad internetiühendusi koaksiaalkaabel- ja valguskaabelvõrgu baasil, ei ole oma avalikes hinnakirjades eristanud kuutasusid sidevõrgu põhiselt, vaid ainult kiiruste põhiselt (vt Tabeli</w:t>
      </w:r>
      <w:r w:rsidR="0059041C">
        <w:t>d</w:t>
      </w:r>
      <w:r w:rsidRPr="006E317E">
        <w:t xml:space="preserve"> </w:t>
      </w:r>
      <w:r w:rsidR="0059041C">
        <w:t>2 ja 3</w:t>
      </w:r>
      <w:r w:rsidRPr="006E317E">
        <w:t>, esitatud hinnad on käibemaksuga).</w:t>
      </w:r>
    </w:p>
    <w:p w14:paraId="5ED47FE7" w14:textId="77777777" w:rsidR="0095323E" w:rsidRPr="006E317E" w:rsidRDefault="0095323E" w:rsidP="00AA241E">
      <w:pPr>
        <w:jc w:val="both"/>
      </w:pPr>
      <w:r w:rsidRPr="006E317E">
        <w:rPr>
          <w:noProof/>
        </w:rPr>
        <w:drawing>
          <wp:inline distT="0" distB="0" distL="0" distR="0" wp14:anchorId="6B9F1E6D" wp14:editId="1117DC9F">
            <wp:extent cx="4579951" cy="4621028"/>
            <wp:effectExtent l="0" t="0" r="0" b="8255"/>
            <wp:docPr id="31"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085" t="13522" r="32043" b="20342"/>
                    <a:stretch/>
                  </pic:blipFill>
                  <pic:spPr bwMode="auto">
                    <a:xfrm>
                      <a:off x="0" y="0"/>
                      <a:ext cx="4611776" cy="4653139"/>
                    </a:xfrm>
                    <a:prstGeom prst="rect">
                      <a:avLst/>
                    </a:prstGeom>
                    <a:ln>
                      <a:noFill/>
                    </a:ln>
                    <a:extLst>
                      <a:ext uri="{53640926-AAD7-44D8-BBD7-CCE9431645EC}">
                        <a14:shadowObscured xmlns:a14="http://schemas.microsoft.com/office/drawing/2010/main"/>
                      </a:ext>
                    </a:extLst>
                  </pic:spPr>
                </pic:pic>
              </a:graphicData>
            </a:graphic>
          </wp:inline>
        </w:drawing>
      </w:r>
    </w:p>
    <w:p w14:paraId="191758CB" w14:textId="696FA0C8" w:rsidR="001521DF" w:rsidRDefault="00EC33F1" w:rsidP="00AA241E">
      <w:pPr>
        <w:pStyle w:val="Pealdis"/>
        <w:jc w:val="both"/>
        <w:rPr>
          <w:b w:val="0"/>
          <w:bCs w:val="0"/>
        </w:rPr>
      </w:pPr>
      <w:r>
        <w:t xml:space="preserve">Tabel </w:t>
      </w:r>
      <w:r>
        <w:fldChar w:fldCharType="begin"/>
      </w:r>
      <w:r>
        <w:instrText xml:space="preserve"> SEQ Tabel \* ARABIC </w:instrText>
      </w:r>
      <w:r>
        <w:fldChar w:fldCharType="separate"/>
      </w:r>
      <w:r w:rsidR="00247D84">
        <w:rPr>
          <w:noProof/>
        </w:rPr>
        <w:t>2</w:t>
      </w:r>
      <w:r>
        <w:fldChar w:fldCharType="end"/>
      </w:r>
      <w:r>
        <w:t xml:space="preserve"> </w:t>
      </w:r>
      <w:r w:rsidR="0095323E" w:rsidRPr="006E317E">
        <w:t xml:space="preserve">Telia internetiühenduste kuutasud </w:t>
      </w:r>
      <w:r w:rsidR="00AD1150">
        <w:t>vaskpaar</w:t>
      </w:r>
      <w:r w:rsidR="0095323E" w:rsidRPr="006E317E">
        <w:t>-, valguskaabel ja mobiilsidevõrkudes 2024 juuni</w:t>
      </w:r>
      <w:r w:rsidR="001521DF">
        <w:br w:type="page"/>
      </w:r>
    </w:p>
    <w:tbl>
      <w:tblPr>
        <w:tblStyle w:val="Kontuurtabel1"/>
        <w:tblW w:w="9387" w:type="dxa"/>
        <w:tblLook w:val="04A0" w:firstRow="1" w:lastRow="0" w:firstColumn="1" w:lastColumn="0" w:noHBand="0" w:noVBand="1"/>
      </w:tblPr>
      <w:tblGrid>
        <w:gridCol w:w="1314"/>
        <w:gridCol w:w="1549"/>
        <w:gridCol w:w="1848"/>
        <w:gridCol w:w="1271"/>
        <w:gridCol w:w="1557"/>
        <w:gridCol w:w="1848"/>
      </w:tblGrid>
      <w:tr w:rsidR="00B86214" w:rsidRPr="006E317E" w14:paraId="1BB24FC0" w14:textId="77777777" w:rsidTr="009E3E47">
        <w:trPr>
          <w:trHeight w:val="278"/>
        </w:trPr>
        <w:tc>
          <w:tcPr>
            <w:tcW w:w="4711" w:type="dxa"/>
            <w:gridSpan w:val="3"/>
            <w:shd w:val="clear" w:color="auto" w:fill="92D050"/>
            <w:noWrap/>
            <w:vAlign w:val="bottom"/>
            <w:hideMark/>
          </w:tcPr>
          <w:p w14:paraId="6BB5EE95" w14:textId="77777777" w:rsidR="00B86214" w:rsidRPr="006E317E" w:rsidRDefault="00B86214" w:rsidP="00AA241E">
            <w:pPr>
              <w:jc w:val="both"/>
            </w:pPr>
            <w:r w:rsidRPr="006E317E">
              <w:lastRenderedPageBreak/>
              <w:t>Elisa</w:t>
            </w:r>
          </w:p>
          <w:p w14:paraId="6E5E5510" w14:textId="3D8ECA8E" w:rsidR="00B86214" w:rsidRPr="006E317E" w:rsidRDefault="00B86214" w:rsidP="00AA241E">
            <w:pPr>
              <w:jc w:val="both"/>
            </w:pPr>
          </w:p>
          <w:p w14:paraId="2F0A9E34" w14:textId="29FD9050" w:rsidR="00B86214" w:rsidRPr="006E317E" w:rsidRDefault="00B86214" w:rsidP="00AA241E">
            <w:pPr>
              <w:jc w:val="both"/>
            </w:pPr>
          </w:p>
        </w:tc>
        <w:tc>
          <w:tcPr>
            <w:tcW w:w="4676" w:type="dxa"/>
            <w:gridSpan w:val="3"/>
            <w:shd w:val="clear" w:color="auto" w:fill="92D050"/>
            <w:noWrap/>
            <w:vAlign w:val="center"/>
            <w:hideMark/>
          </w:tcPr>
          <w:p w14:paraId="4819CBD9" w14:textId="77777777" w:rsidR="00B86214" w:rsidRPr="006E317E" w:rsidRDefault="00B86214" w:rsidP="00AA241E">
            <w:pPr>
              <w:jc w:val="both"/>
            </w:pPr>
            <w:r w:rsidRPr="006E317E">
              <w:t>STV</w:t>
            </w:r>
          </w:p>
          <w:p w14:paraId="193BD8AA" w14:textId="20AE2E9B" w:rsidR="00B86214" w:rsidRPr="006E317E" w:rsidRDefault="00B86214" w:rsidP="00AA241E">
            <w:pPr>
              <w:jc w:val="both"/>
            </w:pPr>
          </w:p>
          <w:p w14:paraId="26440CF8" w14:textId="553EC3ED" w:rsidR="00B86214" w:rsidRPr="006E317E" w:rsidRDefault="00B86214" w:rsidP="00AA241E">
            <w:pPr>
              <w:jc w:val="both"/>
            </w:pPr>
          </w:p>
        </w:tc>
      </w:tr>
      <w:tr w:rsidR="00B86214" w:rsidRPr="006E317E" w14:paraId="16DFDD68" w14:textId="77777777" w:rsidTr="009E3E47">
        <w:trPr>
          <w:trHeight w:val="810"/>
        </w:trPr>
        <w:tc>
          <w:tcPr>
            <w:tcW w:w="1314" w:type="dxa"/>
            <w:shd w:val="clear" w:color="auto" w:fill="92D050"/>
            <w:hideMark/>
          </w:tcPr>
          <w:p w14:paraId="22AA416F" w14:textId="77777777" w:rsidR="00B86214" w:rsidRPr="006E317E" w:rsidRDefault="00B86214" w:rsidP="00AA241E">
            <w:pPr>
              <w:jc w:val="both"/>
            </w:pPr>
            <w:r w:rsidRPr="006E317E">
              <w:t>Kiirus         alla / üles Mbit/s</w:t>
            </w:r>
          </w:p>
        </w:tc>
        <w:tc>
          <w:tcPr>
            <w:tcW w:w="1549" w:type="dxa"/>
            <w:shd w:val="clear" w:color="auto" w:fill="92D050"/>
            <w:noWrap/>
            <w:vAlign w:val="center"/>
            <w:hideMark/>
          </w:tcPr>
          <w:p w14:paraId="789CFA24" w14:textId="77777777" w:rsidR="00B86214" w:rsidRPr="006E317E" w:rsidRDefault="00B86214" w:rsidP="00AA241E">
            <w:pPr>
              <w:jc w:val="both"/>
            </w:pPr>
            <w:r w:rsidRPr="006E317E">
              <w:t>Valguskaabel</w:t>
            </w:r>
          </w:p>
        </w:tc>
        <w:tc>
          <w:tcPr>
            <w:tcW w:w="1848" w:type="dxa"/>
            <w:shd w:val="clear" w:color="auto" w:fill="92D050"/>
            <w:noWrap/>
            <w:vAlign w:val="center"/>
            <w:hideMark/>
          </w:tcPr>
          <w:p w14:paraId="39352779" w14:textId="77777777" w:rsidR="00B86214" w:rsidRPr="006E317E" w:rsidRDefault="00B86214" w:rsidP="00AA241E">
            <w:pPr>
              <w:jc w:val="both"/>
            </w:pPr>
            <w:r w:rsidRPr="006E317E">
              <w:t>Koaksiaalkaabel</w:t>
            </w:r>
          </w:p>
        </w:tc>
        <w:tc>
          <w:tcPr>
            <w:tcW w:w="1271" w:type="dxa"/>
            <w:shd w:val="clear" w:color="auto" w:fill="92D050"/>
            <w:hideMark/>
          </w:tcPr>
          <w:p w14:paraId="4D1BD57A" w14:textId="77777777" w:rsidR="00B86214" w:rsidRPr="006E317E" w:rsidRDefault="00B86214" w:rsidP="00AA241E">
            <w:pPr>
              <w:jc w:val="both"/>
            </w:pPr>
            <w:r w:rsidRPr="006E317E">
              <w:t>Kiirus         alla / üles Mbit/s</w:t>
            </w:r>
          </w:p>
        </w:tc>
        <w:tc>
          <w:tcPr>
            <w:tcW w:w="1557" w:type="dxa"/>
            <w:shd w:val="clear" w:color="auto" w:fill="92D050"/>
            <w:noWrap/>
            <w:vAlign w:val="center"/>
            <w:hideMark/>
          </w:tcPr>
          <w:p w14:paraId="3FD97539" w14:textId="77777777" w:rsidR="00B86214" w:rsidRPr="006E317E" w:rsidRDefault="00B86214" w:rsidP="00AA241E">
            <w:pPr>
              <w:jc w:val="both"/>
            </w:pPr>
            <w:r w:rsidRPr="006E317E">
              <w:t>Valguskaabel</w:t>
            </w:r>
          </w:p>
        </w:tc>
        <w:tc>
          <w:tcPr>
            <w:tcW w:w="1848" w:type="dxa"/>
            <w:shd w:val="clear" w:color="auto" w:fill="92D050"/>
            <w:noWrap/>
            <w:vAlign w:val="center"/>
            <w:hideMark/>
          </w:tcPr>
          <w:p w14:paraId="1472E5A0" w14:textId="77777777" w:rsidR="00B86214" w:rsidRPr="006E317E" w:rsidRDefault="00B86214" w:rsidP="00AA241E">
            <w:pPr>
              <w:jc w:val="both"/>
            </w:pPr>
            <w:r w:rsidRPr="006E317E">
              <w:t>Koaksiaalkaabel</w:t>
            </w:r>
          </w:p>
        </w:tc>
      </w:tr>
      <w:tr w:rsidR="00B86214" w:rsidRPr="006E317E" w14:paraId="38635683" w14:textId="77777777" w:rsidTr="00B86214">
        <w:trPr>
          <w:trHeight w:val="265"/>
        </w:trPr>
        <w:tc>
          <w:tcPr>
            <w:tcW w:w="1314" w:type="dxa"/>
            <w:noWrap/>
            <w:hideMark/>
          </w:tcPr>
          <w:p w14:paraId="253D8DB0" w14:textId="77777777" w:rsidR="00B86214" w:rsidRPr="006E317E" w:rsidRDefault="00B86214" w:rsidP="00AA241E">
            <w:pPr>
              <w:jc w:val="both"/>
            </w:pPr>
            <w:r w:rsidRPr="006E317E">
              <w:t>15 / 3</w:t>
            </w:r>
          </w:p>
        </w:tc>
        <w:tc>
          <w:tcPr>
            <w:tcW w:w="1549" w:type="dxa"/>
            <w:noWrap/>
            <w:hideMark/>
          </w:tcPr>
          <w:p w14:paraId="4571678A" w14:textId="77777777" w:rsidR="00B86214" w:rsidRPr="006E317E" w:rsidRDefault="00B86214" w:rsidP="00AA241E">
            <w:pPr>
              <w:jc w:val="both"/>
            </w:pPr>
            <w:r w:rsidRPr="006E317E">
              <w:t>-</w:t>
            </w:r>
          </w:p>
        </w:tc>
        <w:tc>
          <w:tcPr>
            <w:tcW w:w="1848" w:type="dxa"/>
            <w:noWrap/>
            <w:hideMark/>
          </w:tcPr>
          <w:p w14:paraId="2A9DE15E" w14:textId="77777777" w:rsidR="00B86214" w:rsidRPr="006E317E" w:rsidRDefault="00B86214" w:rsidP="00AA241E">
            <w:pPr>
              <w:jc w:val="both"/>
            </w:pPr>
            <w:r w:rsidRPr="006E317E">
              <w:t>17,99</w:t>
            </w:r>
          </w:p>
        </w:tc>
        <w:tc>
          <w:tcPr>
            <w:tcW w:w="1271" w:type="dxa"/>
            <w:noWrap/>
            <w:hideMark/>
          </w:tcPr>
          <w:p w14:paraId="525DF312" w14:textId="77777777" w:rsidR="00B86214" w:rsidRPr="006E317E" w:rsidRDefault="00B86214" w:rsidP="00AA241E">
            <w:pPr>
              <w:jc w:val="both"/>
            </w:pPr>
            <w:r w:rsidRPr="006E317E">
              <w:t>20 / 2</w:t>
            </w:r>
          </w:p>
        </w:tc>
        <w:tc>
          <w:tcPr>
            <w:tcW w:w="1557" w:type="dxa"/>
            <w:noWrap/>
            <w:hideMark/>
          </w:tcPr>
          <w:p w14:paraId="7942E2CF" w14:textId="77777777" w:rsidR="00B86214" w:rsidRPr="006E317E" w:rsidRDefault="00B86214" w:rsidP="00AA241E">
            <w:pPr>
              <w:jc w:val="both"/>
            </w:pPr>
            <w:r w:rsidRPr="006E317E">
              <w:t>-</w:t>
            </w:r>
          </w:p>
        </w:tc>
        <w:tc>
          <w:tcPr>
            <w:tcW w:w="1848" w:type="dxa"/>
            <w:noWrap/>
            <w:hideMark/>
          </w:tcPr>
          <w:p w14:paraId="16042746" w14:textId="77777777" w:rsidR="00B86214" w:rsidRPr="006E317E" w:rsidRDefault="00B86214" w:rsidP="00AA241E">
            <w:pPr>
              <w:jc w:val="both"/>
            </w:pPr>
            <w:r w:rsidRPr="006E317E">
              <w:t>17</w:t>
            </w:r>
          </w:p>
        </w:tc>
      </w:tr>
      <w:tr w:rsidR="00B86214" w:rsidRPr="006E317E" w14:paraId="482783AB" w14:textId="77777777" w:rsidTr="00B86214">
        <w:trPr>
          <w:trHeight w:val="278"/>
        </w:trPr>
        <w:tc>
          <w:tcPr>
            <w:tcW w:w="1314" w:type="dxa"/>
            <w:noWrap/>
            <w:hideMark/>
          </w:tcPr>
          <w:p w14:paraId="55FAAE43" w14:textId="77777777" w:rsidR="00B86214" w:rsidRPr="006E317E" w:rsidRDefault="00B86214" w:rsidP="00AA241E">
            <w:pPr>
              <w:jc w:val="both"/>
            </w:pPr>
            <w:r w:rsidRPr="006E317E">
              <w:t>15 / 15</w:t>
            </w:r>
          </w:p>
        </w:tc>
        <w:tc>
          <w:tcPr>
            <w:tcW w:w="1549" w:type="dxa"/>
            <w:noWrap/>
            <w:hideMark/>
          </w:tcPr>
          <w:p w14:paraId="0CFC35E8" w14:textId="77777777" w:rsidR="00B86214" w:rsidRPr="006E317E" w:rsidRDefault="00B86214" w:rsidP="00AA241E">
            <w:pPr>
              <w:jc w:val="both"/>
            </w:pPr>
            <w:r w:rsidRPr="006E317E">
              <w:t>17,99</w:t>
            </w:r>
          </w:p>
        </w:tc>
        <w:tc>
          <w:tcPr>
            <w:tcW w:w="1848" w:type="dxa"/>
            <w:noWrap/>
            <w:hideMark/>
          </w:tcPr>
          <w:p w14:paraId="42ACB888" w14:textId="77777777" w:rsidR="00B86214" w:rsidRPr="006E317E" w:rsidRDefault="00B86214" w:rsidP="00AA241E">
            <w:pPr>
              <w:jc w:val="both"/>
            </w:pPr>
            <w:r w:rsidRPr="006E317E">
              <w:t>-</w:t>
            </w:r>
          </w:p>
        </w:tc>
        <w:tc>
          <w:tcPr>
            <w:tcW w:w="1271" w:type="dxa"/>
            <w:noWrap/>
            <w:hideMark/>
          </w:tcPr>
          <w:p w14:paraId="0BC39987" w14:textId="77777777" w:rsidR="00B86214" w:rsidRPr="006E317E" w:rsidRDefault="00B86214" w:rsidP="00AA241E">
            <w:pPr>
              <w:jc w:val="both"/>
            </w:pPr>
            <w:r w:rsidRPr="006E317E">
              <w:t>20 / 20</w:t>
            </w:r>
          </w:p>
        </w:tc>
        <w:tc>
          <w:tcPr>
            <w:tcW w:w="1557" w:type="dxa"/>
            <w:noWrap/>
            <w:hideMark/>
          </w:tcPr>
          <w:p w14:paraId="69E576EE" w14:textId="77777777" w:rsidR="00B86214" w:rsidRPr="006E317E" w:rsidRDefault="00B86214" w:rsidP="00AA241E">
            <w:pPr>
              <w:jc w:val="both"/>
            </w:pPr>
            <w:r w:rsidRPr="006E317E">
              <w:t>17</w:t>
            </w:r>
          </w:p>
        </w:tc>
        <w:tc>
          <w:tcPr>
            <w:tcW w:w="1848" w:type="dxa"/>
            <w:noWrap/>
            <w:hideMark/>
          </w:tcPr>
          <w:p w14:paraId="23106CB8" w14:textId="77777777" w:rsidR="00B86214" w:rsidRPr="006E317E" w:rsidRDefault="00B86214" w:rsidP="00AA241E">
            <w:pPr>
              <w:jc w:val="both"/>
            </w:pPr>
            <w:r w:rsidRPr="006E317E">
              <w:t>-</w:t>
            </w:r>
          </w:p>
        </w:tc>
      </w:tr>
      <w:tr w:rsidR="00B86214" w:rsidRPr="006E317E" w14:paraId="17E3125C" w14:textId="77777777" w:rsidTr="00B86214">
        <w:trPr>
          <w:trHeight w:val="265"/>
        </w:trPr>
        <w:tc>
          <w:tcPr>
            <w:tcW w:w="1314" w:type="dxa"/>
            <w:noWrap/>
            <w:hideMark/>
          </w:tcPr>
          <w:p w14:paraId="2EF31322" w14:textId="77777777" w:rsidR="00B86214" w:rsidRPr="006E317E" w:rsidRDefault="00B86214" w:rsidP="00AA241E">
            <w:pPr>
              <w:jc w:val="both"/>
            </w:pPr>
            <w:r w:rsidRPr="006E317E">
              <w:t>50 / 10</w:t>
            </w:r>
          </w:p>
        </w:tc>
        <w:tc>
          <w:tcPr>
            <w:tcW w:w="1549" w:type="dxa"/>
            <w:noWrap/>
            <w:hideMark/>
          </w:tcPr>
          <w:p w14:paraId="3E31DB4A" w14:textId="77777777" w:rsidR="00B86214" w:rsidRPr="006E317E" w:rsidRDefault="00B86214" w:rsidP="00AA241E">
            <w:pPr>
              <w:jc w:val="both"/>
            </w:pPr>
            <w:r w:rsidRPr="006E317E">
              <w:t>-</w:t>
            </w:r>
          </w:p>
        </w:tc>
        <w:tc>
          <w:tcPr>
            <w:tcW w:w="1848" w:type="dxa"/>
            <w:noWrap/>
            <w:hideMark/>
          </w:tcPr>
          <w:p w14:paraId="19B67ADB" w14:textId="77777777" w:rsidR="00B86214" w:rsidRPr="006E317E" w:rsidRDefault="00B86214" w:rsidP="00AA241E">
            <w:pPr>
              <w:jc w:val="both"/>
            </w:pPr>
            <w:r w:rsidRPr="006E317E">
              <w:t>21,99</w:t>
            </w:r>
          </w:p>
        </w:tc>
        <w:tc>
          <w:tcPr>
            <w:tcW w:w="1271" w:type="dxa"/>
            <w:noWrap/>
            <w:hideMark/>
          </w:tcPr>
          <w:p w14:paraId="2A90873C" w14:textId="77777777" w:rsidR="00B86214" w:rsidRPr="006E317E" w:rsidRDefault="00B86214" w:rsidP="00AA241E">
            <w:pPr>
              <w:jc w:val="both"/>
            </w:pPr>
            <w:r w:rsidRPr="006E317E">
              <w:t>50 / 4</w:t>
            </w:r>
          </w:p>
        </w:tc>
        <w:tc>
          <w:tcPr>
            <w:tcW w:w="1557" w:type="dxa"/>
            <w:noWrap/>
            <w:hideMark/>
          </w:tcPr>
          <w:p w14:paraId="05A0E50A" w14:textId="77777777" w:rsidR="00B86214" w:rsidRPr="006E317E" w:rsidRDefault="00B86214" w:rsidP="00AA241E">
            <w:pPr>
              <w:jc w:val="both"/>
            </w:pPr>
            <w:r w:rsidRPr="006E317E">
              <w:t>-</w:t>
            </w:r>
          </w:p>
        </w:tc>
        <w:tc>
          <w:tcPr>
            <w:tcW w:w="1848" w:type="dxa"/>
            <w:noWrap/>
            <w:hideMark/>
          </w:tcPr>
          <w:p w14:paraId="087F54C1" w14:textId="77777777" w:rsidR="00B86214" w:rsidRPr="006E317E" w:rsidRDefault="00B86214" w:rsidP="00AA241E">
            <w:pPr>
              <w:jc w:val="both"/>
            </w:pPr>
            <w:r w:rsidRPr="006E317E">
              <w:t>21</w:t>
            </w:r>
          </w:p>
        </w:tc>
      </w:tr>
      <w:tr w:rsidR="00B86214" w:rsidRPr="006E317E" w14:paraId="15A0C5B0" w14:textId="77777777" w:rsidTr="00B86214">
        <w:trPr>
          <w:trHeight w:val="278"/>
        </w:trPr>
        <w:tc>
          <w:tcPr>
            <w:tcW w:w="1314" w:type="dxa"/>
            <w:noWrap/>
            <w:hideMark/>
          </w:tcPr>
          <w:p w14:paraId="7D440745" w14:textId="77777777" w:rsidR="00B86214" w:rsidRPr="006E317E" w:rsidRDefault="00B86214" w:rsidP="00AA241E">
            <w:pPr>
              <w:jc w:val="both"/>
            </w:pPr>
            <w:r w:rsidRPr="006E317E">
              <w:t>50 / 50</w:t>
            </w:r>
          </w:p>
        </w:tc>
        <w:tc>
          <w:tcPr>
            <w:tcW w:w="1549" w:type="dxa"/>
            <w:noWrap/>
            <w:hideMark/>
          </w:tcPr>
          <w:p w14:paraId="35D7D695" w14:textId="77777777" w:rsidR="00B86214" w:rsidRPr="006E317E" w:rsidRDefault="00B86214" w:rsidP="00AA241E">
            <w:pPr>
              <w:jc w:val="both"/>
            </w:pPr>
            <w:r w:rsidRPr="006E317E">
              <w:t>21,99</w:t>
            </w:r>
          </w:p>
        </w:tc>
        <w:tc>
          <w:tcPr>
            <w:tcW w:w="1848" w:type="dxa"/>
            <w:noWrap/>
            <w:hideMark/>
          </w:tcPr>
          <w:p w14:paraId="344FD6FD" w14:textId="77777777" w:rsidR="00B86214" w:rsidRPr="006E317E" w:rsidRDefault="00B86214" w:rsidP="00AA241E">
            <w:pPr>
              <w:jc w:val="both"/>
            </w:pPr>
            <w:r w:rsidRPr="006E317E">
              <w:t>-</w:t>
            </w:r>
          </w:p>
        </w:tc>
        <w:tc>
          <w:tcPr>
            <w:tcW w:w="1271" w:type="dxa"/>
            <w:noWrap/>
            <w:hideMark/>
          </w:tcPr>
          <w:p w14:paraId="32CF1935" w14:textId="77777777" w:rsidR="00B86214" w:rsidRPr="006E317E" w:rsidRDefault="00B86214" w:rsidP="00AA241E">
            <w:pPr>
              <w:jc w:val="both"/>
            </w:pPr>
            <w:r w:rsidRPr="006E317E">
              <w:t>50 / 50</w:t>
            </w:r>
          </w:p>
        </w:tc>
        <w:tc>
          <w:tcPr>
            <w:tcW w:w="1557" w:type="dxa"/>
            <w:noWrap/>
            <w:hideMark/>
          </w:tcPr>
          <w:p w14:paraId="4E06DEBE" w14:textId="77777777" w:rsidR="00B86214" w:rsidRPr="006E317E" w:rsidRDefault="00B86214" w:rsidP="00AA241E">
            <w:pPr>
              <w:jc w:val="both"/>
            </w:pPr>
            <w:r w:rsidRPr="006E317E">
              <w:t>21</w:t>
            </w:r>
          </w:p>
        </w:tc>
        <w:tc>
          <w:tcPr>
            <w:tcW w:w="1848" w:type="dxa"/>
            <w:noWrap/>
            <w:hideMark/>
          </w:tcPr>
          <w:p w14:paraId="789C0CB7" w14:textId="77777777" w:rsidR="00B86214" w:rsidRPr="006E317E" w:rsidRDefault="00B86214" w:rsidP="00AA241E">
            <w:pPr>
              <w:jc w:val="both"/>
            </w:pPr>
            <w:r w:rsidRPr="006E317E">
              <w:t>-</w:t>
            </w:r>
          </w:p>
        </w:tc>
      </w:tr>
      <w:tr w:rsidR="00B86214" w:rsidRPr="006E317E" w14:paraId="2A8055DE" w14:textId="77777777" w:rsidTr="00B86214">
        <w:trPr>
          <w:trHeight w:val="265"/>
        </w:trPr>
        <w:tc>
          <w:tcPr>
            <w:tcW w:w="1314" w:type="dxa"/>
            <w:noWrap/>
            <w:hideMark/>
          </w:tcPr>
          <w:p w14:paraId="53CCB87E" w14:textId="77777777" w:rsidR="00B86214" w:rsidRPr="006E317E" w:rsidRDefault="00B86214" w:rsidP="00AA241E">
            <w:pPr>
              <w:jc w:val="both"/>
            </w:pPr>
            <w:r w:rsidRPr="006E317E">
              <w:t>150 / 20</w:t>
            </w:r>
          </w:p>
        </w:tc>
        <w:tc>
          <w:tcPr>
            <w:tcW w:w="1549" w:type="dxa"/>
            <w:noWrap/>
            <w:hideMark/>
          </w:tcPr>
          <w:p w14:paraId="6FCEA585" w14:textId="77777777" w:rsidR="00B86214" w:rsidRPr="006E317E" w:rsidRDefault="00B86214" w:rsidP="00AA241E">
            <w:pPr>
              <w:jc w:val="both"/>
            </w:pPr>
            <w:r w:rsidRPr="006E317E">
              <w:t>-</w:t>
            </w:r>
          </w:p>
        </w:tc>
        <w:tc>
          <w:tcPr>
            <w:tcW w:w="1848" w:type="dxa"/>
            <w:noWrap/>
            <w:hideMark/>
          </w:tcPr>
          <w:p w14:paraId="65B0C0CC" w14:textId="77777777" w:rsidR="00B86214" w:rsidRPr="006E317E" w:rsidRDefault="00B86214" w:rsidP="00AA241E">
            <w:pPr>
              <w:jc w:val="both"/>
            </w:pPr>
            <w:r w:rsidRPr="006E317E">
              <w:t>27,99</w:t>
            </w:r>
          </w:p>
        </w:tc>
        <w:tc>
          <w:tcPr>
            <w:tcW w:w="1271" w:type="dxa"/>
            <w:noWrap/>
            <w:hideMark/>
          </w:tcPr>
          <w:p w14:paraId="03318601" w14:textId="77777777" w:rsidR="00B86214" w:rsidRPr="006E317E" w:rsidRDefault="00B86214" w:rsidP="00AA241E">
            <w:pPr>
              <w:jc w:val="both"/>
            </w:pPr>
            <w:r w:rsidRPr="006E317E">
              <w:t>100 / 10</w:t>
            </w:r>
          </w:p>
        </w:tc>
        <w:tc>
          <w:tcPr>
            <w:tcW w:w="1557" w:type="dxa"/>
            <w:noWrap/>
            <w:hideMark/>
          </w:tcPr>
          <w:p w14:paraId="1DEE77F5" w14:textId="77777777" w:rsidR="00B86214" w:rsidRPr="006E317E" w:rsidRDefault="00B86214" w:rsidP="00AA241E">
            <w:pPr>
              <w:jc w:val="both"/>
            </w:pPr>
            <w:r w:rsidRPr="006E317E">
              <w:t>-</w:t>
            </w:r>
          </w:p>
        </w:tc>
        <w:tc>
          <w:tcPr>
            <w:tcW w:w="1848" w:type="dxa"/>
            <w:noWrap/>
            <w:hideMark/>
          </w:tcPr>
          <w:p w14:paraId="607CB032" w14:textId="77777777" w:rsidR="00B86214" w:rsidRPr="006E317E" w:rsidRDefault="00B86214" w:rsidP="00AA241E">
            <w:pPr>
              <w:jc w:val="both"/>
            </w:pPr>
            <w:r w:rsidRPr="006E317E">
              <w:t>25</w:t>
            </w:r>
          </w:p>
        </w:tc>
      </w:tr>
      <w:tr w:rsidR="00B86214" w:rsidRPr="006E317E" w14:paraId="27F9B565" w14:textId="77777777" w:rsidTr="00B86214">
        <w:trPr>
          <w:trHeight w:val="278"/>
        </w:trPr>
        <w:tc>
          <w:tcPr>
            <w:tcW w:w="1314" w:type="dxa"/>
            <w:noWrap/>
            <w:hideMark/>
          </w:tcPr>
          <w:p w14:paraId="186AE81D" w14:textId="77777777" w:rsidR="00B86214" w:rsidRPr="006E317E" w:rsidRDefault="00B86214" w:rsidP="00AA241E">
            <w:pPr>
              <w:jc w:val="both"/>
            </w:pPr>
            <w:r w:rsidRPr="006E317E">
              <w:t>150 / 150</w:t>
            </w:r>
          </w:p>
        </w:tc>
        <w:tc>
          <w:tcPr>
            <w:tcW w:w="1549" w:type="dxa"/>
            <w:noWrap/>
            <w:hideMark/>
          </w:tcPr>
          <w:p w14:paraId="5857586E" w14:textId="77777777" w:rsidR="00B86214" w:rsidRPr="006E317E" w:rsidRDefault="00B86214" w:rsidP="00AA241E">
            <w:pPr>
              <w:jc w:val="both"/>
            </w:pPr>
            <w:r w:rsidRPr="006E317E">
              <w:t>27,99</w:t>
            </w:r>
          </w:p>
        </w:tc>
        <w:tc>
          <w:tcPr>
            <w:tcW w:w="1848" w:type="dxa"/>
            <w:noWrap/>
            <w:hideMark/>
          </w:tcPr>
          <w:p w14:paraId="29E86122" w14:textId="77777777" w:rsidR="00B86214" w:rsidRPr="006E317E" w:rsidRDefault="00B86214" w:rsidP="00AA241E">
            <w:pPr>
              <w:jc w:val="both"/>
            </w:pPr>
            <w:r w:rsidRPr="006E317E">
              <w:t>-</w:t>
            </w:r>
          </w:p>
        </w:tc>
        <w:tc>
          <w:tcPr>
            <w:tcW w:w="1271" w:type="dxa"/>
            <w:noWrap/>
            <w:hideMark/>
          </w:tcPr>
          <w:p w14:paraId="6E93B39F" w14:textId="77777777" w:rsidR="00B86214" w:rsidRPr="006E317E" w:rsidRDefault="00B86214" w:rsidP="00AA241E">
            <w:pPr>
              <w:jc w:val="both"/>
            </w:pPr>
            <w:r w:rsidRPr="006E317E">
              <w:t>100 / 100</w:t>
            </w:r>
          </w:p>
        </w:tc>
        <w:tc>
          <w:tcPr>
            <w:tcW w:w="1557" w:type="dxa"/>
            <w:noWrap/>
            <w:hideMark/>
          </w:tcPr>
          <w:p w14:paraId="335EBCEB" w14:textId="77777777" w:rsidR="00B86214" w:rsidRPr="006E317E" w:rsidRDefault="00B86214" w:rsidP="00AA241E">
            <w:pPr>
              <w:jc w:val="both"/>
            </w:pPr>
            <w:r w:rsidRPr="006E317E">
              <w:t>25</w:t>
            </w:r>
          </w:p>
        </w:tc>
        <w:tc>
          <w:tcPr>
            <w:tcW w:w="1848" w:type="dxa"/>
            <w:noWrap/>
            <w:hideMark/>
          </w:tcPr>
          <w:p w14:paraId="54825B69" w14:textId="77777777" w:rsidR="00B86214" w:rsidRPr="006E317E" w:rsidRDefault="00B86214" w:rsidP="00AA241E">
            <w:pPr>
              <w:jc w:val="both"/>
            </w:pPr>
            <w:r w:rsidRPr="006E317E">
              <w:t>-</w:t>
            </w:r>
          </w:p>
        </w:tc>
      </w:tr>
      <w:tr w:rsidR="00B86214" w:rsidRPr="006E317E" w14:paraId="6C54BCA1" w14:textId="77777777" w:rsidTr="00B86214">
        <w:trPr>
          <w:trHeight w:val="265"/>
        </w:trPr>
        <w:tc>
          <w:tcPr>
            <w:tcW w:w="1314" w:type="dxa"/>
            <w:noWrap/>
            <w:hideMark/>
          </w:tcPr>
          <w:p w14:paraId="31B0ACE6" w14:textId="77777777" w:rsidR="00B86214" w:rsidRPr="006E317E" w:rsidRDefault="00B86214" w:rsidP="00AA241E">
            <w:pPr>
              <w:jc w:val="both"/>
            </w:pPr>
            <w:r w:rsidRPr="006E317E">
              <w:t>500 / 50</w:t>
            </w:r>
          </w:p>
        </w:tc>
        <w:tc>
          <w:tcPr>
            <w:tcW w:w="1549" w:type="dxa"/>
            <w:noWrap/>
            <w:hideMark/>
          </w:tcPr>
          <w:p w14:paraId="61E5B8C9" w14:textId="77777777" w:rsidR="00B86214" w:rsidRPr="006E317E" w:rsidRDefault="00B86214" w:rsidP="00AA241E">
            <w:pPr>
              <w:jc w:val="both"/>
            </w:pPr>
            <w:r w:rsidRPr="006E317E">
              <w:t>-</w:t>
            </w:r>
          </w:p>
        </w:tc>
        <w:tc>
          <w:tcPr>
            <w:tcW w:w="1848" w:type="dxa"/>
            <w:noWrap/>
            <w:hideMark/>
          </w:tcPr>
          <w:p w14:paraId="44EEF0EE" w14:textId="77777777" w:rsidR="00B86214" w:rsidRPr="006E317E" w:rsidRDefault="00B86214" w:rsidP="00AA241E">
            <w:pPr>
              <w:jc w:val="both"/>
            </w:pPr>
            <w:r w:rsidRPr="006E317E">
              <w:t>34,99</w:t>
            </w:r>
          </w:p>
        </w:tc>
        <w:tc>
          <w:tcPr>
            <w:tcW w:w="1271" w:type="dxa"/>
            <w:noWrap/>
            <w:hideMark/>
          </w:tcPr>
          <w:p w14:paraId="4365FED0" w14:textId="77777777" w:rsidR="00B86214" w:rsidRPr="006E317E" w:rsidRDefault="00B86214" w:rsidP="00AA241E">
            <w:pPr>
              <w:jc w:val="both"/>
            </w:pPr>
            <w:r w:rsidRPr="006E317E">
              <w:t>250 / 250</w:t>
            </w:r>
          </w:p>
        </w:tc>
        <w:tc>
          <w:tcPr>
            <w:tcW w:w="1557" w:type="dxa"/>
            <w:noWrap/>
            <w:hideMark/>
          </w:tcPr>
          <w:p w14:paraId="3AED46AF" w14:textId="77777777" w:rsidR="00B86214" w:rsidRPr="006E317E" w:rsidRDefault="00B86214" w:rsidP="00AA241E">
            <w:pPr>
              <w:jc w:val="both"/>
            </w:pPr>
            <w:r w:rsidRPr="006E317E">
              <w:t>29</w:t>
            </w:r>
          </w:p>
        </w:tc>
        <w:tc>
          <w:tcPr>
            <w:tcW w:w="1848" w:type="dxa"/>
            <w:noWrap/>
            <w:hideMark/>
          </w:tcPr>
          <w:p w14:paraId="3BBD683D" w14:textId="77777777" w:rsidR="00B86214" w:rsidRPr="006E317E" w:rsidRDefault="00B86214" w:rsidP="00AA241E">
            <w:pPr>
              <w:jc w:val="both"/>
            </w:pPr>
            <w:r w:rsidRPr="006E317E">
              <w:t>34,99</w:t>
            </w:r>
          </w:p>
        </w:tc>
      </w:tr>
      <w:tr w:rsidR="00B86214" w:rsidRPr="006E317E" w14:paraId="0223D5DB" w14:textId="77777777" w:rsidTr="00B86214">
        <w:trPr>
          <w:trHeight w:val="278"/>
        </w:trPr>
        <w:tc>
          <w:tcPr>
            <w:tcW w:w="1314" w:type="dxa"/>
            <w:noWrap/>
            <w:hideMark/>
          </w:tcPr>
          <w:p w14:paraId="09D56FD7" w14:textId="77777777" w:rsidR="00B86214" w:rsidRPr="006E317E" w:rsidRDefault="00B86214" w:rsidP="00AA241E">
            <w:pPr>
              <w:jc w:val="both"/>
            </w:pPr>
            <w:r w:rsidRPr="006E317E">
              <w:t>500 / 500</w:t>
            </w:r>
          </w:p>
        </w:tc>
        <w:tc>
          <w:tcPr>
            <w:tcW w:w="1549" w:type="dxa"/>
            <w:noWrap/>
            <w:hideMark/>
          </w:tcPr>
          <w:p w14:paraId="5C304E9D" w14:textId="77777777" w:rsidR="00B86214" w:rsidRPr="006E317E" w:rsidRDefault="00B86214" w:rsidP="00AA241E">
            <w:pPr>
              <w:jc w:val="both"/>
            </w:pPr>
            <w:r w:rsidRPr="006E317E">
              <w:t>34,99</w:t>
            </w:r>
          </w:p>
        </w:tc>
        <w:tc>
          <w:tcPr>
            <w:tcW w:w="1848" w:type="dxa"/>
            <w:noWrap/>
            <w:hideMark/>
          </w:tcPr>
          <w:p w14:paraId="4444D020" w14:textId="77777777" w:rsidR="00B86214" w:rsidRPr="006E317E" w:rsidRDefault="00B86214" w:rsidP="00AA241E">
            <w:pPr>
              <w:jc w:val="both"/>
            </w:pPr>
            <w:r w:rsidRPr="006E317E">
              <w:t>-</w:t>
            </w:r>
          </w:p>
        </w:tc>
        <w:tc>
          <w:tcPr>
            <w:tcW w:w="1271" w:type="dxa"/>
            <w:noWrap/>
            <w:hideMark/>
          </w:tcPr>
          <w:p w14:paraId="269CE7E7" w14:textId="77777777" w:rsidR="00B86214" w:rsidRPr="006E317E" w:rsidRDefault="00B86214" w:rsidP="00AA241E">
            <w:pPr>
              <w:jc w:val="both"/>
            </w:pPr>
            <w:r w:rsidRPr="006E317E">
              <w:t>500 / 500</w:t>
            </w:r>
          </w:p>
        </w:tc>
        <w:tc>
          <w:tcPr>
            <w:tcW w:w="1557" w:type="dxa"/>
            <w:noWrap/>
            <w:hideMark/>
          </w:tcPr>
          <w:p w14:paraId="6C79624E" w14:textId="77777777" w:rsidR="00B86214" w:rsidRPr="006E317E" w:rsidRDefault="00B86214" w:rsidP="00AA241E">
            <w:pPr>
              <w:jc w:val="both"/>
            </w:pPr>
            <w:r w:rsidRPr="006E317E">
              <w:t>34</w:t>
            </w:r>
          </w:p>
        </w:tc>
        <w:tc>
          <w:tcPr>
            <w:tcW w:w="1848" w:type="dxa"/>
            <w:noWrap/>
            <w:hideMark/>
          </w:tcPr>
          <w:p w14:paraId="07BD3EEE" w14:textId="77777777" w:rsidR="00B86214" w:rsidRPr="006E317E" w:rsidRDefault="00B86214" w:rsidP="00AA241E">
            <w:pPr>
              <w:jc w:val="both"/>
            </w:pPr>
            <w:r w:rsidRPr="006E317E">
              <w:t>-</w:t>
            </w:r>
          </w:p>
        </w:tc>
      </w:tr>
      <w:tr w:rsidR="00B86214" w:rsidRPr="006E317E" w14:paraId="3A0F828A" w14:textId="77777777" w:rsidTr="00B86214">
        <w:trPr>
          <w:trHeight w:val="278"/>
        </w:trPr>
        <w:tc>
          <w:tcPr>
            <w:tcW w:w="1314" w:type="dxa"/>
            <w:noWrap/>
            <w:hideMark/>
          </w:tcPr>
          <w:p w14:paraId="33CFD82C" w14:textId="77777777" w:rsidR="00B86214" w:rsidRPr="006E317E" w:rsidRDefault="00B86214" w:rsidP="00AA241E">
            <w:pPr>
              <w:jc w:val="both"/>
            </w:pPr>
            <w:r w:rsidRPr="006E317E">
              <w:t>1000 / 1000</w:t>
            </w:r>
          </w:p>
        </w:tc>
        <w:tc>
          <w:tcPr>
            <w:tcW w:w="1549" w:type="dxa"/>
            <w:noWrap/>
            <w:hideMark/>
          </w:tcPr>
          <w:p w14:paraId="47A4F0DE" w14:textId="77777777" w:rsidR="00B86214" w:rsidRPr="006E317E" w:rsidRDefault="00B86214" w:rsidP="00AA241E">
            <w:pPr>
              <w:jc w:val="both"/>
            </w:pPr>
            <w:r w:rsidRPr="006E317E">
              <w:t>71,99</w:t>
            </w:r>
          </w:p>
        </w:tc>
        <w:tc>
          <w:tcPr>
            <w:tcW w:w="1848" w:type="dxa"/>
            <w:noWrap/>
            <w:hideMark/>
          </w:tcPr>
          <w:p w14:paraId="1DB9602C" w14:textId="77777777" w:rsidR="00B86214" w:rsidRPr="006E317E" w:rsidRDefault="00B86214" w:rsidP="00AA241E">
            <w:pPr>
              <w:jc w:val="both"/>
            </w:pPr>
            <w:r w:rsidRPr="006E317E">
              <w:t>-</w:t>
            </w:r>
          </w:p>
        </w:tc>
        <w:tc>
          <w:tcPr>
            <w:tcW w:w="1271" w:type="dxa"/>
            <w:noWrap/>
            <w:hideMark/>
          </w:tcPr>
          <w:p w14:paraId="24721438" w14:textId="77777777" w:rsidR="00B86214" w:rsidRPr="006E317E" w:rsidRDefault="00B86214" w:rsidP="00AA241E">
            <w:pPr>
              <w:jc w:val="both"/>
            </w:pPr>
            <w:r w:rsidRPr="006E317E">
              <w:t>1000 / 1000</w:t>
            </w:r>
          </w:p>
        </w:tc>
        <w:tc>
          <w:tcPr>
            <w:tcW w:w="1557" w:type="dxa"/>
            <w:noWrap/>
            <w:hideMark/>
          </w:tcPr>
          <w:p w14:paraId="477E5BF8" w14:textId="77777777" w:rsidR="00B86214" w:rsidRPr="006E317E" w:rsidRDefault="00B86214" w:rsidP="00AA241E">
            <w:pPr>
              <w:jc w:val="both"/>
            </w:pPr>
            <w:r w:rsidRPr="006E317E">
              <w:t>99</w:t>
            </w:r>
          </w:p>
        </w:tc>
        <w:tc>
          <w:tcPr>
            <w:tcW w:w="1848" w:type="dxa"/>
            <w:noWrap/>
            <w:hideMark/>
          </w:tcPr>
          <w:p w14:paraId="559B18B4" w14:textId="77777777" w:rsidR="00B86214" w:rsidRPr="006E317E" w:rsidRDefault="00B86214" w:rsidP="00AA241E">
            <w:pPr>
              <w:jc w:val="both"/>
            </w:pPr>
            <w:r w:rsidRPr="006E317E">
              <w:t>-</w:t>
            </w:r>
          </w:p>
        </w:tc>
      </w:tr>
    </w:tbl>
    <w:p w14:paraId="75F071E1" w14:textId="5E385617" w:rsidR="0095323E" w:rsidRPr="006E317E" w:rsidRDefault="006C32C6" w:rsidP="00AA241E">
      <w:pPr>
        <w:pStyle w:val="Pealdis"/>
        <w:jc w:val="both"/>
      </w:pPr>
      <w:r>
        <w:t xml:space="preserve">Tabel </w:t>
      </w:r>
      <w:r>
        <w:fldChar w:fldCharType="begin"/>
      </w:r>
      <w:r>
        <w:instrText xml:space="preserve"> SEQ Tabel \* ARABIC </w:instrText>
      </w:r>
      <w:r>
        <w:fldChar w:fldCharType="separate"/>
      </w:r>
      <w:r w:rsidR="00247D84">
        <w:rPr>
          <w:noProof/>
        </w:rPr>
        <w:t>3</w:t>
      </w:r>
      <w:r>
        <w:fldChar w:fldCharType="end"/>
      </w:r>
      <w:r>
        <w:t xml:space="preserve"> </w:t>
      </w:r>
      <w:r w:rsidR="0095323E" w:rsidRPr="006E317E">
        <w:t>Elisa ja STV internetiühenduste kuutasud valguskaabel- ja koaksiaalkaabelvõrgus 2024 juuni</w:t>
      </w:r>
    </w:p>
    <w:p w14:paraId="54082DD9" w14:textId="757C2FE4" w:rsidR="0095323E" w:rsidRPr="00E61DF6" w:rsidRDefault="0095323E" w:rsidP="00AA241E">
      <w:pPr>
        <w:jc w:val="both"/>
        <w:rPr>
          <w:b/>
          <w:bCs/>
        </w:rPr>
      </w:pPr>
      <w:r w:rsidRPr="00E61DF6">
        <w:rPr>
          <w:b/>
          <w:bCs/>
        </w:rPr>
        <w:t xml:space="preserve">Seega kuutasude alusel on erinevad kaabelsidevõrgud internetiühenduste kasutamisel jaekliendi jaoks omavahel piisavalt asendatavad, kuna sideettevõtjad ei kehtesta samadele allalaadimise kiirustele erinevaid kuutasusid kui ühenduse aluseks olevad kaabelsidevõrgud on erinevad.  Seejuures, isegi juhul kui sama allalaadimise kiiruse juures on üleslaadimise kiirused erinevad, on kuutasud erinevates kaabelsidevõrkudes samad, ehk asümmeetrilised ja sümmeetrilised ühendused on sama hinnaga. </w:t>
      </w:r>
    </w:p>
    <w:p w14:paraId="4F539AF9" w14:textId="77777777" w:rsidR="0095323E" w:rsidRPr="006E317E" w:rsidRDefault="0095323E" w:rsidP="00AA241E">
      <w:pPr>
        <w:jc w:val="both"/>
      </w:pPr>
      <w:r w:rsidRPr="006E317E">
        <w:rPr>
          <w:noProof/>
        </w:rPr>
        <w:drawing>
          <wp:inline distT="0" distB="0" distL="0" distR="0" wp14:anchorId="2724C039" wp14:editId="47EF187C">
            <wp:extent cx="4435523" cy="2846743"/>
            <wp:effectExtent l="0" t="0" r="3175" b="0"/>
            <wp:docPr id="25"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2533" cy="2851242"/>
                    </a:xfrm>
                    <a:prstGeom prst="rect">
                      <a:avLst/>
                    </a:prstGeom>
                    <a:noFill/>
                    <a:ln>
                      <a:noFill/>
                    </a:ln>
                  </pic:spPr>
                </pic:pic>
              </a:graphicData>
            </a:graphic>
          </wp:inline>
        </w:drawing>
      </w:r>
    </w:p>
    <w:p w14:paraId="556D1879" w14:textId="6CE9CAD1" w:rsidR="0095323E" w:rsidRPr="006E317E" w:rsidRDefault="00EC33F1" w:rsidP="00AA241E">
      <w:pPr>
        <w:pStyle w:val="Pealdis"/>
        <w:jc w:val="both"/>
      </w:pPr>
      <w:r>
        <w:t xml:space="preserve">Tabel </w:t>
      </w:r>
      <w:r>
        <w:fldChar w:fldCharType="begin"/>
      </w:r>
      <w:r>
        <w:instrText xml:space="preserve"> SEQ Tabel \* ARABIC </w:instrText>
      </w:r>
      <w:r>
        <w:fldChar w:fldCharType="separate"/>
      </w:r>
      <w:r w:rsidR="00247D84">
        <w:rPr>
          <w:noProof/>
        </w:rPr>
        <w:t>4</w:t>
      </w:r>
      <w:r>
        <w:fldChar w:fldCharType="end"/>
      </w:r>
      <w:r>
        <w:t xml:space="preserve"> </w:t>
      </w:r>
      <w:r w:rsidR="0095323E" w:rsidRPr="006E317E">
        <w:t>Elisa internetiühenduste kuutasude võrdlus kaabelsidevõrkudes ja mobiilsidevõrgus püsiasukohas tarbimiseks suunatud piiramatu mahuga internetiühenduste korral 2024 juuni</w:t>
      </w:r>
    </w:p>
    <w:p w14:paraId="4052F5C8" w14:textId="77777777" w:rsidR="0032704D" w:rsidRPr="006E317E" w:rsidRDefault="0032704D" w:rsidP="00AA241E">
      <w:pPr>
        <w:jc w:val="both"/>
      </w:pPr>
      <w:r w:rsidRPr="00E61DF6">
        <w:rPr>
          <w:b/>
          <w:bCs/>
        </w:rPr>
        <w:t xml:space="preserve">Samuti on kuutasude alusel omavahel asendatavad ka kaabelside- ja mobiilsidevõrgu internetiühendused. </w:t>
      </w:r>
      <w:r w:rsidRPr="006E317E">
        <w:t xml:space="preserve">Mobiilsidevõrgu püsiasukohaga ja piiramatu mahuga internetiühenduste kuutasud on Telial sama hinnaga, kui kaabelsidevõrgu ühenduste kuutasud, samas Elisal on </w:t>
      </w:r>
      <w:r w:rsidRPr="006E317E">
        <w:lastRenderedPageBreak/>
        <w:t xml:space="preserve">vastavad mobiilsidevõrgu ühenduste kuutasud vähesel määral (6 – 14%) kõrgemad, kui kaabelsidevõrgu kuutasud. </w:t>
      </w:r>
    </w:p>
    <w:p w14:paraId="5550C7E0" w14:textId="77777777" w:rsidR="0095323E" w:rsidRPr="006E317E" w:rsidRDefault="0095323E" w:rsidP="00AA241E">
      <w:pPr>
        <w:jc w:val="both"/>
      </w:pPr>
    </w:p>
    <w:p w14:paraId="1710C820" w14:textId="529019EA" w:rsidR="0095323E" w:rsidRPr="006E317E" w:rsidRDefault="0095323E" w:rsidP="00AA241E">
      <w:pPr>
        <w:pStyle w:val="Heading49"/>
        <w:numPr>
          <w:ilvl w:val="3"/>
          <w:numId w:val="60"/>
        </w:numPr>
      </w:pPr>
      <w:r w:rsidRPr="00E61DF6">
        <w:t xml:space="preserve">Kas internetiühendused </w:t>
      </w:r>
      <w:r w:rsidR="00AD1150">
        <w:t>vaskpaar</w:t>
      </w:r>
      <w:r w:rsidRPr="00E61DF6">
        <w:t>-, koaksiaalkaabel- ja mobiilsidevõrgus kuuluvad ühele jaeturule internetiühendustega valguskaabelvõrgus</w:t>
      </w:r>
      <w:r w:rsidRPr="006E317E">
        <w:t>?</w:t>
      </w:r>
    </w:p>
    <w:p w14:paraId="79DA2EBD" w14:textId="0888BFA8" w:rsidR="0095323E" w:rsidRPr="00E61DF6" w:rsidRDefault="0095323E" w:rsidP="00AA241E">
      <w:pPr>
        <w:jc w:val="both"/>
        <w:rPr>
          <w:b/>
          <w:bCs/>
        </w:rPr>
      </w:pPr>
      <w:r w:rsidRPr="006E317E">
        <w:t xml:space="preserve">Lähtudes ülaltoodud selgitustest on </w:t>
      </w:r>
      <w:r w:rsidR="00AD1150">
        <w:t>vaskpaar</w:t>
      </w:r>
      <w:r w:rsidRPr="006E317E">
        <w:t xml:space="preserve">-, koaksiaalkaabel- ja mobiilsidevõrgu internetiühenduse kasutaja vastuvõtlikum oma olemasolevat ühendust asendama valguskaabelsidevõrgu internetiühenduse vastu, kui vastupidi, kuna valguskaabelvõrgu ühendus pakub kvaliteetsemat ühendust (sümmeetriline kiirus ja võimalik ka väga suure läbilaskevõimega ühendus) kui ühendused </w:t>
      </w:r>
      <w:r w:rsidR="00AD1150">
        <w:t>vaskpaar</w:t>
      </w:r>
      <w:r w:rsidRPr="006E317E">
        <w:t xml:space="preserve">-, koaksiaalkaabel- ja mobiilsidevõrgus. </w:t>
      </w:r>
      <w:r w:rsidRPr="00E61DF6">
        <w:rPr>
          <w:b/>
          <w:bCs/>
        </w:rPr>
        <w:t xml:space="preserve">Seega ei ole asjakohane kaasata valguskaabelvõrgu internetiühendused samale jaeturule  </w:t>
      </w:r>
      <w:r w:rsidR="00AD1150">
        <w:rPr>
          <w:b/>
          <w:bCs/>
        </w:rPr>
        <w:t>vaskpaar</w:t>
      </w:r>
      <w:r w:rsidRPr="00E61DF6">
        <w:rPr>
          <w:b/>
          <w:bCs/>
        </w:rPr>
        <w:t xml:space="preserve">-, koaksiaalkaabel- ja mobiilsidevõrgu internetiühendustega. </w:t>
      </w:r>
      <w:r w:rsidR="00A3232C" w:rsidRPr="00E61DF6">
        <w:rPr>
          <w:b/>
          <w:bCs/>
        </w:rPr>
        <w:t>Valguskaabelvõrgu</w:t>
      </w:r>
      <w:r w:rsidRPr="00E61DF6">
        <w:rPr>
          <w:b/>
          <w:bCs/>
        </w:rPr>
        <w:t xml:space="preserve"> internetiühenduste alusel moodustatakse eraldi seisev internetiühenduste tooteturg</w:t>
      </w:r>
      <w:r w:rsidR="00E61DF6">
        <w:rPr>
          <w:b/>
          <w:bCs/>
        </w:rPr>
        <w:t>, mille tooted võimaldavad</w:t>
      </w:r>
      <w:r w:rsidRPr="00E61DF6">
        <w:rPr>
          <w:b/>
          <w:bCs/>
        </w:rPr>
        <w:t xml:space="preserve"> väga suure läbilaskevõimega internetiühendus</w:t>
      </w:r>
      <w:r w:rsidR="00E61DF6">
        <w:rPr>
          <w:b/>
          <w:bCs/>
        </w:rPr>
        <w:t>i</w:t>
      </w:r>
      <w:r w:rsidRPr="00E61DF6">
        <w:rPr>
          <w:b/>
          <w:bCs/>
        </w:rPr>
        <w:t>.</w:t>
      </w:r>
    </w:p>
    <w:p w14:paraId="2F6FA323" w14:textId="6BCB827B" w:rsidR="0095323E" w:rsidRPr="00E61DF6" w:rsidRDefault="0095323E" w:rsidP="00AA241E">
      <w:pPr>
        <w:pStyle w:val="Heading49"/>
        <w:numPr>
          <w:ilvl w:val="3"/>
          <w:numId w:val="60"/>
        </w:numPr>
      </w:pPr>
      <w:r w:rsidRPr="00E61DF6">
        <w:t xml:space="preserve">Kas internetiühendused </w:t>
      </w:r>
      <w:r w:rsidR="00AD1150">
        <w:t>vaskpaar</w:t>
      </w:r>
      <w:r w:rsidRPr="00E61DF6">
        <w:t xml:space="preserve">- koaksiaalkaabel- ja mobiilsidevõrgus kuuluvad ühele jaeturule? </w:t>
      </w:r>
    </w:p>
    <w:p w14:paraId="3378B120" w14:textId="6D2CB296" w:rsidR="00E61DF6" w:rsidRPr="006E317E" w:rsidRDefault="00E61DF6" w:rsidP="00AA241E">
      <w:pPr>
        <w:jc w:val="both"/>
      </w:pPr>
      <w:proofErr w:type="spellStart"/>
      <w:r w:rsidRPr="00E61DF6">
        <w:t>ADSLx</w:t>
      </w:r>
      <w:proofErr w:type="spellEnd"/>
      <w:r w:rsidRPr="00E61DF6">
        <w:t xml:space="preserve">, </w:t>
      </w:r>
      <w:proofErr w:type="spellStart"/>
      <w:r w:rsidRPr="00E61DF6">
        <w:t>VDSLx</w:t>
      </w:r>
      <w:proofErr w:type="spellEnd"/>
      <w:r w:rsidRPr="00E61DF6">
        <w:t xml:space="preserve"> </w:t>
      </w:r>
      <w:r w:rsidR="007E6C65">
        <w:t xml:space="preserve">sh </w:t>
      </w:r>
      <w:proofErr w:type="spellStart"/>
      <w:r w:rsidRPr="00E61DF6">
        <w:t>vectoring</w:t>
      </w:r>
      <w:proofErr w:type="spellEnd"/>
      <w:r w:rsidRPr="00E61DF6">
        <w:t xml:space="preserve"> (sh Vplus35b) </w:t>
      </w:r>
      <w:r w:rsidR="00AD1150">
        <w:t>vaskpaar</w:t>
      </w:r>
      <w:r w:rsidRPr="00E61DF6">
        <w:t xml:space="preserve">võrgu, DOCSIS 3.0 koaksiaalkaabelvõrgu ja 4G/5G mobiilsidevõrgu püsiasukohas tarbimisele suunatud piiramatu mahuga internetiühendused on kõik asümmeetrilised ja pakuvad kiiret ja ülikiiret internetiühendust (välja arvatud </w:t>
      </w:r>
      <w:proofErr w:type="spellStart"/>
      <w:r w:rsidRPr="00E61DF6">
        <w:t>ADSLx</w:t>
      </w:r>
      <w:proofErr w:type="spellEnd"/>
      <w:r w:rsidRPr="00E61DF6">
        <w:t xml:space="preserve">, mille pakutav andmeside kiirus on </w:t>
      </w:r>
      <w:proofErr w:type="spellStart"/>
      <w:r w:rsidRPr="00E61DF6">
        <w:t>max</w:t>
      </w:r>
      <w:proofErr w:type="spellEnd"/>
      <w:r w:rsidRPr="00E61DF6">
        <w:t xml:space="preserve"> 1</w:t>
      </w:r>
      <w:r w:rsidR="0076353F">
        <w:t>6</w:t>
      </w:r>
      <w:r w:rsidRPr="00E61DF6">
        <w:t xml:space="preserve"> Mbps), </w:t>
      </w:r>
      <w:r w:rsidRPr="006E317E">
        <w:t>kuid ei võimalda sümmeetrilisi ja väga suure läbilaskevõimega internetiühendust (Mb</w:t>
      </w:r>
      <w:r w:rsidR="00710CD8">
        <w:t>it/</w:t>
      </w:r>
      <w:r w:rsidRPr="006E317E">
        <w:t xml:space="preserve">s &gt; 1000). Internetiühenduste kuutasud on Telia mobiilsidevõrgus samad ja Elisa mobiilsidevõrgus mõnevõrra (6 – 14%) kõrgemad (vt Tabel </w:t>
      </w:r>
      <w:r>
        <w:t>4</w:t>
      </w:r>
      <w:r w:rsidRPr="006E317E">
        <w:t xml:space="preserve">), kui samade ettevõtete hallatavates </w:t>
      </w:r>
      <w:r w:rsidR="00AD1150">
        <w:t>vaskpaar</w:t>
      </w:r>
      <w:r w:rsidRPr="006E317E">
        <w:t xml:space="preserve">- ja koaksiaalkaabelvõrkudes. </w:t>
      </w:r>
    </w:p>
    <w:p w14:paraId="382FE6C7" w14:textId="54EF1407" w:rsidR="00E61DF6" w:rsidRPr="006E317E" w:rsidRDefault="00E61DF6" w:rsidP="00AA241E">
      <w:pPr>
        <w:jc w:val="both"/>
      </w:pPr>
      <w:r w:rsidRPr="006E317E">
        <w:t xml:space="preserve">Nimetatud sidevõrkudes on kõige enam kasutuses internetiühendusi mobiilsidevõrgus (24% kõikidest internetiühendustest, vt </w:t>
      </w:r>
      <w:r>
        <w:t>J</w:t>
      </w:r>
      <w:r w:rsidRPr="006E317E">
        <w:t xml:space="preserve">oonis </w:t>
      </w:r>
      <w:r w:rsidR="004023F0">
        <w:t>6</w:t>
      </w:r>
      <w:r w:rsidRPr="006E317E">
        <w:t xml:space="preserve">). Mobiilsidevõrgu internetiühenduste kasutuse maht jätkab kasvamist, sama </w:t>
      </w:r>
      <w:r w:rsidR="00AD1150">
        <w:t>vaskpaar</w:t>
      </w:r>
      <w:r w:rsidRPr="006E317E">
        <w:t xml:space="preserve">- ja koaksiaalkaabelvõrgus internetiühenduste maht on languses. </w:t>
      </w:r>
    </w:p>
    <w:p w14:paraId="20B52514" w14:textId="2231C5C4" w:rsidR="00E61DF6" w:rsidRPr="00E61DF6" w:rsidRDefault="00E61DF6" w:rsidP="00AA241E">
      <w:pPr>
        <w:jc w:val="both"/>
      </w:pPr>
      <w:r w:rsidRPr="006E317E">
        <w:t xml:space="preserve">Telia pakub oma </w:t>
      </w:r>
      <w:proofErr w:type="spellStart"/>
      <w:r w:rsidRPr="006E317E">
        <w:t>ADSLx</w:t>
      </w:r>
      <w:proofErr w:type="spellEnd"/>
      <w:r w:rsidRPr="006E317E">
        <w:t xml:space="preserve"> tehnoloogiaga internetiühenduste lõpetamisel </w:t>
      </w:r>
      <w:r w:rsidR="00AD1150">
        <w:t>vaskpaar</w:t>
      </w:r>
      <w:r w:rsidRPr="006E317E">
        <w:t xml:space="preserve">võrkudes, juhtudel kus </w:t>
      </w:r>
      <w:r w:rsidR="00AD1150">
        <w:t>vaskpaar</w:t>
      </w:r>
      <w:r w:rsidRPr="006E317E">
        <w:t xml:space="preserve">võrku ei asendata valguskaabelvõrguga, lõppkasutajatele </w:t>
      </w:r>
      <w:proofErr w:type="spellStart"/>
      <w:r w:rsidRPr="006E317E">
        <w:t>ADSLx</w:t>
      </w:r>
      <w:proofErr w:type="spellEnd"/>
      <w:r w:rsidRPr="006E317E">
        <w:t xml:space="preserve"> tehnoloogia asenduseks nii </w:t>
      </w:r>
      <w:proofErr w:type="spellStart"/>
      <w:r w:rsidRPr="006E317E">
        <w:t>VDSLx</w:t>
      </w:r>
      <w:proofErr w:type="spellEnd"/>
      <w:r w:rsidRPr="006E317E">
        <w:t xml:space="preserve"> </w:t>
      </w:r>
      <w:r w:rsidR="007E6C65">
        <w:t xml:space="preserve">sh </w:t>
      </w:r>
      <w:proofErr w:type="spellStart"/>
      <w:r w:rsidRPr="006E317E">
        <w:t>vectoring</w:t>
      </w:r>
      <w:proofErr w:type="spellEnd"/>
      <w:r w:rsidRPr="006E317E">
        <w:t xml:space="preserve"> (sh Vplus35b) tehnoloogia baasil internetiühendusi </w:t>
      </w:r>
      <w:r w:rsidR="00532579">
        <w:t>vaskpaar</w:t>
      </w:r>
      <w:r w:rsidRPr="00E61DF6">
        <w:t xml:space="preserve">võrgus kui ka mobiilsidevõrgu 4G ja 5G tehnoloogial internetiühendusi ning lõppkasutajad on mõlemaid tehnoloogiaid aktiivselt kasutusse ka võtnud. Seega peavad lõppkasutajad </w:t>
      </w:r>
      <w:proofErr w:type="spellStart"/>
      <w:r w:rsidRPr="00E61DF6">
        <w:t>ADSLx</w:t>
      </w:r>
      <w:proofErr w:type="spellEnd"/>
      <w:r w:rsidRPr="00E61DF6">
        <w:t xml:space="preserve"> ja </w:t>
      </w:r>
      <w:proofErr w:type="spellStart"/>
      <w:r w:rsidRPr="00E61DF6">
        <w:t>VDSLx</w:t>
      </w:r>
      <w:proofErr w:type="spellEnd"/>
      <w:r w:rsidRPr="00E61DF6">
        <w:t xml:space="preserve"> </w:t>
      </w:r>
      <w:r w:rsidR="007E6C65">
        <w:t xml:space="preserve">sh </w:t>
      </w:r>
      <w:proofErr w:type="spellStart"/>
      <w:r w:rsidRPr="00E61DF6">
        <w:t>vectoring</w:t>
      </w:r>
      <w:proofErr w:type="spellEnd"/>
      <w:r w:rsidRPr="00E61DF6">
        <w:t xml:space="preserve"> (sh Vplus35b) tehnoloogia baasil internetiühendusi ning mobiilisidevõrgu 4G ja 5G tehnoloogia baasil internetiühendusi omavahel asendatavaks.</w:t>
      </w:r>
    </w:p>
    <w:p w14:paraId="605C405D" w14:textId="676B2B0E" w:rsidR="00E61DF6" w:rsidRPr="00DB720F" w:rsidRDefault="00E61DF6" w:rsidP="00AA241E">
      <w:pPr>
        <w:jc w:val="both"/>
        <w:rPr>
          <w:b/>
          <w:bCs/>
        </w:rPr>
      </w:pPr>
      <w:r w:rsidRPr="00E61DF6">
        <w:rPr>
          <w:b/>
          <w:bCs/>
        </w:rPr>
        <w:t xml:space="preserve">Eeltoodust tulenevalt on internetiühenduse kvaliteedi ja hindade poolest </w:t>
      </w:r>
      <w:proofErr w:type="spellStart"/>
      <w:r w:rsidRPr="00E61DF6">
        <w:rPr>
          <w:b/>
          <w:bCs/>
        </w:rPr>
        <w:t>ADSLx</w:t>
      </w:r>
      <w:proofErr w:type="spellEnd"/>
      <w:r w:rsidRPr="00E61DF6">
        <w:rPr>
          <w:b/>
          <w:bCs/>
        </w:rPr>
        <w:t xml:space="preserve">, </w:t>
      </w:r>
      <w:proofErr w:type="spellStart"/>
      <w:r w:rsidRPr="00E61DF6">
        <w:rPr>
          <w:b/>
          <w:bCs/>
        </w:rPr>
        <w:t>VDSLx</w:t>
      </w:r>
      <w:proofErr w:type="spellEnd"/>
      <w:r w:rsidRPr="00E61DF6">
        <w:rPr>
          <w:b/>
          <w:bCs/>
        </w:rPr>
        <w:t xml:space="preserve"> </w:t>
      </w:r>
      <w:r w:rsidR="007E6C65">
        <w:rPr>
          <w:b/>
          <w:bCs/>
        </w:rPr>
        <w:t xml:space="preserve">sh </w:t>
      </w:r>
      <w:proofErr w:type="spellStart"/>
      <w:r w:rsidRPr="00E61DF6">
        <w:rPr>
          <w:b/>
          <w:bCs/>
        </w:rPr>
        <w:t>vectoring</w:t>
      </w:r>
      <w:proofErr w:type="spellEnd"/>
      <w:r w:rsidRPr="00E61DF6">
        <w:rPr>
          <w:b/>
          <w:bCs/>
        </w:rPr>
        <w:t xml:space="preserve"> (sh Vplus35b) </w:t>
      </w:r>
      <w:r w:rsidR="00AD1150">
        <w:rPr>
          <w:b/>
          <w:bCs/>
        </w:rPr>
        <w:t>vaskpaar</w:t>
      </w:r>
      <w:r w:rsidRPr="00E61DF6">
        <w:rPr>
          <w:b/>
          <w:bCs/>
        </w:rPr>
        <w:t xml:space="preserve">võrgu, DOCSIS 3.0 koaksiaalkaabelvõrgu ja </w:t>
      </w:r>
      <w:r w:rsidRPr="00DB720F">
        <w:rPr>
          <w:b/>
          <w:bCs/>
        </w:rPr>
        <w:t xml:space="preserve">mobiilsidevõrgu püsiasukohas tarbimiseks suunatud piiramatu mahuga internetiühendused </w:t>
      </w:r>
      <w:r w:rsidRPr="00DB720F">
        <w:rPr>
          <w:b/>
          <w:bCs/>
        </w:rPr>
        <w:lastRenderedPageBreak/>
        <w:t>omavahel piisavalt sarnased ning jae kliendi jaoks omavahel asendatavad, mistõttu kuuluvad vastavate sidevõrkude internetiühendused ühele jaeturule.</w:t>
      </w:r>
    </w:p>
    <w:p w14:paraId="78B5FD48" w14:textId="77777777" w:rsidR="0095323E" w:rsidRPr="006E317E" w:rsidRDefault="0095323E" w:rsidP="00AA241E">
      <w:pPr>
        <w:jc w:val="both"/>
      </w:pPr>
    </w:p>
    <w:p w14:paraId="78C2ABB6" w14:textId="09DBC75B" w:rsidR="0095323E" w:rsidRPr="006E317E" w:rsidRDefault="0095323E" w:rsidP="009805E1">
      <w:pPr>
        <w:pStyle w:val="Pealkiri3"/>
      </w:pPr>
      <w:bookmarkStart w:id="271" w:name="_3.1.2_Mobiilsidevõrgu_tehnoloogiate"/>
      <w:bookmarkStart w:id="272" w:name="_Toc170888947"/>
      <w:bookmarkStart w:id="273" w:name="_Toc174710720"/>
      <w:bookmarkEnd w:id="271"/>
      <w:r w:rsidRPr="006E317E">
        <w:t>Standardsete ja eriotstarbeliste kõrge kvaliteediga internetiühenduste piiritlemine ning jaeturule kaasamise analüüs</w:t>
      </w:r>
      <w:bookmarkEnd w:id="272"/>
      <w:bookmarkEnd w:id="273"/>
    </w:p>
    <w:p w14:paraId="12B6FB36" w14:textId="6D237A28" w:rsidR="0095323E" w:rsidRPr="006E317E" w:rsidRDefault="0095323E" w:rsidP="00AA241E">
      <w:pPr>
        <w:jc w:val="both"/>
      </w:pPr>
      <w:r w:rsidRPr="006E317E">
        <w:t>Euroopa Komisjoni seletuskirjas</w:t>
      </w:r>
      <w:r w:rsidRPr="005D266E">
        <w:rPr>
          <w:vertAlign w:val="superscript"/>
        </w:rPr>
        <w:footnoteReference w:id="58"/>
      </w:r>
      <w:r w:rsidRPr="006E317E">
        <w:t xml:space="preserve"> EK 2020 turgude soovitusele, eristatakse sidevõrgule kohaliku ja keskse juurdepääsu hulgiturgudele (turud 1 ja 3b) ning sidevõrgu spetsiaalsetele võimsustele juurdepääsu hulgiturule (hulgiturg 2) järgnevate jaeturgude osas era- ja ärikliendile suunatud standardseid masstoote internetiühenduste jaeturgu ja ärikliendile suunatud eriotstarbelist kõrge kvaliteediga internetiühenduste jaeturgu, vt ka </w:t>
      </w:r>
      <w:r w:rsidRPr="00512685">
        <w:t xml:space="preserve">Joonis </w:t>
      </w:r>
      <w:r w:rsidR="00251A12">
        <w:t>5</w:t>
      </w:r>
      <w:r w:rsidRPr="00512685">
        <w:t>.</w:t>
      </w:r>
    </w:p>
    <w:p w14:paraId="146FAB44" w14:textId="77777777" w:rsidR="0095323E" w:rsidRPr="006E317E" w:rsidRDefault="0095323E" w:rsidP="00AA241E">
      <w:pPr>
        <w:pStyle w:val="Loendilik"/>
        <w:numPr>
          <w:ilvl w:val="0"/>
          <w:numId w:val="85"/>
        </w:numPr>
        <w:jc w:val="both"/>
      </w:pPr>
      <w:r w:rsidRPr="006E317E">
        <w:t>Nõudluse poolne asendatavus</w:t>
      </w:r>
    </w:p>
    <w:p w14:paraId="1B0A104B" w14:textId="29A93E34" w:rsidR="0095323E" w:rsidRPr="006E317E" w:rsidRDefault="0095323E" w:rsidP="00AA241E">
      <w:pPr>
        <w:jc w:val="both"/>
      </w:pPr>
      <w:r w:rsidRPr="006E317E">
        <w:t>Standardsete internetiühenduste jaeteenused on suunatud kodutarbijast eraklientidele ning äriklientidele. Samas ei ole standardne internetiühenduse kvaliteet kõigile ettevõtjatele siiski piisav. See hõlmab ettevõtteid, mis tegutsevad paljudes erinevates asukohtades, millel peab olema üksteisega hea elektrooniline side, samuti ettevõtteid, kes esitavad kõrgeid nõudmisi ühenduse kvaliteedi ja teenuse taseme (SLA) kohta. Sellised ettevõtted vajavad teistsugust andmeside ühendust kui standardsed internetiühendused, nagu näiteks IP-VPN, Ethernet-VPN ja erinevat tüüpi püsiliini ühendused. Andmeside teenused sellistele ettevõtetele on sageli kujundatud iga ettevõtte (kliendi) vajaduste põhiselt.</w:t>
      </w:r>
    </w:p>
    <w:p w14:paraId="6C1FD6C0" w14:textId="77777777" w:rsidR="0095323E" w:rsidRPr="006E317E" w:rsidRDefault="0095323E" w:rsidP="00AA241E">
      <w:pPr>
        <w:jc w:val="both"/>
      </w:pPr>
      <w:r w:rsidRPr="006E317E">
        <w:t>Ettevõtted, kes vajavad eriotstarbelist kõrget andmeside kvaliteeti, ei saa valida standardseid internetiühendusi ja on ebatõenäoline, et sellised ettevõtted läheksid üle standardsetele internetiühendustele isegi siis, kui eriotstarbelise kõrge kvaliteediga andmeside ühenduste hind tõuseks. See näitab, et nõudluse poolne asendatavus on eriotstarbelise kõrge kvaliteediga andmeside ühenduste ja standardsete internetiühenduste vahel madal.</w:t>
      </w:r>
    </w:p>
    <w:p w14:paraId="37F00EFC" w14:textId="77777777" w:rsidR="0095323E" w:rsidRPr="006E317E" w:rsidRDefault="0095323E" w:rsidP="00AA241E">
      <w:pPr>
        <w:pStyle w:val="Loendilik"/>
        <w:numPr>
          <w:ilvl w:val="0"/>
          <w:numId w:val="85"/>
        </w:numPr>
        <w:jc w:val="both"/>
      </w:pPr>
      <w:r w:rsidRPr="006E317E">
        <w:t>Pakkumise poolne asendatavus</w:t>
      </w:r>
    </w:p>
    <w:p w14:paraId="0F7BA2D4" w14:textId="77777777" w:rsidR="0095323E" w:rsidRPr="006E317E" w:rsidRDefault="0095323E" w:rsidP="00AA241E">
      <w:pPr>
        <w:jc w:val="both"/>
      </w:pPr>
      <w:r w:rsidRPr="006E317E">
        <w:t xml:space="preserve">Eriotstarbeliste kõrge kvaliteediga andmeside ühenduste valdkonnas otsustab teenuse olemuse suurel määral konkreetsete klientide vajadused. Sageli peab eriotstarbelise kõrge kvaliteediga andmeside ühenduste pakkumise korral ostja ja müüja vahel toimuma arutelu teenuse spetsiifiliste omaduste üle. See tähendab, et peab kasutama teistsuguseid turustusmeetodeid kui standardsete </w:t>
      </w:r>
      <w:r w:rsidRPr="006E317E">
        <w:lastRenderedPageBreak/>
        <w:t>internetiühenduste korral. Lisaks tuleb arvestada kliendi vajadustega eri liiki lisateenuste (nt serveri, pilve, IT ja turvateenused) osas ning tagada teenuse toimimise stabiilsus ja kvaliteet.</w:t>
      </w:r>
    </w:p>
    <w:p w14:paraId="15226B38" w14:textId="77777777" w:rsidR="0095323E" w:rsidRPr="006E317E" w:rsidRDefault="0095323E" w:rsidP="00AA241E">
      <w:pPr>
        <w:jc w:val="both"/>
      </w:pPr>
      <w:r w:rsidRPr="006E317E">
        <w:t>See erinevus eriotstarbelise kõrge kvaliteediga ja standardsete internetiühenduse turunduses ning opereerimises muudab ebatõenäoliseks, et sideettevõte, mis pakub ainult standardseid internetiühendusi, hakkab pakkuma lühikese etteteatamisajaga eriotstarbelisi kõrge kvaliteediga andmeside ühendusi, kui viimases peaks toimuma väike (10%), kuid püsiv hinnatõus. See tähendab, et pakkumise poolne asendatavus on vähe tõenäoline.</w:t>
      </w:r>
    </w:p>
    <w:p w14:paraId="6D74D7B8" w14:textId="77777777" w:rsidR="0095323E" w:rsidRPr="00802B18" w:rsidRDefault="0095323E" w:rsidP="00AA241E">
      <w:pPr>
        <w:jc w:val="both"/>
        <w:rPr>
          <w:b/>
          <w:bCs/>
        </w:rPr>
      </w:pPr>
      <w:r w:rsidRPr="00802B18">
        <w:rPr>
          <w:b/>
          <w:bCs/>
        </w:rPr>
        <w:t>Kokkuvõtvalt</w:t>
      </w:r>
    </w:p>
    <w:p w14:paraId="3684AAFA" w14:textId="3699C117" w:rsidR="0095323E" w:rsidRPr="007C2C22" w:rsidRDefault="0095323E" w:rsidP="00AA241E">
      <w:pPr>
        <w:jc w:val="both"/>
        <w:rPr>
          <w:b/>
        </w:rPr>
      </w:pPr>
      <w:r w:rsidRPr="007C2C22">
        <w:rPr>
          <w:b/>
        </w:rPr>
        <w:t xml:space="preserve">Eeltoodust tulenevalt, kuna </w:t>
      </w:r>
      <w:bookmarkStart w:id="274" w:name="_Hlk108697619"/>
      <w:r w:rsidRPr="007C2C22">
        <w:rPr>
          <w:b/>
        </w:rPr>
        <w:t>puudub piisav nõudluse ja pakkumise poolne asendatavus</w:t>
      </w:r>
      <w:bookmarkEnd w:id="274"/>
      <w:r w:rsidRPr="007C2C22">
        <w:rPr>
          <w:b/>
        </w:rPr>
        <w:t>, kuuluvad standardsed jae</w:t>
      </w:r>
      <w:r w:rsidR="0B642D34" w:rsidRPr="007C2C22">
        <w:rPr>
          <w:b/>
        </w:rPr>
        <w:t>tasandi</w:t>
      </w:r>
      <w:r w:rsidRPr="007C2C22">
        <w:rPr>
          <w:b/>
        </w:rPr>
        <w:t xml:space="preserve"> internetiühendused ja eriotstarbelised kõrge kvaliteediga jae</w:t>
      </w:r>
      <w:r w:rsidR="6D953642" w:rsidRPr="007C2C22">
        <w:rPr>
          <w:b/>
        </w:rPr>
        <w:t>tasandi</w:t>
      </w:r>
      <w:r w:rsidRPr="007C2C22">
        <w:rPr>
          <w:b/>
        </w:rPr>
        <w:t xml:space="preserve"> internetiühendused erinevatele jaeturgudele. Käesolevasse internetiühenduste jaeturu konkurentsi analüüsi kaasatakse ainult standardsed masstoote jae</w:t>
      </w:r>
      <w:r w:rsidR="48C8A4BA" w:rsidRPr="007C2C22">
        <w:rPr>
          <w:b/>
        </w:rPr>
        <w:t>tasandi</w:t>
      </w:r>
      <w:r w:rsidRPr="007C2C22">
        <w:rPr>
          <w:b/>
        </w:rPr>
        <w:t xml:space="preserve"> internetiühendused, kuna vastavale jaeturule eelnevate hulgiturgude 1 ja 3b toodete alusel osutatakse peamiselt standardseid masstoote internetiühendusi.</w:t>
      </w:r>
    </w:p>
    <w:p w14:paraId="0632DA86" w14:textId="13F7DF66" w:rsidR="0095323E" w:rsidRPr="00A9741E" w:rsidRDefault="0095323E" w:rsidP="009805E1">
      <w:pPr>
        <w:pStyle w:val="Pealkiri3"/>
      </w:pPr>
      <w:bookmarkStart w:id="275" w:name="_3.3_Era-_ja"/>
      <w:bookmarkStart w:id="276" w:name="_Toc170888948"/>
      <w:bookmarkStart w:id="277" w:name="_Toc174710721"/>
      <w:bookmarkStart w:id="278" w:name="_Hlk108435109"/>
      <w:bookmarkEnd w:id="275"/>
      <w:r w:rsidRPr="00A9741E">
        <w:t>Era- ja äriklientide internetiühenduste segmentide piiritlemine ja jaeturule kaasamise analüüs</w:t>
      </w:r>
      <w:bookmarkEnd w:id="276"/>
      <w:bookmarkEnd w:id="277"/>
    </w:p>
    <w:bookmarkEnd w:id="278"/>
    <w:p w14:paraId="63035CC5" w14:textId="3746A8A4" w:rsidR="0095323E" w:rsidRPr="006E317E" w:rsidRDefault="0095323E" w:rsidP="00AA241E">
      <w:pPr>
        <w:jc w:val="both"/>
      </w:pPr>
      <w:r w:rsidRPr="006E317E">
        <w:t>Eesti sideettevõtjad pakuvad nii era- kui ka äriklientidele (valdavalt väike ja keskmise suurusega ettevõtted) samade sidevõrkude (</w:t>
      </w:r>
      <w:r w:rsidR="00AD1150">
        <w:t>vaskpaar</w:t>
      </w:r>
      <w:r w:rsidRPr="006E317E">
        <w:t xml:space="preserve">-, koaksiaalkaabel-, valguskaabel- ja mobiilsidevõrkude) baasil ja samaväärsete andmeedastuse kiirustega standardseid masstoote internetiühendusi. Nii era- kui ka ärikliendid kasutavad standardsete internetiühenduste korral samaväärseid modemeid, ruutereid ja andmeside kiiruseid. Mõlemas segmendis on kasutatavate andmeside kiiruste trend kasvav, vt ka Joonised </w:t>
      </w:r>
      <w:r w:rsidR="00251A12">
        <w:t>9</w:t>
      </w:r>
      <w:r w:rsidR="0059041C">
        <w:t xml:space="preserve"> ja </w:t>
      </w:r>
      <w:r w:rsidR="00251A12">
        <w:t>10</w:t>
      </w:r>
      <w:r w:rsidRPr="006E317E">
        <w:t xml:space="preserve">. </w:t>
      </w:r>
    </w:p>
    <w:p w14:paraId="130ADDB1" w14:textId="77777777" w:rsidR="0095323E" w:rsidRPr="006E317E" w:rsidRDefault="0095323E" w:rsidP="00AA241E">
      <w:pPr>
        <w:jc w:val="both"/>
      </w:pPr>
      <w:r w:rsidRPr="006E317E">
        <w:rPr>
          <w:noProof/>
        </w:rPr>
        <w:lastRenderedPageBreak/>
        <w:drawing>
          <wp:inline distT="0" distB="0" distL="0" distR="0" wp14:anchorId="3A8B155A" wp14:editId="69EB0720">
            <wp:extent cx="4244196" cy="5075604"/>
            <wp:effectExtent l="0" t="0" r="4445" b="0"/>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2"/>
                    <pic:cNvPicPr/>
                  </pic:nvPicPr>
                  <pic:blipFill>
                    <a:blip r:embed="rId22">
                      <a:extLst>
                        <a:ext uri="{28A0092B-C50C-407E-A947-70E740481C1C}">
                          <a14:useLocalDpi xmlns:a14="http://schemas.microsoft.com/office/drawing/2010/main" val="0"/>
                        </a:ext>
                      </a:extLst>
                    </a:blip>
                    <a:stretch>
                      <a:fillRect/>
                    </a:stretch>
                  </pic:blipFill>
                  <pic:spPr>
                    <a:xfrm>
                      <a:off x="0" y="0"/>
                      <a:ext cx="4244196" cy="5075604"/>
                    </a:xfrm>
                    <a:prstGeom prst="rect">
                      <a:avLst/>
                    </a:prstGeom>
                  </pic:spPr>
                </pic:pic>
              </a:graphicData>
            </a:graphic>
          </wp:inline>
        </w:drawing>
      </w:r>
    </w:p>
    <w:p w14:paraId="5724CECA" w14:textId="2906A130" w:rsidR="006C32C6" w:rsidRDefault="000F38CA" w:rsidP="00AA241E">
      <w:pPr>
        <w:pStyle w:val="Pealdis"/>
        <w:jc w:val="both"/>
      </w:pPr>
      <w:r>
        <w:t xml:space="preserve">Joonis </w:t>
      </w:r>
      <w:r>
        <w:fldChar w:fldCharType="begin"/>
      </w:r>
      <w:r>
        <w:instrText xml:space="preserve"> SEQ Joonis \* ARABIC </w:instrText>
      </w:r>
      <w:r>
        <w:fldChar w:fldCharType="separate"/>
      </w:r>
      <w:r w:rsidR="00E5522B">
        <w:rPr>
          <w:noProof/>
        </w:rPr>
        <w:t>9</w:t>
      </w:r>
      <w:r>
        <w:fldChar w:fldCharType="end"/>
      </w:r>
      <w:r>
        <w:t xml:space="preserve"> </w:t>
      </w:r>
      <w:r w:rsidR="0095323E" w:rsidRPr="006E317E">
        <w:t>Eraklientide poolt kaabelsidevõrgus kasutusele võetud internetiühenduste allalaadimise kiiruste osakaalud aastatel 2017-2023</w:t>
      </w:r>
    </w:p>
    <w:p w14:paraId="22E786E6" w14:textId="42C2F666" w:rsidR="0095323E" w:rsidRPr="006C32C6" w:rsidRDefault="0095323E" w:rsidP="00AA241E">
      <w:pPr>
        <w:pStyle w:val="Pealdis"/>
        <w:jc w:val="both"/>
        <w:rPr>
          <w:b w:val="0"/>
          <w:bCs w:val="0"/>
        </w:rPr>
      </w:pPr>
      <w:r w:rsidRPr="006C32C6">
        <w:rPr>
          <w:b w:val="0"/>
          <w:bCs w:val="0"/>
        </w:rPr>
        <w:t xml:space="preserve"> </w:t>
      </w:r>
      <w:r w:rsidR="006C32C6" w:rsidRPr="006C32C6">
        <w:rPr>
          <w:b w:val="0"/>
          <w:bCs w:val="0"/>
        </w:rPr>
        <w:t>(</w:t>
      </w:r>
      <w:r w:rsidRPr="006C32C6">
        <w:rPr>
          <w:b w:val="0"/>
          <w:bCs w:val="0"/>
        </w:rPr>
        <w:t>allikas</w:t>
      </w:r>
      <w:r w:rsidR="006C32C6">
        <w:rPr>
          <w:b w:val="0"/>
          <w:bCs w:val="0"/>
        </w:rPr>
        <w:t>:</w:t>
      </w:r>
      <w:r w:rsidRPr="006C32C6">
        <w:rPr>
          <w:b w:val="0"/>
          <w:bCs w:val="0"/>
        </w:rPr>
        <w:t xml:space="preserve"> sideettevõtjate poolt TTJA-</w:t>
      </w:r>
      <w:proofErr w:type="spellStart"/>
      <w:r w:rsidRPr="006C32C6">
        <w:rPr>
          <w:b w:val="0"/>
          <w:bCs w:val="0"/>
        </w:rPr>
        <w:t>le</w:t>
      </w:r>
      <w:proofErr w:type="spellEnd"/>
      <w:r w:rsidRPr="006C32C6">
        <w:rPr>
          <w:b w:val="0"/>
          <w:bCs w:val="0"/>
        </w:rPr>
        <w:t xml:space="preserve"> esitatavad kvartaalsed aruanded</w:t>
      </w:r>
      <w:r w:rsidR="006C32C6" w:rsidRPr="006C32C6">
        <w:rPr>
          <w:b w:val="0"/>
          <w:bCs w:val="0"/>
        </w:rPr>
        <w:t>)</w:t>
      </w:r>
    </w:p>
    <w:p w14:paraId="272EF6DB" w14:textId="77777777" w:rsidR="0095323E" w:rsidRPr="006E317E" w:rsidRDefault="0095323E" w:rsidP="00AA241E">
      <w:pPr>
        <w:jc w:val="both"/>
      </w:pPr>
    </w:p>
    <w:p w14:paraId="4FC0E61B" w14:textId="77777777" w:rsidR="0095323E" w:rsidRPr="006E317E" w:rsidRDefault="0095323E" w:rsidP="00AA241E">
      <w:pPr>
        <w:jc w:val="both"/>
      </w:pPr>
      <w:r w:rsidRPr="006E317E">
        <w:rPr>
          <w:noProof/>
        </w:rPr>
        <w:lastRenderedPageBreak/>
        <w:drawing>
          <wp:inline distT="0" distB="0" distL="0" distR="0" wp14:anchorId="2ECBE1B1" wp14:editId="5190C7D7">
            <wp:extent cx="4358499" cy="5115464"/>
            <wp:effectExtent l="0" t="0" r="4445" b="0"/>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0"/>
                    <pic:cNvPicPr/>
                  </pic:nvPicPr>
                  <pic:blipFill>
                    <a:blip r:embed="rId23">
                      <a:extLst>
                        <a:ext uri="{28A0092B-C50C-407E-A947-70E740481C1C}">
                          <a14:useLocalDpi xmlns:a14="http://schemas.microsoft.com/office/drawing/2010/main" val="0"/>
                        </a:ext>
                      </a:extLst>
                    </a:blip>
                    <a:stretch>
                      <a:fillRect/>
                    </a:stretch>
                  </pic:blipFill>
                  <pic:spPr>
                    <a:xfrm>
                      <a:off x="0" y="0"/>
                      <a:ext cx="4358499" cy="5115464"/>
                    </a:xfrm>
                    <a:prstGeom prst="rect">
                      <a:avLst/>
                    </a:prstGeom>
                  </pic:spPr>
                </pic:pic>
              </a:graphicData>
            </a:graphic>
          </wp:inline>
        </w:drawing>
      </w:r>
    </w:p>
    <w:p w14:paraId="36487CA4" w14:textId="7E626488" w:rsidR="0095323E" w:rsidRPr="006E317E" w:rsidRDefault="000F38CA" w:rsidP="00AA241E">
      <w:pPr>
        <w:pStyle w:val="Pealdis"/>
        <w:jc w:val="both"/>
      </w:pPr>
      <w:r>
        <w:t xml:space="preserve">Joonis </w:t>
      </w:r>
      <w:r>
        <w:fldChar w:fldCharType="begin"/>
      </w:r>
      <w:r>
        <w:instrText xml:space="preserve"> SEQ Joonis \* ARABIC </w:instrText>
      </w:r>
      <w:r>
        <w:fldChar w:fldCharType="separate"/>
      </w:r>
      <w:r w:rsidR="00E5522B">
        <w:rPr>
          <w:noProof/>
        </w:rPr>
        <w:t>10</w:t>
      </w:r>
      <w:r>
        <w:fldChar w:fldCharType="end"/>
      </w:r>
      <w:r>
        <w:t xml:space="preserve"> </w:t>
      </w:r>
      <w:r w:rsidR="0095323E" w:rsidRPr="006E317E">
        <w:t>Äriklientide poolt kaabelsidevõrgus kasutusele võetud internetiühenduste allalaadimise kiiruste osakaalud aastatel 2017-2023</w:t>
      </w:r>
      <w:r w:rsidR="006C32C6">
        <w:t xml:space="preserve"> </w:t>
      </w:r>
      <w:r w:rsidR="0095323E" w:rsidRPr="006E317E">
        <w:t xml:space="preserve"> </w:t>
      </w:r>
      <w:r w:rsidR="006C32C6" w:rsidRPr="006C32C6">
        <w:rPr>
          <w:b w:val="0"/>
          <w:bCs w:val="0"/>
        </w:rPr>
        <w:t>(</w:t>
      </w:r>
      <w:r w:rsidR="0095323E" w:rsidRPr="006C32C6">
        <w:rPr>
          <w:b w:val="0"/>
          <w:bCs w:val="0"/>
        </w:rPr>
        <w:t>allikas</w:t>
      </w:r>
      <w:r w:rsidR="006C32C6">
        <w:rPr>
          <w:b w:val="0"/>
          <w:bCs w:val="0"/>
        </w:rPr>
        <w:t>:</w:t>
      </w:r>
      <w:r w:rsidR="0095323E" w:rsidRPr="006C32C6">
        <w:rPr>
          <w:b w:val="0"/>
          <w:bCs w:val="0"/>
        </w:rPr>
        <w:t xml:space="preserve"> sideettevõtjate poolt TTJA-</w:t>
      </w:r>
      <w:proofErr w:type="spellStart"/>
      <w:r w:rsidR="0095323E" w:rsidRPr="006C32C6">
        <w:rPr>
          <w:b w:val="0"/>
          <w:bCs w:val="0"/>
        </w:rPr>
        <w:t>le</w:t>
      </w:r>
      <w:proofErr w:type="spellEnd"/>
      <w:r w:rsidR="0095323E" w:rsidRPr="006C32C6">
        <w:rPr>
          <w:b w:val="0"/>
          <w:bCs w:val="0"/>
        </w:rPr>
        <w:t xml:space="preserve"> esitatavad kvartaalsed aruanded</w:t>
      </w:r>
      <w:r w:rsidR="006C32C6" w:rsidRPr="006C32C6">
        <w:rPr>
          <w:b w:val="0"/>
          <w:bCs w:val="0"/>
        </w:rPr>
        <w:t>)</w:t>
      </w:r>
    </w:p>
    <w:p w14:paraId="2588C62D" w14:textId="1FB7BB28" w:rsidR="0095323E" w:rsidRPr="006E317E" w:rsidRDefault="0095323E" w:rsidP="00AA241E">
      <w:pPr>
        <w:jc w:val="both"/>
      </w:pPr>
      <w:r w:rsidRPr="006E317E">
        <w:t xml:space="preserve">Era- ja äriklientide internetiühenduste peamised erinevused tulenevad soovitavatest ja pakutavatest lisateenustest  pakettides. Erakliendid soovivad ja neile pakutakse internetiühendusi sageli koos TV, telefoni ja mobiiltelefoni paketiga, äriklientidele koos garanteeritud teenustasemega (SLA), staatilise IP aadressiga ning </w:t>
      </w:r>
      <w:proofErr w:type="spellStart"/>
      <w:r w:rsidRPr="006E317E">
        <w:t>küberturvalisuse</w:t>
      </w:r>
      <w:proofErr w:type="spellEnd"/>
      <w:r w:rsidRPr="006E317E">
        <w:t xml:space="preserve"> ja viirusetõrje rakendustega. Turul välja kujunenud praktika kohaselt on äriklientide kaabelsidevõrgu internetiühendused märkimisväärselt kõrgema hinnaga, kui eraklientide vastavad internetiühendused. Alltoodud Joonisel </w:t>
      </w:r>
      <w:r w:rsidR="007A5094">
        <w:t>1</w:t>
      </w:r>
      <w:r w:rsidR="00F65EB1">
        <w:t>1</w:t>
      </w:r>
      <w:r w:rsidRPr="006E317E">
        <w:t xml:space="preserve"> esitatud kolme suure sideettevõtja (Telia, Elisa ja Tele2) era- ja äriklientide hinnavõrdlusest selgub, et jae- ja äriklientide kaabelsidevõrgu internetiühenduste kuutasude vahe on allalaadimise kiirusel 50 Mbit/s ca 2 kordne ja kiirustel 300-500 Mbit/s ca 4 kordne. Seega era- ja äriklientide internetiühenduste kuutasude hindade vahe suureneb andmeside kiiruste kasvades. Ärikliendi ühenduste kõrgem hind on põhjustatud osaliselt ärikliendi internetiühendusse integreeritud (</w:t>
      </w:r>
      <w:proofErr w:type="spellStart"/>
      <w:r w:rsidRPr="006E317E">
        <w:t>paketeeritud</w:t>
      </w:r>
      <w:proofErr w:type="spellEnd"/>
      <w:r w:rsidRPr="006E317E">
        <w:t xml:space="preserve">) lisateenustest (SLA, staatiline IP aadress, viirusetõrje ja </w:t>
      </w:r>
      <w:proofErr w:type="spellStart"/>
      <w:r w:rsidRPr="006E317E">
        <w:t>küberturvalisuse</w:t>
      </w:r>
      <w:proofErr w:type="spellEnd"/>
      <w:r w:rsidRPr="006E317E">
        <w:t xml:space="preserve"> rakendused, kliendihaldur). Üldiselt on eraklientide võimalused valida ilma </w:t>
      </w:r>
      <w:r w:rsidRPr="006E317E">
        <w:lastRenderedPageBreak/>
        <w:t>integreeritud (</w:t>
      </w:r>
      <w:proofErr w:type="spellStart"/>
      <w:r w:rsidRPr="006E317E">
        <w:t>paketeeritud</w:t>
      </w:r>
      <w:proofErr w:type="spellEnd"/>
      <w:r w:rsidRPr="006E317E">
        <w:t>) lisateenusteta internetiühendust suuremad, kui äriklientidel. Lisaks on äriklientide internetiühenduste kõrgemate hindade üheks põhjuseks ka, et nende reaalne koormus ehk ribalaiuse kasutus tipptundidel on kõrgem, kui erakliendi ühendustel. See tuleneb peamiselt ühenduse kasutuse erinevusest. Kui eraklient kasutab internetiühendust peamiselt erinevate e-teenuste, meediate ja mängude tarbimiseks, siis ärikliendid kasutavad ühendusi, eriti just ülikiireid ühendusi, sageli erinevate serverite ühendamiseks ja nende vahel suurte andmemahtude liigutamiseks. Äriklientidele pakutakse ka eraklientidest eraldi teenindust, st mitte ainult halduri kasutamise võimalust, vaid ka kõrgema kvalifikatsiooniga ärikliendi tehnikute poolt pakutavat teenindust.</w:t>
      </w:r>
    </w:p>
    <w:p w14:paraId="04204A76" w14:textId="28EB2F19" w:rsidR="0095323E" w:rsidRPr="006E317E" w:rsidRDefault="0095323E" w:rsidP="00AA241E">
      <w:pPr>
        <w:jc w:val="both"/>
      </w:pPr>
    </w:p>
    <w:p w14:paraId="5E2D3467" w14:textId="2DB412DA" w:rsidR="002D371D" w:rsidRDefault="002D371D" w:rsidP="00AA241E">
      <w:pPr>
        <w:pStyle w:val="Pealdis"/>
        <w:jc w:val="both"/>
      </w:pPr>
      <w:r>
        <w:rPr>
          <w:noProof/>
        </w:rPr>
        <w:drawing>
          <wp:inline distT="0" distB="0" distL="0" distR="0" wp14:anchorId="2EBF0D34" wp14:editId="0540EF01">
            <wp:extent cx="5820355" cy="3495442"/>
            <wp:effectExtent l="0" t="0" r="0" b="0"/>
            <wp:docPr id="152859050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2167" cy="3502536"/>
                    </a:xfrm>
                    <a:prstGeom prst="rect">
                      <a:avLst/>
                    </a:prstGeom>
                    <a:noFill/>
                  </pic:spPr>
                </pic:pic>
              </a:graphicData>
            </a:graphic>
          </wp:inline>
        </w:drawing>
      </w:r>
    </w:p>
    <w:p w14:paraId="65D545FD" w14:textId="787FE97C" w:rsidR="0095323E" w:rsidRDefault="000F38CA" w:rsidP="00AA241E">
      <w:pPr>
        <w:pStyle w:val="Pealdis"/>
        <w:jc w:val="both"/>
      </w:pPr>
      <w:r>
        <w:t xml:space="preserve">Joonis </w:t>
      </w:r>
      <w:r>
        <w:fldChar w:fldCharType="begin"/>
      </w:r>
      <w:r>
        <w:instrText xml:space="preserve"> SEQ Joonis \* ARABIC </w:instrText>
      </w:r>
      <w:r>
        <w:fldChar w:fldCharType="separate"/>
      </w:r>
      <w:r w:rsidR="00E5522B">
        <w:rPr>
          <w:noProof/>
        </w:rPr>
        <w:t>11</w:t>
      </w:r>
      <w:r>
        <w:fldChar w:fldCharType="end"/>
      </w:r>
      <w:r>
        <w:t xml:space="preserve"> </w:t>
      </w:r>
      <w:r w:rsidR="0095323E" w:rsidRPr="006E317E">
        <w:t>Sideettevõtjate era- ja äriklientide kaabelsidevõrgu internetiühenduste kuutasude võrdlus allalaadimise kiiruste alusel 2024 aasta juunis.</w:t>
      </w:r>
    </w:p>
    <w:p w14:paraId="5C372E6A" w14:textId="77777777" w:rsidR="002D371D" w:rsidRPr="002F5414" w:rsidRDefault="002D371D" w:rsidP="00C36974"/>
    <w:p w14:paraId="6D71478F" w14:textId="77777777" w:rsidR="0095323E" w:rsidRPr="006E317E" w:rsidRDefault="0095323E" w:rsidP="00AA241E">
      <w:pPr>
        <w:pStyle w:val="Loendilik"/>
        <w:numPr>
          <w:ilvl w:val="0"/>
          <w:numId w:val="85"/>
        </w:numPr>
        <w:jc w:val="both"/>
      </w:pPr>
      <w:r w:rsidRPr="006E317E">
        <w:t>Nõudluse poolne asendatavus</w:t>
      </w:r>
    </w:p>
    <w:p w14:paraId="2DD335C8" w14:textId="77777777" w:rsidR="0095323E" w:rsidRPr="006E317E" w:rsidRDefault="0095323E" w:rsidP="00AA241E">
      <w:pPr>
        <w:jc w:val="both"/>
      </w:pPr>
      <w:r w:rsidRPr="006E317E">
        <w:t xml:space="preserve">Tavapärase praktika kohaselt ei  võimalda sideettevõtjad äriklientidel (ettevõtetel) üldjuhul osta erakliendile suunatud standardseid internetiühendusi, kuna ärikliendi internetiühendused on oma parameetritelt ja klienditeeninduse tasemelt erinevad ja erinevad on ka nende teenuste ülesehitus ja nende  osutamise kulud. Seega erakliendi internetiühendused ei ole ettevõtjatele suunatud ärikliendi internetiühenduste asendusteenuseks, kuna sideettevõtjad sellist asendust ei võimalda. Ei saa välistada, et nõudluse poolne (äriettevõtete) huvi ärikliendi ühenduse asendamiseks erakliendi ühendusega küll eksisteerib (kuna erakliendi ühenduse hind on ärikliendi ühenduse </w:t>
      </w:r>
      <w:r w:rsidRPr="006E317E">
        <w:lastRenderedPageBreak/>
        <w:t>hinnast oluliselt madalam), kuid see ei ole praktikas teostatav sideettevõtjate kehtestatud reeglite tõttu (äriettevõtetel ei lubata osta eraklientidele suunatud internetiühendusi).</w:t>
      </w:r>
    </w:p>
    <w:p w14:paraId="1AC304D0" w14:textId="77777777" w:rsidR="0095323E" w:rsidRPr="006E317E" w:rsidRDefault="0095323E" w:rsidP="00AA241E">
      <w:pPr>
        <w:jc w:val="both"/>
      </w:pPr>
      <w:r w:rsidRPr="006E317E">
        <w:t xml:space="preserve">Eraklientidel (kodutarbijatel) puudub üldjuhul motivatsioon asendada erakliendi internetiühendus ärikliendile suunatud standardsete internetiühendusega, kuna ärikliendi ühendused on tulenevalt </w:t>
      </w:r>
      <w:proofErr w:type="spellStart"/>
      <w:r w:rsidRPr="006E317E">
        <w:t>paketeeritud</w:t>
      </w:r>
      <w:proofErr w:type="spellEnd"/>
      <w:r w:rsidRPr="006E317E">
        <w:t xml:space="preserve"> lisateenustest (garanteeritud teenustase, staatiline IP aadress, viirusetõrjefilter) ja ärikliendile suunatud spetsiifilistest kliendihalduri teenustest üldjuhul kordades kõrgema hinnaga ning erakliendil puudub üldjuhul vajadus nimetatud lisateenuste ja spetsiifilise kliendihalduri teenuste järele. Seega ärikliendi internetiühendused ei ole kodutarbijale suunatud erakliendi internetiühenduste asendusteenusteks ehk puudub nõudlusepoolne asendatavus.</w:t>
      </w:r>
    </w:p>
    <w:p w14:paraId="773B8C04" w14:textId="77777777" w:rsidR="0095323E" w:rsidRPr="006E317E" w:rsidRDefault="0095323E" w:rsidP="00AA241E">
      <w:pPr>
        <w:pStyle w:val="Loendilik"/>
        <w:numPr>
          <w:ilvl w:val="0"/>
          <w:numId w:val="85"/>
        </w:numPr>
        <w:jc w:val="both"/>
      </w:pPr>
      <w:r w:rsidRPr="006E317E">
        <w:t>Pakkumise poolne asendatavus</w:t>
      </w:r>
    </w:p>
    <w:p w14:paraId="42776D57" w14:textId="767690BA" w:rsidR="0095323E" w:rsidRPr="006E317E" w:rsidRDefault="0095323E" w:rsidP="00AA241E">
      <w:pPr>
        <w:jc w:val="both"/>
      </w:pPr>
      <w:r w:rsidRPr="006E317E">
        <w:t>Standardsete jae internetiühenduste pakkumiseks kasutatavad sisendid on era- ja äriklientidele põhimõtteliselt sarnased. Peamiseks sisendiks on võimalus kasutada sidevõrku, mis ulatub era- või ärikliendi ruumideni. Mõnes standardse internetiühenduse (</w:t>
      </w:r>
      <w:proofErr w:type="spellStart"/>
      <w:r w:rsidRPr="006E317E">
        <w:t>paketeeritud</w:t>
      </w:r>
      <w:proofErr w:type="spellEnd"/>
      <w:r w:rsidRPr="006E317E">
        <w:t xml:space="preserve">) lisateenuse elemendis võib esineda erinevusi – näiteks ärikasutajad võivad vajada ulatuslikumat kliendituge või kõrgemat teenustaset (SLA), kuid selliseid lisateenustega seotud funktsioonid ei ole ületamatud. Seega ei ole välistatud, et operaator, kes pakub internetiühendust ainult era- või ainult äriklientidele, saaks alustada samaväärse ühenduse pakkumist ka teisele kliendi segmendile, kui teise segmendi hinnas toimub väike (10%), kuid püsiv hinnatõus. Seejuures võib operaator selliseks ülemikuks vajada teatud ettevalmistuse perioodi, näiteks üks aasta. </w:t>
      </w:r>
    </w:p>
    <w:p w14:paraId="7AAA6E0E" w14:textId="7345A4BA" w:rsidR="0095323E" w:rsidRPr="006E317E" w:rsidRDefault="0095323E" w:rsidP="00AA241E">
      <w:pPr>
        <w:jc w:val="both"/>
      </w:pPr>
      <w:r w:rsidRPr="006E317E">
        <w:t>Sideettevõtjate vastustest TTJA küsimustikule</w:t>
      </w:r>
      <w:r w:rsidRPr="005D266E">
        <w:rPr>
          <w:vertAlign w:val="superscript"/>
        </w:rPr>
        <w:footnoteReference w:id="59"/>
      </w:r>
      <w:r w:rsidRPr="006E317E">
        <w:t xml:space="preserve"> peamiste väljakutsete osas lõppkasutajatele internetiühenduste pakkumisel selgus, et peamiseks selliseks väljakutseks on lõppkasutaja ruumideni ulatuva sidevõrgu rajamine või sellele juurdepääs. Eelkõige hoonete </w:t>
      </w:r>
      <w:r w:rsidR="00F633CF" w:rsidRPr="006E317E">
        <w:t>lähi piirkonna</w:t>
      </w:r>
      <w:r w:rsidRPr="006E317E">
        <w:t>, hoonetesse sisenevate ning hoonesisestele sidekanalisatsioonidele ja kaablitele juurdepääs ja/või nende rajamine. Seejuures on nimetatud peamised väljakutsed ühesugused nii era- kui ka ärikliendi segmendi korral.</w:t>
      </w:r>
    </w:p>
    <w:p w14:paraId="774D0BEA" w14:textId="77777777" w:rsidR="0095323E" w:rsidRPr="006E317E" w:rsidRDefault="0095323E" w:rsidP="00AA241E">
      <w:pPr>
        <w:jc w:val="both"/>
      </w:pPr>
      <w:r w:rsidRPr="006E317E">
        <w:t>Seega eksisteerib era- ja äriklientide internetiühenduste vahel piisav pakkumise poolne asendatavus.</w:t>
      </w:r>
    </w:p>
    <w:p w14:paraId="5D7A52B6" w14:textId="77777777" w:rsidR="0095323E" w:rsidRPr="00802B18" w:rsidRDefault="0095323E" w:rsidP="00AA241E">
      <w:pPr>
        <w:jc w:val="both"/>
        <w:rPr>
          <w:b/>
          <w:bCs/>
        </w:rPr>
      </w:pPr>
      <w:r w:rsidRPr="00802B18">
        <w:rPr>
          <w:b/>
          <w:bCs/>
        </w:rPr>
        <w:t>Kokkuvõte</w:t>
      </w:r>
    </w:p>
    <w:p w14:paraId="38C3F293" w14:textId="77777777" w:rsidR="0095323E" w:rsidRPr="005D6E3C" w:rsidRDefault="0095323E" w:rsidP="00AA241E">
      <w:pPr>
        <w:jc w:val="both"/>
        <w:rPr>
          <w:b/>
        </w:rPr>
      </w:pPr>
      <w:r w:rsidRPr="005D6E3C">
        <w:rPr>
          <w:b/>
        </w:rPr>
        <w:t xml:space="preserve">Eeltoodust tulenevalt, kuigi  era- ja ärikliendi internetiühenduste vahel on nõudluse poolne asendatavus piiratud (sideettevõtjad ei paku äriettevõtetel erakliendi ühendusi ning kodutarbijad ei ole üldjuhul huvitatud ärikliendi ühendustest nende kõrgema hinna tõttu), eksisteerib siiski piisav pakkumise poolne asendatavus (sideettevõtjad on vajadusel võimelised lühikese ajaga ümber lülituma erakliendi ühenduse pakkumiselt ärikliendi ühenduse pakkumisele ja vastupidi), millest TTJA hinnangul piisab, et kaasata era- ja </w:t>
      </w:r>
      <w:r w:rsidRPr="005D6E3C">
        <w:rPr>
          <w:b/>
        </w:rPr>
        <w:lastRenderedPageBreak/>
        <w:t xml:space="preserve">ärikliendi standardsed internetiühendused käesolevasse internetiühenduste jaeturu konkurentsi analüüsi. </w:t>
      </w:r>
    </w:p>
    <w:p w14:paraId="6BCDB0A9" w14:textId="77777777" w:rsidR="0095323E" w:rsidRPr="006E317E" w:rsidRDefault="0095323E" w:rsidP="00AA241E">
      <w:pPr>
        <w:jc w:val="both"/>
      </w:pPr>
    </w:p>
    <w:p w14:paraId="4CFF3CB4" w14:textId="07D20ADC" w:rsidR="0095323E" w:rsidRPr="006E317E" w:rsidRDefault="0095323E" w:rsidP="009805E1">
      <w:pPr>
        <w:pStyle w:val="Pealkiri3"/>
      </w:pPr>
      <w:bookmarkStart w:id="279" w:name="_Toc170888949"/>
      <w:bookmarkStart w:id="280" w:name="_Toc174710722"/>
      <w:r w:rsidRPr="006E317E">
        <w:t xml:space="preserve">Internetiühenduste peamised </w:t>
      </w:r>
      <w:bookmarkEnd w:id="279"/>
      <w:r w:rsidR="00512685">
        <w:t>pakkujad</w:t>
      </w:r>
      <w:bookmarkEnd w:id="280"/>
      <w:r w:rsidRPr="006E317E">
        <w:t xml:space="preserve"> </w:t>
      </w:r>
    </w:p>
    <w:p w14:paraId="0A0466F0" w14:textId="050F886C" w:rsidR="0095323E" w:rsidRPr="006E317E" w:rsidRDefault="0095323E" w:rsidP="00AA241E">
      <w:pPr>
        <w:jc w:val="both"/>
      </w:pPr>
      <w:r w:rsidRPr="006E317E">
        <w:t xml:space="preserve">Jaeturu konkurentsi analüüsi kaastavates </w:t>
      </w:r>
      <w:r w:rsidR="00AD1150">
        <w:t>vaskpaar</w:t>
      </w:r>
      <w:r w:rsidRPr="006E317E">
        <w:t xml:space="preserve">-, koaksiaalkaabel-, valguskaabel-, ja mobiilsidevõrkudes osutavad püsiasukohas tarbimiseks suunatud ja piiramatu mahuga interneitühendusi 2023 aasta lõpus ca 30 sideettevõtjat. Selleks, et vältida ülemäära koormavat mikro-analüüsi, mis võib viia ka jaeturu liigsele killustatusele, kaasas TTJA jaeturu analüüsi ettevõtted, kellel on jaeklientide kasutuses olevate internetiühenduste arv eelnimetatud sidevõrkude baasil 2000 ja rohkem. Selliseid sideettevõtteid on 8 tükki (vt Tabelit </w:t>
      </w:r>
      <w:r w:rsidR="00C62B14">
        <w:t>5</w:t>
      </w:r>
      <w:r w:rsidRPr="006E317E">
        <w:t>) ja nende jaeklientide internetiühenduste arv kokku moodustab kõigi sideettevõtjate jaeklientide internetiühenduste arvust ca 98,9%. Seejuures moodustavad nelja suurima sideettevõtja (Telia, Elisa</w:t>
      </w:r>
      <w:r w:rsidRPr="005D266E">
        <w:rPr>
          <w:vertAlign w:val="superscript"/>
        </w:rPr>
        <w:footnoteReference w:id="60"/>
      </w:r>
      <w:r w:rsidRPr="006E317E">
        <w:t>, Tele2 ja STV) jaeklientide internetiühenduste koguarv kõigi sideettevõtjate jaeklientide internetiühenduste koguarvust ca 94,</w:t>
      </w:r>
      <w:r w:rsidR="007E6C65">
        <w:t>5</w:t>
      </w:r>
      <w:r w:rsidRPr="006E317E">
        <w:t xml:space="preserve">%. </w:t>
      </w:r>
    </w:p>
    <w:p w14:paraId="65EDACF9" w14:textId="76596FFC" w:rsidR="0095323E" w:rsidRPr="006E317E" w:rsidRDefault="0095323E" w:rsidP="00AA241E">
      <w:pPr>
        <w:jc w:val="both"/>
      </w:pPr>
      <w:r w:rsidRPr="006E317E" w:rsidDel="00AA5ABD">
        <w:t xml:space="preserve">   </w:t>
      </w:r>
      <w:r w:rsidR="002119B6">
        <w:rPr>
          <w:noProof/>
        </w:rPr>
        <w:drawing>
          <wp:inline distT="0" distB="0" distL="0" distR="0" wp14:anchorId="74B62C3C" wp14:editId="18F1265D">
            <wp:extent cx="5944235" cy="2646045"/>
            <wp:effectExtent l="0" t="0" r="0" b="1905"/>
            <wp:docPr id="61211136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2646045"/>
                    </a:xfrm>
                    <a:prstGeom prst="rect">
                      <a:avLst/>
                    </a:prstGeom>
                    <a:noFill/>
                  </pic:spPr>
                </pic:pic>
              </a:graphicData>
            </a:graphic>
          </wp:inline>
        </w:drawing>
      </w:r>
    </w:p>
    <w:p w14:paraId="6A11B79A" w14:textId="4C935655" w:rsidR="0095323E" w:rsidRPr="006E317E" w:rsidRDefault="00EC33F1" w:rsidP="00AA241E">
      <w:pPr>
        <w:pStyle w:val="Pealdis"/>
        <w:jc w:val="both"/>
      </w:pPr>
      <w:r>
        <w:t xml:space="preserve">Tabel </w:t>
      </w:r>
      <w:r>
        <w:fldChar w:fldCharType="begin"/>
      </w:r>
      <w:r>
        <w:instrText xml:space="preserve"> SEQ Tabel \* ARABIC </w:instrText>
      </w:r>
      <w:r>
        <w:fldChar w:fldCharType="separate"/>
      </w:r>
      <w:r w:rsidR="00247D84">
        <w:rPr>
          <w:noProof/>
        </w:rPr>
        <w:t>5</w:t>
      </w:r>
      <w:r>
        <w:fldChar w:fldCharType="end"/>
      </w:r>
      <w:r>
        <w:t xml:space="preserve"> </w:t>
      </w:r>
      <w:r w:rsidR="0095323E" w:rsidRPr="006E317E">
        <w:t>Turuanalüüsi kaasatud sideettevõtjad ja nende turuosad jaeklientide püsiasukohas tarbimiseks suunatud ja piiramatu mahuga internetiühenduste arvu alusel 2023 aasta lõpp</w:t>
      </w:r>
    </w:p>
    <w:p w14:paraId="35B3C74A" w14:textId="07EAE007" w:rsidR="0095323E" w:rsidRPr="006E317E" w:rsidRDefault="0095323E" w:rsidP="00AA241E">
      <w:pPr>
        <w:jc w:val="both"/>
      </w:pPr>
      <w:r w:rsidRPr="006E317E">
        <w:t>Lisaks on turuanalüüsi kaasatud ka neli (4) riigiabi toel sidevõrke rajanud ja nende baasil ainult hulgiteenust osutavad sideettevõtjat</w:t>
      </w:r>
      <w:r w:rsidR="00EE0D8D">
        <w:t xml:space="preserve"> (nimetatakse ka </w:t>
      </w:r>
      <w:r w:rsidR="00EE0D8D" w:rsidRPr="006E317E">
        <w:t>operaatorineutraal</w:t>
      </w:r>
      <w:r w:rsidR="00EE0D8D">
        <w:t>s</w:t>
      </w:r>
      <w:r w:rsidR="00EE0D8D" w:rsidRPr="006E317E">
        <w:t>e</w:t>
      </w:r>
      <w:r w:rsidR="00EE0D8D">
        <w:t>teks</w:t>
      </w:r>
      <w:r w:rsidR="00EE0D8D" w:rsidRPr="006E317E">
        <w:t xml:space="preserve"> võrk</w:t>
      </w:r>
      <w:r w:rsidR="00EE0D8D">
        <w:t>udeks)</w:t>
      </w:r>
      <w:r w:rsidRPr="006E317E">
        <w:t xml:space="preserve">: Enefit Connect OÜ, ELA SA, Corle OÜ ja Eesti Andmesidevõrgu AS, kuid neid kaasatakse ainult </w:t>
      </w:r>
      <w:r w:rsidR="00A51373">
        <w:t xml:space="preserve">elu- </w:t>
      </w:r>
      <w:r w:rsidR="00A51373">
        <w:lastRenderedPageBreak/>
        <w:t>ja mitteeluruumide</w:t>
      </w:r>
      <w:r w:rsidRPr="006E317E">
        <w:t xml:space="preserve"> </w:t>
      </w:r>
      <w:r w:rsidR="00EE0D8D">
        <w:t>internetiühenduse katvuse hindamisel</w:t>
      </w:r>
      <w:r w:rsidRPr="006E317E">
        <w:t xml:space="preserve">, vt </w:t>
      </w:r>
      <w:r w:rsidR="008C159A">
        <w:t>ptk.-</w:t>
      </w:r>
      <w:r w:rsidR="00EE0D8D">
        <w:t>s 2.</w:t>
      </w:r>
      <w:r w:rsidR="00C15CC2">
        <w:t>3.</w:t>
      </w:r>
      <w:r w:rsidR="00663186">
        <w:t>5</w:t>
      </w:r>
      <w:r w:rsidR="00EE0D8D">
        <w:t xml:space="preserve"> Tabelid 9 ja 10, </w:t>
      </w:r>
      <w:r w:rsidR="008C159A">
        <w:t>ptk.-</w:t>
      </w:r>
      <w:r w:rsidR="00EE0D8D">
        <w:t xml:space="preserve">s </w:t>
      </w:r>
      <w:r w:rsidR="001155C7">
        <w:t>3</w:t>
      </w:r>
      <w:r w:rsidR="00EE0D8D">
        <w:t xml:space="preserve">.2.2 Tabel 13 ja </w:t>
      </w:r>
      <w:r w:rsidR="008C159A">
        <w:t>ptk.-</w:t>
      </w:r>
      <w:r w:rsidR="00EE0D8D">
        <w:t xml:space="preserve">s </w:t>
      </w:r>
      <w:r w:rsidR="00E67141">
        <w:t>3</w:t>
      </w:r>
      <w:r w:rsidR="00EE0D8D">
        <w:t>.3.2 Tabel 16</w:t>
      </w:r>
      <w:r w:rsidRPr="006E317E">
        <w:t>.</w:t>
      </w:r>
    </w:p>
    <w:p w14:paraId="63DF6958" w14:textId="77777777" w:rsidR="0095323E" w:rsidRPr="006E317E" w:rsidRDefault="0095323E" w:rsidP="00AA241E">
      <w:pPr>
        <w:jc w:val="both"/>
      </w:pPr>
    </w:p>
    <w:p w14:paraId="07B3D586" w14:textId="6FB87720" w:rsidR="0095323E" w:rsidRPr="006E317E" w:rsidRDefault="0095323E" w:rsidP="009805E1">
      <w:pPr>
        <w:pStyle w:val="Pealkiri3"/>
      </w:pPr>
      <w:bookmarkStart w:id="281" w:name="_Toc170888950"/>
      <w:bookmarkStart w:id="282" w:name="_Toc174710723"/>
      <w:r w:rsidRPr="006E317E">
        <w:t>Jaeturu too</w:t>
      </w:r>
      <w:r w:rsidR="00E834C7">
        <w:t>teturgude</w:t>
      </w:r>
      <w:r w:rsidRPr="006E317E">
        <w:t xml:space="preserve"> piiritlemise kokkuvõte</w:t>
      </w:r>
      <w:bookmarkEnd w:id="281"/>
      <w:bookmarkEnd w:id="282"/>
    </w:p>
    <w:p w14:paraId="0F2FF46E" w14:textId="7EABE890" w:rsidR="0095323E" w:rsidRPr="006E317E" w:rsidRDefault="0095323E" w:rsidP="00AA241E">
      <w:pPr>
        <w:jc w:val="both"/>
      </w:pPr>
      <w:r w:rsidRPr="006E317E">
        <w:t xml:space="preserve">Eeltoodud ptk.-de </w:t>
      </w:r>
      <w:r w:rsidR="00FE7F5A">
        <w:t>2</w:t>
      </w:r>
      <w:r w:rsidRPr="006E317E">
        <w:t>.1</w:t>
      </w:r>
      <w:r w:rsidR="00564B64">
        <w:t>.1</w:t>
      </w:r>
      <w:r w:rsidRPr="006E317E">
        <w:t xml:space="preserve"> – </w:t>
      </w:r>
      <w:r w:rsidR="00FE7F5A">
        <w:t>2</w:t>
      </w:r>
      <w:r w:rsidR="00225F35">
        <w:t>.</w:t>
      </w:r>
      <w:r w:rsidR="00FE7F5A">
        <w:t>2</w:t>
      </w:r>
      <w:r w:rsidRPr="006E317E">
        <w:t>.</w:t>
      </w:r>
      <w:r w:rsidR="00225F35">
        <w:t>7</w:t>
      </w:r>
      <w:r w:rsidRPr="006E317E">
        <w:t xml:space="preserve"> alusel kaasatakse internetiühenduste jaeturu konkurentsi analüüsi era- ja äriklientide standardsed püsiasukohas tarbimiseks suunatud piiramatu mahuga  internetiühendused, mis põhinevad järgmistel Eestis eksisteerivatel sidevõrgu tehnoloogiatel: </w:t>
      </w:r>
    </w:p>
    <w:p w14:paraId="3DC0E0A0" w14:textId="33ACE22A" w:rsidR="0095323E" w:rsidRPr="006E317E" w:rsidRDefault="00E61DF6" w:rsidP="00AA241E">
      <w:pPr>
        <w:pStyle w:val="Loendilik"/>
        <w:numPr>
          <w:ilvl w:val="0"/>
          <w:numId w:val="85"/>
        </w:numPr>
        <w:jc w:val="both"/>
      </w:pPr>
      <w:proofErr w:type="spellStart"/>
      <w:r>
        <w:t>ADSLx</w:t>
      </w:r>
      <w:proofErr w:type="spellEnd"/>
      <w:r>
        <w:t xml:space="preserve">, </w:t>
      </w:r>
      <w:proofErr w:type="spellStart"/>
      <w:r w:rsidR="0095323E" w:rsidRPr="006E317E">
        <w:t>VDSLx</w:t>
      </w:r>
      <w:proofErr w:type="spellEnd"/>
      <w:r w:rsidR="0095323E" w:rsidRPr="006E317E">
        <w:t xml:space="preserve"> </w:t>
      </w:r>
      <w:r w:rsidR="007E6C65">
        <w:t xml:space="preserve">sh </w:t>
      </w:r>
      <w:proofErr w:type="spellStart"/>
      <w:r w:rsidR="0095323E" w:rsidRPr="006E317E">
        <w:t>vectoring</w:t>
      </w:r>
      <w:proofErr w:type="spellEnd"/>
      <w:r w:rsidR="0095323E" w:rsidRPr="006E317E">
        <w:t xml:space="preserve"> (sh Vplus35b) </w:t>
      </w:r>
      <w:r w:rsidR="00AD1150">
        <w:t>vaskpaar</w:t>
      </w:r>
      <w:r w:rsidR="0095323E" w:rsidRPr="006E317E">
        <w:t>võrk</w:t>
      </w:r>
      <w:r w:rsidR="00897F0B">
        <w:t>;</w:t>
      </w:r>
      <w:r w:rsidR="0095323E" w:rsidRPr="006E317E">
        <w:t xml:space="preserve"> </w:t>
      </w:r>
    </w:p>
    <w:p w14:paraId="2B762A99" w14:textId="5E9F524A" w:rsidR="0095323E" w:rsidRPr="006E317E" w:rsidRDefault="0095323E" w:rsidP="00AA241E">
      <w:pPr>
        <w:pStyle w:val="Loendilik"/>
        <w:numPr>
          <w:ilvl w:val="0"/>
          <w:numId w:val="85"/>
        </w:numPr>
        <w:jc w:val="both"/>
      </w:pPr>
      <w:r w:rsidRPr="006E317E">
        <w:t>DOCSIS 3.0 koaksiaalkaablivõrk</w:t>
      </w:r>
      <w:r w:rsidR="00897F0B">
        <w:t>;</w:t>
      </w:r>
    </w:p>
    <w:p w14:paraId="6F4D0C91" w14:textId="18AC01ED" w:rsidR="0095323E" w:rsidRPr="006E317E" w:rsidRDefault="0095323E" w:rsidP="00AA241E">
      <w:pPr>
        <w:pStyle w:val="Loendilik"/>
        <w:numPr>
          <w:ilvl w:val="0"/>
          <w:numId w:val="85"/>
        </w:numPr>
        <w:jc w:val="both"/>
      </w:pPr>
      <w:r w:rsidRPr="006E317E">
        <w:t>FTTH ja FTTB valguskaablivõrk</w:t>
      </w:r>
      <w:r w:rsidR="00897F0B">
        <w:t>;</w:t>
      </w:r>
    </w:p>
    <w:p w14:paraId="79E80079" w14:textId="77777777" w:rsidR="0095323E" w:rsidRPr="006E317E" w:rsidRDefault="0095323E" w:rsidP="00AA241E">
      <w:pPr>
        <w:pStyle w:val="Loendilik"/>
        <w:numPr>
          <w:ilvl w:val="0"/>
          <w:numId w:val="85"/>
        </w:numPr>
        <w:jc w:val="both"/>
      </w:pPr>
      <w:r w:rsidRPr="006E317E">
        <w:t>4G ja 5G mobiilsidevõrk.</w:t>
      </w:r>
    </w:p>
    <w:p w14:paraId="343BB9FF" w14:textId="385146D0" w:rsidR="00E61DF6" w:rsidRPr="00E84560" w:rsidRDefault="00E61DF6" w:rsidP="00AA241E">
      <w:pPr>
        <w:jc w:val="both"/>
        <w:rPr>
          <w:b/>
        </w:rPr>
      </w:pPr>
      <w:bookmarkStart w:id="283" w:name="_Hlk174016186"/>
      <w:r w:rsidRPr="00E84560">
        <w:rPr>
          <w:b/>
        </w:rPr>
        <w:t xml:space="preserve">Jaeklientide jaoks on  </w:t>
      </w:r>
      <w:proofErr w:type="spellStart"/>
      <w:r w:rsidRPr="00E84560">
        <w:rPr>
          <w:b/>
        </w:rPr>
        <w:t>ADSLx</w:t>
      </w:r>
      <w:proofErr w:type="spellEnd"/>
      <w:r w:rsidRPr="00E84560">
        <w:rPr>
          <w:b/>
        </w:rPr>
        <w:t xml:space="preserve">, </w:t>
      </w:r>
      <w:proofErr w:type="spellStart"/>
      <w:r w:rsidRPr="00E84560">
        <w:rPr>
          <w:b/>
        </w:rPr>
        <w:t>VDSLx</w:t>
      </w:r>
      <w:proofErr w:type="spellEnd"/>
      <w:r w:rsidRPr="00E84560">
        <w:rPr>
          <w:b/>
        </w:rPr>
        <w:t xml:space="preserve"> </w:t>
      </w:r>
      <w:r w:rsidR="007E6C65" w:rsidRPr="00E84560">
        <w:rPr>
          <w:b/>
        </w:rPr>
        <w:t xml:space="preserve">sh </w:t>
      </w:r>
      <w:proofErr w:type="spellStart"/>
      <w:r w:rsidRPr="00E84560">
        <w:rPr>
          <w:b/>
        </w:rPr>
        <w:t>vectoring</w:t>
      </w:r>
      <w:proofErr w:type="spellEnd"/>
      <w:r w:rsidRPr="00E84560">
        <w:rPr>
          <w:b/>
        </w:rPr>
        <w:t xml:space="preserve"> (sh Vplus35b) </w:t>
      </w:r>
      <w:r w:rsidR="00AD1150">
        <w:rPr>
          <w:b/>
        </w:rPr>
        <w:t>vaskpaar</w:t>
      </w:r>
      <w:r w:rsidRPr="00E84560">
        <w:rPr>
          <w:b/>
        </w:rPr>
        <w:t xml:space="preserve">võrgu, DOCSIS 3.0 koaksiaalkaabelvõrgu ja 4G/5G mobiilsidevõrgu püsiasukohas tarbimiseks suunatud piiramatu mahuga internetiühendused läbilaskevõime ja hinna osas omavahel piisavalt sarnased ning omavahel asendatavad. Samas ei võimalda need väga suure läbilaskevõimega internetiühendusi (Mbit/s &gt; 1000) ja nende baasil ei pakuta ka tagatud sümmeetriliste kiirustega internetiühendusi, mida võimaldavad ja pakuvad FTTB/FTTH valguskaabelvõrgu internetiühendused. Seetõttu jaeklientide jaoks, kellele vastavad näitajad on olulised, ei paku </w:t>
      </w:r>
      <w:r w:rsidR="00AD1150">
        <w:rPr>
          <w:b/>
        </w:rPr>
        <w:t>vaskpaar</w:t>
      </w:r>
      <w:r w:rsidRPr="00E84560">
        <w:rPr>
          <w:b/>
        </w:rPr>
        <w:t>-, koaksiaalkaabel- ja mobiilsidevõrgu internetiühendused asendust valguskaabelvõrgu internetiühendustele, mistõttu on põhjendatud ja asjakohane jaotada jaetasandi internetiühenduste tooteturg kaheks eraldi alam</w:t>
      </w:r>
      <w:r w:rsidR="000A7B3A">
        <w:rPr>
          <w:b/>
        </w:rPr>
        <w:t>toote</w:t>
      </w:r>
      <w:r w:rsidRPr="00E84560">
        <w:rPr>
          <w:b/>
        </w:rPr>
        <w:t xml:space="preserve">turuks: </w:t>
      </w:r>
    </w:p>
    <w:p w14:paraId="725B4240" w14:textId="79383B5C" w:rsidR="00E61DF6" w:rsidRPr="00E84560" w:rsidRDefault="00E61DF6" w:rsidP="00AA241E">
      <w:pPr>
        <w:ind w:left="720"/>
        <w:jc w:val="both"/>
        <w:rPr>
          <w:b/>
        </w:rPr>
      </w:pPr>
      <w:r w:rsidRPr="00E84560">
        <w:rPr>
          <w:b/>
        </w:rPr>
        <w:t xml:space="preserve">1)  </w:t>
      </w:r>
      <w:r w:rsidR="00183BEB">
        <w:rPr>
          <w:b/>
          <w:bCs/>
        </w:rPr>
        <w:t>vaskkaabli</w:t>
      </w:r>
      <w:r w:rsidRPr="00E84560">
        <w:rPr>
          <w:b/>
        </w:rPr>
        <w:t xml:space="preserve">- ja mobiilsidevõrgu jaetasandi internetiühenduste tooteturg – siia kuuluvad püsiasukohas tarbimiseks suunatud piiramatu mahuga internetiühendused </w:t>
      </w:r>
      <w:proofErr w:type="spellStart"/>
      <w:r w:rsidRPr="00E84560">
        <w:rPr>
          <w:b/>
        </w:rPr>
        <w:t>ADSLx</w:t>
      </w:r>
      <w:proofErr w:type="spellEnd"/>
      <w:r w:rsidRPr="00E84560">
        <w:rPr>
          <w:b/>
        </w:rPr>
        <w:t xml:space="preserve">, </w:t>
      </w:r>
      <w:proofErr w:type="spellStart"/>
      <w:r w:rsidRPr="00E84560">
        <w:rPr>
          <w:b/>
        </w:rPr>
        <w:t>VDSLx</w:t>
      </w:r>
      <w:proofErr w:type="spellEnd"/>
      <w:r w:rsidRPr="00E84560">
        <w:rPr>
          <w:b/>
        </w:rPr>
        <w:t xml:space="preserve"> </w:t>
      </w:r>
      <w:r w:rsidR="007E6C65" w:rsidRPr="00E84560">
        <w:rPr>
          <w:b/>
        </w:rPr>
        <w:t xml:space="preserve">sh </w:t>
      </w:r>
      <w:proofErr w:type="spellStart"/>
      <w:r w:rsidRPr="00E84560">
        <w:rPr>
          <w:b/>
        </w:rPr>
        <w:t>vectoring</w:t>
      </w:r>
      <w:proofErr w:type="spellEnd"/>
      <w:r w:rsidRPr="00E84560">
        <w:rPr>
          <w:b/>
        </w:rPr>
        <w:t xml:space="preserve"> (sh Vplus35b) </w:t>
      </w:r>
      <w:r w:rsidR="00532579">
        <w:rPr>
          <w:b/>
        </w:rPr>
        <w:t>vaskpaar</w:t>
      </w:r>
      <w:r w:rsidRPr="00E84560">
        <w:rPr>
          <w:b/>
        </w:rPr>
        <w:t>võrgu baasil, DOCSIS 3.0 koaksiaalkaablivõrgu baasil ja 4G &amp; 5G mobiilsidevõrgu baasil;</w:t>
      </w:r>
    </w:p>
    <w:p w14:paraId="3209908E" w14:textId="77777777" w:rsidR="00E61DF6" w:rsidRPr="00E84560" w:rsidRDefault="00E61DF6" w:rsidP="00AA241E">
      <w:pPr>
        <w:ind w:left="720"/>
        <w:jc w:val="both"/>
        <w:rPr>
          <w:b/>
        </w:rPr>
      </w:pPr>
      <w:r w:rsidRPr="00E84560">
        <w:rPr>
          <w:b/>
        </w:rPr>
        <w:t>2) valguskaabelvõrgu jaetasandi internetiühenduste tooteturg – siia kuuluvad püsiasukohas tarbimiseks suunatud piiramatu mahuga internetiühendused FTTB/FTTH valguskaabelvõrgu baasil.</w:t>
      </w:r>
    </w:p>
    <w:p w14:paraId="1A5D7D68" w14:textId="5C1F0899" w:rsidR="0095323E" w:rsidRDefault="0095323E" w:rsidP="00AA241E">
      <w:pPr>
        <w:jc w:val="both"/>
      </w:pPr>
      <w:r w:rsidRPr="006E317E">
        <w:t xml:space="preserve">Enamus nimetatud sidevõrgu tehnoloogiate alusel on võimalik pakkuda enamus hulgituru 1 tooteid (kohalikul tasandil sidevõrgu kliendiliinide füüsilist ja virtuaalset eraldamist) ja hulgituru 3b tooteid (kesksel tasandil sidevõrgu internetiühenduste virtuaalset eraldamist, bitivoo eraldamist).  Erandiks on koaksiaalkaabelvõrk ja </w:t>
      </w:r>
      <w:proofErr w:type="spellStart"/>
      <w:r w:rsidRPr="006E317E">
        <w:t>vectoring</w:t>
      </w:r>
      <w:proofErr w:type="spellEnd"/>
      <w:r w:rsidRPr="006E317E">
        <w:t xml:space="preserve">-tehnoloogiat kasutav </w:t>
      </w:r>
      <w:r w:rsidR="00AD1150">
        <w:t>vaskpaar</w:t>
      </w:r>
      <w:r w:rsidRPr="006E317E">
        <w:t>võrk ning 4G ja 5G mobiilsidevõrk, mis ei võimalda pakkuda kliendiliini füüsilist eraldamist hulgiturul 1, kuid suudavad pakkuda klientide internetiühenduste virtuaalset eraldamist.</w:t>
      </w:r>
    </w:p>
    <w:p w14:paraId="04D52FCF" w14:textId="77777777" w:rsidR="00802B18" w:rsidRPr="006E317E" w:rsidRDefault="00802B18" w:rsidP="00AA241E">
      <w:pPr>
        <w:jc w:val="both"/>
      </w:pPr>
    </w:p>
    <w:p w14:paraId="0B7E8B57" w14:textId="77777777" w:rsidR="00FE16E6" w:rsidRPr="006E317E" w:rsidRDefault="00FE16E6" w:rsidP="00AA241E">
      <w:pPr>
        <w:jc w:val="both"/>
      </w:pPr>
    </w:p>
    <w:p w14:paraId="485767EC" w14:textId="77777777" w:rsidR="00091186" w:rsidRPr="00091186" w:rsidRDefault="00091186" w:rsidP="00AA241E">
      <w:pPr>
        <w:pStyle w:val="Loendilik"/>
        <w:keepNext/>
        <w:keepLines/>
        <w:numPr>
          <w:ilvl w:val="0"/>
          <w:numId w:val="37"/>
        </w:numPr>
        <w:spacing w:before="160" w:after="80"/>
        <w:ind w:left="432" w:hanging="432"/>
        <w:contextualSpacing w:val="0"/>
        <w:jc w:val="both"/>
        <w:outlineLvl w:val="1"/>
        <w:rPr>
          <w:rFonts w:eastAsiaTheme="majorEastAsia" w:cstheme="majorBidi"/>
          <w:b/>
          <w:bCs/>
          <w:vanish/>
          <w:color w:val="000000" w:themeColor="text1"/>
        </w:rPr>
      </w:pPr>
      <w:bookmarkStart w:id="284" w:name="_Toc174096121"/>
      <w:bookmarkStart w:id="285" w:name="_Toc174536010"/>
      <w:bookmarkStart w:id="286" w:name="_Toc174618465"/>
      <w:bookmarkStart w:id="287" w:name="_Toc174627527"/>
      <w:bookmarkStart w:id="288" w:name="_Toc174704951"/>
      <w:bookmarkStart w:id="289" w:name="_Toc174709495"/>
      <w:bookmarkStart w:id="290" w:name="_Toc174710724"/>
      <w:bookmarkStart w:id="291" w:name="_Toc170888951"/>
      <w:bookmarkEnd w:id="283"/>
      <w:bookmarkEnd w:id="284"/>
      <w:bookmarkEnd w:id="285"/>
      <w:bookmarkEnd w:id="286"/>
      <w:bookmarkEnd w:id="287"/>
      <w:bookmarkEnd w:id="288"/>
      <w:bookmarkEnd w:id="289"/>
      <w:bookmarkEnd w:id="290"/>
    </w:p>
    <w:p w14:paraId="4F5C4002" w14:textId="77777777" w:rsidR="00091186" w:rsidRPr="00091186" w:rsidRDefault="00091186" w:rsidP="00AA241E">
      <w:pPr>
        <w:pStyle w:val="Loendilik"/>
        <w:keepNext/>
        <w:keepLines/>
        <w:numPr>
          <w:ilvl w:val="1"/>
          <w:numId w:val="37"/>
        </w:numPr>
        <w:spacing w:before="160" w:after="80"/>
        <w:contextualSpacing w:val="0"/>
        <w:jc w:val="both"/>
        <w:outlineLvl w:val="1"/>
        <w:rPr>
          <w:rFonts w:eastAsiaTheme="majorEastAsia" w:cstheme="majorBidi"/>
          <w:b/>
          <w:bCs/>
          <w:vanish/>
          <w:color w:val="000000" w:themeColor="text1"/>
        </w:rPr>
      </w:pPr>
      <w:bookmarkStart w:id="292" w:name="_Toc174094520"/>
      <w:bookmarkStart w:id="293" w:name="_Toc174094787"/>
      <w:bookmarkStart w:id="294" w:name="_Toc174095053"/>
      <w:bookmarkStart w:id="295" w:name="_Toc174095318"/>
      <w:bookmarkStart w:id="296" w:name="_Toc174095856"/>
      <w:bookmarkStart w:id="297" w:name="_Toc174096122"/>
      <w:bookmarkStart w:id="298" w:name="_Toc174536011"/>
      <w:bookmarkStart w:id="299" w:name="_Toc174617109"/>
      <w:bookmarkStart w:id="300" w:name="_Toc174618466"/>
      <w:bookmarkStart w:id="301" w:name="_Toc174627528"/>
      <w:bookmarkStart w:id="302" w:name="_Toc174704952"/>
      <w:bookmarkStart w:id="303" w:name="_Toc174709496"/>
      <w:bookmarkStart w:id="304" w:name="_Toc174710725"/>
      <w:bookmarkEnd w:id="292"/>
      <w:bookmarkEnd w:id="293"/>
      <w:bookmarkEnd w:id="294"/>
      <w:bookmarkEnd w:id="295"/>
      <w:bookmarkEnd w:id="296"/>
      <w:bookmarkEnd w:id="297"/>
      <w:bookmarkEnd w:id="298"/>
      <w:bookmarkEnd w:id="299"/>
      <w:bookmarkEnd w:id="300"/>
      <w:bookmarkEnd w:id="301"/>
      <w:bookmarkEnd w:id="302"/>
      <w:bookmarkEnd w:id="303"/>
      <w:bookmarkEnd w:id="304"/>
    </w:p>
    <w:p w14:paraId="0BAEEC33" w14:textId="77777777" w:rsidR="00091186" w:rsidRPr="00091186" w:rsidRDefault="00091186" w:rsidP="00AA241E">
      <w:pPr>
        <w:pStyle w:val="Loendilik"/>
        <w:keepNext/>
        <w:keepLines/>
        <w:numPr>
          <w:ilvl w:val="1"/>
          <w:numId w:val="37"/>
        </w:numPr>
        <w:spacing w:before="160" w:after="80"/>
        <w:contextualSpacing w:val="0"/>
        <w:jc w:val="both"/>
        <w:outlineLvl w:val="1"/>
        <w:rPr>
          <w:rFonts w:eastAsiaTheme="majorEastAsia" w:cstheme="majorBidi"/>
          <w:b/>
          <w:bCs/>
          <w:vanish/>
          <w:color w:val="000000" w:themeColor="text1"/>
        </w:rPr>
      </w:pPr>
      <w:bookmarkStart w:id="305" w:name="_Toc174094521"/>
      <w:bookmarkStart w:id="306" w:name="_Toc174094788"/>
      <w:bookmarkStart w:id="307" w:name="_Toc174095054"/>
      <w:bookmarkStart w:id="308" w:name="_Toc174095319"/>
      <w:bookmarkStart w:id="309" w:name="_Toc174095857"/>
      <w:bookmarkStart w:id="310" w:name="_Toc174096123"/>
      <w:bookmarkStart w:id="311" w:name="_Toc174536012"/>
      <w:bookmarkStart w:id="312" w:name="_Toc174617110"/>
      <w:bookmarkStart w:id="313" w:name="_Toc174618467"/>
      <w:bookmarkStart w:id="314" w:name="_Toc174627529"/>
      <w:bookmarkStart w:id="315" w:name="_Toc174704953"/>
      <w:bookmarkStart w:id="316" w:name="_Toc174709497"/>
      <w:bookmarkStart w:id="317" w:name="_Toc174710726"/>
      <w:bookmarkEnd w:id="305"/>
      <w:bookmarkEnd w:id="306"/>
      <w:bookmarkEnd w:id="307"/>
      <w:bookmarkEnd w:id="308"/>
      <w:bookmarkEnd w:id="309"/>
      <w:bookmarkEnd w:id="310"/>
      <w:bookmarkEnd w:id="311"/>
      <w:bookmarkEnd w:id="312"/>
      <w:bookmarkEnd w:id="313"/>
      <w:bookmarkEnd w:id="314"/>
      <w:bookmarkEnd w:id="315"/>
      <w:bookmarkEnd w:id="316"/>
      <w:bookmarkEnd w:id="317"/>
    </w:p>
    <w:p w14:paraId="43492962" w14:textId="77777777" w:rsidR="00CD2E1F" w:rsidRPr="00CD2E1F" w:rsidRDefault="00CD2E1F" w:rsidP="00AA241E">
      <w:pPr>
        <w:pStyle w:val="Loendilik"/>
        <w:keepNext/>
        <w:keepLines/>
        <w:numPr>
          <w:ilvl w:val="1"/>
          <w:numId w:val="41"/>
        </w:numPr>
        <w:spacing w:before="160" w:after="80" w:line="360" w:lineRule="auto"/>
        <w:contextualSpacing w:val="0"/>
        <w:jc w:val="both"/>
        <w:outlineLvl w:val="2"/>
        <w:rPr>
          <w:rFonts w:eastAsia="Calibri" w:cstheme="majorBidi"/>
          <w:bCs/>
          <w:vanish/>
          <w:color w:val="000000" w:themeColor="text1"/>
          <w:lang w:eastAsia="en-US"/>
        </w:rPr>
      </w:pPr>
      <w:bookmarkStart w:id="318" w:name="_Toc174094522"/>
      <w:bookmarkStart w:id="319" w:name="_Toc174094789"/>
      <w:bookmarkStart w:id="320" w:name="_Toc174095055"/>
      <w:bookmarkStart w:id="321" w:name="_Toc174095320"/>
      <w:bookmarkStart w:id="322" w:name="_Toc174095858"/>
      <w:bookmarkStart w:id="323" w:name="_Toc174096124"/>
      <w:bookmarkStart w:id="324" w:name="_Toc174536013"/>
      <w:bookmarkStart w:id="325" w:name="_Toc174617111"/>
      <w:bookmarkStart w:id="326" w:name="_Toc174618468"/>
      <w:bookmarkStart w:id="327" w:name="_Toc174627530"/>
      <w:bookmarkStart w:id="328" w:name="_Toc174704954"/>
      <w:bookmarkStart w:id="329" w:name="_Toc174709498"/>
      <w:bookmarkStart w:id="330" w:name="_Toc174710727"/>
      <w:bookmarkEnd w:id="318"/>
      <w:bookmarkEnd w:id="319"/>
      <w:bookmarkEnd w:id="320"/>
      <w:bookmarkEnd w:id="321"/>
      <w:bookmarkEnd w:id="322"/>
      <w:bookmarkEnd w:id="323"/>
      <w:bookmarkEnd w:id="324"/>
      <w:bookmarkEnd w:id="325"/>
      <w:bookmarkEnd w:id="326"/>
      <w:bookmarkEnd w:id="327"/>
      <w:bookmarkEnd w:id="328"/>
      <w:bookmarkEnd w:id="329"/>
      <w:bookmarkEnd w:id="330"/>
    </w:p>
    <w:p w14:paraId="73E77D04" w14:textId="1241A4FF" w:rsidR="0095323E" w:rsidRPr="00D32E58" w:rsidRDefault="0095323E" w:rsidP="00AA241E">
      <w:pPr>
        <w:pStyle w:val="Pealkiri2"/>
        <w:jc w:val="both"/>
      </w:pPr>
      <w:bookmarkStart w:id="331" w:name="_Toc174710728"/>
      <w:bookmarkEnd w:id="291"/>
      <w:r w:rsidRPr="00D32E58">
        <w:t>J</w:t>
      </w:r>
      <w:r w:rsidR="000C478A">
        <w:t>AETURU</w:t>
      </w:r>
      <w:r w:rsidR="003D1FF8">
        <w:t xml:space="preserve"> </w:t>
      </w:r>
      <w:r w:rsidR="000C478A">
        <w:t>GEOGRAAFILINE</w:t>
      </w:r>
      <w:r w:rsidR="00D32E58" w:rsidRPr="00D32E58">
        <w:t xml:space="preserve"> </w:t>
      </w:r>
      <w:r w:rsidR="000C478A">
        <w:t>PIIRITLEMINE</w:t>
      </w:r>
      <w:bookmarkEnd w:id="331"/>
    </w:p>
    <w:p w14:paraId="53C0F4B4" w14:textId="77777777" w:rsidR="000437CA" w:rsidRPr="000437CA" w:rsidRDefault="000437CA" w:rsidP="00AA241E">
      <w:pPr>
        <w:pStyle w:val="Loendilik"/>
        <w:keepNext/>
        <w:keepLines/>
        <w:numPr>
          <w:ilvl w:val="1"/>
          <w:numId w:val="24"/>
        </w:numPr>
        <w:spacing w:before="160" w:after="80" w:line="360" w:lineRule="auto"/>
        <w:contextualSpacing w:val="0"/>
        <w:jc w:val="both"/>
        <w:outlineLvl w:val="2"/>
        <w:rPr>
          <w:rFonts w:eastAsia="Calibri" w:cstheme="majorBidi"/>
          <w:bCs/>
          <w:vanish/>
          <w:color w:val="000000" w:themeColor="text1"/>
          <w:lang w:eastAsia="en-US"/>
        </w:rPr>
      </w:pPr>
      <w:bookmarkStart w:id="332" w:name="_Toc174094524"/>
      <w:bookmarkStart w:id="333" w:name="_Toc174094791"/>
      <w:bookmarkStart w:id="334" w:name="_Toc174095057"/>
      <w:bookmarkStart w:id="335" w:name="_Toc174095322"/>
      <w:bookmarkStart w:id="336" w:name="_Toc174095860"/>
      <w:bookmarkStart w:id="337" w:name="_Toc174096126"/>
      <w:bookmarkStart w:id="338" w:name="_Toc174536015"/>
      <w:bookmarkStart w:id="339" w:name="_Toc174617113"/>
      <w:bookmarkStart w:id="340" w:name="_Toc174618470"/>
      <w:bookmarkStart w:id="341" w:name="_Toc174627532"/>
      <w:bookmarkStart w:id="342" w:name="_Toc174704956"/>
      <w:bookmarkStart w:id="343" w:name="_Toc174709500"/>
      <w:bookmarkStart w:id="344" w:name="_Toc174710729"/>
      <w:bookmarkEnd w:id="332"/>
      <w:bookmarkEnd w:id="333"/>
      <w:bookmarkEnd w:id="334"/>
      <w:bookmarkEnd w:id="335"/>
      <w:bookmarkEnd w:id="336"/>
      <w:bookmarkEnd w:id="337"/>
      <w:bookmarkEnd w:id="338"/>
      <w:bookmarkEnd w:id="339"/>
      <w:bookmarkEnd w:id="340"/>
      <w:bookmarkEnd w:id="341"/>
      <w:bookmarkEnd w:id="342"/>
      <w:bookmarkEnd w:id="343"/>
      <w:bookmarkEnd w:id="344"/>
    </w:p>
    <w:p w14:paraId="04ABC008" w14:textId="77777777" w:rsidR="00CD2E1F" w:rsidRPr="00CD2E1F" w:rsidRDefault="00CD2E1F" w:rsidP="00AA241E">
      <w:pPr>
        <w:pStyle w:val="Loendilik"/>
        <w:keepNext/>
        <w:keepLines/>
        <w:numPr>
          <w:ilvl w:val="0"/>
          <w:numId w:val="42"/>
        </w:numPr>
        <w:tabs>
          <w:tab w:val="left" w:pos="1985"/>
        </w:tabs>
        <w:spacing w:after="0"/>
        <w:contextualSpacing w:val="0"/>
        <w:jc w:val="both"/>
        <w:outlineLvl w:val="3"/>
        <w:rPr>
          <w:rFonts w:eastAsiaTheme="majorEastAsia" w:cstheme="majorBidi"/>
          <w:i/>
          <w:iCs/>
          <w:vanish/>
          <w:lang w:eastAsia="en-US"/>
        </w:rPr>
      </w:pPr>
    </w:p>
    <w:p w14:paraId="382AA0A9" w14:textId="77777777" w:rsidR="00CD2E1F" w:rsidRPr="00CD2E1F" w:rsidRDefault="00CD2E1F" w:rsidP="00AA241E">
      <w:pPr>
        <w:pStyle w:val="Loendilik"/>
        <w:keepNext/>
        <w:keepLines/>
        <w:numPr>
          <w:ilvl w:val="0"/>
          <w:numId w:val="42"/>
        </w:numPr>
        <w:tabs>
          <w:tab w:val="left" w:pos="1985"/>
        </w:tabs>
        <w:spacing w:after="0"/>
        <w:contextualSpacing w:val="0"/>
        <w:jc w:val="both"/>
        <w:outlineLvl w:val="3"/>
        <w:rPr>
          <w:rFonts w:eastAsiaTheme="majorEastAsia" w:cstheme="majorBidi"/>
          <w:i/>
          <w:iCs/>
          <w:vanish/>
          <w:lang w:eastAsia="en-US"/>
        </w:rPr>
      </w:pPr>
    </w:p>
    <w:p w14:paraId="135C726E" w14:textId="77777777" w:rsidR="00CD2E1F" w:rsidRPr="00CD2E1F" w:rsidRDefault="00CD2E1F" w:rsidP="00AA241E">
      <w:pPr>
        <w:pStyle w:val="Loendilik"/>
        <w:keepNext/>
        <w:keepLines/>
        <w:numPr>
          <w:ilvl w:val="1"/>
          <w:numId w:val="42"/>
        </w:numPr>
        <w:tabs>
          <w:tab w:val="left" w:pos="1985"/>
        </w:tabs>
        <w:spacing w:after="0"/>
        <w:contextualSpacing w:val="0"/>
        <w:jc w:val="both"/>
        <w:outlineLvl w:val="3"/>
        <w:rPr>
          <w:rFonts w:eastAsiaTheme="majorEastAsia" w:cstheme="majorBidi"/>
          <w:i/>
          <w:iCs/>
          <w:vanish/>
          <w:lang w:eastAsia="en-US"/>
        </w:rPr>
      </w:pPr>
    </w:p>
    <w:p w14:paraId="4CEF7E29" w14:textId="77777777" w:rsidR="00CD2E1F" w:rsidRPr="00CD2E1F" w:rsidRDefault="00CD2E1F" w:rsidP="00AA241E">
      <w:pPr>
        <w:pStyle w:val="Loendilik"/>
        <w:keepNext/>
        <w:keepLines/>
        <w:numPr>
          <w:ilvl w:val="2"/>
          <w:numId w:val="42"/>
        </w:numPr>
        <w:tabs>
          <w:tab w:val="left" w:pos="1985"/>
        </w:tabs>
        <w:spacing w:after="0"/>
        <w:contextualSpacing w:val="0"/>
        <w:jc w:val="both"/>
        <w:outlineLvl w:val="3"/>
        <w:rPr>
          <w:rFonts w:eastAsiaTheme="majorEastAsia" w:cstheme="majorBidi"/>
          <w:i/>
          <w:iCs/>
          <w:vanish/>
          <w:lang w:eastAsia="en-US"/>
        </w:rPr>
      </w:pPr>
    </w:p>
    <w:p w14:paraId="4158F400" w14:textId="77777777" w:rsidR="00C37771" w:rsidRPr="00C37771" w:rsidRDefault="00C37771" w:rsidP="00AA241E">
      <w:pPr>
        <w:pStyle w:val="Loendilik"/>
        <w:numPr>
          <w:ilvl w:val="0"/>
          <w:numId w:val="43"/>
        </w:numPr>
        <w:contextualSpacing w:val="0"/>
        <w:jc w:val="both"/>
        <w:outlineLvl w:val="1"/>
        <w:rPr>
          <w:b/>
          <w:vanish/>
        </w:rPr>
      </w:pPr>
      <w:bookmarkStart w:id="345" w:name="_Toc174094525"/>
      <w:bookmarkStart w:id="346" w:name="_Toc174094792"/>
      <w:bookmarkStart w:id="347" w:name="_Toc174095058"/>
      <w:bookmarkStart w:id="348" w:name="_Toc174095323"/>
      <w:bookmarkStart w:id="349" w:name="_Toc174095861"/>
      <w:bookmarkStart w:id="350" w:name="_Toc174096127"/>
      <w:bookmarkStart w:id="351" w:name="_Toc174536016"/>
      <w:bookmarkStart w:id="352" w:name="_Toc174617114"/>
      <w:bookmarkStart w:id="353" w:name="_Toc174618471"/>
      <w:bookmarkStart w:id="354" w:name="_Toc174627533"/>
      <w:bookmarkStart w:id="355" w:name="_Toc174704957"/>
      <w:bookmarkStart w:id="356" w:name="_Toc174709501"/>
      <w:bookmarkStart w:id="357" w:name="_Toc174710730"/>
      <w:bookmarkEnd w:id="345"/>
      <w:bookmarkEnd w:id="346"/>
      <w:bookmarkEnd w:id="347"/>
      <w:bookmarkEnd w:id="348"/>
      <w:bookmarkEnd w:id="349"/>
      <w:bookmarkEnd w:id="350"/>
      <w:bookmarkEnd w:id="351"/>
      <w:bookmarkEnd w:id="352"/>
      <w:bookmarkEnd w:id="353"/>
      <w:bookmarkEnd w:id="354"/>
      <w:bookmarkEnd w:id="355"/>
      <w:bookmarkEnd w:id="356"/>
      <w:bookmarkEnd w:id="357"/>
    </w:p>
    <w:p w14:paraId="5546BBE2" w14:textId="77777777" w:rsidR="00C37771" w:rsidRPr="00C37771" w:rsidRDefault="00C37771" w:rsidP="00AA241E">
      <w:pPr>
        <w:pStyle w:val="Loendilik"/>
        <w:numPr>
          <w:ilvl w:val="1"/>
          <w:numId w:val="43"/>
        </w:numPr>
        <w:contextualSpacing w:val="0"/>
        <w:jc w:val="both"/>
        <w:outlineLvl w:val="1"/>
        <w:rPr>
          <w:b/>
          <w:vanish/>
        </w:rPr>
      </w:pPr>
      <w:bookmarkStart w:id="358" w:name="_Toc174094526"/>
      <w:bookmarkStart w:id="359" w:name="_Toc174094793"/>
      <w:bookmarkStart w:id="360" w:name="_Toc174095059"/>
      <w:bookmarkStart w:id="361" w:name="_Toc174095324"/>
      <w:bookmarkStart w:id="362" w:name="_Toc174095862"/>
      <w:bookmarkStart w:id="363" w:name="_Toc174096128"/>
      <w:bookmarkStart w:id="364" w:name="_Toc174536017"/>
      <w:bookmarkStart w:id="365" w:name="_Toc174617115"/>
      <w:bookmarkStart w:id="366" w:name="_Toc174618472"/>
      <w:bookmarkStart w:id="367" w:name="_Toc174627534"/>
      <w:bookmarkStart w:id="368" w:name="_Toc174704958"/>
      <w:bookmarkStart w:id="369" w:name="_Toc174709502"/>
      <w:bookmarkStart w:id="370" w:name="_Toc174710731"/>
      <w:bookmarkEnd w:id="358"/>
      <w:bookmarkEnd w:id="359"/>
      <w:bookmarkEnd w:id="360"/>
      <w:bookmarkEnd w:id="361"/>
      <w:bookmarkEnd w:id="362"/>
      <w:bookmarkEnd w:id="363"/>
      <w:bookmarkEnd w:id="364"/>
      <w:bookmarkEnd w:id="365"/>
      <w:bookmarkEnd w:id="366"/>
      <w:bookmarkEnd w:id="367"/>
      <w:bookmarkEnd w:id="368"/>
      <w:bookmarkEnd w:id="369"/>
      <w:bookmarkEnd w:id="370"/>
    </w:p>
    <w:p w14:paraId="0ABF5318" w14:textId="77777777" w:rsidR="00C37771" w:rsidRPr="00C37771" w:rsidRDefault="00C37771" w:rsidP="00AA241E">
      <w:pPr>
        <w:pStyle w:val="Loendilik"/>
        <w:keepNext/>
        <w:keepLines/>
        <w:numPr>
          <w:ilvl w:val="2"/>
          <w:numId w:val="43"/>
        </w:numPr>
        <w:spacing w:before="160" w:after="80" w:line="360" w:lineRule="auto"/>
        <w:contextualSpacing w:val="0"/>
        <w:jc w:val="both"/>
        <w:outlineLvl w:val="2"/>
        <w:rPr>
          <w:rFonts w:eastAsia="Calibri" w:cstheme="majorBidi"/>
          <w:bCs/>
          <w:vanish/>
          <w:color w:val="000000" w:themeColor="text1"/>
          <w:lang w:eastAsia="en-US"/>
        </w:rPr>
      </w:pPr>
      <w:bookmarkStart w:id="371" w:name="_Toc174094527"/>
      <w:bookmarkStart w:id="372" w:name="_Toc174094794"/>
      <w:bookmarkStart w:id="373" w:name="_Toc174095060"/>
      <w:bookmarkStart w:id="374" w:name="_Toc174095325"/>
      <w:bookmarkStart w:id="375" w:name="_Toc174095863"/>
      <w:bookmarkStart w:id="376" w:name="_Toc174096129"/>
      <w:bookmarkStart w:id="377" w:name="_Toc174536018"/>
      <w:bookmarkStart w:id="378" w:name="_Toc174617116"/>
      <w:bookmarkStart w:id="379" w:name="_Toc174618473"/>
      <w:bookmarkStart w:id="380" w:name="_Toc174627535"/>
      <w:bookmarkStart w:id="381" w:name="_Toc174704959"/>
      <w:bookmarkStart w:id="382" w:name="_Toc174709503"/>
      <w:bookmarkStart w:id="383" w:name="_Toc174710732"/>
      <w:bookmarkEnd w:id="371"/>
      <w:bookmarkEnd w:id="372"/>
      <w:bookmarkEnd w:id="373"/>
      <w:bookmarkEnd w:id="374"/>
      <w:bookmarkEnd w:id="375"/>
      <w:bookmarkEnd w:id="376"/>
      <w:bookmarkEnd w:id="377"/>
      <w:bookmarkEnd w:id="378"/>
      <w:bookmarkEnd w:id="379"/>
      <w:bookmarkEnd w:id="380"/>
      <w:bookmarkEnd w:id="381"/>
      <w:bookmarkEnd w:id="382"/>
      <w:bookmarkEnd w:id="383"/>
    </w:p>
    <w:p w14:paraId="1FD4EB0D" w14:textId="77777777" w:rsidR="00444667" w:rsidRPr="00444667" w:rsidRDefault="00444667" w:rsidP="00AA241E">
      <w:pPr>
        <w:pStyle w:val="Loendilik"/>
        <w:numPr>
          <w:ilvl w:val="0"/>
          <w:numId w:val="59"/>
        </w:numPr>
        <w:contextualSpacing w:val="0"/>
        <w:jc w:val="both"/>
        <w:rPr>
          <w:vanish/>
        </w:rPr>
      </w:pPr>
    </w:p>
    <w:p w14:paraId="245F5D0A" w14:textId="77777777" w:rsidR="00444667" w:rsidRPr="00444667" w:rsidRDefault="00444667" w:rsidP="00AA241E">
      <w:pPr>
        <w:pStyle w:val="Loendilik"/>
        <w:numPr>
          <w:ilvl w:val="0"/>
          <w:numId w:val="59"/>
        </w:numPr>
        <w:contextualSpacing w:val="0"/>
        <w:jc w:val="both"/>
        <w:rPr>
          <w:vanish/>
        </w:rPr>
      </w:pPr>
    </w:p>
    <w:p w14:paraId="26474234" w14:textId="77777777" w:rsidR="00444667" w:rsidRPr="00444667" w:rsidRDefault="00444667" w:rsidP="00AA241E">
      <w:pPr>
        <w:pStyle w:val="Loendilik"/>
        <w:numPr>
          <w:ilvl w:val="1"/>
          <w:numId w:val="59"/>
        </w:numPr>
        <w:contextualSpacing w:val="0"/>
        <w:jc w:val="both"/>
        <w:rPr>
          <w:vanish/>
        </w:rPr>
      </w:pPr>
    </w:p>
    <w:p w14:paraId="6C852B47" w14:textId="77777777" w:rsidR="00444667" w:rsidRPr="00444667" w:rsidRDefault="00444667" w:rsidP="00AA241E">
      <w:pPr>
        <w:pStyle w:val="Loendilik"/>
        <w:numPr>
          <w:ilvl w:val="2"/>
          <w:numId w:val="59"/>
        </w:numPr>
        <w:contextualSpacing w:val="0"/>
        <w:jc w:val="both"/>
        <w:rPr>
          <w:vanish/>
        </w:rPr>
      </w:pPr>
    </w:p>
    <w:p w14:paraId="62DF7AE4" w14:textId="77777777" w:rsidR="00D94B08" w:rsidRPr="00D94B08" w:rsidRDefault="00D94B08" w:rsidP="00AA241E">
      <w:pPr>
        <w:pStyle w:val="Loendilik"/>
        <w:numPr>
          <w:ilvl w:val="2"/>
          <w:numId w:val="60"/>
        </w:numPr>
        <w:contextualSpacing w:val="0"/>
        <w:jc w:val="both"/>
        <w:rPr>
          <w:vanish/>
        </w:rPr>
      </w:pPr>
    </w:p>
    <w:p w14:paraId="4FB7861B" w14:textId="77777777" w:rsidR="005A76EE" w:rsidRPr="005A76EE" w:rsidRDefault="005A76EE" w:rsidP="005A76EE">
      <w:pPr>
        <w:pStyle w:val="Loendilik"/>
        <w:keepNext/>
        <w:keepLines/>
        <w:numPr>
          <w:ilvl w:val="1"/>
          <w:numId w:val="83"/>
        </w:numPr>
        <w:spacing w:before="240" w:after="240" w:line="360" w:lineRule="auto"/>
        <w:contextualSpacing w:val="0"/>
        <w:jc w:val="both"/>
        <w:outlineLvl w:val="2"/>
        <w:rPr>
          <w:rFonts w:eastAsia="Calibri" w:cstheme="majorBidi"/>
          <w:bCs/>
          <w:i/>
          <w:iCs/>
          <w:vanish/>
          <w:color w:val="000000" w:themeColor="text1"/>
          <w:lang w:eastAsia="en-US"/>
        </w:rPr>
      </w:pPr>
      <w:bookmarkStart w:id="384" w:name="_Toc174617117"/>
      <w:bookmarkStart w:id="385" w:name="_Toc174618474"/>
      <w:bookmarkStart w:id="386" w:name="_Toc174627536"/>
      <w:bookmarkStart w:id="387" w:name="_Toc174704960"/>
      <w:bookmarkStart w:id="388" w:name="_Toc174709504"/>
      <w:bookmarkStart w:id="389" w:name="_Toc174710733"/>
      <w:bookmarkEnd w:id="384"/>
      <w:bookmarkEnd w:id="385"/>
      <w:bookmarkEnd w:id="386"/>
      <w:bookmarkEnd w:id="387"/>
      <w:bookmarkEnd w:id="388"/>
      <w:bookmarkEnd w:id="389"/>
    </w:p>
    <w:p w14:paraId="739AE5E4" w14:textId="0607589F" w:rsidR="001053F8" w:rsidRDefault="001053F8" w:rsidP="009805E1">
      <w:pPr>
        <w:pStyle w:val="Pealkiri3"/>
      </w:pPr>
      <w:bookmarkStart w:id="390" w:name="_Toc174710734"/>
      <w:r w:rsidRPr="00444667">
        <w:t>Jaeturu geograafilise piiritlemise eesmärk ja alused</w:t>
      </w:r>
      <w:bookmarkEnd w:id="390"/>
    </w:p>
    <w:p w14:paraId="18725A29" w14:textId="6319F947" w:rsidR="001053F8" w:rsidRPr="006E317E" w:rsidRDefault="001053F8" w:rsidP="00AA241E">
      <w:pPr>
        <w:jc w:val="both"/>
      </w:pPr>
      <w:r w:rsidRPr="006E317E">
        <w:t>Turu piiritlemise eesmärk on välja selgitada ja piiritleda analüüsitava turu geograafiline ulatus.</w:t>
      </w:r>
    </w:p>
    <w:p w14:paraId="75F993F5" w14:textId="77777777" w:rsidR="001053F8" w:rsidRPr="006E317E" w:rsidRDefault="001053F8" w:rsidP="00AA241E">
      <w:pPr>
        <w:jc w:val="both"/>
      </w:pPr>
      <w:r w:rsidRPr="006E317E">
        <w:t>Turu piiritlemise alused on sätestatud ESS § 43. Selle kohaselt piiritleb TTJA kooskõlas EL konkurentsiõiguse põhimõtetega sideteenuste turud ja nende geograafilise käibimisala, võttes arvesse taristupõhist konkurentsi nendes piirkondades. Turgude piiritlemisel lähtub TTJA ka ESS §-s 100</w:t>
      </w:r>
      <w:r w:rsidRPr="00802B18">
        <w:rPr>
          <w:vertAlign w:val="superscript"/>
        </w:rPr>
        <w:t>2</w:t>
      </w:r>
      <w:r w:rsidRPr="006E317E">
        <w:t xml:space="preserve"> sätestatud sideteenuse geograafilise katvuse andmekogu andmetest ning EK turgude loetelu puudutavatest soovitustest ja suunistest. Käesoleva otsuse koostamise ajal on sellisteks asjakohasteks soovitusteks ja suunisteks EK 2020 turgude soovitus ja EK 2018 turgude suunis.</w:t>
      </w:r>
    </w:p>
    <w:p w14:paraId="792FAB36" w14:textId="77777777" w:rsidR="0095323E" w:rsidRDefault="0095323E" w:rsidP="00AA241E">
      <w:pPr>
        <w:jc w:val="both"/>
      </w:pPr>
      <w:r w:rsidRPr="006E317E">
        <w:t xml:space="preserve">EK 2020 turgude soovituse preambuli punktide 35-38 kohaselt on siiani määratletud sideteenuste turgude geograafilised piirid enamasti üleriigilised, sest turgu valitseva sideettevõtja vaskpaarvõrk oli üleriikliku ulatusega. Alternatiivsete sidevõrkude kasutuselevõtu suurenedes on aga riikide eri piirkondade vahel (näiteks linna- ja maapiirkonnad) tekkinud sideteenuste konkurentsitingimustes olulised ja püsivad erinevused, mistõttu on vajalik riigisiseste geograafiliste turgude määratlemine. Seega peaks asjaomaste turgude määratlemisel kindlaks tegema geograafilised piirkonnad, kus konkurentsitingimused on piisavalt ühetaolised ning mis erinevad naaberpiirkondadest, kus konkurentsitingimused on väga erinevad, võttes eelkõige arvesse seda, kas võimalik märkimisväärse turujõuga ettevõtja tegutseb ühetaoliselt terves oma võrgupiirkonnas ning kas konkurentsitingimuste suurte erinevuste tõttu on tema tegevus mõnes piirkonnas piiratud, teistes aga mitte. Geograafilise turu kindlaksmääramisel peaks esmalt määratlema geograafilised üksused, mis võetakse konkurentsitingimuste analüüsi aluseks. Selline geograafiline üksus võib riiklikest oludest sõltuvalt põhineda kas võrgutopoloogial või kattuda halduspiiridega. Igal juhul tuleks järgida, et need geograafilised üksused: a) on asjakohase suurusega, st piisavalt väikesed, et ära hoida konkurentsitingimuste märkimisväärseid erinevusi igas üksuses, ent piisavalt suured, et vältida ressursimahukat ja koormavat mikroanalüüsi, mis võib kaasa tuua turu killustatuse, b) suudavad kajastada kõikide asjaomaste ettevõtjate võrgustruktuuri ning c) omavad aja jooksul selgeid ja stabiilseid piire. Seejärel peaks konkurentsiõiguse põhimõtteid järgides ja eespool kirjeldatud geograafiliste üksuste analüüsile tuginedes määrama sideteenuse turu geograafilise ulatuse esmase piiritluse, liites kokku sarnaste konkurentsitingimustega üksused. </w:t>
      </w:r>
    </w:p>
    <w:p w14:paraId="3480D649" w14:textId="77777777" w:rsidR="00802B18" w:rsidRPr="006E317E" w:rsidRDefault="00802B18" w:rsidP="00AA241E">
      <w:pPr>
        <w:jc w:val="both"/>
      </w:pPr>
    </w:p>
    <w:p w14:paraId="0161973A" w14:textId="6A2BFFA2" w:rsidR="0095323E" w:rsidRPr="006E317E" w:rsidRDefault="0095323E" w:rsidP="009805E1">
      <w:pPr>
        <w:pStyle w:val="Pealkiri3"/>
      </w:pPr>
      <w:bookmarkStart w:id="391" w:name="_Toc170888952"/>
      <w:bookmarkStart w:id="392" w:name="_Toc174710735"/>
      <w:r w:rsidRPr="006E317E">
        <w:t>Geograafiliste üksuste piiritlemine</w:t>
      </w:r>
      <w:bookmarkEnd w:id="391"/>
      <w:bookmarkEnd w:id="392"/>
    </w:p>
    <w:p w14:paraId="6B0781F3" w14:textId="77777777" w:rsidR="0095323E" w:rsidRPr="006E317E" w:rsidRDefault="0095323E" w:rsidP="00AA241E">
      <w:pPr>
        <w:jc w:val="both"/>
      </w:pPr>
      <w:r w:rsidRPr="006E317E">
        <w:t xml:space="preserve">TTJA hinnangul on otstarbekas geograafiliselt kaasata internetiühenduste jaeturu analüüsi kogu Eesti maismaa territoorium, kuid jaotada see väiksemateks geograafilisteks üksusteks ning hinnata </w:t>
      </w:r>
      <w:r w:rsidRPr="006E317E">
        <w:lastRenderedPageBreak/>
        <w:t xml:space="preserve">nendes üksustes eksisteerivaid konkurentsitingimus ning sarnaste konkurentsitingimustega üksused rühmitada suuremateks piirkondadeks, näiteks kõrgema ja madalama konkurentsiga piirkondadeks. </w:t>
      </w:r>
    </w:p>
    <w:p w14:paraId="1A1147D2" w14:textId="77777777" w:rsidR="0095323E" w:rsidRPr="006E317E" w:rsidRDefault="0095323E" w:rsidP="00AA241E">
      <w:pPr>
        <w:jc w:val="both"/>
      </w:pPr>
      <w:r w:rsidRPr="006E317E">
        <w:t>Geograafiliste üksuste määratakse haldus- ja asustusüksuste alusel võttes seejuures arvesse ka elanikke arvu ja tihedust. Geograafiliste üksuste määramisel võetakse aluseks Eesti haldusüksused</w:t>
      </w:r>
      <w:r w:rsidRPr="005D266E">
        <w:rPr>
          <w:vertAlign w:val="superscript"/>
        </w:rPr>
        <w:footnoteReference w:id="61"/>
      </w:r>
      <w:r w:rsidRPr="006E317E">
        <w:t xml:space="preserve"> (maakonnad, vajadusel ka vallad, linnad ja linnaosad) ning asustusüksused</w:t>
      </w:r>
      <w:r w:rsidRPr="005D266E">
        <w:rPr>
          <w:vertAlign w:val="superscript"/>
        </w:rPr>
        <w:footnoteReference w:id="62"/>
      </w:r>
      <w:r w:rsidRPr="006E317E">
        <w:t xml:space="preserve"> (linnad), kuna sellised geograafilise territooriumid omavad selgeid ja stabiilseid piire ja suudavad kajastada kõikide kaasatud sideettevõtjate võrgustruktuure. Eesti haldusüksused</w:t>
      </w:r>
      <w:r w:rsidRPr="005D266E">
        <w:rPr>
          <w:vertAlign w:val="superscript"/>
        </w:rPr>
        <w:footnoteReference w:id="63"/>
      </w:r>
      <w:r w:rsidRPr="006E317E">
        <w:t xml:space="preserve"> on jaotatud 15 maakonda, mis omakorda jaguneb 64 vallaks ja 15 linnaks. Lisaks on Eestis asustusüksustena 47 linna. </w:t>
      </w:r>
    </w:p>
    <w:p w14:paraId="23FCFAD0" w14:textId="77777777" w:rsidR="0095323E" w:rsidRPr="006E317E" w:rsidRDefault="0095323E" w:rsidP="00AA241E">
      <w:pPr>
        <w:jc w:val="both"/>
      </w:pPr>
      <w:r w:rsidRPr="006E317E">
        <w:t xml:space="preserve">Selleks, et geograafiline üksused oleks asjakohase suurusega, et ära hoida konkurentsitingimuste märkimisväärseid erinevusi igas üksuses, ent piisavalt suured, et vältida ressursimahukat ja koormavat mikroanalüüsi, peaks TTJA hinnangul üksus piirnema haldus- või asustusüksusega, kus on piisavalt sarnased eeldused ühetaoliste konkurentsitingimuste tekkimiseks. TTJA hinnangul on üheks ühetaolise konkurentsitingimuste tekkimise eelduseks elanike asustustihedus. Konkreetses piirkonnas kaabelsidevõrkude rajamise investeeringu otsuse tegemisel on oluliseks näitajaks elanike asustustihedus, mis mõjutab märkimisväärselt sidevõrgu investeeringute tasuvust. Seega, mida kõrgem elanike asustustihedus, seda kõrgem on eeldused investeeringute tasuvuseks ja seda julgemalt investeeritakse. See omakorda loob suuremad eeldused piirkonna sidevõrkude pakkujate arvu kasvamiseks, mis annab aluse ka piirkonna kõrgemale konkurentsi tasemele. Seega on sarnased eeldused ühetaoliste konkurentsitingimuste tekkimeks üksustes, kus on ühetaoline elanike asustustihendus. </w:t>
      </w:r>
    </w:p>
    <w:p w14:paraId="3B2EC7E4" w14:textId="77777777" w:rsidR="0095323E" w:rsidRPr="006E317E" w:rsidRDefault="0095323E" w:rsidP="00AA241E">
      <w:pPr>
        <w:jc w:val="both"/>
      </w:pPr>
      <w:r w:rsidRPr="006E317E">
        <w:t xml:space="preserve">Elanike tiheduse alusel eristuvad eelkõige hõreasustusega maapiirkonnad ja tiheasustusega linnapiirkonnad. TTJA hinnangul sobivad maapiirkondadeks ehk maalisteks geograafilisteks üksusteks maakonnad, millest on eraldatud kõrge asustustihedusega linnalised geograafilised üksused. Sellisteks linnaliste üksusteks sobivad TTJA hinnangul linnad ja vallad asustusüksustena, kus on vähemalt 5000 elanikku ning mille elanike tihedus on vähemalt 200 elanikku km2 kohta. Maakondades, kus puudusid vähemalt 5000 elanikuga linnad, eraldati linnaliseks üksuseks maakonna keskus (näiteks Hiiu maakonnas Kärdla 3000 elanikuga). Tallinn jaotati omakorda üksusteks linnaosade haldusüksuste alusel, kuna linnaosade elanike tihedus on märkimisväärselt erinev. Näiteks peamiselt kortermajadega Mustamäe, Lasnamäe ja Kristiine linnaosades on üle 4000 elanikku km2 kohta ja peamiselt eramutega Nõmme ja Pirita linnaosades on ca 1000 elanikku km2 kohta. Samuti eraldati Kohtla-Järve haldusüksusest kaks linnaosa haldusüksustena (Ahtme ja </w:t>
      </w:r>
      <w:r w:rsidRPr="006E317E">
        <w:lastRenderedPageBreak/>
        <w:t>Järve linnaosa) ja määratleti need geograafilise üksusena, kuna nendes haldusüksustes on oluliselt kõrgem elanike asustustihedus võrreldes ülejäänud Kohtla-Järve territooriumiga. Geograafiliste üksuste määratlemisel võeti aluseks Statistikaameti andmebaasis</w:t>
      </w:r>
      <w:r w:rsidRPr="005D266E">
        <w:rPr>
          <w:vertAlign w:val="superscript"/>
        </w:rPr>
        <w:footnoteReference w:id="64"/>
      </w:r>
      <w:r w:rsidRPr="006E317E">
        <w:t xml:space="preserve"> avaldatud 2022 aasta rahvaarv, asustus- ja haldusüksuste pindala ning elanike tiheduse jaotus.</w:t>
      </w:r>
    </w:p>
    <w:p w14:paraId="0CB756DD" w14:textId="0EC452E5" w:rsidR="0095323E" w:rsidRDefault="0095323E" w:rsidP="00AA241E">
      <w:pPr>
        <w:jc w:val="both"/>
      </w:pPr>
      <w:r w:rsidRPr="006E317E">
        <w:t xml:space="preserve">Eelkirjeldatud alustest lähtudes jaotus Eesti 48-ks geograafiliseks üksuseks, mis liigitati elanike asustustiheduse alusel 33-ks linnaliseks üksuseks (32 linna ja linnaosa haldus- ja asustusüksustena ning 1 vald haldusüksusena) ja 15-ks maaliseks üksuseks (15 maakonda haldusüksustena, millest on eraldatud linnalised üksused), vt ka Tabeleid </w:t>
      </w:r>
      <w:r w:rsidR="00306656">
        <w:t>6</w:t>
      </w:r>
      <w:r w:rsidRPr="006E317E">
        <w:t xml:space="preserve"> ja </w:t>
      </w:r>
      <w:r w:rsidR="00306656">
        <w:t>7</w:t>
      </w:r>
      <w:r w:rsidRPr="006E317E">
        <w:t xml:space="preserve">. Seejuures on linnalistes üksustes keskmiselt 1 612 elanikku ja 930 eluruumi km2 kohta ning maalistes keskmiselt 10 elanikku ja 7 eluruumi km2 kohta. Linnalistes üksustes kokku asub 64% kõigist elanikest ja 61% kõigist eluruumidest ja maalistes vastavalt 36% ja 39%. Linnalised alguüksused kokku katavad kogu Eesti maismaa territooriumist ainult 1% ja maalised 99%. </w:t>
      </w:r>
    </w:p>
    <w:p w14:paraId="788869A1" w14:textId="77777777" w:rsidR="00802B18" w:rsidRPr="006E317E" w:rsidRDefault="00802B18" w:rsidP="00AA241E">
      <w:pPr>
        <w:jc w:val="both"/>
      </w:pPr>
    </w:p>
    <w:p w14:paraId="708C1860" w14:textId="77777777" w:rsidR="0095323E" w:rsidRPr="006E317E" w:rsidRDefault="0095323E" w:rsidP="00AA241E">
      <w:pPr>
        <w:jc w:val="both"/>
      </w:pPr>
      <w:r w:rsidRPr="006E317E">
        <w:rPr>
          <w:noProof/>
        </w:rPr>
        <w:lastRenderedPageBreak/>
        <w:drawing>
          <wp:inline distT="0" distB="0" distL="0" distR="0" wp14:anchorId="655EB47E" wp14:editId="7D3F3244">
            <wp:extent cx="5760720" cy="6224270"/>
            <wp:effectExtent l="0" t="0" r="0" b="5080"/>
            <wp:docPr id="23"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6224270"/>
                    </a:xfrm>
                    <a:prstGeom prst="rect">
                      <a:avLst/>
                    </a:prstGeom>
                    <a:noFill/>
                    <a:ln>
                      <a:noFill/>
                    </a:ln>
                  </pic:spPr>
                </pic:pic>
              </a:graphicData>
            </a:graphic>
          </wp:inline>
        </w:drawing>
      </w:r>
      <w:r w:rsidRPr="006E317E" w:rsidDel="002A685B">
        <w:t xml:space="preserve"> </w:t>
      </w:r>
    </w:p>
    <w:p w14:paraId="49900EA4" w14:textId="0A4A9208" w:rsidR="0095323E" w:rsidRPr="00EC33F1" w:rsidRDefault="00EC33F1" w:rsidP="00AA241E">
      <w:pPr>
        <w:pStyle w:val="Pealdis"/>
        <w:jc w:val="both"/>
        <w:rPr>
          <w:b w:val="0"/>
          <w:bCs w:val="0"/>
        </w:rPr>
      </w:pPr>
      <w:r>
        <w:t xml:space="preserve">Tabel </w:t>
      </w:r>
      <w:r>
        <w:fldChar w:fldCharType="begin"/>
      </w:r>
      <w:r>
        <w:instrText xml:space="preserve"> SEQ Tabel \* ARABIC </w:instrText>
      </w:r>
      <w:r>
        <w:fldChar w:fldCharType="separate"/>
      </w:r>
      <w:r w:rsidR="00247D84">
        <w:rPr>
          <w:noProof/>
        </w:rPr>
        <w:t>6</w:t>
      </w:r>
      <w:r>
        <w:fldChar w:fldCharType="end"/>
      </w:r>
      <w:r>
        <w:t xml:space="preserve"> </w:t>
      </w:r>
      <w:r w:rsidR="0095323E" w:rsidRPr="006E317E">
        <w:t xml:space="preserve">Linnaliste geograafiliste üksuste elanike ja eluruumide arv, pindala ning keskmine elanike ja eluruumide tihedus 01.01.2024 aastal </w:t>
      </w:r>
      <w:r w:rsidRPr="00EC33F1">
        <w:rPr>
          <w:b w:val="0"/>
          <w:bCs w:val="0"/>
        </w:rPr>
        <w:t>(</w:t>
      </w:r>
      <w:r w:rsidR="0095323E" w:rsidRPr="00EC33F1">
        <w:rPr>
          <w:b w:val="0"/>
          <w:bCs w:val="0"/>
        </w:rPr>
        <w:t>allikas: elanike arv Statistikaameti andmebaas ja eluruumide arv TTJA andmebaas</w:t>
      </w:r>
      <w:r w:rsidRPr="00EC33F1">
        <w:rPr>
          <w:b w:val="0"/>
          <w:bCs w:val="0"/>
        </w:rPr>
        <w:t>)</w:t>
      </w:r>
    </w:p>
    <w:p w14:paraId="368E757B" w14:textId="77777777" w:rsidR="0095323E" w:rsidRPr="006E317E" w:rsidRDefault="0095323E" w:rsidP="00AA241E">
      <w:pPr>
        <w:jc w:val="both"/>
      </w:pPr>
    </w:p>
    <w:p w14:paraId="123DC99A" w14:textId="77777777" w:rsidR="0095323E" w:rsidRPr="006E317E" w:rsidRDefault="0095323E" w:rsidP="00AA241E">
      <w:pPr>
        <w:jc w:val="both"/>
      </w:pPr>
    </w:p>
    <w:p w14:paraId="676BCB38" w14:textId="77777777" w:rsidR="0095323E" w:rsidRPr="006E317E" w:rsidRDefault="0095323E" w:rsidP="00AA241E">
      <w:pPr>
        <w:jc w:val="both"/>
      </w:pPr>
      <w:r w:rsidRPr="006E317E">
        <w:rPr>
          <w:noProof/>
        </w:rPr>
        <w:lastRenderedPageBreak/>
        <w:drawing>
          <wp:inline distT="0" distB="0" distL="0" distR="0" wp14:anchorId="7C785B80" wp14:editId="305B46FF">
            <wp:extent cx="5760720" cy="4083050"/>
            <wp:effectExtent l="0" t="0" r="0" b="0"/>
            <wp:docPr id="27" name="Pil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083050"/>
                    </a:xfrm>
                    <a:prstGeom prst="rect">
                      <a:avLst/>
                    </a:prstGeom>
                    <a:noFill/>
                    <a:ln>
                      <a:noFill/>
                    </a:ln>
                  </pic:spPr>
                </pic:pic>
              </a:graphicData>
            </a:graphic>
          </wp:inline>
        </w:drawing>
      </w:r>
      <w:r w:rsidRPr="006E317E" w:rsidDel="002A685B">
        <w:t xml:space="preserve"> </w:t>
      </w:r>
    </w:p>
    <w:p w14:paraId="1BAF48E8" w14:textId="350C2BA7" w:rsidR="00EC33F1" w:rsidRPr="00EC33F1" w:rsidRDefault="00EC33F1" w:rsidP="00AA241E">
      <w:pPr>
        <w:pStyle w:val="Pealdis"/>
        <w:jc w:val="both"/>
        <w:rPr>
          <w:b w:val="0"/>
          <w:bCs w:val="0"/>
        </w:rPr>
      </w:pPr>
      <w:bookmarkStart w:id="393" w:name="Tabel7"/>
      <w:bookmarkEnd w:id="393"/>
      <w:r>
        <w:t xml:space="preserve">Tabel </w:t>
      </w:r>
      <w:r>
        <w:fldChar w:fldCharType="begin"/>
      </w:r>
      <w:r>
        <w:instrText xml:space="preserve"> SEQ Tabel \* ARABIC </w:instrText>
      </w:r>
      <w:r>
        <w:fldChar w:fldCharType="separate"/>
      </w:r>
      <w:r w:rsidR="00247D84">
        <w:rPr>
          <w:noProof/>
        </w:rPr>
        <w:t>7</w:t>
      </w:r>
      <w:r>
        <w:fldChar w:fldCharType="end"/>
      </w:r>
      <w:r>
        <w:t xml:space="preserve">  </w:t>
      </w:r>
      <w:r w:rsidR="0095323E" w:rsidRPr="006E317E">
        <w:t xml:space="preserve">Maaliste geograafiliste üksuste elanike ja eluruumide arv, pindala ning keskmine elanike ja eluruumide tihedus 01.01.2024 aastal </w:t>
      </w:r>
      <w:r w:rsidRPr="00EC33F1">
        <w:rPr>
          <w:b w:val="0"/>
          <w:bCs w:val="0"/>
        </w:rPr>
        <w:t>(allikas: elanike arv Statistikaameti andmebaas ja eluruumide arv TTJA andmebaas)</w:t>
      </w:r>
    </w:p>
    <w:p w14:paraId="6B3B9677" w14:textId="2E8CA2FC" w:rsidR="0095323E" w:rsidRPr="006E317E" w:rsidRDefault="0095323E" w:rsidP="00AA241E">
      <w:pPr>
        <w:jc w:val="both"/>
      </w:pPr>
    </w:p>
    <w:p w14:paraId="680830F7" w14:textId="77777777" w:rsidR="0095323E" w:rsidRPr="00802B18" w:rsidRDefault="0095323E" w:rsidP="00AA241E">
      <w:pPr>
        <w:jc w:val="both"/>
        <w:rPr>
          <w:b/>
          <w:bCs/>
        </w:rPr>
      </w:pPr>
      <w:r w:rsidRPr="00802B18">
        <w:rPr>
          <w:b/>
          <w:bCs/>
        </w:rPr>
        <w:t>Kokkuvõte</w:t>
      </w:r>
    </w:p>
    <w:p w14:paraId="1D4B5690" w14:textId="77777777" w:rsidR="0095323E" w:rsidRPr="00E84560" w:rsidRDefault="0095323E" w:rsidP="00AA241E">
      <w:pPr>
        <w:jc w:val="both"/>
        <w:rPr>
          <w:b/>
        </w:rPr>
      </w:pPr>
      <w:r w:rsidRPr="00E84560">
        <w:rPr>
          <w:b/>
        </w:rPr>
        <w:t>Internetiühenduste jaeturu geograafilised üksused katavad kogu Eesti maismaa territooriumi. Geograafilised üksused põhinevad haldus- ja asustusüksuste geograafilistele piiridel. Kokku on 48 geograafilist üksust, neist elanike arvu ja asustustiheduse alusel 33 linnalist üksust (32 linna ja linnaosa ning 1 vald) ja 15 maalist üksust (15 maakonda, millest on eraldatud linnalised üksused).</w:t>
      </w:r>
    </w:p>
    <w:p w14:paraId="6E449C30" w14:textId="77777777" w:rsidR="0095323E" w:rsidRPr="006E317E" w:rsidRDefault="0095323E" w:rsidP="00AA241E">
      <w:pPr>
        <w:jc w:val="both"/>
      </w:pPr>
    </w:p>
    <w:p w14:paraId="5928E163" w14:textId="77777777" w:rsidR="0095323E" w:rsidRPr="006E317E" w:rsidRDefault="0095323E" w:rsidP="00AA241E">
      <w:pPr>
        <w:jc w:val="both"/>
      </w:pPr>
    </w:p>
    <w:p w14:paraId="105B67DD" w14:textId="77777777" w:rsidR="0095323E" w:rsidRPr="006E317E" w:rsidRDefault="0095323E" w:rsidP="00AA241E">
      <w:pPr>
        <w:jc w:val="both"/>
      </w:pPr>
    </w:p>
    <w:p w14:paraId="1DAC350C" w14:textId="77777777" w:rsidR="0095323E" w:rsidRPr="006E317E" w:rsidRDefault="0095323E" w:rsidP="00AA241E">
      <w:pPr>
        <w:jc w:val="both"/>
      </w:pPr>
    </w:p>
    <w:p w14:paraId="727BC3D4" w14:textId="77777777" w:rsidR="0095323E" w:rsidRPr="006E317E" w:rsidRDefault="0095323E" w:rsidP="00AA241E">
      <w:pPr>
        <w:jc w:val="both"/>
      </w:pPr>
    </w:p>
    <w:p w14:paraId="5D6151F3" w14:textId="3CBECD1D" w:rsidR="0095323E" w:rsidRDefault="0095323E" w:rsidP="009805E1">
      <w:pPr>
        <w:pStyle w:val="Pealkiri3"/>
      </w:pPr>
      <w:bookmarkStart w:id="394" w:name="_6.1_Greenfieldi_modifitseeritud"/>
      <w:bookmarkStart w:id="395" w:name="_4.1_Greenfieldi_modifitseeritud"/>
      <w:bookmarkStart w:id="396" w:name="_4.2_Kõrge_ja"/>
      <w:bookmarkStart w:id="397" w:name="_Toc170888953"/>
      <w:bookmarkStart w:id="398" w:name="_Toc174710736"/>
      <w:bookmarkEnd w:id="394"/>
      <w:bookmarkEnd w:id="395"/>
      <w:bookmarkEnd w:id="396"/>
      <w:r w:rsidRPr="006E317E">
        <w:lastRenderedPageBreak/>
        <w:t xml:space="preserve">Geograafilistes üksuste </w:t>
      </w:r>
      <w:r w:rsidR="00B54852">
        <w:t xml:space="preserve">rühmitamisel kasutatavad </w:t>
      </w:r>
      <w:r w:rsidRPr="006E317E">
        <w:t xml:space="preserve">konkurentsitingimuste hindamise </w:t>
      </w:r>
      <w:r w:rsidR="0014195D">
        <w:t>ning</w:t>
      </w:r>
      <w:r w:rsidR="00221ABE">
        <w:t xml:space="preserve"> </w:t>
      </w:r>
      <w:r w:rsidR="006276CD">
        <w:t>eristamise</w:t>
      </w:r>
      <w:r w:rsidR="006276CD" w:rsidRPr="006E317E">
        <w:t xml:space="preserve"> </w:t>
      </w:r>
      <w:r w:rsidRPr="006E317E">
        <w:t>näitajad ja lävendid</w:t>
      </w:r>
      <w:bookmarkEnd w:id="397"/>
      <w:bookmarkEnd w:id="398"/>
    </w:p>
    <w:p w14:paraId="6644720F" w14:textId="79024EA8" w:rsidR="0095323E" w:rsidRPr="006E317E" w:rsidRDefault="00E30BBB" w:rsidP="00AA241E">
      <w:pPr>
        <w:jc w:val="both"/>
      </w:pPr>
      <w:r>
        <w:t xml:space="preserve">Turuanalüüsi raames </w:t>
      </w:r>
      <w:r w:rsidR="000B6309">
        <w:t xml:space="preserve">hinnatakse igas geograafilises üksuses eksisteerivaid konkurentsitingimusi ja </w:t>
      </w:r>
      <w:r w:rsidR="009A5232">
        <w:t xml:space="preserve">eristatakse sarnaste konkurentsitingimustega üksused ja rühmitatakse need suurematesse </w:t>
      </w:r>
      <w:r w:rsidR="00CE79A1">
        <w:t>geograafilistesse piirkondadesse</w:t>
      </w:r>
      <w:r w:rsidR="00662A6A">
        <w:t>, milleks on</w:t>
      </w:r>
      <w:r w:rsidR="000572AB">
        <w:t xml:space="preserve"> </w:t>
      </w:r>
      <w:r w:rsidR="00E9500F" w:rsidRPr="004259C8">
        <w:t>kõrgema konkurentsi</w:t>
      </w:r>
      <w:r w:rsidR="00E9500F">
        <w:t xml:space="preserve"> </w:t>
      </w:r>
      <w:r w:rsidR="00A771C5">
        <w:t>tunnustega</w:t>
      </w:r>
      <w:r w:rsidR="00E9500F">
        <w:t xml:space="preserve"> piirkond A ja </w:t>
      </w:r>
      <w:r w:rsidR="00E9500F" w:rsidRPr="004259C8">
        <w:t xml:space="preserve">madalama konkurentsi </w:t>
      </w:r>
      <w:r w:rsidR="00A771C5">
        <w:t>tunnustega</w:t>
      </w:r>
      <w:r w:rsidR="00E9500F">
        <w:t xml:space="preserve"> piirkond B</w:t>
      </w:r>
      <w:r w:rsidR="0095323E" w:rsidRPr="006E317E">
        <w:t>.</w:t>
      </w:r>
      <w:r w:rsidR="00805185">
        <w:t xml:space="preserve"> </w:t>
      </w:r>
      <w:r w:rsidR="004259C8">
        <w:t xml:space="preserve">Järgnevalt kasutatakse </w:t>
      </w:r>
      <w:r w:rsidR="004259C8" w:rsidRPr="004259C8">
        <w:t>otsuse</w:t>
      </w:r>
      <w:r w:rsidR="004259C8">
        <w:t>s</w:t>
      </w:r>
      <w:r w:rsidR="004259C8" w:rsidRPr="004259C8">
        <w:t xml:space="preserve"> termineid „kõrgema konkurentsi </w:t>
      </w:r>
      <w:r w:rsidR="00781EBF">
        <w:t>tunnustega</w:t>
      </w:r>
      <w:r w:rsidR="004259C8" w:rsidRPr="004259C8">
        <w:t xml:space="preserve"> geograafiline üksus</w:t>
      </w:r>
      <w:r w:rsidR="00C062ED">
        <w:t xml:space="preserve"> </w:t>
      </w:r>
      <w:r w:rsidR="00E63735">
        <w:t>või</w:t>
      </w:r>
      <w:r w:rsidR="00C062ED">
        <w:t xml:space="preserve"> piirkond A</w:t>
      </w:r>
      <w:r w:rsidR="004259C8" w:rsidRPr="004259C8">
        <w:t xml:space="preserve">“ ja „madalama konkurentsi </w:t>
      </w:r>
      <w:r w:rsidR="00781EBF">
        <w:t>tunnustega</w:t>
      </w:r>
      <w:r w:rsidR="004259C8" w:rsidRPr="004259C8">
        <w:t xml:space="preserve"> geograafiline üksus</w:t>
      </w:r>
      <w:r w:rsidR="00C062ED">
        <w:t xml:space="preserve"> või piirkond B</w:t>
      </w:r>
      <w:r w:rsidR="004259C8" w:rsidRPr="004259C8">
        <w:t>“ eesmärgiga võrrelda geograafiliste üksustes</w:t>
      </w:r>
      <w:r w:rsidR="00C062ED">
        <w:t xml:space="preserve"> ja piirkondades</w:t>
      </w:r>
      <w:r w:rsidR="004259C8" w:rsidRPr="004259C8">
        <w:t xml:space="preserve"> eksisteerivaid konkurentsi tasemeid ning need ei tähenda, et kõrgema</w:t>
      </w:r>
      <w:r w:rsidR="00781EBF">
        <w:t xml:space="preserve"> konkurentsi</w:t>
      </w:r>
      <w:r w:rsidR="004259C8" w:rsidRPr="004259C8">
        <w:t xml:space="preserve"> </w:t>
      </w:r>
      <w:r w:rsidR="00781EBF">
        <w:t>tunnustega</w:t>
      </w:r>
      <w:r w:rsidR="004259C8" w:rsidRPr="004259C8">
        <w:t xml:space="preserve"> geograafilises üksuses</w:t>
      </w:r>
      <w:r w:rsidR="004E44E8">
        <w:t xml:space="preserve"> või piirkonnas</w:t>
      </w:r>
      <w:r w:rsidR="004259C8" w:rsidRPr="004259C8">
        <w:t xml:space="preserve"> </w:t>
      </w:r>
      <w:r w:rsidR="004E44E8">
        <w:t xml:space="preserve">A </w:t>
      </w:r>
      <w:r w:rsidR="004259C8" w:rsidRPr="004259C8">
        <w:t xml:space="preserve">valitseb väga tõhus ja kõrge konkurents või madalama </w:t>
      </w:r>
      <w:r w:rsidR="00781EBF">
        <w:t>konkurentsi tunnustega</w:t>
      </w:r>
      <w:r w:rsidR="004259C8" w:rsidRPr="004259C8">
        <w:t xml:space="preserve"> geograafilises üksuses</w:t>
      </w:r>
      <w:r w:rsidR="004E44E8">
        <w:t xml:space="preserve"> või piirkonnas B</w:t>
      </w:r>
      <w:r w:rsidR="004259C8" w:rsidRPr="004259C8">
        <w:t xml:space="preserve"> konkurents puudub täielikult. </w:t>
      </w:r>
      <w:r w:rsidR="00C05BDB">
        <w:t>K</w:t>
      </w:r>
      <w:r w:rsidR="004259C8" w:rsidRPr="004259C8">
        <w:t xml:space="preserve">õrgema konkurentsi </w:t>
      </w:r>
      <w:r w:rsidR="00781EBF">
        <w:t>tunnustega</w:t>
      </w:r>
      <w:r w:rsidR="004259C8" w:rsidRPr="004259C8">
        <w:t xml:space="preserve"> geograafiline üksus</w:t>
      </w:r>
      <w:r w:rsidR="00A67846">
        <w:t>es</w:t>
      </w:r>
      <w:r w:rsidR="004E44E8">
        <w:t xml:space="preserve"> või </w:t>
      </w:r>
      <w:r w:rsidR="00C05BDB">
        <w:t>piirkon</w:t>
      </w:r>
      <w:r w:rsidR="00A67846">
        <w:t>nas</w:t>
      </w:r>
      <w:r w:rsidR="00C05BDB">
        <w:t xml:space="preserve"> A</w:t>
      </w:r>
      <w:r w:rsidR="004259C8" w:rsidRPr="004259C8">
        <w:t xml:space="preserve"> </w:t>
      </w:r>
      <w:r w:rsidR="00A67846">
        <w:t xml:space="preserve">valitsevad </w:t>
      </w:r>
      <w:r w:rsidR="00140662">
        <w:t xml:space="preserve">konkurentsitingimused, mille tõttu see </w:t>
      </w:r>
      <w:r w:rsidR="004259C8" w:rsidRPr="004259C8">
        <w:t xml:space="preserve">pigem kaldub tõhusa ja jätkusuutliku konkurentsi poole ja </w:t>
      </w:r>
      <w:r w:rsidR="00140662">
        <w:t>seal</w:t>
      </w:r>
      <w:r w:rsidR="004259C8" w:rsidRPr="004259C8">
        <w:t xml:space="preserve"> tuleks võimalusel peale täiendavat analüüsi (kolme kriteeriumi test) loobuda/mitte rakendada valdkonnaspetsiifilist regulatsiooni hulgiteenuste tasandil</w:t>
      </w:r>
      <w:r w:rsidR="00C21275">
        <w:t>. M</w:t>
      </w:r>
      <w:r w:rsidR="004259C8" w:rsidRPr="004259C8">
        <w:t xml:space="preserve">adalama konkurentsi </w:t>
      </w:r>
      <w:r w:rsidR="00781EBF">
        <w:t>tunnustega</w:t>
      </w:r>
      <w:r w:rsidR="004259C8" w:rsidRPr="004259C8">
        <w:t xml:space="preserve"> geograafilise üksus</w:t>
      </w:r>
      <w:r w:rsidR="00140662">
        <w:t>es</w:t>
      </w:r>
      <w:r w:rsidR="00C21275">
        <w:t xml:space="preserve"> või piirkon</w:t>
      </w:r>
      <w:r w:rsidR="00140662">
        <w:t>nas</w:t>
      </w:r>
      <w:r w:rsidR="00C21275">
        <w:t xml:space="preserve"> B </w:t>
      </w:r>
      <w:r w:rsidR="00F622D4">
        <w:t>valitsevad konkurentsitingimused, mille tõttu see pigem ei</w:t>
      </w:r>
      <w:r w:rsidR="004259C8" w:rsidRPr="004259C8">
        <w:t xml:space="preserve"> kaldu tõhusa ja jätkusuutliku konkurentsi poole ja </w:t>
      </w:r>
      <w:r w:rsidR="00A7672E">
        <w:t>seal</w:t>
      </w:r>
      <w:r w:rsidR="004259C8" w:rsidRPr="004259C8">
        <w:t xml:space="preserve"> tuleks võimalusel peale täiendavat analüüsi (kolme kriteeriumi test) rakendada valdkonnaspetsiifilist regulatsiooni hulgiteenuste tasandil</w:t>
      </w:r>
      <w:r w:rsidR="000E70D4">
        <w:t xml:space="preserve">. </w:t>
      </w:r>
    </w:p>
    <w:p w14:paraId="6AD893C5" w14:textId="77777777" w:rsidR="0095323E" w:rsidRPr="006E317E" w:rsidRDefault="0095323E" w:rsidP="00AA241E">
      <w:pPr>
        <w:jc w:val="both"/>
      </w:pPr>
      <w:r w:rsidRPr="006E317E">
        <w:t xml:space="preserve">EK 2020 turgude soovituse preambuli punkti 38 kohaselt peaks turu konkurentsi hindama tuleviku seisukohalt, jälgides turu struktuurilisi näitajaid ning võttes eelkõige arvesse taristupõhise konkurentsi osakaalu. Sellised näitajad võivad olla muu hulgas sidevõrkude katvus, konkureerivate sidevõrkude arv, nende turuosad ja arengusuunad, kohalik või üldine hinnakäitumine, nõudluse omadused ning teenuseosutaja vahetused ja teenuslepingu lõpetamised. </w:t>
      </w:r>
    </w:p>
    <w:p w14:paraId="11A9E31B" w14:textId="58449609" w:rsidR="0095323E" w:rsidRPr="006E317E" w:rsidRDefault="0095323E" w:rsidP="00AA241E">
      <w:pPr>
        <w:jc w:val="both"/>
      </w:pPr>
      <w:r w:rsidRPr="006E317E">
        <w:t xml:space="preserve">TTJA lähtus </w:t>
      </w:r>
      <w:r w:rsidR="00280379">
        <w:t>geograafiliste üksuste</w:t>
      </w:r>
      <w:r w:rsidR="00655DA9">
        <w:t xml:space="preserve"> ja piirkondade</w:t>
      </w:r>
      <w:r w:rsidR="00280379">
        <w:t xml:space="preserve"> </w:t>
      </w:r>
      <w:r w:rsidRPr="006E317E">
        <w:t>jaeturu konkurentsi hindamiseks</w:t>
      </w:r>
      <w:r w:rsidR="00221ABE">
        <w:t xml:space="preserve"> ja eristamiseks</w:t>
      </w:r>
      <w:r w:rsidRPr="006E317E">
        <w:t xml:space="preserve"> asjakohaste konkurentsi näitajate valimisel EK 2020 turgude soovituse selgitavates märkustes</w:t>
      </w:r>
      <w:r w:rsidRPr="005D266E">
        <w:rPr>
          <w:vertAlign w:val="superscript"/>
        </w:rPr>
        <w:footnoteReference w:id="65"/>
      </w:r>
      <w:r w:rsidRPr="006E317E">
        <w:t xml:space="preserve"> välja toodud üldistest põhimõtetest ja teiste EL liikmesriikides läbi viidud  turuanalüüside praktikast</w:t>
      </w:r>
      <w:r w:rsidRPr="005D266E">
        <w:rPr>
          <w:vertAlign w:val="superscript"/>
        </w:rPr>
        <w:footnoteReference w:id="66"/>
      </w:r>
      <w:r w:rsidRPr="006E317E">
        <w:t xml:space="preserve">. EK 2020 turgude soovituse selgitavate märkuste kohaselt on turu konkurentsi hindamiseks sobilik kasutada järgnevaid konkurentsi näitajaid: </w:t>
      </w:r>
    </w:p>
    <w:p w14:paraId="3D7A4412" w14:textId="058397FE" w:rsidR="0095323E" w:rsidRPr="006E317E" w:rsidRDefault="0095323E" w:rsidP="00AA241E">
      <w:pPr>
        <w:pStyle w:val="Loendilik"/>
        <w:numPr>
          <w:ilvl w:val="0"/>
          <w:numId w:val="75"/>
        </w:numPr>
        <w:jc w:val="both"/>
      </w:pPr>
      <w:r w:rsidRPr="006E317E">
        <w:t xml:space="preserve">konkureerivate võrkude arv, </w:t>
      </w:r>
    </w:p>
    <w:p w14:paraId="16924866" w14:textId="56B7FF6A" w:rsidR="0095323E" w:rsidRPr="006E317E" w:rsidRDefault="0095323E" w:rsidP="00AA241E">
      <w:pPr>
        <w:pStyle w:val="Loendilik"/>
        <w:numPr>
          <w:ilvl w:val="0"/>
          <w:numId w:val="75"/>
        </w:numPr>
        <w:jc w:val="both"/>
      </w:pPr>
      <w:r w:rsidRPr="006E317E">
        <w:lastRenderedPageBreak/>
        <w:t xml:space="preserve">konkureerivate võrkude turuosad, </w:t>
      </w:r>
    </w:p>
    <w:p w14:paraId="04F02D14" w14:textId="4925023F" w:rsidR="0095323E" w:rsidRPr="006E317E" w:rsidRDefault="0095323E" w:rsidP="00AA241E">
      <w:pPr>
        <w:pStyle w:val="Loendilik"/>
        <w:numPr>
          <w:ilvl w:val="0"/>
          <w:numId w:val="75"/>
        </w:numPr>
        <w:jc w:val="both"/>
      </w:pPr>
      <w:r w:rsidRPr="006E317E">
        <w:t xml:space="preserve">internetiühenduste hindade erinevused, </w:t>
      </w:r>
    </w:p>
    <w:p w14:paraId="0CFDF857" w14:textId="6D57F251" w:rsidR="0095323E" w:rsidRPr="006E317E" w:rsidRDefault="0095323E" w:rsidP="00AA241E">
      <w:pPr>
        <w:pStyle w:val="Loendilik"/>
        <w:numPr>
          <w:ilvl w:val="0"/>
          <w:numId w:val="75"/>
        </w:numPr>
        <w:jc w:val="both"/>
      </w:pPr>
      <w:r w:rsidRPr="006E317E">
        <w:t xml:space="preserve">internetiühenduste pakkumise (nt turundus) ja nõudluse erinevused (nt erinevused klientide vahetamise ja/või lahkumise tasemes, samuti erinev nõudlus internetiühenduste kiiruste ja/või pakettide osas). </w:t>
      </w:r>
    </w:p>
    <w:p w14:paraId="062CCB32" w14:textId="77777777" w:rsidR="0095323E" w:rsidRPr="006E317E" w:rsidRDefault="0095323E" w:rsidP="00AA241E">
      <w:pPr>
        <w:jc w:val="both"/>
      </w:pPr>
      <w:r w:rsidRPr="006E317E">
        <w:t>EK rõhutab oma 2020 turgude soovituse selgitavate märkuste peatükis 2.5, et see, kas turg on konkurentsivõimeline või mitte, on riikide reguleerivate asutuste ülesanne määrata, võttes arvesse kohalikke asjaolusid, ja ei ole olemas ühtset konkureerivate võrkude arvu, mis kvalifitseeriks turu automaatselt konkurentsivõimeliseks. Siiski, on konkureerivate võrkude arv oluline kriteerium konkurentsitingimuste hindamiseks, kuid riikide reguleerivad asutused peaksid analüüsima ka teisi kriteeriume ja mitte tegema järeldusi oma hindamist üksnes võrkude arvu põhjal.</w:t>
      </w:r>
    </w:p>
    <w:p w14:paraId="7F7BE95E" w14:textId="34AB2045" w:rsidR="0095323E" w:rsidRPr="006E317E" w:rsidRDefault="0095323E" w:rsidP="00AA241E">
      <w:pPr>
        <w:jc w:val="both"/>
      </w:pPr>
      <w:r w:rsidRPr="006E317E">
        <w:t xml:space="preserve">Erinevad sideturu regulaatorid Euroopas on rakendanud turgude konkurentsi olukorra hindamisel selliseid konkurentsi näitajaid nagu sideettevõtjate arv, nende klientide turuosad ning nende võrkude katvus. Seejuures hindavad Euroopa sideturgude regulaatorid konkurentsi intensiivsust üsna erinevate näitajate ja nende piirmäärade kaudu, vt Tabel </w:t>
      </w:r>
      <w:r w:rsidR="00306656">
        <w:t>8</w:t>
      </w:r>
      <w:r w:rsidRPr="006E317E">
        <w:t xml:space="preserve">. Näiteks Belgia regulaator peab turu </w:t>
      </w:r>
      <w:r w:rsidR="00EF7F9E" w:rsidRPr="006E317E">
        <w:t>tõhusa</w:t>
      </w:r>
      <w:r w:rsidRPr="006E317E">
        <w:t xml:space="preserve"> konkurentsi lävendiks vähemalt ühe alternatiivse sideettevõtja olemasolu (lisaks olemasolevale MTE-</w:t>
      </w:r>
      <w:proofErr w:type="spellStart"/>
      <w:r w:rsidRPr="006E317E">
        <w:t>le</w:t>
      </w:r>
      <w:proofErr w:type="spellEnd"/>
      <w:r w:rsidRPr="006E317E">
        <w:t>), samas paljud teised peavad vastavaks piirmääraks kahe alternatiivse sideettevõtja olemasolu ja Saksa regulaatori isegi kolme.</w:t>
      </w:r>
    </w:p>
    <w:p w14:paraId="4FB4C1CB" w14:textId="77777777" w:rsidR="0095323E" w:rsidRPr="006E317E" w:rsidRDefault="0095323E" w:rsidP="00AA241E">
      <w:pPr>
        <w:jc w:val="both"/>
      </w:pPr>
    </w:p>
    <w:p w14:paraId="647B7251" w14:textId="77777777" w:rsidR="0095323E" w:rsidRPr="006E317E" w:rsidRDefault="0095323E" w:rsidP="00AA241E">
      <w:pPr>
        <w:jc w:val="both"/>
      </w:pPr>
      <w:r w:rsidRPr="006E317E">
        <w:rPr>
          <w:noProof/>
        </w:rPr>
        <w:drawing>
          <wp:inline distT="0" distB="0" distL="0" distR="0" wp14:anchorId="38BF641A" wp14:editId="21700D84">
            <wp:extent cx="5760720" cy="2439035"/>
            <wp:effectExtent l="0" t="0" r="0" b="0"/>
            <wp:docPr id="432058474" name="Pilt 43205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439035"/>
                    </a:xfrm>
                    <a:prstGeom prst="rect">
                      <a:avLst/>
                    </a:prstGeom>
                    <a:noFill/>
                    <a:ln>
                      <a:noFill/>
                    </a:ln>
                  </pic:spPr>
                </pic:pic>
              </a:graphicData>
            </a:graphic>
          </wp:inline>
        </w:drawing>
      </w:r>
    </w:p>
    <w:p w14:paraId="6EDD8B01" w14:textId="2D3C1F63" w:rsidR="0095323E" w:rsidRPr="006E317E" w:rsidRDefault="00B340F5" w:rsidP="00AA241E">
      <w:pPr>
        <w:pStyle w:val="Pealdis"/>
        <w:keepNext/>
        <w:jc w:val="both"/>
      </w:pPr>
      <w:r>
        <w:t xml:space="preserve">Tabel </w:t>
      </w:r>
      <w:r>
        <w:fldChar w:fldCharType="begin"/>
      </w:r>
      <w:r>
        <w:instrText xml:space="preserve"> SEQ Tabel \* ARABIC </w:instrText>
      </w:r>
      <w:r>
        <w:fldChar w:fldCharType="separate"/>
      </w:r>
      <w:r w:rsidR="00247D84">
        <w:rPr>
          <w:noProof/>
        </w:rPr>
        <w:t>8</w:t>
      </w:r>
      <w:r>
        <w:fldChar w:fldCharType="end"/>
      </w:r>
      <w:r>
        <w:t xml:space="preserve"> </w:t>
      </w:r>
      <w:r w:rsidR="0095323E" w:rsidRPr="006E317E">
        <w:t xml:space="preserve">EL sideturgude regulaatorite poolt kasutatud konkurentsi näitajad ja nende lävendid turu kõrgema konkurentsi taseme tuvastamisel </w:t>
      </w:r>
      <w:r w:rsidR="0095323E" w:rsidRPr="005D266E">
        <w:rPr>
          <w:vertAlign w:val="superscript"/>
        </w:rPr>
        <w:footnoteReference w:id="67"/>
      </w:r>
    </w:p>
    <w:p w14:paraId="442A8FB0" w14:textId="77777777" w:rsidR="0095323E" w:rsidRPr="006E317E" w:rsidRDefault="0095323E" w:rsidP="00AA241E">
      <w:pPr>
        <w:jc w:val="both"/>
      </w:pPr>
    </w:p>
    <w:p w14:paraId="0C228B82" w14:textId="4C32F2E9" w:rsidR="00BE21F3" w:rsidRDefault="0095323E" w:rsidP="00AA241E">
      <w:pPr>
        <w:jc w:val="both"/>
      </w:pPr>
      <w:r w:rsidRPr="006E317E">
        <w:lastRenderedPageBreak/>
        <w:t xml:space="preserve">TTJA võttis konkurentsi näitajate ja nende lävendide valimisel aluseks eelkõige asjaolu, et Eesti elanike arv ja tihedus on võrreldes teiste EL liikmesriikidega madal nii riikide kogu territooriumi osas, vt  Joonis </w:t>
      </w:r>
      <w:r w:rsidR="007A5094">
        <w:t>1</w:t>
      </w:r>
      <w:r w:rsidR="00830D87">
        <w:t>2</w:t>
      </w:r>
      <w:r w:rsidRPr="006E317E">
        <w:t xml:space="preserve">, kui ka pealinna territooriumi osas, vt Joonis </w:t>
      </w:r>
      <w:r w:rsidR="007A5094">
        <w:t>1</w:t>
      </w:r>
      <w:r w:rsidR="00830D87">
        <w:t>3</w:t>
      </w:r>
      <w:r w:rsidRPr="006E317E">
        <w:t xml:space="preserve">. Sellest tuleneb, et paralleelsete sidevõrkude rajamise tasuvusele ja otstarbekusele olulised mastaabi- ja tihedussäästu saavutamise võimalused turul on madalamad, mistõttu on ka </w:t>
      </w:r>
      <w:r w:rsidR="007A554C">
        <w:t>mitme</w:t>
      </w:r>
      <w:r w:rsidR="007A554C" w:rsidRPr="006E317E">
        <w:t xml:space="preserve"> </w:t>
      </w:r>
      <w:r w:rsidRPr="006E317E">
        <w:t xml:space="preserve">taristu põhise konkurentsi saavutamise võimalused madalamad. Seega on </w:t>
      </w:r>
      <w:r w:rsidR="00806B77">
        <w:t xml:space="preserve">põhjendatud </w:t>
      </w:r>
      <w:r w:rsidRPr="006E317E">
        <w:t>turu kõrgema konkurentsiga piirkondade tuvastamise</w:t>
      </w:r>
      <w:r w:rsidR="00806B77">
        <w:t>l</w:t>
      </w:r>
      <w:r w:rsidR="007E3894">
        <w:t xml:space="preserve"> Eestis kasutada </w:t>
      </w:r>
      <w:r w:rsidR="00905AD8">
        <w:t>madalamaid</w:t>
      </w:r>
      <w:r w:rsidRPr="006E317E">
        <w:t xml:space="preserve"> konkurentsi näitajate lävend</w:t>
      </w:r>
      <w:r w:rsidR="00905AD8">
        <w:t>e</w:t>
      </w:r>
      <w:r w:rsidRPr="006E317E">
        <w:t xml:space="preserve">id võrreldes teiste Euroopa riikidega. </w:t>
      </w:r>
      <w:r w:rsidR="006D7279">
        <w:t>Eeltoodust tulenevalt</w:t>
      </w:r>
      <w:r w:rsidR="00E70238">
        <w:t xml:space="preserve"> </w:t>
      </w:r>
      <w:r w:rsidR="00FC7674">
        <w:t xml:space="preserve">osad </w:t>
      </w:r>
      <w:r w:rsidR="00E70238">
        <w:t xml:space="preserve">geograafilised üksused või piirkonnad, mis teistes Euroopa riikides </w:t>
      </w:r>
      <w:r w:rsidR="00E4060E">
        <w:t>loetaks konkurentsi näitajate</w:t>
      </w:r>
      <w:r w:rsidR="000B6A0A">
        <w:t xml:space="preserve"> lävendite</w:t>
      </w:r>
      <w:r w:rsidR="00E4060E">
        <w:t xml:space="preserve"> alusel madalama konkurentsi</w:t>
      </w:r>
      <w:r w:rsidR="004534D3">
        <w:t xml:space="preserve"> </w:t>
      </w:r>
      <w:r w:rsidR="00781EBF">
        <w:t>tunnustega</w:t>
      </w:r>
      <w:r w:rsidR="00E4060E">
        <w:t xml:space="preserve"> üksuste või piirkondade hulka </w:t>
      </w:r>
      <w:r w:rsidR="0071476B">
        <w:t>võivad Eest</w:t>
      </w:r>
      <w:r w:rsidR="000B6A0A">
        <w:t>is kuuluda pigem kõrgema konkurentsi</w:t>
      </w:r>
      <w:r w:rsidR="004534D3">
        <w:t xml:space="preserve"> </w:t>
      </w:r>
      <w:r w:rsidR="00781EBF">
        <w:t>tunnustega</w:t>
      </w:r>
      <w:r w:rsidR="000B6A0A">
        <w:t xml:space="preserve"> üksuste või piirkondade hulka</w:t>
      </w:r>
      <w:r w:rsidR="009F1FEB">
        <w:t>.</w:t>
      </w:r>
      <w:r w:rsidR="000B6A0A">
        <w:t xml:space="preserve"> </w:t>
      </w:r>
      <w:r w:rsidR="009F1FEB">
        <w:t>V</w:t>
      </w:r>
      <w:r w:rsidR="00040614">
        <w:t xml:space="preserve">astavad </w:t>
      </w:r>
      <w:r w:rsidR="00BE21F3">
        <w:t xml:space="preserve">kõrgema konkurentsi tunnuse </w:t>
      </w:r>
      <w:r w:rsidR="00040614">
        <w:t xml:space="preserve">lävendid on </w:t>
      </w:r>
      <w:r w:rsidR="009F1FEB">
        <w:t xml:space="preserve">Eestis </w:t>
      </w:r>
      <w:r w:rsidR="00040614">
        <w:t>madalamad</w:t>
      </w:r>
      <w:r w:rsidR="00BE21F3">
        <w:t>, kuna</w:t>
      </w:r>
      <w:r w:rsidR="00040614">
        <w:t xml:space="preserve"> </w:t>
      </w:r>
      <w:r w:rsidR="00BA4B03">
        <w:t xml:space="preserve">vastavates </w:t>
      </w:r>
      <w:r w:rsidR="00C0124A">
        <w:t xml:space="preserve">üksustes ja </w:t>
      </w:r>
      <w:r w:rsidR="00BA4B03">
        <w:t xml:space="preserve">piirkondades on võrreldes </w:t>
      </w:r>
      <w:r w:rsidR="00C0124A">
        <w:t>teiste Euroopa riikidega sageli oluliselt vähem elanikke ja</w:t>
      </w:r>
      <w:r w:rsidR="00917093">
        <w:t>/või</w:t>
      </w:r>
      <w:r w:rsidR="00C0124A">
        <w:t xml:space="preserve"> madalam elanike tihedus</w:t>
      </w:r>
      <w:r w:rsidR="00173510">
        <w:t xml:space="preserve"> ning seeläbi ka madalamad võimalused saavutada piisavat mastaabisäästu mitme sidevõrgu kasutuselevõtuks ning nende vahelise </w:t>
      </w:r>
      <w:r w:rsidR="00AD59B4">
        <w:t>tõhusa konkurentsi saavutamiseks</w:t>
      </w:r>
      <w:r w:rsidR="00C0124A">
        <w:t>.</w:t>
      </w:r>
      <w:r w:rsidR="003F5054">
        <w:t xml:space="preserve"> </w:t>
      </w:r>
    </w:p>
    <w:p w14:paraId="2FD72330" w14:textId="1407D928" w:rsidR="0095323E" w:rsidRPr="006E317E" w:rsidRDefault="003F5054" w:rsidP="00AA241E">
      <w:pPr>
        <w:jc w:val="both"/>
      </w:pPr>
      <w:r>
        <w:t>Samas lõplik otsus, kas kõrgema</w:t>
      </w:r>
      <w:r w:rsidR="00574006">
        <w:t xml:space="preserve"> või madalama</w:t>
      </w:r>
      <w:r>
        <w:t xml:space="preserve"> konkurentsiga üksuses või piirkonnas on põhjendatud hulgitasandil </w:t>
      </w:r>
      <w:proofErr w:type="spellStart"/>
      <w:r>
        <w:t>ex</w:t>
      </w:r>
      <w:proofErr w:type="spellEnd"/>
      <w:r>
        <w:t xml:space="preserve"> </w:t>
      </w:r>
      <w:proofErr w:type="spellStart"/>
      <w:r>
        <w:t>ante</w:t>
      </w:r>
      <w:proofErr w:type="spellEnd"/>
      <w:r>
        <w:t xml:space="preserve"> regulatsiooni rakendada või mitte tehakse </w:t>
      </w:r>
      <w:r w:rsidR="00752483">
        <w:t>kolme kriteeriumi testi aluse, mitte vastavate üksuste ja piirkondade rühmitamisega kõrgema või ma</w:t>
      </w:r>
      <w:r w:rsidR="0087157B">
        <w:t>dalama konkurentsiga üksuste või piirkondade hulka.</w:t>
      </w:r>
    </w:p>
    <w:p w14:paraId="6B6DB084" w14:textId="77777777" w:rsidR="0095323E" w:rsidRPr="006E317E" w:rsidRDefault="0095323E" w:rsidP="00AA241E">
      <w:pPr>
        <w:jc w:val="both"/>
      </w:pPr>
    </w:p>
    <w:p w14:paraId="6A19AE1D" w14:textId="77777777" w:rsidR="0095323E" w:rsidRPr="006E317E" w:rsidRDefault="0095323E" w:rsidP="00AA241E">
      <w:pPr>
        <w:jc w:val="both"/>
      </w:pPr>
      <w:r w:rsidRPr="006E317E">
        <w:rPr>
          <w:noProof/>
        </w:rPr>
        <w:lastRenderedPageBreak/>
        <w:drawing>
          <wp:inline distT="0" distB="0" distL="0" distR="0" wp14:anchorId="62C35326" wp14:editId="6B3643C7">
            <wp:extent cx="5759355" cy="3202108"/>
            <wp:effectExtent l="0" t="0" r="0" b="0"/>
            <wp:docPr id="29"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587" t="32515" r="30150" b="16699"/>
                    <a:stretch/>
                  </pic:blipFill>
                  <pic:spPr bwMode="auto">
                    <a:xfrm>
                      <a:off x="0" y="0"/>
                      <a:ext cx="5790229" cy="3219273"/>
                    </a:xfrm>
                    <a:prstGeom prst="rect">
                      <a:avLst/>
                    </a:prstGeom>
                    <a:ln>
                      <a:noFill/>
                    </a:ln>
                    <a:extLst>
                      <a:ext uri="{53640926-AAD7-44D8-BBD7-CCE9431645EC}">
                        <a14:shadowObscured xmlns:a14="http://schemas.microsoft.com/office/drawing/2010/main"/>
                      </a:ext>
                    </a:extLst>
                  </pic:spPr>
                </pic:pic>
              </a:graphicData>
            </a:graphic>
          </wp:inline>
        </w:drawing>
      </w:r>
    </w:p>
    <w:p w14:paraId="7639799B" w14:textId="7246845C" w:rsidR="0095323E" w:rsidRPr="006E317E" w:rsidRDefault="000F38CA" w:rsidP="00AA241E">
      <w:pPr>
        <w:pStyle w:val="Pealdis"/>
        <w:jc w:val="both"/>
      </w:pPr>
      <w:r>
        <w:t xml:space="preserve">Joonis </w:t>
      </w:r>
      <w:r>
        <w:fldChar w:fldCharType="begin"/>
      </w:r>
      <w:r>
        <w:instrText xml:space="preserve"> SEQ Joonis \* ARABIC </w:instrText>
      </w:r>
      <w:r>
        <w:fldChar w:fldCharType="separate"/>
      </w:r>
      <w:r w:rsidR="00247D84">
        <w:rPr>
          <w:noProof/>
        </w:rPr>
        <w:t>12</w:t>
      </w:r>
      <w:r>
        <w:fldChar w:fldCharType="end"/>
      </w:r>
      <w:r>
        <w:t xml:space="preserve"> </w:t>
      </w:r>
      <w:r w:rsidR="0095323E" w:rsidRPr="006E317E">
        <w:t xml:space="preserve">Euroopa riikide elanike tiheduse võrdlus (km2 kohta) kogu riigi territooriumi osas, allikas </w:t>
      </w:r>
      <w:proofErr w:type="spellStart"/>
      <w:r w:rsidR="0095323E" w:rsidRPr="006E317E">
        <w:t>Eurostat</w:t>
      </w:r>
      <w:proofErr w:type="spellEnd"/>
      <w:r w:rsidR="0095323E" w:rsidRPr="006E317E">
        <w:t xml:space="preserve"> 2023 </w:t>
      </w:r>
    </w:p>
    <w:p w14:paraId="15FB1ECE" w14:textId="77777777" w:rsidR="0095323E" w:rsidRPr="006E317E" w:rsidRDefault="0095323E" w:rsidP="00AA241E">
      <w:pPr>
        <w:jc w:val="both"/>
      </w:pPr>
    </w:p>
    <w:p w14:paraId="5DD9831A" w14:textId="77777777" w:rsidR="0095323E" w:rsidRPr="006E317E" w:rsidRDefault="0095323E" w:rsidP="00AA241E">
      <w:pPr>
        <w:jc w:val="both"/>
      </w:pPr>
      <w:r w:rsidRPr="006E317E">
        <w:rPr>
          <w:noProof/>
        </w:rPr>
        <w:drawing>
          <wp:inline distT="0" distB="0" distL="0" distR="0" wp14:anchorId="5FA58469" wp14:editId="66815AE1">
            <wp:extent cx="5800299" cy="3546885"/>
            <wp:effectExtent l="0" t="0" r="0" b="0"/>
            <wp:docPr id="30"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587" t="17159" r="30280" b="25277"/>
                    <a:stretch/>
                  </pic:blipFill>
                  <pic:spPr bwMode="auto">
                    <a:xfrm>
                      <a:off x="0" y="0"/>
                      <a:ext cx="5847783" cy="3575921"/>
                    </a:xfrm>
                    <a:prstGeom prst="rect">
                      <a:avLst/>
                    </a:prstGeom>
                    <a:ln>
                      <a:noFill/>
                    </a:ln>
                    <a:extLst>
                      <a:ext uri="{53640926-AAD7-44D8-BBD7-CCE9431645EC}">
                        <a14:shadowObscured xmlns:a14="http://schemas.microsoft.com/office/drawing/2010/main"/>
                      </a:ext>
                    </a:extLst>
                  </pic:spPr>
                </pic:pic>
              </a:graphicData>
            </a:graphic>
          </wp:inline>
        </w:drawing>
      </w:r>
    </w:p>
    <w:p w14:paraId="7C87541C" w14:textId="1650BA1B" w:rsidR="0095323E" w:rsidRPr="006E317E" w:rsidRDefault="000F38CA" w:rsidP="00AA241E">
      <w:pPr>
        <w:pStyle w:val="Pealdis"/>
        <w:jc w:val="both"/>
      </w:pPr>
      <w:r>
        <w:t xml:space="preserve">Joonis </w:t>
      </w:r>
      <w:r>
        <w:fldChar w:fldCharType="begin"/>
      </w:r>
      <w:r>
        <w:instrText xml:space="preserve"> SEQ Joonis \* ARABIC </w:instrText>
      </w:r>
      <w:r>
        <w:fldChar w:fldCharType="separate"/>
      </w:r>
      <w:r w:rsidR="00E5522B">
        <w:rPr>
          <w:noProof/>
        </w:rPr>
        <w:t>13</w:t>
      </w:r>
      <w:r>
        <w:fldChar w:fldCharType="end"/>
      </w:r>
      <w:r>
        <w:t xml:space="preserve"> </w:t>
      </w:r>
      <w:r w:rsidR="0095323E" w:rsidRPr="006E317E">
        <w:t xml:space="preserve">Euroopa riikide elanike tiheduse võrdlus (km2 kohta) pealinna territooriumi osas, allikas </w:t>
      </w:r>
      <w:proofErr w:type="spellStart"/>
      <w:r w:rsidR="0095323E" w:rsidRPr="006E317E">
        <w:t>Eurostat</w:t>
      </w:r>
      <w:proofErr w:type="spellEnd"/>
      <w:r w:rsidR="0095323E" w:rsidRPr="006E317E">
        <w:t xml:space="preserve"> 2023 </w:t>
      </w:r>
    </w:p>
    <w:p w14:paraId="6EB2A3F0" w14:textId="77777777" w:rsidR="0095323E" w:rsidRPr="006E317E" w:rsidRDefault="0095323E" w:rsidP="00AA241E">
      <w:pPr>
        <w:jc w:val="both"/>
      </w:pPr>
    </w:p>
    <w:p w14:paraId="2AC3BD18" w14:textId="14607883" w:rsidR="0095323E" w:rsidRPr="006E317E" w:rsidRDefault="0095323E" w:rsidP="00AA241E">
      <w:pPr>
        <w:jc w:val="both"/>
      </w:pPr>
      <w:r w:rsidRPr="006E317E">
        <w:lastRenderedPageBreak/>
        <w:t>TTJA hinnangul eksisteerib Eestis elanike madalast arvust ja tihedusest tulenevalt vähe linnalisi üksusi, kus on majanduslikult mõistlik ja otstarbekas (majanduslikult tasuv)  rajada enam kui kaks paralleelset kaabelsidevõrku ja maalistes üksustes ei ole üldjuhul mõistlik rajada enam kui üks kaabelsidevõrk. Maalistes üksustes aitavad jaeturul tagada konkurentsi riigiabiga rajatavad kaabelsidevõrgud, millele on kõigil sideettevõtjatele võimalik saada võrdsetel tingimustel hulgimüügitasandil juurdepääsu (nimetatakse ka operaatorineutraalne võrk). Samuti, tänu 4G &amp; 5G tehnoloogia jõudsale arengule, aitavad maapiirkondades tavapärase kvaliteediga internetiühenduste konkurentsi tagada ka mobiilsidevõrgud. Seejuures on üldjuhul kõik Eesti piirkonnad kaetud paralleelselt kolme erineva mobiilsidevõrgu internetiühendusega (Telia, Elisa ja Tele).</w:t>
      </w:r>
    </w:p>
    <w:p w14:paraId="323A035B" w14:textId="0573869F" w:rsidR="0095323E" w:rsidRPr="006E317E" w:rsidRDefault="0095323E" w:rsidP="00AA241E">
      <w:pPr>
        <w:jc w:val="both"/>
      </w:pPr>
      <w:r w:rsidRPr="006E317E">
        <w:t>Üldiselt peetakse jaeturu kõrgema konkurentsi taseme tunnuseks, et lõppkasutaja</w:t>
      </w:r>
      <w:r w:rsidR="001F6C66">
        <w:t>l</w:t>
      </w:r>
      <w:r w:rsidRPr="006E317E">
        <w:t xml:space="preserve"> on võimalus valida rohkem kui ühe internetiühenduse pakkuja vahel. </w:t>
      </w:r>
      <w:r w:rsidRPr="00566BCB">
        <w:rPr>
          <w:b/>
        </w:rPr>
        <w:t xml:space="preserve">Seepärast on asjakohane </w:t>
      </w:r>
      <w:r w:rsidR="00AD59B4">
        <w:rPr>
          <w:b/>
        </w:rPr>
        <w:t xml:space="preserve">kõrgema </w:t>
      </w:r>
      <w:r w:rsidR="00227C43">
        <w:rPr>
          <w:b/>
        </w:rPr>
        <w:t>konkurentsi</w:t>
      </w:r>
      <w:r w:rsidR="00E00EFF">
        <w:rPr>
          <w:b/>
        </w:rPr>
        <w:t xml:space="preserve"> taseme</w:t>
      </w:r>
      <w:r w:rsidR="004B0F1C">
        <w:rPr>
          <w:b/>
        </w:rPr>
        <w:t xml:space="preserve"> üheks </w:t>
      </w:r>
      <w:r w:rsidR="00A8656F">
        <w:rPr>
          <w:b/>
        </w:rPr>
        <w:t>näitajaks</w:t>
      </w:r>
      <w:r w:rsidRPr="00566BCB">
        <w:rPr>
          <w:b/>
        </w:rPr>
        <w:t xml:space="preserve"> </w:t>
      </w:r>
      <w:r w:rsidR="00D54335">
        <w:rPr>
          <w:b/>
        </w:rPr>
        <w:t xml:space="preserve">määrata </w:t>
      </w:r>
      <w:r w:rsidRPr="00566BCB">
        <w:rPr>
          <w:b/>
        </w:rPr>
        <w:t>vähemalt kahe erineva sideettevõtja internetiühenduse kasutuse</w:t>
      </w:r>
      <w:r w:rsidR="00330984">
        <w:rPr>
          <w:b/>
        </w:rPr>
        <w:t xml:space="preserve"> ehk liitumise</w:t>
      </w:r>
      <w:r w:rsidRPr="00566BCB">
        <w:rPr>
          <w:b/>
        </w:rPr>
        <w:t xml:space="preserve"> võimalusega elu- ja mitteeluruumide osakaal kõigist elu- ja mitteeluruumidest</w:t>
      </w:r>
      <w:r w:rsidR="0078209A">
        <w:rPr>
          <w:b/>
        </w:rPr>
        <w:t>, mille lävend</w:t>
      </w:r>
      <w:r w:rsidRPr="00566BCB">
        <w:rPr>
          <w:b/>
        </w:rPr>
        <w:t xml:space="preserve"> peaks olema vähemalt 40%.</w:t>
      </w:r>
      <w:r w:rsidRPr="006E317E">
        <w:t xml:space="preserve"> Selline vähemalt kahe erineva  sideettevõtja internetiühenduse kasutuse  võimalus võib põhineda ka ühel sidevõrgul, näiteks operaatorneutraalsel sidevõrgul, millele on riigiabi määrustega tagatud kuni viie sideettevõtja võrdne juurdepääs. Samas selleks, et tagada </w:t>
      </w:r>
      <w:proofErr w:type="spellStart"/>
      <w:r w:rsidR="008E5A13">
        <w:rPr>
          <w:i/>
          <w:iCs/>
        </w:rPr>
        <w:t>Gr</w:t>
      </w:r>
      <w:r w:rsidR="00C318C1">
        <w:rPr>
          <w:i/>
          <w:iCs/>
        </w:rPr>
        <w:t>e</w:t>
      </w:r>
      <w:r w:rsidR="008E5A13">
        <w:rPr>
          <w:i/>
          <w:iCs/>
        </w:rPr>
        <w:t>enfieldi</w:t>
      </w:r>
      <w:proofErr w:type="spellEnd"/>
      <w:r w:rsidRPr="006E317E">
        <w:t xml:space="preserve"> lähenemisviisi rakendamine, vt </w:t>
      </w:r>
      <w:r w:rsidR="008C159A">
        <w:t xml:space="preserve">ptk. </w:t>
      </w:r>
      <w:r w:rsidR="00C318C1">
        <w:t>2.1.2</w:t>
      </w:r>
      <w:r w:rsidRPr="006E317E">
        <w:t xml:space="preserve">, ei või selline ühel sidevõrgul mitme erineva sideettevõtja internetiühenduse võimalus põhineda valdkonnaspetsiifiliselt reguleeritud hulgiturgude 1 ja 3b toodetel ehk Telia sidevõrgule juurdepääsu hulgitasandi toodetel. Kuna Eestis on Telia hulgiturgude 1 ja 3b toodete mahud sedavõrd marginaalsed, et neil puudub mõju turuanalüüsi tulemustele, siis võib lugeda </w:t>
      </w:r>
      <w:proofErr w:type="spellStart"/>
      <w:r w:rsidR="008E5A13">
        <w:rPr>
          <w:i/>
          <w:iCs/>
        </w:rPr>
        <w:t>Gr</w:t>
      </w:r>
      <w:r w:rsidR="00C318C1">
        <w:rPr>
          <w:i/>
          <w:iCs/>
        </w:rPr>
        <w:t>e</w:t>
      </w:r>
      <w:r w:rsidR="008E5A13">
        <w:rPr>
          <w:i/>
          <w:iCs/>
        </w:rPr>
        <w:t>enfieldi</w:t>
      </w:r>
      <w:proofErr w:type="spellEnd"/>
      <w:r w:rsidRPr="00D72C80">
        <w:rPr>
          <w:i/>
          <w:iCs/>
        </w:rPr>
        <w:t xml:space="preserve"> </w:t>
      </w:r>
      <w:r w:rsidRPr="006E317E">
        <w:t>lähenemisviisi täidetuks.</w:t>
      </w:r>
    </w:p>
    <w:p w14:paraId="769F9864" w14:textId="3730D7D3" w:rsidR="0095323E" w:rsidRDefault="0095323E" w:rsidP="00AA241E">
      <w:pPr>
        <w:jc w:val="both"/>
        <w:rPr>
          <w:b/>
          <w:bCs/>
        </w:rPr>
      </w:pPr>
      <w:r w:rsidRPr="006E317E">
        <w:t>Samuti loetakse jaeturu kõrgema konkurentsi taseme tunnuseks, et jaeturgudele eelnevatel hulgiturgude MTE ei omaks olulist turujõudu jaeturul. Tavapäraselt peetakse konkurentsiõiguses turujõu hindamises oluliseks lävendiks 50 %-st turuosa. Kui hulgituru MTE jaeklientide internetiühenduste turuosa on alla 50%, siis võib eeldada, et alternatiivsetel sideettevõtjatel, on olnud selles piirkonnas majanduslikult tasuv ja mõistlik rajada piisavas ulatuses hulgituru MTE internetiühendustega konkureerivaid internetiühendusi oma või mõne teise operaatori (välja arvatud hulgituru MTE) sidevõrgu (näiteks operaatorneutraalse) sidevõrgu baasil ja puuduvad takistused kõrgema konkurentsi taseme olemasoluks. Eestis on käesoleva otsuse koostamise ajal  hulgiturgudel 1 ja 3b MTE Telia.</w:t>
      </w:r>
      <w:r w:rsidR="00D95AA5" w:rsidRPr="00D95AA5">
        <w:rPr>
          <w:b/>
          <w:bCs/>
        </w:rPr>
        <w:t xml:space="preserve"> </w:t>
      </w:r>
      <w:r w:rsidR="00724D17">
        <w:rPr>
          <w:b/>
          <w:bCs/>
        </w:rPr>
        <w:t>Eeltoodust tulenevalt</w:t>
      </w:r>
      <w:r w:rsidR="00D95AA5" w:rsidRPr="00566BCB">
        <w:rPr>
          <w:b/>
          <w:bCs/>
        </w:rPr>
        <w:t xml:space="preserve"> on asjakohane </w:t>
      </w:r>
      <w:r w:rsidR="00436284">
        <w:rPr>
          <w:b/>
        </w:rPr>
        <w:t xml:space="preserve">kõrgema </w:t>
      </w:r>
      <w:r w:rsidR="00436284" w:rsidRPr="00566BCB">
        <w:rPr>
          <w:b/>
        </w:rPr>
        <w:t>konkurentsi</w:t>
      </w:r>
      <w:r w:rsidR="00436284">
        <w:rPr>
          <w:b/>
        </w:rPr>
        <w:t xml:space="preserve"> </w:t>
      </w:r>
      <w:r w:rsidR="00724D17">
        <w:rPr>
          <w:b/>
          <w:bCs/>
        </w:rPr>
        <w:t>teiseks</w:t>
      </w:r>
      <w:r w:rsidR="00D95AA5" w:rsidRPr="00566BCB">
        <w:rPr>
          <w:b/>
          <w:bCs/>
        </w:rPr>
        <w:t xml:space="preserve"> </w:t>
      </w:r>
      <w:r w:rsidR="00A8656F">
        <w:rPr>
          <w:b/>
          <w:bCs/>
        </w:rPr>
        <w:t>näitajaks</w:t>
      </w:r>
      <w:r w:rsidR="00C10CFC">
        <w:rPr>
          <w:b/>
          <w:bCs/>
        </w:rPr>
        <w:t xml:space="preserve"> määrata</w:t>
      </w:r>
      <w:r w:rsidR="00D95AA5" w:rsidRPr="00566BCB">
        <w:rPr>
          <w:b/>
          <w:bCs/>
        </w:rPr>
        <w:t xml:space="preserve"> </w:t>
      </w:r>
      <w:r w:rsidR="00724D17" w:rsidRPr="00724D17">
        <w:rPr>
          <w:b/>
          <w:bCs/>
        </w:rPr>
        <w:t>hulgituru MTE jaeklientide internetiühenduste turuosa</w:t>
      </w:r>
      <w:r w:rsidR="00724D17">
        <w:rPr>
          <w:b/>
          <w:bCs/>
        </w:rPr>
        <w:t>, mi</w:t>
      </w:r>
      <w:r w:rsidR="00716C0E">
        <w:rPr>
          <w:b/>
          <w:bCs/>
        </w:rPr>
        <w:t>lle lävend</w:t>
      </w:r>
      <w:r w:rsidR="00724D17">
        <w:rPr>
          <w:b/>
          <w:bCs/>
        </w:rPr>
        <w:t xml:space="preserve"> pea</w:t>
      </w:r>
      <w:r w:rsidR="00716C0E">
        <w:rPr>
          <w:b/>
          <w:bCs/>
        </w:rPr>
        <w:t>ks</w:t>
      </w:r>
      <w:r w:rsidR="00724D17">
        <w:rPr>
          <w:b/>
          <w:bCs/>
        </w:rPr>
        <w:t xml:space="preserve"> olema</w:t>
      </w:r>
      <w:r w:rsidR="00724D17" w:rsidRPr="00724D17">
        <w:rPr>
          <w:b/>
          <w:bCs/>
        </w:rPr>
        <w:t xml:space="preserve"> alla 50%</w:t>
      </w:r>
      <w:r w:rsidR="00724D17">
        <w:rPr>
          <w:b/>
          <w:bCs/>
        </w:rPr>
        <w:t>.</w:t>
      </w:r>
      <w:r w:rsidR="00724D17" w:rsidRPr="00724D17">
        <w:rPr>
          <w:b/>
          <w:bCs/>
        </w:rPr>
        <w:t xml:space="preserve"> </w:t>
      </w:r>
    </w:p>
    <w:p w14:paraId="30EC27D2" w14:textId="4532A5F0" w:rsidR="00D50892" w:rsidRDefault="00D50892" w:rsidP="00AA241E">
      <w:pPr>
        <w:jc w:val="both"/>
        <w:rPr>
          <w:b/>
          <w:bCs/>
        </w:rPr>
      </w:pPr>
      <w:r>
        <w:rPr>
          <w:b/>
          <w:bCs/>
        </w:rPr>
        <w:t>Kokkuvõtvalt on geograafilise üksus</w:t>
      </w:r>
      <w:r w:rsidR="00734806">
        <w:rPr>
          <w:b/>
          <w:bCs/>
        </w:rPr>
        <w:t xml:space="preserve">e </w:t>
      </w:r>
      <w:r w:rsidR="00D01DB6">
        <w:rPr>
          <w:b/>
        </w:rPr>
        <w:t xml:space="preserve">ja/või </w:t>
      </w:r>
      <w:r w:rsidR="00926547">
        <w:rPr>
          <w:b/>
          <w:bCs/>
        </w:rPr>
        <w:t>piirkon</w:t>
      </w:r>
      <w:r w:rsidR="00C34CA0">
        <w:rPr>
          <w:b/>
          <w:bCs/>
        </w:rPr>
        <w:t>n</w:t>
      </w:r>
      <w:r w:rsidR="00926547">
        <w:rPr>
          <w:b/>
          <w:bCs/>
        </w:rPr>
        <w:t>a</w:t>
      </w:r>
      <w:r w:rsidR="00734806">
        <w:rPr>
          <w:b/>
          <w:bCs/>
        </w:rPr>
        <w:t xml:space="preserve"> </w:t>
      </w:r>
      <w:r w:rsidR="00952238">
        <w:rPr>
          <w:b/>
          <w:bCs/>
        </w:rPr>
        <w:t>kõrgema konkurentsi</w:t>
      </w:r>
      <w:r w:rsidR="0088442E">
        <w:rPr>
          <w:b/>
          <w:bCs/>
        </w:rPr>
        <w:t xml:space="preserve"> taseme</w:t>
      </w:r>
      <w:r w:rsidR="005907FB">
        <w:rPr>
          <w:b/>
          <w:bCs/>
        </w:rPr>
        <w:t xml:space="preserve"> tunnuseks järgmised</w:t>
      </w:r>
      <w:r w:rsidR="00952238">
        <w:rPr>
          <w:b/>
          <w:bCs/>
        </w:rPr>
        <w:t xml:space="preserve"> </w:t>
      </w:r>
      <w:r w:rsidR="005907FB">
        <w:rPr>
          <w:b/>
          <w:bCs/>
        </w:rPr>
        <w:t xml:space="preserve">konkurentsi </w:t>
      </w:r>
      <w:r w:rsidR="00952238">
        <w:rPr>
          <w:b/>
          <w:bCs/>
        </w:rPr>
        <w:t>näitajad ja lävendid</w:t>
      </w:r>
      <w:r w:rsidR="005573F3">
        <w:rPr>
          <w:b/>
          <w:bCs/>
        </w:rPr>
        <w:t>:</w:t>
      </w:r>
    </w:p>
    <w:p w14:paraId="33D3AC13" w14:textId="532D2AA3" w:rsidR="00005902" w:rsidRPr="00005902" w:rsidRDefault="00005902" w:rsidP="00005902">
      <w:pPr>
        <w:pStyle w:val="Loendilik"/>
        <w:numPr>
          <w:ilvl w:val="0"/>
          <w:numId w:val="129"/>
        </w:numPr>
        <w:jc w:val="both"/>
        <w:rPr>
          <w:b/>
          <w:bCs/>
        </w:rPr>
      </w:pPr>
      <w:r w:rsidRPr="00005902">
        <w:rPr>
          <w:b/>
          <w:bCs/>
        </w:rPr>
        <w:lastRenderedPageBreak/>
        <w:t xml:space="preserve">vähemalt kahe (2) erineva sideettevõtja internetiühenduse </w:t>
      </w:r>
      <w:r>
        <w:rPr>
          <w:b/>
          <w:bCs/>
        </w:rPr>
        <w:t xml:space="preserve">kasutamise ehk liitumise </w:t>
      </w:r>
      <w:r w:rsidRPr="00005902">
        <w:rPr>
          <w:b/>
          <w:bCs/>
        </w:rPr>
        <w:t xml:space="preserve">võimalusega kaetud elu- ja mitteeluruumide osakaal kõigist elu- ja mitteeluruumidest geograafilises üksuses on </w:t>
      </w:r>
      <w:r w:rsidR="005B0A35">
        <w:rPr>
          <w:b/>
          <w:bCs/>
        </w:rPr>
        <w:t>vähemalt</w:t>
      </w:r>
      <w:r w:rsidRPr="00005902">
        <w:rPr>
          <w:b/>
          <w:bCs/>
        </w:rPr>
        <w:t xml:space="preserve"> 40%* ja</w:t>
      </w:r>
    </w:p>
    <w:p w14:paraId="368F7CF7" w14:textId="76FE049F" w:rsidR="00692B8F" w:rsidRPr="00692B8F" w:rsidRDefault="00005902" w:rsidP="00005902">
      <w:pPr>
        <w:pStyle w:val="Loendilik"/>
        <w:numPr>
          <w:ilvl w:val="0"/>
          <w:numId w:val="129"/>
        </w:numPr>
        <w:jc w:val="both"/>
        <w:rPr>
          <w:b/>
          <w:bCs/>
        </w:rPr>
      </w:pPr>
      <w:r w:rsidRPr="00005902">
        <w:rPr>
          <w:b/>
          <w:bCs/>
        </w:rPr>
        <w:t>hulgiturgude 1 ja 3b MTE (Telia) jae internetiühendust</w:t>
      </w:r>
      <w:r w:rsidR="008D24FE">
        <w:rPr>
          <w:b/>
          <w:bCs/>
        </w:rPr>
        <w:t xml:space="preserve"> kasutavate</w:t>
      </w:r>
      <w:r w:rsidRPr="00005902">
        <w:rPr>
          <w:b/>
          <w:bCs/>
        </w:rPr>
        <w:t xml:space="preserve"> </w:t>
      </w:r>
      <w:r w:rsidR="008D24FE" w:rsidRPr="00005902">
        <w:rPr>
          <w:b/>
          <w:bCs/>
        </w:rPr>
        <w:t>era- ja äriklientide</w:t>
      </w:r>
      <w:r w:rsidR="008D24FE">
        <w:rPr>
          <w:b/>
          <w:bCs/>
        </w:rPr>
        <w:t xml:space="preserve"> </w:t>
      </w:r>
      <w:r w:rsidRPr="00005902">
        <w:rPr>
          <w:b/>
          <w:bCs/>
        </w:rPr>
        <w:t>osakaal geograafilise üksuses kõigist</w:t>
      </w:r>
      <w:r w:rsidR="002D6269">
        <w:rPr>
          <w:b/>
          <w:bCs/>
        </w:rPr>
        <w:t xml:space="preserve"> vastava</w:t>
      </w:r>
      <w:r w:rsidRPr="00005902">
        <w:rPr>
          <w:b/>
          <w:bCs/>
        </w:rPr>
        <w:t xml:space="preserve"> </w:t>
      </w:r>
      <w:r w:rsidR="002D6269" w:rsidRPr="00005902">
        <w:rPr>
          <w:b/>
          <w:bCs/>
        </w:rPr>
        <w:t xml:space="preserve">geograafilise üksuse </w:t>
      </w:r>
      <w:r w:rsidRPr="00005902">
        <w:rPr>
          <w:b/>
          <w:bCs/>
        </w:rPr>
        <w:t>jae internetiühendust</w:t>
      </w:r>
      <w:r w:rsidR="0005489D">
        <w:rPr>
          <w:b/>
          <w:bCs/>
        </w:rPr>
        <w:t xml:space="preserve"> kasutavatest</w:t>
      </w:r>
      <w:r w:rsidRPr="00005902">
        <w:rPr>
          <w:b/>
          <w:bCs/>
        </w:rPr>
        <w:t xml:space="preserve"> </w:t>
      </w:r>
      <w:r w:rsidR="0005489D" w:rsidRPr="00005902">
        <w:rPr>
          <w:b/>
          <w:bCs/>
        </w:rPr>
        <w:t>era- ja äriklientide</w:t>
      </w:r>
      <w:r w:rsidR="0005489D">
        <w:rPr>
          <w:b/>
          <w:bCs/>
        </w:rPr>
        <w:t>st</w:t>
      </w:r>
      <w:r w:rsidR="0005489D" w:rsidRPr="00005902">
        <w:rPr>
          <w:b/>
          <w:bCs/>
        </w:rPr>
        <w:t xml:space="preserve"> </w:t>
      </w:r>
      <w:r w:rsidRPr="00005902">
        <w:rPr>
          <w:b/>
          <w:bCs/>
        </w:rPr>
        <w:t>on alla 50%.</w:t>
      </w:r>
    </w:p>
    <w:p w14:paraId="64D2E41C" w14:textId="6453C522" w:rsidR="00A5112B" w:rsidRDefault="00923206" w:rsidP="00AA241E">
      <w:pPr>
        <w:jc w:val="both"/>
        <w:rPr>
          <w:b/>
          <w:bCs/>
        </w:rPr>
      </w:pPr>
      <w:r w:rsidRPr="000F7795">
        <w:rPr>
          <w:b/>
          <w:bCs/>
        </w:rPr>
        <w:t>Selleks, et geograafiline üksus</w:t>
      </w:r>
      <w:r w:rsidR="00E56409">
        <w:rPr>
          <w:b/>
          <w:bCs/>
        </w:rPr>
        <w:t xml:space="preserve"> või piirkond</w:t>
      </w:r>
      <w:r w:rsidRPr="000F7795">
        <w:rPr>
          <w:b/>
          <w:bCs/>
        </w:rPr>
        <w:t xml:space="preserve"> määrataks kõrgema konkurentsi </w:t>
      </w:r>
      <w:r w:rsidR="00781EBF">
        <w:rPr>
          <w:b/>
          <w:bCs/>
        </w:rPr>
        <w:t>tunnustega</w:t>
      </w:r>
      <w:r w:rsidR="00E56409">
        <w:rPr>
          <w:b/>
          <w:bCs/>
        </w:rPr>
        <w:t xml:space="preserve"> üksuseks või piirkonnaks</w:t>
      </w:r>
      <w:r w:rsidR="00B6503A" w:rsidRPr="000F7795">
        <w:rPr>
          <w:b/>
          <w:bCs/>
        </w:rPr>
        <w:t>, pea</w:t>
      </w:r>
      <w:r w:rsidR="00173ACF">
        <w:rPr>
          <w:b/>
          <w:bCs/>
        </w:rPr>
        <w:t>ks</w:t>
      </w:r>
      <w:r w:rsidR="00B6503A" w:rsidRPr="000F7795">
        <w:rPr>
          <w:b/>
          <w:bCs/>
        </w:rPr>
        <w:t xml:space="preserve"> </w:t>
      </w:r>
      <w:r w:rsidR="0026229A">
        <w:rPr>
          <w:b/>
          <w:bCs/>
        </w:rPr>
        <w:t>üksuses</w:t>
      </w:r>
      <w:r w:rsidR="00E56409">
        <w:rPr>
          <w:b/>
          <w:bCs/>
        </w:rPr>
        <w:t xml:space="preserve"> või piirkonnas</w:t>
      </w:r>
      <w:r w:rsidR="0026229A">
        <w:rPr>
          <w:b/>
          <w:bCs/>
        </w:rPr>
        <w:t xml:space="preserve"> </w:t>
      </w:r>
      <w:r w:rsidR="00B6503A" w:rsidRPr="000F7795">
        <w:rPr>
          <w:b/>
          <w:bCs/>
        </w:rPr>
        <w:t>olema täidetud mõlema</w:t>
      </w:r>
      <w:r w:rsidR="00F871D7">
        <w:rPr>
          <w:b/>
          <w:bCs/>
        </w:rPr>
        <w:t>te</w:t>
      </w:r>
      <w:r w:rsidR="00B6503A" w:rsidRPr="000F7795">
        <w:rPr>
          <w:b/>
          <w:bCs/>
        </w:rPr>
        <w:t xml:space="preserve"> eelnimetatud konkurentsi näitaja</w:t>
      </w:r>
      <w:r w:rsidR="00DD67BC">
        <w:rPr>
          <w:b/>
          <w:bCs/>
        </w:rPr>
        <w:t>te</w:t>
      </w:r>
      <w:r w:rsidR="00B6503A" w:rsidRPr="000F7795">
        <w:rPr>
          <w:b/>
          <w:bCs/>
        </w:rPr>
        <w:t xml:space="preserve"> lävendid.</w:t>
      </w:r>
    </w:p>
    <w:p w14:paraId="0BD90CB3" w14:textId="77777777" w:rsidR="00E30141" w:rsidRPr="006E317E" w:rsidRDefault="00E30141" w:rsidP="00E30141">
      <w:pPr>
        <w:jc w:val="both"/>
      </w:pPr>
      <w:r w:rsidRPr="006E317E">
        <w:t>Lisaks on TTJA hinnangul mõistlik ja otstarbekas tugineda piirkondade konkurentsi tasemete erinevuse tuvastamisel sellistele konkurentsi näitajatele nagu teenuste hinnad,  teenuste pakkumise ja kasutamise tavade ning teenuste vahetamise ja lõpetamise tingimuste erinevused.</w:t>
      </w:r>
    </w:p>
    <w:p w14:paraId="20C8EB32" w14:textId="77777777" w:rsidR="00E30141" w:rsidRPr="006E317E" w:rsidRDefault="00E30141" w:rsidP="00E30141">
      <w:pPr>
        <w:jc w:val="both"/>
      </w:pPr>
      <w:r w:rsidRPr="006E317E">
        <w:t>Hindade erinevusi on asjakohane konkurentsi näitajatena kasutada näiteks, kui üleriigiliselt suurimad teenuse osutajad kehtestavad erinevaid hindasid erinevates piirkondades. Sellised erinevad hinnad võivad olla üheks näitajaks, et turu piirkondades eksisteerib erinev konkurentsi tase.</w:t>
      </w:r>
    </w:p>
    <w:p w14:paraId="56F3B188" w14:textId="77777777" w:rsidR="00E30141" w:rsidRPr="006E317E" w:rsidRDefault="00E30141" w:rsidP="00E30141">
      <w:pPr>
        <w:jc w:val="both"/>
      </w:pPr>
      <w:r w:rsidRPr="006E317E">
        <w:t xml:space="preserve">Internetiühenduse pakkumise ja kasutamise tavade konkurentsi näitajaks võib olla asjaolu, et mõnes jaeturu piirkonnas on suurem nõudlus just </w:t>
      </w:r>
      <w:proofErr w:type="spellStart"/>
      <w:r w:rsidRPr="006E317E">
        <w:t>paketeeritud</w:t>
      </w:r>
      <w:proofErr w:type="spellEnd"/>
      <w:r w:rsidRPr="006E317E">
        <w:t xml:space="preserve"> teenuste järele kui teises tulenevalt näiteks sideettevõtjate erinevast turundusstrateegiast. See omakorda võib tekitada jaeturu piirkondade konkurentsi tasemete erinevust.</w:t>
      </w:r>
    </w:p>
    <w:p w14:paraId="0D454B7C" w14:textId="77777777" w:rsidR="00E30141" w:rsidRPr="000F7795" w:rsidRDefault="00E30141" w:rsidP="00AA241E">
      <w:pPr>
        <w:jc w:val="both"/>
        <w:rPr>
          <w:b/>
          <w:bCs/>
        </w:rPr>
      </w:pPr>
    </w:p>
    <w:p w14:paraId="563B4E81" w14:textId="77777777" w:rsidR="00B6503A" w:rsidRDefault="00B6503A" w:rsidP="00AA241E">
      <w:pPr>
        <w:jc w:val="both"/>
      </w:pPr>
    </w:p>
    <w:p w14:paraId="11AAD709" w14:textId="61F4A0AA" w:rsidR="0095323E" w:rsidRPr="00CD2E1F" w:rsidRDefault="00183BEB" w:rsidP="009805E1">
      <w:pPr>
        <w:pStyle w:val="Pealkiri3"/>
      </w:pPr>
      <w:bookmarkStart w:id="400" w:name="_4.3_PIIRKONDADE_A"/>
      <w:bookmarkStart w:id="401" w:name="_Hlk171334676"/>
      <w:bookmarkStart w:id="402" w:name="_Toc170888954"/>
      <w:bookmarkStart w:id="403" w:name="_Toc174710739"/>
      <w:bookmarkStart w:id="404" w:name="_Hlk150854436"/>
      <w:bookmarkEnd w:id="400"/>
      <w:r>
        <w:t>Vaskkaabli</w:t>
      </w:r>
      <w:r w:rsidR="0095323E" w:rsidRPr="00CD2E1F">
        <w:t xml:space="preserve">- ja </w:t>
      </w:r>
      <w:r>
        <w:t>mobiilsidevõr</w:t>
      </w:r>
      <w:r w:rsidR="0095323E" w:rsidRPr="00CD2E1F">
        <w:t xml:space="preserve">gu jae internetiühenduste tooteturu </w:t>
      </w:r>
      <w:bookmarkEnd w:id="401"/>
      <w:r w:rsidR="0095323E" w:rsidRPr="00CD2E1F">
        <w:t>geograafilise</w:t>
      </w:r>
      <w:r w:rsidR="002A3376">
        <w:t xml:space="preserve"> üksuste rühmitamine ja</w:t>
      </w:r>
      <w:r w:rsidR="003237DB">
        <w:t xml:space="preserve"> geograafilise</w:t>
      </w:r>
      <w:r w:rsidR="0095323E" w:rsidRPr="00CD2E1F">
        <w:t xml:space="preserve"> piirkon</w:t>
      </w:r>
      <w:r w:rsidR="00C62B14">
        <w:t>na</w:t>
      </w:r>
      <w:r w:rsidR="0095323E" w:rsidRPr="00CD2E1F">
        <w:t xml:space="preserve"> </w:t>
      </w:r>
      <w:r w:rsidR="009B7A23">
        <w:t>piiritle</w:t>
      </w:r>
      <w:r w:rsidR="0095323E" w:rsidRPr="00CD2E1F">
        <w:t>mine</w:t>
      </w:r>
      <w:bookmarkEnd w:id="402"/>
      <w:bookmarkEnd w:id="403"/>
    </w:p>
    <w:bookmarkEnd w:id="404"/>
    <w:p w14:paraId="64BDC1D2" w14:textId="4B9F94F4" w:rsidR="00D87BBD" w:rsidRDefault="00D87BBD" w:rsidP="00D87BBD">
      <w:pPr>
        <w:jc w:val="both"/>
      </w:pPr>
      <w:r>
        <w:t>Püsiasukohas tarbimiseks suunatud ja piiramatut mahuga mobiilsidevõrgu jae internetiühendus</w:t>
      </w:r>
      <w:r w:rsidR="00105408">
        <w:t>ed</w:t>
      </w:r>
      <w:r>
        <w:t xml:space="preserve"> on küll suunatud püsiasukohas tarbimiseks, kuid tehniliselt ei ole piiratud neid ühendusi kasutada kõikjal Eesti territooriumil. Seetõttu </w:t>
      </w:r>
      <w:r w:rsidR="00A63721">
        <w:t>ei ole selliste teenuse tarbimine piiratud konkreetse asukohaga</w:t>
      </w:r>
      <w:r w:rsidR="003F53B4">
        <w:t xml:space="preserve"> (nt lõppkasutaja kinnistu aadress)</w:t>
      </w:r>
      <w:r w:rsidR="004B3570">
        <w:t>,</w:t>
      </w:r>
      <w:r w:rsidR="00A63721">
        <w:t xml:space="preserve"> </w:t>
      </w:r>
      <w:r w:rsidR="004B3570">
        <w:t>sh</w:t>
      </w:r>
      <w:r w:rsidR="00A63721">
        <w:t xml:space="preserve"> geograafilise üksusega</w:t>
      </w:r>
      <w:r w:rsidR="004B3570">
        <w:t>,</w:t>
      </w:r>
      <w:r w:rsidR="00A63721">
        <w:t xml:space="preserve"> ja </w:t>
      </w:r>
      <w:r>
        <w:t xml:space="preserve">seda </w:t>
      </w:r>
      <w:r w:rsidR="00A63721">
        <w:t>saab</w:t>
      </w:r>
      <w:r>
        <w:t xml:space="preserve"> </w:t>
      </w:r>
      <w:r w:rsidR="00A63721">
        <w:t>kasutada</w:t>
      </w:r>
      <w:r>
        <w:t xml:space="preserve"> mis tahes </w:t>
      </w:r>
      <w:r w:rsidR="003F53B4">
        <w:t xml:space="preserve">lõppkasutaja </w:t>
      </w:r>
      <w:r w:rsidR="004B3570">
        <w:t xml:space="preserve">kinnistu </w:t>
      </w:r>
      <w:r>
        <w:t xml:space="preserve">aadressil </w:t>
      </w:r>
      <w:r w:rsidR="0001038B">
        <w:t xml:space="preserve">ja mis tahes geograafilises üksuses </w:t>
      </w:r>
      <w:r w:rsidR="00572D8D">
        <w:t>Eesti t</w:t>
      </w:r>
      <w:r>
        <w:t xml:space="preserve">erritooriumil (näiteks nädala sees kodus ja nädalavahetustel suvilas). </w:t>
      </w:r>
    </w:p>
    <w:p w14:paraId="0011DFB8" w14:textId="6F8B70E1" w:rsidR="004B3570" w:rsidRPr="004B3570" w:rsidRDefault="004B3570" w:rsidP="004B3570">
      <w:pPr>
        <w:jc w:val="both"/>
        <w:rPr>
          <w:bCs/>
        </w:rPr>
      </w:pPr>
      <w:r w:rsidRPr="004B3570">
        <w:rPr>
          <w:bCs/>
        </w:rPr>
        <w:t xml:space="preserve">Eestis osutavad mobiilsidevõrgus jaeturu internetiühenduste tooteid kolm sideettevõtjat: Telia, Elisa ja Tele2. Nende kõigi kolme mobiilsidevõrgu geograafiline katvus 4G tehnoloogia alusel on ca 98% maismaa territooriumist. 2024 aasta alguses on 5G tehnoloogiaga Telia katnud 81% rahvastikust ja ca 70% riigi territooriumist, Elisa 76% rahvastikust, Tele2 katnud vähemalt 122 </w:t>
      </w:r>
      <w:r w:rsidRPr="004B3570">
        <w:rPr>
          <w:bCs/>
        </w:rPr>
        <w:lastRenderedPageBreak/>
        <w:t xml:space="preserve">asulat üle Eesti (vt </w:t>
      </w:r>
      <w:r w:rsidR="008C159A">
        <w:rPr>
          <w:bCs/>
        </w:rPr>
        <w:t xml:space="preserve">ptk. </w:t>
      </w:r>
      <w:r w:rsidRPr="004B3570">
        <w:rPr>
          <w:bCs/>
        </w:rPr>
        <w:t>2.2.3.3). 2024. aasta lõpuks on Telia plaan katta 5G leviga 95% rahvastikust</w:t>
      </w:r>
      <w:r w:rsidRPr="004B3570">
        <w:rPr>
          <w:bCs/>
          <w:vertAlign w:val="superscript"/>
        </w:rPr>
        <w:footnoteReference w:id="68"/>
      </w:r>
      <w:r w:rsidRPr="004B3570">
        <w:rPr>
          <w:bCs/>
        </w:rPr>
        <w:t>.</w:t>
      </w:r>
    </w:p>
    <w:p w14:paraId="09B88996" w14:textId="232A2A7C" w:rsidR="004B3570" w:rsidRPr="004B3570" w:rsidRDefault="004B3570" w:rsidP="004B3570">
      <w:pPr>
        <w:jc w:val="both"/>
        <w:rPr>
          <w:bCs/>
        </w:rPr>
      </w:pPr>
      <w:r w:rsidRPr="004B3570">
        <w:rPr>
          <w:bCs/>
        </w:rPr>
        <w:t xml:space="preserve">Lisaks nimetatud kolmele üleriigilisele mobiilsidevõrgule on vaskkaabli- ja mobiilsidevõrgu internetiühenduste jaeturul ka Telia </w:t>
      </w:r>
      <w:r w:rsidR="00AD1150">
        <w:rPr>
          <w:bCs/>
        </w:rPr>
        <w:t>vaskpaar</w:t>
      </w:r>
      <w:r w:rsidRPr="004B3570">
        <w:rPr>
          <w:bCs/>
        </w:rPr>
        <w:t xml:space="preserve">võrk, mis eksisteerib kõikides geograafistes üksustes ehk on üleriigiline. Täpsemalt on üleriigiliselt Telia </w:t>
      </w:r>
      <w:proofErr w:type="spellStart"/>
      <w:r w:rsidRPr="004B3570">
        <w:rPr>
          <w:bCs/>
        </w:rPr>
        <w:t>VDSLx</w:t>
      </w:r>
      <w:proofErr w:type="spellEnd"/>
      <w:r w:rsidRPr="004B3570">
        <w:rPr>
          <w:bCs/>
        </w:rPr>
        <w:t xml:space="preserve"> sh </w:t>
      </w:r>
      <w:proofErr w:type="spellStart"/>
      <w:r w:rsidRPr="004B3570">
        <w:rPr>
          <w:bCs/>
        </w:rPr>
        <w:t>vectoring</w:t>
      </w:r>
      <w:proofErr w:type="spellEnd"/>
      <w:r w:rsidRPr="004B3570">
        <w:rPr>
          <w:bCs/>
        </w:rPr>
        <w:t xml:space="preserve"> (sh Vplus35b) </w:t>
      </w:r>
      <w:r w:rsidR="00AD1150">
        <w:rPr>
          <w:bCs/>
        </w:rPr>
        <w:t>vaskpaar</w:t>
      </w:r>
      <w:r w:rsidRPr="004B3570">
        <w:rPr>
          <w:bCs/>
        </w:rPr>
        <w:t xml:space="preserve">võrguga kaetud (liitumise võimalusega) </w:t>
      </w:r>
      <w:r w:rsidR="002119B6">
        <w:rPr>
          <w:bCs/>
        </w:rPr>
        <w:t>…*</w:t>
      </w:r>
      <w:r w:rsidRPr="004B3570">
        <w:rPr>
          <w:bCs/>
        </w:rPr>
        <w:t xml:space="preserve"> kõigist elu- ja mitteeluruumidest ja Telia </w:t>
      </w:r>
      <w:proofErr w:type="spellStart"/>
      <w:r w:rsidRPr="004B3570">
        <w:rPr>
          <w:bCs/>
        </w:rPr>
        <w:t>ADSLx</w:t>
      </w:r>
      <w:proofErr w:type="spellEnd"/>
      <w:r w:rsidRPr="004B3570">
        <w:rPr>
          <w:bCs/>
        </w:rPr>
        <w:t xml:space="preserve"> </w:t>
      </w:r>
      <w:r w:rsidR="00AD1150">
        <w:rPr>
          <w:bCs/>
        </w:rPr>
        <w:t>vaskpaar</w:t>
      </w:r>
      <w:r w:rsidRPr="004B3570">
        <w:rPr>
          <w:bCs/>
        </w:rPr>
        <w:t xml:space="preserve">võrguga </w:t>
      </w:r>
      <w:r w:rsidR="002119B6">
        <w:rPr>
          <w:bCs/>
        </w:rPr>
        <w:t>…*</w:t>
      </w:r>
      <w:r w:rsidRPr="004B3570">
        <w:rPr>
          <w:bCs/>
        </w:rPr>
        <w:t xml:space="preserve"> 2023 aasta seisuga. </w:t>
      </w:r>
    </w:p>
    <w:p w14:paraId="43D540BE" w14:textId="2A5D5890" w:rsidR="004B3570" w:rsidRPr="003D4491" w:rsidRDefault="004B3570" w:rsidP="004B3570">
      <w:pPr>
        <w:jc w:val="both"/>
        <w:rPr>
          <w:b/>
        </w:rPr>
      </w:pPr>
      <w:r>
        <w:rPr>
          <w:b/>
        </w:rPr>
        <w:t xml:space="preserve">Seega on </w:t>
      </w:r>
      <w:r w:rsidR="009765FF">
        <w:rPr>
          <w:b/>
        </w:rPr>
        <w:t xml:space="preserve">vaskkaabli- ja mobiilisidevõrgu jae internetiühenduste tooteturu puhul </w:t>
      </w:r>
      <w:r>
        <w:rPr>
          <w:b/>
        </w:rPr>
        <w:t xml:space="preserve">kõigis geograafilistes üksustes täidetud </w:t>
      </w:r>
      <w:r w:rsidR="008C159A">
        <w:rPr>
          <w:b/>
        </w:rPr>
        <w:t>ptk.-</w:t>
      </w:r>
      <w:r>
        <w:rPr>
          <w:b/>
        </w:rPr>
        <w:t xml:space="preserve">s 2.3.3 kirjeldatud kõrgema konkurentsiga </w:t>
      </w:r>
      <w:r w:rsidR="00663186">
        <w:rPr>
          <w:b/>
        </w:rPr>
        <w:t xml:space="preserve">tunnustega </w:t>
      </w:r>
      <w:r>
        <w:rPr>
          <w:b/>
        </w:rPr>
        <w:t xml:space="preserve">piirkonna esimene lävend - </w:t>
      </w:r>
      <w:r w:rsidRPr="00735A68">
        <w:rPr>
          <w:b/>
        </w:rPr>
        <w:t xml:space="preserve">vähemalt kahe (2) erineva sideettevõtja internetiühenduse </w:t>
      </w:r>
      <w:r w:rsidR="00F13729">
        <w:rPr>
          <w:b/>
        </w:rPr>
        <w:t xml:space="preserve">kasutamise ehk liitumise </w:t>
      </w:r>
      <w:r w:rsidRPr="00735A68">
        <w:rPr>
          <w:b/>
        </w:rPr>
        <w:t>võimalusega kaetud elu- ja mitteeluruumide on minimaalselt 40%</w:t>
      </w:r>
      <w:r w:rsidR="00F06ADB">
        <w:rPr>
          <w:b/>
        </w:rPr>
        <w:t xml:space="preserve"> -</w:t>
      </w:r>
      <w:r>
        <w:rPr>
          <w:b/>
        </w:rPr>
        <w:t xml:space="preserve"> kuna kõigi</w:t>
      </w:r>
      <w:r w:rsidR="00F13729">
        <w:rPr>
          <w:b/>
        </w:rPr>
        <w:t>s</w:t>
      </w:r>
      <w:r>
        <w:rPr>
          <w:b/>
        </w:rPr>
        <w:t xml:space="preserve"> </w:t>
      </w:r>
      <w:r w:rsidR="00F13729">
        <w:rPr>
          <w:b/>
        </w:rPr>
        <w:t xml:space="preserve">geograafiliste </w:t>
      </w:r>
      <w:r>
        <w:rPr>
          <w:b/>
        </w:rPr>
        <w:t>üksuste</w:t>
      </w:r>
      <w:r w:rsidR="00F13729">
        <w:rPr>
          <w:b/>
        </w:rPr>
        <w:t>s on ca 98%</w:t>
      </w:r>
      <w:r>
        <w:rPr>
          <w:b/>
        </w:rPr>
        <w:t xml:space="preserve"> elu- ja mitteeluruumides võimalik</w:t>
      </w:r>
      <w:r w:rsidR="00F13729">
        <w:rPr>
          <w:b/>
        </w:rPr>
        <w:t xml:space="preserve"> valida vähemalt kolme erineva mobiilsidevõrgu operaatori püsiasukohaga internetiühenduse kasutamise ehk liitumise võimaluse</w:t>
      </w:r>
      <w:r w:rsidR="00663186">
        <w:rPr>
          <w:b/>
        </w:rPr>
        <w:t xml:space="preserve"> vahel</w:t>
      </w:r>
      <w:r w:rsidR="00F13729">
        <w:rPr>
          <w:b/>
        </w:rPr>
        <w:t>.</w:t>
      </w:r>
    </w:p>
    <w:p w14:paraId="3A94A8A8" w14:textId="76882943" w:rsidR="007945AA" w:rsidRDefault="00C45B01" w:rsidP="00AA241E">
      <w:pPr>
        <w:jc w:val="both"/>
      </w:pPr>
      <w:r>
        <w:t xml:space="preserve">Teise kõrgema konkurentsi taseme </w:t>
      </w:r>
      <w:r w:rsidR="00A54349">
        <w:t xml:space="preserve">lävendi </w:t>
      </w:r>
      <w:r w:rsidR="0088556B">
        <w:t xml:space="preserve">- </w:t>
      </w:r>
      <w:r w:rsidRPr="007600EF">
        <w:rPr>
          <w:i/>
          <w:iCs/>
        </w:rPr>
        <w:t>hulgiturgude 1 ja 3b MTE (Telia) jae internetiühendust kasutavate era- ja äriklientide osakaal geograafilise üksuses kõigist vastava geograafilise üksuse jae internetiühendust kasutavatest era- ja äriklientidest on alla 50%</w:t>
      </w:r>
      <w:r w:rsidR="0088556B">
        <w:t xml:space="preserve"> - </w:t>
      </w:r>
      <w:r>
        <w:t xml:space="preserve"> </w:t>
      </w:r>
      <w:r w:rsidR="00A54349">
        <w:t xml:space="preserve">adekvaatne hindamine </w:t>
      </w:r>
      <w:r w:rsidR="005C03AB">
        <w:t>geograafiliste üksuste</w:t>
      </w:r>
      <w:r w:rsidR="00D612B2">
        <w:t xml:space="preserve"> põhiselt</w:t>
      </w:r>
      <w:r w:rsidR="005C03AB">
        <w:t xml:space="preserve"> ei ole võimalik, kuna </w:t>
      </w:r>
      <w:r w:rsidR="007600EF">
        <w:t xml:space="preserve">vastavalt eeltoodu selgitustele ei saa </w:t>
      </w:r>
      <w:r w:rsidR="005C03AB">
        <w:t xml:space="preserve">mobiilsidevõrgu </w:t>
      </w:r>
      <w:r w:rsidR="007B5FDD">
        <w:t xml:space="preserve">püsiasukohaga </w:t>
      </w:r>
      <w:r w:rsidR="005C03AB">
        <w:t xml:space="preserve">internetiühenduste </w:t>
      </w:r>
      <w:r w:rsidR="007B5FDD">
        <w:t xml:space="preserve">kasutamist </w:t>
      </w:r>
      <w:r w:rsidR="004D0825">
        <w:t xml:space="preserve">asukohapõhiselt hinnata, mistõttu ei saa </w:t>
      </w:r>
      <w:r w:rsidR="00076744">
        <w:t xml:space="preserve">geograafilise üksuse põhiselt </w:t>
      </w:r>
      <w:r w:rsidR="004D0825">
        <w:t>adekvaatselt hinnata ka era- ja äriklientide osakaale</w:t>
      </w:r>
      <w:r w:rsidR="00C272B4">
        <w:t xml:space="preserve"> vaskkaabli- ja mobiilsidevõrgu jae</w:t>
      </w:r>
      <w:r w:rsidR="00076744">
        <w:t xml:space="preserve"> internetiühenduste toodete alusel</w:t>
      </w:r>
      <w:r w:rsidR="00D612B2">
        <w:t xml:space="preserve"> ning </w:t>
      </w:r>
      <w:r w:rsidR="000126B2">
        <w:t>teise kõrgema konkurentsi taseme lävendit tuleb hinnata üleriigiliselt</w:t>
      </w:r>
      <w:r w:rsidR="004D0825">
        <w:t>.</w:t>
      </w:r>
    </w:p>
    <w:p w14:paraId="583F79A5" w14:textId="08748F34" w:rsidR="0095323E" w:rsidRDefault="001728CF" w:rsidP="00AA241E">
      <w:pPr>
        <w:jc w:val="both"/>
        <w:rPr>
          <w:b/>
        </w:rPr>
      </w:pPr>
      <w:r>
        <w:rPr>
          <w:b/>
        </w:rPr>
        <w:t>Eeltoodust tulenevalt h</w:t>
      </w:r>
      <w:r w:rsidR="00E2046A">
        <w:rPr>
          <w:b/>
        </w:rPr>
        <w:t>innat</w:t>
      </w:r>
      <w:r>
        <w:rPr>
          <w:b/>
        </w:rPr>
        <w:t>akse</w:t>
      </w:r>
      <w:r w:rsidR="0077723E">
        <w:rPr>
          <w:b/>
        </w:rPr>
        <w:t xml:space="preserve"> </w:t>
      </w:r>
      <w:r w:rsidR="0095323E" w:rsidRPr="003D4491">
        <w:rPr>
          <w:b/>
        </w:rPr>
        <w:t xml:space="preserve">Telia, kui TTJA 2017 hulgituru 1 ja 3b otsuste MTE, jaeklientide internetiühenduste osakaal </w:t>
      </w:r>
      <w:r w:rsidR="00183BEB">
        <w:rPr>
          <w:b/>
          <w:bCs/>
        </w:rPr>
        <w:t>vaskkaabli</w:t>
      </w:r>
      <w:r w:rsidR="0095323E" w:rsidRPr="003D4491">
        <w:rPr>
          <w:b/>
        </w:rPr>
        <w:t xml:space="preserve">- ja </w:t>
      </w:r>
      <w:r w:rsidR="00183BEB">
        <w:rPr>
          <w:b/>
          <w:bCs/>
        </w:rPr>
        <w:t>mobiilsidevõr</w:t>
      </w:r>
      <w:r w:rsidR="0095323E" w:rsidRPr="003D4491">
        <w:rPr>
          <w:b/>
          <w:bCs/>
        </w:rPr>
        <w:t>gu</w:t>
      </w:r>
      <w:r w:rsidR="0095323E" w:rsidRPr="003D4491">
        <w:rPr>
          <w:b/>
        </w:rPr>
        <w:t xml:space="preserve"> tooteturul üleriigilise</w:t>
      </w:r>
      <w:r>
        <w:rPr>
          <w:b/>
        </w:rPr>
        <w:t>lt, ning see oli</w:t>
      </w:r>
      <w:r w:rsidR="0095323E" w:rsidRPr="003D4491">
        <w:rPr>
          <w:b/>
        </w:rPr>
        <w:t xml:space="preserve"> 2022 aastal </w:t>
      </w:r>
      <w:r w:rsidR="002119B6">
        <w:rPr>
          <w:bCs/>
        </w:rPr>
        <w:t>…*</w:t>
      </w:r>
      <w:r w:rsidR="0095323E" w:rsidRPr="003D4491">
        <w:rPr>
          <w:b/>
        </w:rPr>
        <w:t xml:space="preserve"> ja 2023 aastal </w:t>
      </w:r>
      <w:r w:rsidR="002119B6">
        <w:rPr>
          <w:bCs/>
        </w:rPr>
        <w:t>…*</w:t>
      </w:r>
      <w:r w:rsidR="0095323E" w:rsidRPr="003D4491">
        <w:rPr>
          <w:b/>
        </w:rPr>
        <w:t>.</w:t>
      </w:r>
    </w:p>
    <w:p w14:paraId="66E2F1A6" w14:textId="671988C5" w:rsidR="00534F31" w:rsidRPr="003D4491" w:rsidRDefault="00534F31" w:rsidP="00AA241E">
      <w:pPr>
        <w:jc w:val="both"/>
        <w:rPr>
          <w:b/>
        </w:rPr>
      </w:pPr>
      <w:r>
        <w:rPr>
          <w:b/>
        </w:rPr>
        <w:t xml:space="preserve">Seega on </w:t>
      </w:r>
      <w:r w:rsidR="00492E01">
        <w:rPr>
          <w:b/>
        </w:rPr>
        <w:t>vas</w:t>
      </w:r>
      <w:r w:rsidR="009765FF">
        <w:rPr>
          <w:b/>
        </w:rPr>
        <w:t>k</w:t>
      </w:r>
      <w:r w:rsidR="00492E01">
        <w:rPr>
          <w:b/>
        </w:rPr>
        <w:t xml:space="preserve">kaabli- ja mobiilisidevõrgu jae internetiühenduste </w:t>
      </w:r>
      <w:r w:rsidR="00277074">
        <w:rPr>
          <w:b/>
        </w:rPr>
        <w:t xml:space="preserve">tooteturu puhul </w:t>
      </w:r>
      <w:r w:rsidR="008C159A">
        <w:rPr>
          <w:b/>
        </w:rPr>
        <w:t>ptk.-</w:t>
      </w:r>
      <w:r>
        <w:rPr>
          <w:b/>
        </w:rPr>
        <w:t>s 2.3.</w:t>
      </w:r>
      <w:r w:rsidR="00277074">
        <w:rPr>
          <w:b/>
        </w:rPr>
        <w:t>3</w:t>
      </w:r>
      <w:r>
        <w:rPr>
          <w:b/>
        </w:rPr>
        <w:t xml:space="preserve"> kirjeldatud kõrgema konkurentsi</w:t>
      </w:r>
      <w:r w:rsidR="00277074">
        <w:rPr>
          <w:b/>
        </w:rPr>
        <w:t xml:space="preserve"> näitaja</w:t>
      </w:r>
      <w:r>
        <w:rPr>
          <w:b/>
        </w:rPr>
        <w:t xml:space="preserve"> teine lävend - </w:t>
      </w:r>
      <w:r w:rsidRPr="00735A68">
        <w:rPr>
          <w:b/>
        </w:rPr>
        <w:t>hulgiturgude 1 ja 3b MTE (Telia) osutatavate era- ja äriklientide jae internetiühenduste osakaal kogu Eesti maismaa territooriumil kõigi sideettevõtjate poolt osutatavate era- ja äriklientide jae internetiühendustest kogu Eesti maismaa territooriumil on alla 50%</w:t>
      </w:r>
      <w:r w:rsidR="009765FF">
        <w:rPr>
          <w:b/>
        </w:rPr>
        <w:t xml:space="preserve"> -</w:t>
      </w:r>
      <w:r w:rsidR="00F71185">
        <w:rPr>
          <w:b/>
        </w:rPr>
        <w:t xml:space="preserve"> </w:t>
      </w:r>
      <w:r w:rsidR="009765FF">
        <w:rPr>
          <w:b/>
        </w:rPr>
        <w:t>täidetud üleriigiliselt.</w:t>
      </w:r>
    </w:p>
    <w:p w14:paraId="0589D6DC" w14:textId="77777777" w:rsidR="000126B2" w:rsidRDefault="000126B2" w:rsidP="00AA241E">
      <w:pPr>
        <w:jc w:val="both"/>
        <w:rPr>
          <w:u w:val="single"/>
        </w:rPr>
      </w:pPr>
    </w:p>
    <w:p w14:paraId="2DED663C" w14:textId="77777777" w:rsidR="00321BE9" w:rsidRDefault="00321BE9" w:rsidP="00AA241E">
      <w:pPr>
        <w:jc w:val="both"/>
        <w:rPr>
          <w:u w:val="single"/>
        </w:rPr>
      </w:pPr>
    </w:p>
    <w:p w14:paraId="162A9380" w14:textId="3B8F5A59" w:rsidR="0095323E" w:rsidRPr="00674AFC" w:rsidRDefault="0095323E" w:rsidP="00AA241E">
      <w:pPr>
        <w:jc w:val="both"/>
        <w:rPr>
          <w:u w:val="single"/>
        </w:rPr>
      </w:pPr>
      <w:r w:rsidRPr="00674AFC">
        <w:rPr>
          <w:u w:val="single"/>
        </w:rPr>
        <w:t>Hindade võrdlus</w:t>
      </w:r>
    </w:p>
    <w:p w14:paraId="7A693FD5" w14:textId="3771B33C" w:rsidR="0095323E" w:rsidRPr="00674AFC" w:rsidRDefault="0095323E" w:rsidP="00AA241E">
      <w:pPr>
        <w:jc w:val="both"/>
        <w:rPr>
          <w:b/>
        </w:rPr>
      </w:pPr>
      <w:r w:rsidRPr="00674AFC">
        <w:rPr>
          <w:b/>
        </w:rPr>
        <w:lastRenderedPageBreak/>
        <w:t xml:space="preserve">Ükski jae internetiühenduste peamistest osutajatest ei ole rakendanud </w:t>
      </w:r>
      <w:bookmarkStart w:id="405" w:name="_Hlk170908140"/>
      <w:r w:rsidR="00183BEB">
        <w:rPr>
          <w:b/>
          <w:bCs/>
        </w:rPr>
        <w:t>vaskkaabli</w:t>
      </w:r>
      <w:r w:rsidRPr="00674AFC">
        <w:rPr>
          <w:b/>
        </w:rPr>
        <w:t xml:space="preserve">- ja </w:t>
      </w:r>
      <w:r w:rsidR="00183BEB">
        <w:rPr>
          <w:b/>
          <w:bCs/>
        </w:rPr>
        <w:t>mobiilsidevõr</w:t>
      </w:r>
      <w:r w:rsidRPr="00674AFC">
        <w:rPr>
          <w:b/>
          <w:bCs/>
        </w:rPr>
        <w:t>gu</w:t>
      </w:r>
      <w:r w:rsidRPr="00674AFC">
        <w:rPr>
          <w:b/>
        </w:rPr>
        <w:t xml:space="preserve"> </w:t>
      </w:r>
      <w:bookmarkEnd w:id="405"/>
      <w:r w:rsidRPr="00674AFC">
        <w:rPr>
          <w:b/>
        </w:rPr>
        <w:t xml:space="preserve">jae internetiühenduste tooteturul erinevates geograafilistes üksustes erinevaid hindasid. Seetõttu ei ole jaehindadest lähtudes võimalik tuvastada erinevate konkurentsi tasemetega (A ja B) geograafilisi </w:t>
      </w:r>
      <w:r w:rsidR="00BE17B1">
        <w:rPr>
          <w:b/>
        </w:rPr>
        <w:t xml:space="preserve">üksusi </w:t>
      </w:r>
      <w:r w:rsidR="00FF04DA">
        <w:rPr>
          <w:b/>
        </w:rPr>
        <w:t>ja/või piirkondasid</w:t>
      </w:r>
      <w:r w:rsidRPr="00674AFC">
        <w:rPr>
          <w:b/>
        </w:rPr>
        <w:t xml:space="preserve"> </w:t>
      </w:r>
      <w:r w:rsidR="00183BEB">
        <w:rPr>
          <w:b/>
          <w:bCs/>
        </w:rPr>
        <w:t>vaskkaabli</w:t>
      </w:r>
      <w:r w:rsidRPr="00674AFC">
        <w:rPr>
          <w:b/>
        </w:rPr>
        <w:t xml:space="preserve">- ja </w:t>
      </w:r>
      <w:r w:rsidR="00183BEB">
        <w:rPr>
          <w:b/>
          <w:bCs/>
        </w:rPr>
        <w:t>mobiilsidevõr</w:t>
      </w:r>
      <w:r w:rsidRPr="00674AFC">
        <w:rPr>
          <w:b/>
          <w:bCs/>
        </w:rPr>
        <w:t>gu</w:t>
      </w:r>
      <w:r w:rsidRPr="00674AFC">
        <w:rPr>
          <w:b/>
        </w:rPr>
        <w:t xml:space="preserve"> jae internetiühenduste tooteturul.</w:t>
      </w:r>
    </w:p>
    <w:p w14:paraId="32C2C045" w14:textId="77777777" w:rsidR="0095323E" w:rsidRPr="00674AFC" w:rsidRDefault="0095323E" w:rsidP="00AA241E">
      <w:pPr>
        <w:jc w:val="both"/>
        <w:rPr>
          <w:u w:val="single"/>
        </w:rPr>
      </w:pPr>
      <w:r w:rsidRPr="00674AFC">
        <w:rPr>
          <w:u w:val="single"/>
        </w:rPr>
        <w:t>Teenuste tingimuste võrdlus</w:t>
      </w:r>
    </w:p>
    <w:p w14:paraId="7456F480" w14:textId="77777777" w:rsidR="0095323E" w:rsidRPr="006E317E" w:rsidRDefault="0095323E" w:rsidP="00AA241E">
      <w:pPr>
        <w:jc w:val="both"/>
      </w:pPr>
      <w:r w:rsidRPr="006E317E">
        <w:t xml:space="preserve">Ka internetiühenduste teenuste tingimuste poolest võivad piirkonnad erineda. Näiteks võib mõnes piirkonnas olla suurem nõudlus teenuse mõne spetsiifilise kvaliteedi või lisateenuste järele, näiteks </w:t>
      </w:r>
      <w:proofErr w:type="spellStart"/>
      <w:r w:rsidRPr="006E317E">
        <w:t>paketeeritud</w:t>
      </w:r>
      <w:proofErr w:type="spellEnd"/>
      <w:r w:rsidRPr="006E317E">
        <w:t xml:space="preserve"> teenuste osas. Sellised nõudluse erinevused võivad tuleneda ka sideettevõtjate erinevatest turundusstrateegiatest erinevates piirkondades. See omakorda võib mõjutada ka piirkondade konkurentsitingimusi.</w:t>
      </w:r>
    </w:p>
    <w:p w14:paraId="46EEBFBF" w14:textId="10BA38BD" w:rsidR="0095323E" w:rsidRPr="00674AFC" w:rsidRDefault="0095323E" w:rsidP="00AA241E">
      <w:pPr>
        <w:jc w:val="both"/>
        <w:rPr>
          <w:b/>
        </w:rPr>
      </w:pPr>
      <w:r w:rsidRPr="00674AFC">
        <w:rPr>
          <w:b/>
        </w:rPr>
        <w:t xml:space="preserve">TTJA hinnangul ei erista sideettevõtjad </w:t>
      </w:r>
      <w:r w:rsidR="00183BEB">
        <w:rPr>
          <w:b/>
          <w:bCs/>
        </w:rPr>
        <w:t>vaskkaabli</w:t>
      </w:r>
      <w:r w:rsidRPr="00674AFC">
        <w:rPr>
          <w:b/>
        </w:rPr>
        <w:t xml:space="preserve">- ja </w:t>
      </w:r>
      <w:r w:rsidR="00183BEB">
        <w:rPr>
          <w:b/>
          <w:bCs/>
        </w:rPr>
        <w:t>mobiilsidevõr</w:t>
      </w:r>
      <w:r w:rsidRPr="00674AFC">
        <w:rPr>
          <w:b/>
          <w:bCs/>
        </w:rPr>
        <w:t>gu</w:t>
      </w:r>
      <w:r w:rsidRPr="00674AFC">
        <w:rPr>
          <w:b/>
        </w:rPr>
        <w:t xml:space="preserve"> jae internetiühenduste tooteturul teenuste tingimusi, sh pakutavat kvaliteeti või pakutavaid pakette geograafiliste </w:t>
      </w:r>
      <w:r w:rsidR="00FF04DA">
        <w:rPr>
          <w:b/>
        </w:rPr>
        <w:t xml:space="preserve">üksuste ja/või </w:t>
      </w:r>
      <w:r w:rsidRPr="00674AFC">
        <w:rPr>
          <w:b/>
        </w:rPr>
        <w:t>piirkondade alusel. Samuti ei ole TTJA-</w:t>
      </w:r>
      <w:proofErr w:type="spellStart"/>
      <w:r w:rsidRPr="00674AFC">
        <w:rPr>
          <w:b/>
        </w:rPr>
        <w:t>le</w:t>
      </w:r>
      <w:proofErr w:type="spellEnd"/>
      <w:r w:rsidRPr="00674AFC">
        <w:rPr>
          <w:b/>
        </w:rPr>
        <w:t xml:space="preserve"> teada sideettevõtjaid, kes viiksid läbi piirkondlikult erinevaid turundusstrateegiaid, pigem on turundus üle Eestiliselt ühetaoline. Seetõttu ei ole teenuste tingimuste võrdlusest lähtudes võimalik tuvastada erinevate konkurentsi tasemetega (A ja B) geograafilisi </w:t>
      </w:r>
      <w:r w:rsidR="00114F1E">
        <w:rPr>
          <w:b/>
        </w:rPr>
        <w:t xml:space="preserve">üksusi ja/või </w:t>
      </w:r>
      <w:r w:rsidRPr="00674AFC">
        <w:rPr>
          <w:b/>
        </w:rPr>
        <w:t xml:space="preserve">piirkondasid </w:t>
      </w:r>
      <w:r w:rsidR="00183BEB">
        <w:rPr>
          <w:b/>
          <w:bCs/>
        </w:rPr>
        <w:t>vaskkaabli</w:t>
      </w:r>
      <w:r w:rsidRPr="00674AFC">
        <w:rPr>
          <w:b/>
        </w:rPr>
        <w:t xml:space="preserve">- ja </w:t>
      </w:r>
      <w:r w:rsidR="00183BEB">
        <w:rPr>
          <w:b/>
          <w:bCs/>
        </w:rPr>
        <w:t>mobiilsidevõr</w:t>
      </w:r>
      <w:r w:rsidRPr="00674AFC">
        <w:rPr>
          <w:b/>
          <w:bCs/>
        </w:rPr>
        <w:t>gu</w:t>
      </w:r>
      <w:r w:rsidRPr="00674AFC">
        <w:rPr>
          <w:b/>
        </w:rPr>
        <w:t xml:space="preserve"> jae internetiühenduste tooteturul.</w:t>
      </w:r>
    </w:p>
    <w:p w14:paraId="503ED5EE" w14:textId="77777777" w:rsidR="0095323E" w:rsidRPr="00674AFC" w:rsidRDefault="0095323E" w:rsidP="00AA241E">
      <w:pPr>
        <w:jc w:val="both"/>
        <w:rPr>
          <w:u w:val="single"/>
        </w:rPr>
      </w:pPr>
      <w:r w:rsidRPr="00674AFC">
        <w:rPr>
          <w:u w:val="single"/>
        </w:rPr>
        <w:t>Teenuste vahetuste või lõpetamise võrdlus</w:t>
      </w:r>
    </w:p>
    <w:p w14:paraId="15A1F99C" w14:textId="77777777" w:rsidR="0095323E" w:rsidRPr="006E317E" w:rsidRDefault="0095323E" w:rsidP="00AA241E">
      <w:pPr>
        <w:jc w:val="both"/>
      </w:pPr>
      <w:r w:rsidRPr="006E317E">
        <w:t>Sarnaselt võivad erinevad teenuse vahetuse ja lõpetamise tingimused erinevates piirkondades tekitada erinevate konkurentsitingimustega piirkondi. Näiteks, kui mõnes piirkonnas on internetiühenduse teenuse pakkuja vahetamine oluliselt aeganõudvam ja keerulisem protseduur kui teises.</w:t>
      </w:r>
    </w:p>
    <w:p w14:paraId="01F1899A" w14:textId="77777777" w:rsidR="0095323E" w:rsidRPr="006E317E" w:rsidRDefault="0095323E" w:rsidP="00AA241E">
      <w:pPr>
        <w:jc w:val="both"/>
      </w:pPr>
      <w:r w:rsidRPr="006E317E">
        <w:t>ESS § 96 lõike kohaselt (rakendub üle Eestiliselt) ei tohi tarbijaga sõlmitava tähtajalise sideteenuse leping, välja arvatud numbrivaba isikutevahelise side teenuse ja masinate vahelise side teenuse leping, kesta kauem kui kaks aastat. Seega on lepingute lõpetamise tingimused üle Eestiliselt ühetaolised. Samuti ei oma pikaajalised lepingud mõju internetiühenduse nõudluse asendatavusel, kuna puuduvad sedavõrd pikaajalised internetiühenduse lepingud, et lõppkasutajatel ei oleks võimalik vahetada internetiühenduse teenuse pakkujat ja/või tehnoloogiat järgmise turuanalüüsini kestva perioodi jooksul (ehk järgmise viie aasta jooksul).</w:t>
      </w:r>
    </w:p>
    <w:p w14:paraId="2A3887B4" w14:textId="5CACC19C" w:rsidR="0095323E" w:rsidRPr="006E317E" w:rsidRDefault="0095323E" w:rsidP="00AA241E">
      <w:pPr>
        <w:jc w:val="both"/>
      </w:pPr>
      <w:r w:rsidRPr="00674AFC">
        <w:rPr>
          <w:b/>
        </w:rPr>
        <w:t xml:space="preserve">Eeltoodust tulenevalt ei rakenda sideettevõtjad piirkondlike erisusi internetiühenduse jaeteenuse vahetuse ja lõpetamise osas, mistõttu ei ole sellest lähtudes võimalik tuvastada erinevate konkurentsi tasemetega (A ja B) geograafilisi </w:t>
      </w:r>
      <w:r w:rsidR="00114F1E">
        <w:rPr>
          <w:b/>
        </w:rPr>
        <w:t xml:space="preserve">üksusi ja/või </w:t>
      </w:r>
      <w:r w:rsidRPr="00674AFC">
        <w:rPr>
          <w:b/>
        </w:rPr>
        <w:t xml:space="preserve">piirkondasid </w:t>
      </w:r>
      <w:r w:rsidR="00183BEB">
        <w:rPr>
          <w:b/>
          <w:bCs/>
        </w:rPr>
        <w:t>vaskkaabli</w:t>
      </w:r>
      <w:r w:rsidRPr="00674AFC">
        <w:rPr>
          <w:b/>
        </w:rPr>
        <w:t xml:space="preserve">- ja </w:t>
      </w:r>
      <w:r w:rsidR="00183BEB">
        <w:rPr>
          <w:b/>
          <w:bCs/>
        </w:rPr>
        <w:t>mobiilsidevõr</w:t>
      </w:r>
      <w:r w:rsidRPr="00674AFC">
        <w:rPr>
          <w:b/>
          <w:bCs/>
        </w:rPr>
        <w:t>gu</w:t>
      </w:r>
      <w:r w:rsidRPr="00674AFC">
        <w:rPr>
          <w:b/>
        </w:rPr>
        <w:t xml:space="preserve"> internetiühenduste tooteturul</w:t>
      </w:r>
      <w:r w:rsidRPr="006E317E">
        <w:t>.</w:t>
      </w:r>
    </w:p>
    <w:p w14:paraId="6253663C" w14:textId="7A9775B2" w:rsidR="000A28B4" w:rsidRPr="00BA5AA2" w:rsidRDefault="000A28B4" w:rsidP="00EB0374">
      <w:pPr>
        <w:jc w:val="both"/>
        <w:rPr>
          <w:u w:val="single"/>
        </w:rPr>
      </w:pPr>
      <w:r w:rsidRPr="00BA5AA2">
        <w:rPr>
          <w:u w:val="single"/>
        </w:rPr>
        <w:t>Kokkuvõte</w:t>
      </w:r>
    </w:p>
    <w:p w14:paraId="3660725E" w14:textId="284C2D1C" w:rsidR="000A28B4" w:rsidRDefault="000A28B4" w:rsidP="00EB0374">
      <w:pPr>
        <w:jc w:val="both"/>
        <w:rPr>
          <w:b/>
          <w:bCs/>
        </w:rPr>
      </w:pPr>
      <w:r w:rsidRPr="00BA5AA2">
        <w:rPr>
          <w:b/>
          <w:bCs/>
        </w:rPr>
        <w:lastRenderedPageBreak/>
        <w:t xml:space="preserve">Eeltoodust tulenevalt </w:t>
      </w:r>
      <w:r w:rsidR="00BA5AA2" w:rsidRPr="00BA5AA2">
        <w:rPr>
          <w:b/>
          <w:bCs/>
        </w:rPr>
        <w:t xml:space="preserve">on </w:t>
      </w:r>
      <w:r w:rsidR="00183BEB">
        <w:rPr>
          <w:b/>
          <w:bCs/>
        </w:rPr>
        <w:t>vaskkaabli</w:t>
      </w:r>
      <w:r w:rsidR="00BA5AA2" w:rsidRPr="00BA5AA2">
        <w:rPr>
          <w:b/>
          <w:bCs/>
        </w:rPr>
        <w:t xml:space="preserve">- ja </w:t>
      </w:r>
      <w:r w:rsidR="00183BEB">
        <w:rPr>
          <w:b/>
          <w:bCs/>
        </w:rPr>
        <w:t>mobiilsidevõr</w:t>
      </w:r>
      <w:r w:rsidR="00BA5AA2" w:rsidRPr="00BA5AA2">
        <w:rPr>
          <w:b/>
          <w:bCs/>
        </w:rPr>
        <w:t>gu jae internetiühenduste tooteturu geograafiline piirkond kogu Eesti maismaa territoorium ehk üleriigiline</w:t>
      </w:r>
      <w:r w:rsidR="00CA2DE1">
        <w:rPr>
          <w:b/>
          <w:bCs/>
        </w:rPr>
        <w:t xml:space="preserve"> ja </w:t>
      </w:r>
      <w:r w:rsidR="00663186">
        <w:rPr>
          <w:b/>
          <w:bCs/>
        </w:rPr>
        <w:t xml:space="preserve">sellel </w:t>
      </w:r>
      <w:r w:rsidR="009325EE">
        <w:rPr>
          <w:b/>
          <w:bCs/>
        </w:rPr>
        <w:t xml:space="preserve">turul </w:t>
      </w:r>
      <w:r w:rsidR="00ED36DA">
        <w:rPr>
          <w:b/>
          <w:bCs/>
        </w:rPr>
        <w:t xml:space="preserve">on </w:t>
      </w:r>
      <w:r w:rsidR="008C159A">
        <w:rPr>
          <w:b/>
          <w:bCs/>
        </w:rPr>
        <w:t>ptk.-</w:t>
      </w:r>
      <w:r w:rsidR="009325EE">
        <w:rPr>
          <w:b/>
          <w:bCs/>
        </w:rPr>
        <w:t xml:space="preserve">s 2.3.3 kirjeldatud kõrgema konkurentsi </w:t>
      </w:r>
      <w:r w:rsidR="00663186">
        <w:rPr>
          <w:b/>
          <w:bCs/>
        </w:rPr>
        <w:t>tunnused</w:t>
      </w:r>
      <w:r w:rsidRPr="009325EE">
        <w:rPr>
          <w:b/>
          <w:bCs/>
        </w:rPr>
        <w:t>.</w:t>
      </w:r>
    </w:p>
    <w:p w14:paraId="4E301106" w14:textId="77777777" w:rsidR="00ED36DA" w:rsidRPr="009325EE" w:rsidRDefault="00ED36DA" w:rsidP="00EB0374">
      <w:pPr>
        <w:jc w:val="both"/>
        <w:rPr>
          <w:b/>
          <w:bCs/>
        </w:rPr>
      </w:pPr>
    </w:p>
    <w:p w14:paraId="27FC1CCE" w14:textId="77777777" w:rsidR="009C537E" w:rsidRPr="009C537E" w:rsidRDefault="009C537E" w:rsidP="00AA241E">
      <w:pPr>
        <w:pStyle w:val="Loendilik"/>
        <w:keepNext/>
        <w:keepLines/>
        <w:numPr>
          <w:ilvl w:val="0"/>
          <w:numId w:val="57"/>
        </w:numPr>
        <w:tabs>
          <w:tab w:val="left" w:pos="1985"/>
        </w:tabs>
        <w:spacing w:after="0"/>
        <w:contextualSpacing w:val="0"/>
        <w:jc w:val="both"/>
        <w:outlineLvl w:val="3"/>
        <w:rPr>
          <w:rFonts w:eastAsiaTheme="majorEastAsia" w:cstheme="majorBidi"/>
          <w:i/>
          <w:iCs/>
          <w:vanish/>
          <w:lang w:eastAsia="en-US"/>
        </w:rPr>
      </w:pPr>
      <w:bookmarkStart w:id="406" w:name="_Toc170888955"/>
    </w:p>
    <w:p w14:paraId="606F7899" w14:textId="77777777" w:rsidR="009C537E" w:rsidRPr="009C537E" w:rsidRDefault="009C537E" w:rsidP="00AA241E">
      <w:pPr>
        <w:pStyle w:val="Loendilik"/>
        <w:keepNext/>
        <w:keepLines/>
        <w:numPr>
          <w:ilvl w:val="0"/>
          <w:numId w:val="57"/>
        </w:numPr>
        <w:tabs>
          <w:tab w:val="left" w:pos="1985"/>
        </w:tabs>
        <w:spacing w:after="0"/>
        <w:contextualSpacing w:val="0"/>
        <w:jc w:val="both"/>
        <w:outlineLvl w:val="3"/>
        <w:rPr>
          <w:rFonts w:eastAsiaTheme="majorEastAsia" w:cstheme="majorBidi"/>
          <w:i/>
          <w:iCs/>
          <w:vanish/>
          <w:lang w:eastAsia="en-US"/>
        </w:rPr>
      </w:pPr>
    </w:p>
    <w:p w14:paraId="51FA2173" w14:textId="77777777" w:rsidR="009C537E" w:rsidRPr="009C537E" w:rsidRDefault="009C537E" w:rsidP="00AA241E">
      <w:pPr>
        <w:pStyle w:val="Loendilik"/>
        <w:keepNext/>
        <w:keepLines/>
        <w:numPr>
          <w:ilvl w:val="1"/>
          <w:numId w:val="57"/>
        </w:numPr>
        <w:tabs>
          <w:tab w:val="left" w:pos="1985"/>
        </w:tabs>
        <w:spacing w:after="0"/>
        <w:contextualSpacing w:val="0"/>
        <w:jc w:val="both"/>
        <w:outlineLvl w:val="3"/>
        <w:rPr>
          <w:rFonts w:eastAsiaTheme="majorEastAsia" w:cstheme="majorBidi"/>
          <w:i/>
          <w:iCs/>
          <w:vanish/>
          <w:lang w:eastAsia="en-US"/>
        </w:rPr>
      </w:pPr>
    </w:p>
    <w:p w14:paraId="12A36C91" w14:textId="77777777" w:rsidR="009C537E" w:rsidRPr="009C537E" w:rsidRDefault="009C537E" w:rsidP="00AA241E">
      <w:pPr>
        <w:pStyle w:val="Loendilik"/>
        <w:keepNext/>
        <w:keepLines/>
        <w:numPr>
          <w:ilvl w:val="2"/>
          <w:numId w:val="57"/>
        </w:numPr>
        <w:tabs>
          <w:tab w:val="left" w:pos="1985"/>
        </w:tabs>
        <w:spacing w:after="0"/>
        <w:contextualSpacing w:val="0"/>
        <w:jc w:val="both"/>
        <w:outlineLvl w:val="3"/>
        <w:rPr>
          <w:rFonts w:eastAsiaTheme="majorEastAsia" w:cstheme="majorBidi"/>
          <w:i/>
          <w:iCs/>
          <w:vanish/>
          <w:lang w:eastAsia="en-US"/>
        </w:rPr>
      </w:pPr>
    </w:p>
    <w:p w14:paraId="6F509335" w14:textId="77777777" w:rsidR="009C537E" w:rsidRPr="009C537E" w:rsidRDefault="009C537E" w:rsidP="00AA241E">
      <w:pPr>
        <w:pStyle w:val="Loendilik"/>
        <w:keepNext/>
        <w:keepLines/>
        <w:numPr>
          <w:ilvl w:val="2"/>
          <w:numId w:val="57"/>
        </w:numPr>
        <w:tabs>
          <w:tab w:val="left" w:pos="1985"/>
        </w:tabs>
        <w:spacing w:after="0"/>
        <w:contextualSpacing w:val="0"/>
        <w:jc w:val="both"/>
        <w:outlineLvl w:val="3"/>
        <w:rPr>
          <w:rFonts w:eastAsiaTheme="majorEastAsia" w:cstheme="majorBidi"/>
          <w:i/>
          <w:iCs/>
          <w:vanish/>
          <w:lang w:eastAsia="en-US"/>
        </w:rPr>
      </w:pPr>
    </w:p>
    <w:p w14:paraId="1FAFB477" w14:textId="270DEFD0" w:rsidR="0095323E" w:rsidRPr="006E317E" w:rsidRDefault="00A3232C" w:rsidP="009805E1">
      <w:pPr>
        <w:pStyle w:val="Pealkiri3"/>
      </w:pPr>
      <w:bookmarkStart w:id="407" w:name="_Toc174710740"/>
      <w:r>
        <w:t>Valguskaabelvõrgu</w:t>
      </w:r>
      <w:r w:rsidR="0095323E" w:rsidRPr="006E317E">
        <w:t xml:space="preserve"> jae internetiühenduste tooteturu </w:t>
      </w:r>
      <w:r w:rsidR="00F12409">
        <w:t xml:space="preserve">geograafiliste üksuste rühmitamine ja </w:t>
      </w:r>
      <w:r w:rsidR="0095323E" w:rsidRPr="006E317E">
        <w:t xml:space="preserve">geograafilise piirkonna </w:t>
      </w:r>
      <w:bookmarkEnd w:id="406"/>
      <w:r w:rsidR="00306656">
        <w:t>piiritlemine</w:t>
      </w:r>
      <w:bookmarkEnd w:id="407"/>
    </w:p>
    <w:p w14:paraId="39B348C6" w14:textId="77777777" w:rsidR="00A045B2" w:rsidRDefault="00A045B2" w:rsidP="00AA241E">
      <w:pPr>
        <w:jc w:val="both"/>
      </w:pPr>
    </w:p>
    <w:p w14:paraId="045063E3" w14:textId="6F0989B7" w:rsidR="0095323E" w:rsidRPr="00F6521E" w:rsidRDefault="00FB04CF" w:rsidP="00AA241E">
      <w:pPr>
        <w:jc w:val="both"/>
        <w:rPr>
          <w:b/>
        </w:rPr>
      </w:pPr>
      <w:r>
        <w:t>Tuginedes p</w:t>
      </w:r>
      <w:r w:rsidR="0095323E" w:rsidRPr="006E317E">
        <w:t xml:space="preserve">eatükis </w:t>
      </w:r>
      <w:r w:rsidR="009D3F5B">
        <w:t>2</w:t>
      </w:r>
      <w:r w:rsidR="0095323E" w:rsidRPr="006E317E">
        <w:t>.3.</w:t>
      </w:r>
      <w:r w:rsidR="00E34A26">
        <w:t>3</w:t>
      </w:r>
      <w:r w:rsidR="0095323E" w:rsidRPr="006E317E">
        <w:t xml:space="preserve"> toodud </w:t>
      </w:r>
      <w:r w:rsidR="00BD2B20" w:rsidRPr="00BD2B20">
        <w:t>geograafilise üksuse ja/või piirkonna kõrgema konkurentsi taseme tunnuse</w:t>
      </w:r>
      <w:r w:rsidR="00BD2B20">
        <w:t>st</w:t>
      </w:r>
      <w:r w:rsidR="00BD2B20" w:rsidRPr="00BD2B20">
        <w:t xml:space="preserve"> </w:t>
      </w:r>
      <w:r w:rsidR="0095323E" w:rsidRPr="00F6521E">
        <w:rPr>
          <w:b/>
        </w:rPr>
        <w:t xml:space="preserve">jaotuvad valguskaabelvõrgu jae internetiühenduste tooteturul 10 </w:t>
      </w:r>
      <w:r w:rsidR="00F6521E" w:rsidRPr="00F6521E">
        <w:rPr>
          <w:b/>
          <w:bCs/>
        </w:rPr>
        <w:t>geograafilist üksust</w:t>
      </w:r>
      <w:r w:rsidR="0095323E" w:rsidRPr="00F6521E">
        <w:rPr>
          <w:b/>
        </w:rPr>
        <w:t xml:space="preserve"> kõrgema konkurentsiga</w:t>
      </w:r>
      <w:r w:rsidR="00F12409">
        <w:rPr>
          <w:b/>
        </w:rPr>
        <w:t xml:space="preserve"> tunnustega</w:t>
      </w:r>
      <w:r w:rsidR="0095323E" w:rsidRPr="00F6521E">
        <w:rPr>
          <w:b/>
        </w:rPr>
        <w:t xml:space="preserve"> geograafilisse piirkonda A ja 38 </w:t>
      </w:r>
      <w:r w:rsidR="00950A27">
        <w:rPr>
          <w:b/>
          <w:bCs/>
        </w:rPr>
        <w:t>geograafilist üksust</w:t>
      </w:r>
      <w:r w:rsidR="0095323E" w:rsidRPr="00F6521E">
        <w:rPr>
          <w:b/>
        </w:rPr>
        <w:t xml:space="preserve"> madalama konkurentsiga</w:t>
      </w:r>
      <w:r w:rsidR="00F12409">
        <w:rPr>
          <w:b/>
        </w:rPr>
        <w:t xml:space="preserve"> tunnustega</w:t>
      </w:r>
      <w:r w:rsidR="0095323E" w:rsidRPr="00F6521E">
        <w:rPr>
          <w:b/>
        </w:rPr>
        <w:t xml:space="preserve"> geograafilisse piirkonda B, täpsemalt vt Tabel </w:t>
      </w:r>
      <w:r w:rsidR="00EF569D" w:rsidRPr="00F6521E">
        <w:rPr>
          <w:b/>
        </w:rPr>
        <w:t xml:space="preserve">9 ja </w:t>
      </w:r>
      <w:r w:rsidR="00813880" w:rsidRPr="00F6521E">
        <w:rPr>
          <w:b/>
        </w:rPr>
        <w:t>10</w:t>
      </w:r>
      <w:r w:rsidR="00EF569D" w:rsidRPr="00F6521E">
        <w:rPr>
          <w:b/>
        </w:rPr>
        <w:t>.</w:t>
      </w:r>
    </w:p>
    <w:p w14:paraId="1B14AD4B" w14:textId="600161AE" w:rsidR="0095323E" w:rsidRPr="006E317E" w:rsidRDefault="00A3232C" w:rsidP="00AA241E">
      <w:pPr>
        <w:jc w:val="both"/>
      </w:pPr>
      <w:r>
        <w:t>Valguskaabelvõrgu</w:t>
      </w:r>
      <w:r w:rsidR="0095323E" w:rsidRPr="006E317E">
        <w:t xml:space="preserve"> jae internetiühenduste tooteturu A piirkonna kõigis kümnes (10) </w:t>
      </w:r>
      <w:r w:rsidR="00950A27">
        <w:t>geograafilises üksuses</w:t>
      </w:r>
      <w:r w:rsidR="0095323E" w:rsidRPr="006E317E">
        <w:t xml:space="preserve"> on vähemalt 40% (2023 aasta andmetel keskmiselt 67%) elu- ja mitteeluruumides võimalik valguskaabelvõrgu baasil liituda vähemalt kahe (2) erineva sideettevõtja internetiühendusega ja hulgiturgude MTE (Telia) jaeklientide internetiühenduste osakaal on alla 50% (2023 aasta andmetel keskmiselt </w:t>
      </w:r>
      <w:r w:rsidR="002119B6">
        <w:rPr>
          <w:bCs/>
        </w:rPr>
        <w:t>…*</w:t>
      </w:r>
      <w:r w:rsidR="0095323E" w:rsidRPr="006E317E">
        <w:t xml:space="preserve">), vt alltoodud Tabel </w:t>
      </w:r>
      <w:r w:rsidR="00813880">
        <w:t>9</w:t>
      </w:r>
      <w:r w:rsidR="0044708A">
        <w:t xml:space="preserve">. </w:t>
      </w:r>
      <w:r w:rsidR="00CC691A">
        <w:t>A</w:t>
      </w:r>
      <w:r w:rsidR="006D52DF" w:rsidRPr="00A96189">
        <w:t xml:space="preserve"> piirkond hõlmab 0,5% Eesti maismaast ning 31% elanikkonnast ning 29% elu- ja mitteeluruume.</w:t>
      </w:r>
    </w:p>
    <w:p w14:paraId="1EFBBB81" w14:textId="76DA60C4" w:rsidR="0095323E" w:rsidRPr="006E317E" w:rsidRDefault="002119B6" w:rsidP="00AA241E">
      <w:pPr>
        <w:jc w:val="both"/>
      </w:pPr>
      <w:r>
        <w:rPr>
          <w:noProof/>
        </w:rPr>
        <w:lastRenderedPageBreak/>
        <w:drawing>
          <wp:inline distT="0" distB="0" distL="0" distR="0" wp14:anchorId="7FDFBC46" wp14:editId="2EB1D237">
            <wp:extent cx="5944235" cy="4048125"/>
            <wp:effectExtent l="0" t="0" r="0" b="9525"/>
            <wp:docPr id="362147798"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4048125"/>
                    </a:xfrm>
                    <a:prstGeom prst="rect">
                      <a:avLst/>
                    </a:prstGeom>
                    <a:noFill/>
                  </pic:spPr>
                </pic:pic>
              </a:graphicData>
            </a:graphic>
          </wp:inline>
        </w:drawing>
      </w:r>
    </w:p>
    <w:p w14:paraId="3A5509D9" w14:textId="0EC6D1DE" w:rsidR="0095323E" w:rsidRPr="006E317E" w:rsidRDefault="00EC33F1" w:rsidP="00AA241E">
      <w:pPr>
        <w:pStyle w:val="Pealdis"/>
        <w:jc w:val="both"/>
      </w:pPr>
      <w:r>
        <w:t xml:space="preserve">Tabel </w:t>
      </w:r>
      <w:r>
        <w:fldChar w:fldCharType="begin"/>
      </w:r>
      <w:r>
        <w:instrText xml:space="preserve"> SEQ Tabel \* ARABIC </w:instrText>
      </w:r>
      <w:r>
        <w:fldChar w:fldCharType="separate"/>
      </w:r>
      <w:r w:rsidR="00247D84">
        <w:rPr>
          <w:noProof/>
        </w:rPr>
        <w:t>9</w:t>
      </w:r>
      <w:r>
        <w:fldChar w:fldCharType="end"/>
      </w:r>
      <w:r>
        <w:t xml:space="preserve">  </w:t>
      </w:r>
      <w:r w:rsidR="0095323E" w:rsidRPr="006E317E">
        <w:t xml:space="preserve">Kõrgema konkurentsiga </w:t>
      </w:r>
      <w:r w:rsidR="00F12409">
        <w:t xml:space="preserve">tunnustega </w:t>
      </w:r>
      <w:r w:rsidR="0095323E" w:rsidRPr="006E317E">
        <w:t xml:space="preserve">internetiühenduste jaeturu geograafilisse piirkonna A määratlemine tuginedes elu- ja mitteeluruumides </w:t>
      </w:r>
      <w:r w:rsidR="00A3232C">
        <w:t>valguskaabelvõrgu</w:t>
      </w:r>
      <w:r w:rsidR="0095323E" w:rsidRPr="006E317E">
        <w:t xml:space="preserve"> baasil erinevate sideettevõtjate internetiühendustega liitumise võimaluste ja Telia jaeklientide internetiühenduste osakaalu näitajatele ja lävenditele, 2023 aasta andmetel. Lahtri roheline värvus näitab, et kõrgema konkurentsi näitaja lävend on täidetud.</w:t>
      </w:r>
    </w:p>
    <w:p w14:paraId="6B67AD56" w14:textId="67B76FE3" w:rsidR="0095323E" w:rsidRPr="006E317E" w:rsidRDefault="00A3232C" w:rsidP="00AA241E">
      <w:pPr>
        <w:jc w:val="both"/>
      </w:pPr>
      <w:r>
        <w:t>Valguskaabelvõrgu</w:t>
      </w:r>
      <w:r w:rsidR="0095323E" w:rsidRPr="006E317E">
        <w:t xml:space="preserve"> jae internetiühenduste tooteturu B piirkonnas kõigis kolmekümne kaheksas (38) geograafilises üksuses ei ole täidetud üks kahest või mõlemad tingimused: vähemalt 40% elu- ja mitteeluruumides võimalik valguskaabelvõrgu baasil liituda vähemalt kahe (2) erineva sideettevõtja internetiühendusega ja hulgiturgude MTE (Telia) jaeklientide internetiühenduste osakaal on alla 50%. B piirkonna geograafilistes üksustes on võimalik valguskaabelvõrgu baasil liituda vähemalt kahe (2) erineva sideettevõtja internetiühendusega keskmiselt 20% elu- ja mitteeluruumides ja hulgiturgude MTE (Telia) jaeklientide internetiühenduste osakaal on keskmiselt </w:t>
      </w:r>
      <w:r w:rsidR="002119B6">
        <w:t>…*</w:t>
      </w:r>
      <w:r w:rsidR="0095323E" w:rsidRPr="006E317E">
        <w:t>%, vt alltoodud Tab</w:t>
      </w:r>
      <w:r w:rsidR="580D3F7D" w:rsidRPr="006E317E">
        <w:t>e</w:t>
      </w:r>
      <w:r w:rsidR="0095323E" w:rsidRPr="006E317E">
        <w:t xml:space="preserve">l </w:t>
      </w:r>
      <w:r w:rsidR="009D4067">
        <w:t>10</w:t>
      </w:r>
      <w:r w:rsidR="0095323E" w:rsidRPr="006E317E">
        <w:t>.</w:t>
      </w:r>
      <w:r w:rsidR="0044708A">
        <w:t xml:space="preserve"> </w:t>
      </w:r>
      <w:r w:rsidR="007123A3" w:rsidRPr="007123A3">
        <w:t>B-</w:t>
      </w:r>
      <w:r w:rsidR="007123A3">
        <w:t>piirkond</w:t>
      </w:r>
      <w:r w:rsidR="007123A3" w:rsidRPr="007123A3">
        <w:t xml:space="preserve"> hõlmab 99,5% Eesti maismaast ning seal elab 69% elanikkonnast ning 71% elu- ja mitteeluruumidest</w:t>
      </w:r>
      <w:r w:rsidR="007123A3">
        <w:t>.</w:t>
      </w:r>
    </w:p>
    <w:p w14:paraId="03719E7A" w14:textId="26F2D0CB" w:rsidR="0095323E" w:rsidRPr="006E317E" w:rsidRDefault="002119B6" w:rsidP="00AA241E">
      <w:pPr>
        <w:jc w:val="both"/>
      </w:pPr>
      <w:r>
        <w:rPr>
          <w:noProof/>
        </w:rPr>
        <w:lastRenderedPageBreak/>
        <w:drawing>
          <wp:inline distT="0" distB="0" distL="0" distR="0" wp14:anchorId="42C55F09" wp14:editId="30D2EDA0">
            <wp:extent cx="4919980" cy="7242810"/>
            <wp:effectExtent l="0" t="0" r="0" b="0"/>
            <wp:docPr id="2020607624"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9980" cy="7242810"/>
                    </a:xfrm>
                    <a:prstGeom prst="rect">
                      <a:avLst/>
                    </a:prstGeom>
                    <a:noFill/>
                  </pic:spPr>
                </pic:pic>
              </a:graphicData>
            </a:graphic>
          </wp:inline>
        </w:drawing>
      </w:r>
    </w:p>
    <w:p w14:paraId="38D966E4" w14:textId="6D8C082F" w:rsidR="0095323E" w:rsidRPr="006E317E" w:rsidRDefault="00EC33F1" w:rsidP="00AA241E">
      <w:pPr>
        <w:pStyle w:val="Pealdis"/>
        <w:jc w:val="both"/>
      </w:pPr>
      <w:bookmarkStart w:id="408" w:name="Tabel10"/>
      <w:bookmarkEnd w:id="408"/>
      <w:r>
        <w:t xml:space="preserve">Tabel </w:t>
      </w:r>
      <w:r>
        <w:fldChar w:fldCharType="begin"/>
      </w:r>
      <w:r>
        <w:instrText xml:space="preserve"> SEQ Tabel \* ARABIC </w:instrText>
      </w:r>
      <w:r>
        <w:fldChar w:fldCharType="separate"/>
      </w:r>
      <w:r w:rsidR="00247D84">
        <w:rPr>
          <w:noProof/>
        </w:rPr>
        <w:t>10</w:t>
      </w:r>
      <w:r>
        <w:fldChar w:fldCharType="end"/>
      </w:r>
      <w:r>
        <w:t xml:space="preserve"> </w:t>
      </w:r>
      <w:r w:rsidR="0095323E" w:rsidRPr="006E317E">
        <w:t xml:space="preserve"> Madalama konkurentsiga</w:t>
      </w:r>
      <w:r w:rsidR="00F12409">
        <w:t xml:space="preserve"> tunnustega</w:t>
      </w:r>
      <w:r w:rsidR="0095323E" w:rsidRPr="006E317E">
        <w:t xml:space="preserve"> internetiühenduste jaeturu geograafilisse piirkonna B määratlemine tuginedes elu- ja mitteeluruumides </w:t>
      </w:r>
      <w:r w:rsidR="00A3232C">
        <w:t>valguskaabelvõrgu</w:t>
      </w:r>
      <w:r w:rsidR="0095323E" w:rsidRPr="006E317E">
        <w:t xml:space="preserve"> baasil erinevate sideettevõtjate internetiühendustega liitumise võimaluste ja Telia jaeklientide internetiühenduste osakaalu näitajatele ja lävenditele, 2023 aasta andmetel. Lahtri roheline värvus näitab, et kõrgema konkurentsi näitaja lävend on täidetud.</w:t>
      </w:r>
    </w:p>
    <w:p w14:paraId="074D17FE" w14:textId="77777777" w:rsidR="0095323E" w:rsidRPr="006E317E" w:rsidRDefault="0095323E" w:rsidP="00AA241E">
      <w:pPr>
        <w:jc w:val="both"/>
      </w:pPr>
    </w:p>
    <w:p w14:paraId="339E129D" w14:textId="77777777" w:rsidR="0095323E" w:rsidRPr="00F6521E" w:rsidRDefault="0095323E" w:rsidP="00AA241E">
      <w:pPr>
        <w:jc w:val="both"/>
        <w:rPr>
          <w:u w:val="single"/>
        </w:rPr>
      </w:pPr>
      <w:bookmarkStart w:id="409" w:name="_Hlk170907994"/>
      <w:r w:rsidRPr="00F6521E">
        <w:rPr>
          <w:u w:val="single"/>
        </w:rPr>
        <w:t>Hindade võrdlus</w:t>
      </w:r>
    </w:p>
    <w:p w14:paraId="523CD25F" w14:textId="1CD7E891" w:rsidR="0095323E" w:rsidRPr="00F6521E" w:rsidRDefault="0095323E" w:rsidP="00AA241E">
      <w:pPr>
        <w:jc w:val="both"/>
        <w:rPr>
          <w:b/>
        </w:rPr>
      </w:pPr>
      <w:bookmarkStart w:id="410" w:name="_6.4_Internetiühenduste_jaehinnad"/>
      <w:bookmarkEnd w:id="410"/>
      <w:r w:rsidRPr="00F6521E">
        <w:rPr>
          <w:b/>
        </w:rPr>
        <w:t xml:space="preserve">Ükski jae internetiühenduste peamistest osutajatest ei ole rakendanud </w:t>
      </w:r>
      <w:r w:rsidR="00A3232C" w:rsidRPr="00F6521E">
        <w:rPr>
          <w:b/>
        </w:rPr>
        <w:t>valguskaabelvõrgu</w:t>
      </w:r>
      <w:r w:rsidRPr="00F6521E">
        <w:rPr>
          <w:b/>
        </w:rPr>
        <w:t xml:space="preserve"> jae internetiühenduste tooteturul erinevates geograafilistes üksustes erinevaid hindasid. Seetõttu ei ole jaehindadest lähtudes võimalik tuvastada erinevate konkurentsi tasemetega (A ja B) geograafilisi piirkondasid </w:t>
      </w:r>
      <w:r w:rsidR="00A3232C" w:rsidRPr="00F6521E">
        <w:rPr>
          <w:b/>
        </w:rPr>
        <w:t>valguskaabelvõrgu</w:t>
      </w:r>
      <w:r w:rsidRPr="00F6521E">
        <w:rPr>
          <w:b/>
        </w:rPr>
        <w:t xml:space="preserve"> jae internetiühenduste tooteturul.</w:t>
      </w:r>
    </w:p>
    <w:p w14:paraId="025F6F57" w14:textId="77777777" w:rsidR="0095323E" w:rsidRPr="00F6521E" w:rsidRDefault="0095323E" w:rsidP="00AA241E">
      <w:pPr>
        <w:jc w:val="both"/>
        <w:rPr>
          <w:u w:val="single"/>
        </w:rPr>
      </w:pPr>
      <w:r w:rsidRPr="00F6521E">
        <w:rPr>
          <w:u w:val="single"/>
        </w:rPr>
        <w:t>Teenuste tingimuste võrdlus</w:t>
      </w:r>
    </w:p>
    <w:p w14:paraId="223F1481" w14:textId="77777777" w:rsidR="0095323E" w:rsidRPr="006E317E" w:rsidRDefault="0095323E" w:rsidP="00AA241E">
      <w:pPr>
        <w:jc w:val="both"/>
      </w:pPr>
      <w:bookmarkStart w:id="411" w:name="_6.5_Internetiühenduste_jaetasandi"/>
      <w:bookmarkStart w:id="412" w:name="_4.5_Internetiühenduste_jaetasandi"/>
      <w:bookmarkEnd w:id="411"/>
      <w:bookmarkEnd w:id="412"/>
      <w:r w:rsidRPr="006E317E">
        <w:t xml:space="preserve">Ka internetiühenduste teenuste tingimuste poolest võivad piirkonnad erineda. Näiteks võib mõnes piirkonnas olla suurem nõudlus teenuse mõne spetsiifilise kvaliteedi või lisateenuste järele, näiteks </w:t>
      </w:r>
      <w:proofErr w:type="spellStart"/>
      <w:r w:rsidRPr="006E317E">
        <w:t>paketeeritud</w:t>
      </w:r>
      <w:proofErr w:type="spellEnd"/>
      <w:r w:rsidRPr="006E317E">
        <w:t xml:space="preserve"> teenuste osas. Sellised nõudluse erinevused võivad tuleneda ka sideettevõtjate erinevatest turundusstrateegiatest erinevates piirkondades. See omakorda võib mõjutada ka piirkondade konkurentsitingimusi.</w:t>
      </w:r>
    </w:p>
    <w:p w14:paraId="69025FAC" w14:textId="672698B1" w:rsidR="0095323E" w:rsidRPr="00F6521E" w:rsidRDefault="0095323E" w:rsidP="00AA241E">
      <w:pPr>
        <w:jc w:val="both"/>
        <w:rPr>
          <w:b/>
        </w:rPr>
      </w:pPr>
      <w:r w:rsidRPr="00F6521E">
        <w:rPr>
          <w:b/>
        </w:rPr>
        <w:t xml:space="preserve">TTJA hinnangul ei erista sideettevõtjad </w:t>
      </w:r>
      <w:r w:rsidR="00A3232C" w:rsidRPr="00F6521E">
        <w:rPr>
          <w:b/>
        </w:rPr>
        <w:t>valguskaabelvõrgu</w:t>
      </w:r>
      <w:r w:rsidRPr="00F6521E">
        <w:rPr>
          <w:b/>
        </w:rPr>
        <w:t xml:space="preserve"> jae internetiühenduste tooteturul teenuste tingimusi, sh pakutavat kvaliteeti või pakutavaid pakette geograafiliste piirkondade alusel. Samuti ei ole TTJA-</w:t>
      </w:r>
      <w:proofErr w:type="spellStart"/>
      <w:r w:rsidRPr="00F6521E">
        <w:rPr>
          <w:b/>
        </w:rPr>
        <w:t>le</w:t>
      </w:r>
      <w:proofErr w:type="spellEnd"/>
      <w:r w:rsidRPr="00F6521E">
        <w:rPr>
          <w:b/>
        </w:rPr>
        <w:t xml:space="preserve"> teada sideettevõtjaid, kes viiksid läbi piirkondlikult erinevaid turundusstrateegiaid, pigem on turundus üle Eestiliselt ühetaoline. Seetõttu ei ole teenuste tingimuste võrdlusest lähtudes võimalik tuvastada erinevate konkurentsi tasemetega (A ja B) geograafilisi piirkondasid </w:t>
      </w:r>
      <w:r w:rsidR="00A3232C" w:rsidRPr="00F6521E">
        <w:rPr>
          <w:b/>
        </w:rPr>
        <w:t>valguskaabelvõrgu</w:t>
      </w:r>
      <w:r w:rsidRPr="00F6521E">
        <w:rPr>
          <w:b/>
        </w:rPr>
        <w:t xml:space="preserve"> jae internetiühenduste tooteturul.</w:t>
      </w:r>
    </w:p>
    <w:p w14:paraId="1B1D2CEB" w14:textId="77777777" w:rsidR="0095323E" w:rsidRPr="00F6521E" w:rsidRDefault="0095323E" w:rsidP="00AA241E">
      <w:pPr>
        <w:jc w:val="both"/>
        <w:rPr>
          <w:u w:val="single"/>
        </w:rPr>
      </w:pPr>
      <w:r w:rsidRPr="00F6521E">
        <w:rPr>
          <w:u w:val="single"/>
        </w:rPr>
        <w:t>Teenuste vahetuste või lõpetamise võrdlus</w:t>
      </w:r>
    </w:p>
    <w:p w14:paraId="4950E845" w14:textId="77777777" w:rsidR="0095323E" w:rsidRPr="006E317E" w:rsidRDefault="0095323E" w:rsidP="00AA241E">
      <w:pPr>
        <w:jc w:val="both"/>
      </w:pPr>
      <w:bookmarkStart w:id="413" w:name="_6.7_Teenuse_vahetuse"/>
      <w:bookmarkEnd w:id="413"/>
      <w:r w:rsidRPr="006E317E">
        <w:t>Sarnaselt võivad erinevad teenuse vahetuse ja lõpetamise tingimused erinevates piirkondades tekitada erinevate konkurentsitingimustega piirkondi. Näiteks, kui mõnes piirkonnas on internetiühenduse teenuse pakkuja vahetamine oluliselt aeganõudvam ja keerulisem protseduur kui teises.</w:t>
      </w:r>
    </w:p>
    <w:p w14:paraId="3FEB820C" w14:textId="77777777" w:rsidR="0095323E" w:rsidRPr="006E317E" w:rsidRDefault="0095323E" w:rsidP="00AA241E">
      <w:pPr>
        <w:jc w:val="both"/>
      </w:pPr>
      <w:r w:rsidRPr="006E317E">
        <w:t>ESS § 96 lõike kohaselt (rakendub üle Eestiliselt) ei tohi tarbijaga sõlmitava tähtajalise sideteenuse leping, välja arvatud numbrivaba isikutevahelise side teenuse ja masinate vahelise side teenuse leping, kesta kauem kui kaks aastat. Seega on lepingute lõpetamise tingimused üle Eestiliselt ühetaolised. Samuti ei oma pikaajalised lepingud mõju internetiühenduse nõudluse asendatavusel, kuna puuduvad sedavõrd pikaajalised internetiühenduse lepingud, et lõppkasutajatel ei oleks võimalik vahetada internetiühenduse teenuse pakkujat ja/või tehnoloogiat järgmise turuanalüüsini kestva perioodi jooksul (ehk järgmise viie aasta jooksul).</w:t>
      </w:r>
    </w:p>
    <w:p w14:paraId="48E8DE2D" w14:textId="3755CA06" w:rsidR="0095323E" w:rsidRPr="00F6521E" w:rsidRDefault="0095323E" w:rsidP="00AA241E">
      <w:pPr>
        <w:jc w:val="both"/>
        <w:rPr>
          <w:b/>
        </w:rPr>
      </w:pPr>
      <w:r w:rsidRPr="00F6521E">
        <w:rPr>
          <w:b/>
        </w:rPr>
        <w:t xml:space="preserve">Eeltoodust tulenevalt ei rakenda sideettevõtjad piirkondlike erisusi internetiühenduse jaeteenuse vahetuse ja lõpetamise osas, mistõttu ei ole sellest lähtudes võimalik tuvastada erinevate konkurentsi tasemetega (A ja B) geograafilisi piirkondasid </w:t>
      </w:r>
      <w:r w:rsidR="00A3232C" w:rsidRPr="00F6521E">
        <w:rPr>
          <w:b/>
        </w:rPr>
        <w:t>valguskaabelvõrgu</w:t>
      </w:r>
      <w:r w:rsidRPr="00F6521E">
        <w:rPr>
          <w:b/>
        </w:rPr>
        <w:t xml:space="preserve"> jae internetiühenduste tooteturul.</w:t>
      </w:r>
      <w:bookmarkEnd w:id="409"/>
    </w:p>
    <w:p w14:paraId="54362F85" w14:textId="237A3644" w:rsidR="00E33F7C" w:rsidRPr="00E33F7C" w:rsidRDefault="00E33F7C" w:rsidP="00AA241E">
      <w:pPr>
        <w:jc w:val="both"/>
        <w:rPr>
          <w:u w:val="single"/>
        </w:rPr>
      </w:pPr>
      <w:r w:rsidRPr="00E33F7C">
        <w:rPr>
          <w:u w:val="single"/>
        </w:rPr>
        <w:lastRenderedPageBreak/>
        <w:t>Kokkuvõte</w:t>
      </w:r>
    </w:p>
    <w:p w14:paraId="56A4F3DB" w14:textId="41335C25" w:rsidR="00E33F7C" w:rsidRPr="00F6521E" w:rsidRDefault="00E33F7C" w:rsidP="00E33F7C">
      <w:pPr>
        <w:jc w:val="both"/>
        <w:rPr>
          <w:b/>
          <w:bCs/>
        </w:rPr>
      </w:pPr>
      <w:r>
        <w:rPr>
          <w:b/>
          <w:bCs/>
        </w:rPr>
        <w:t>Eeltoodust tulenevalt</w:t>
      </w:r>
      <w:r w:rsidRPr="00F6521E">
        <w:rPr>
          <w:b/>
          <w:bCs/>
        </w:rPr>
        <w:t xml:space="preserve"> jaotuvad valguskaabelvõrgu jae internetiühenduste tooteturul 10 geograafilist üksust kõrgema konkurentsiga geograafilisse piirkonda A ja 38 </w:t>
      </w:r>
      <w:r w:rsidR="000D222E">
        <w:rPr>
          <w:b/>
          <w:bCs/>
        </w:rPr>
        <w:t>geograafilist üksust</w:t>
      </w:r>
      <w:r w:rsidRPr="00F6521E">
        <w:rPr>
          <w:b/>
          <w:bCs/>
        </w:rPr>
        <w:t xml:space="preserve"> madalama konkurentsiga geograafilisse piirkonda B, täpsemalt vt Tabel 9 ja 10.</w:t>
      </w:r>
    </w:p>
    <w:p w14:paraId="37904A90" w14:textId="77777777" w:rsidR="00E33F7C" w:rsidRPr="00F6521E" w:rsidRDefault="00E33F7C" w:rsidP="00AA241E">
      <w:pPr>
        <w:jc w:val="both"/>
        <w:rPr>
          <w:b/>
          <w:bCs/>
        </w:rPr>
      </w:pPr>
    </w:p>
    <w:p w14:paraId="25D210DF" w14:textId="49388E14" w:rsidR="0095323E" w:rsidRPr="006E317E" w:rsidRDefault="0095323E" w:rsidP="009805E1">
      <w:pPr>
        <w:pStyle w:val="Pealkiri3"/>
      </w:pPr>
      <w:bookmarkStart w:id="414" w:name="_Toc170888956"/>
      <w:bookmarkStart w:id="415" w:name="_Toc174710741"/>
      <w:r w:rsidRPr="006E317E">
        <w:t>Jaeturu geograafilise piiritlemise kokkuvõte</w:t>
      </w:r>
      <w:bookmarkEnd w:id="414"/>
      <w:bookmarkEnd w:id="415"/>
    </w:p>
    <w:p w14:paraId="0D912660" w14:textId="4B6B9017" w:rsidR="0095323E" w:rsidRPr="006E317E" w:rsidRDefault="0095323E" w:rsidP="00AA241E">
      <w:pPr>
        <w:jc w:val="both"/>
      </w:pPr>
      <w:r w:rsidRPr="006E317E">
        <w:t xml:space="preserve">Peatükis </w:t>
      </w:r>
      <w:r w:rsidR="00FE0471">
        <w:t>2.</w:t>
      </w:r>
      <w:r w:rsidRPr="006E317E">
        <w:t>3.</w:t>
      </w:r>
      <w:r w:rsidR="00FE0471">
        <w:t>2</w:t>
      </w:r>
      <w:r w:rsidRPr="006E317E">
        <w:t xml:space="preserve"> määratles TTJA geograafilised üksused, mis on asjakohase suurusega, st piisavalt väikesed, et ära hoida konkurentsitingimuste märkimisväärseid erinevusi igas üksuses, ent piisavalt suured, et vältida ressursimahukat ja koormavat mikroanalüüsi ning milledes on kajastatud internetiühenduste peamiste pakkujate (vt </w:t>
      </w:r>
      <w:r w:rsidR="008C159A">
        <w:t xml:space="preserve">ptk. </w:t>
      </w:r>
      <w:r w:rsidR="007E27E8">
        <w:t>2</w:t>
      </w:r>
      <w:r w:rsidR="009D3F5B">
        <w:t>.</w:t>
      </w:r>
      <w:r w:rsidR="007E27E8">
        <w:t>2</w:t>
      </w:r>
      <w:r w:rsidR="009D3F5B">
        <w:t>.7</w:t>
      </w:r>
      <w:r w:rsidRPr="006E317E">
        <w:t>) sidevõrgud ning mis omavad selgeid ja stabiilseid piire. Selleks jaotati Eesti territoorium haldus- ja asustusüksuste alusel ning võttes arvesse ka elanike arvu ja tihedust 48-ks erinevaks geograafiliseks üksuseks (GÜ), millest 15 on maalised ja 33 linnalised. Linnalised üksused on territooriumid, kus on vähemalt 5000 elanikku ning mille elanike tihedus on vähemalt 200 elanikku km2 kohta</w:t>
      </w:r>
      <w:r w:rsidR="0049629E">
        <w:t>.</w:t>
      </w:r>
      <w:r w:rsidRPr="006E317E">
        <w:t xml:space="preserve"> </w:t>
      </w:r>
    </w:p>
    <w:p w14:paraId="1479E9C0" w14:textId="422DEED3" w:rsidR="0095323E" w:rsidRPr="00E33F7C" w:rsidRDefault="0095323E" w:rsidP="00AA241E">
      <w:pPr>
        <w:jc w:val="both"/>
        <w:rPr>
          <w:b/>
        </w:rPr>
      </w:pPr>
      <w:r w:rsidRPr="00E33F7C">
        <w:rPr>
          <w:b/>
        </w:rPr>
        <w:t xml:space="preserve">Peatükkides </w:t>
      </w:r>
      <w:r w:rsidR="0015088B" w:rsidRPr="00E33F7C">
        <w:rPr>
          <w:b/>
        </w:rPr>
        <w:t>2</w:t>
      </w:r>
      <w:r w:rsidR="00CB1E85">
        <w:rPr>
          <w:b/>
        </w:rPr>
        <w:t>.</w:t>
      </w:r>
      <w:r w:rsidRPr="00E33F7C">
        <w:rPr>
          <w:b/>
        </w:rPr>
        <w:t>3.</w:t>
      </w:r>
      <w:r w:rsidR="00B12E54">
        <w:rPr>
          <w:b/>
        </w:rPr>
        <w:t>4</w:t>
      </w:r>
      <w:r w:rsidRPr="00E33F7C">
        <w:rPr>
          <w:b/>
        </w:rPr>
        <w:t xml:space="preserve"> ja </w:t>
      </w:r>
      <w:r w:rsidR="0015088B" w:rsidRPr="00E33F7C">
        <w:rPr>
          <w:b/>
        </w:rPr>
        <w:t>2.</w:t>
      </w:r>
      <w:r w:rsidRPr="00E33F7C">
        <w:rPr>
          <w:b/>
        </w:rPr>
        <w:t>3</w:t>
      </w:r>
      <w:r w:rsidR="001C55B5" w:rsidRPr="00E33F7C">
        <w:rPr>
          <w:b/>
        </w:rPr>
        <w:t>.</w:t>
      </w:r>
      <w:r w:rsidR="00B12E54">
        <w:rPr>
          <w:b/>
        </w:rPr>
        <w:t>5</w:t>
      </w:r>
      <w:r w:rsidRPr="00E33F7C">
        <w:rPr>
          <w:b/>
        </w:rPr>
        <w:t xml:space="preserve"> analüüsis TTJA konkurentsitingimus</w:t>
      </w:r>
      <w:r w:rsidR="008D0CCB">
        <w:rPr>
          <w:b/>
        </w:rPr>
        <w:t>te</w:t>
      </w:r>
      <w:r w:rsidRPr="00E33F7C">
        <w:rPr>
          <w:b/>
        </w:rPr>
        <w:t xml:space="preserve"> </w:t>
      </w:r>
      <w:r w:rsidR="008D0CCB">
        <w:rPr>
          <w:b/>
        </w:rPr>
        <w:t xml:space="preserve">geograafilisi erinevusi </w:t>
      </w:r>
      <w:r w:rsidR="00183BEB">
        <w:rPr>
          <w:b/>
          <w:bCs/>
        </w:rPr>
        <w:t>vaskkaabli</w:t>
      </w:r>
      <w:r w:rsidRPr="00E33F7C">
        <w:rPr>
          <w:b/>
        </w:rPr>
        <w:t xml:space="preserve">- ja </w:t>
      </w:r>
      <w:r w:rsidR="00183BEB">
        <w:rPr>
          <w:b/>
          <w:bCs/>
        </w:rPr>
        <w:t>mobiilsidevõr</w:t>
      </w:r>
      <w:r w:rsidRPr="00E33F7C">
        <w:rPr>
          <w:b/>
          <w:bCs/>
        </w:rPr>
        <w:t>gu</w:t>
      </w:r>
      <w:r w:rsidRPr="00E33F7C">
        <w:rPr>
          <w:b/>
        </w:rPr>
        <w:t xml:space="preserve"> jae internetiühenduste tooteturul ja </w:t>
      </w:r>
      <w:r w:rsidR="00A3232C" w:rsidRPr="00E33F7C">
        <w:rPr>
          <w:b/>
        </w:rPr>
        <w:t>valguskaabelvõrgu</w:t>
      </w:r>
      <w:r w:rsidRPr="00E33F7C">
        <w:rPr>
          <w:b/>
        </w:rPr>
        <w:t xml:space="preserve"> jae internetiühenduste tooteturul ning määras nende tooteturgude geograafilised piirkonnad järgmiselt:</w:t>
      </w:r>
    </w:p>
    <w:p w14:paraId="2409190F" w14:textId="03108C43" w:rsidR="0095323E" w:rsidRPr="00E33F7C" w:rsidRDefault="00183BEB" w:rsidP="00AA241E">
      <w:pPr>
        <w:pStyle w:val="Loendilik"/>
        <w:numPr>
          <w:ilvl w:val="0"/>
          <w:numId w:val="87"/>
        </w:numPr>
        <w:jc w:val="both"/>
        <w:rPr>
          <w:b/>
        </w:rPr>
      </w:pPr>
      <w:r>
        <w:rPr>
          <w:b/>
          <w:bCs/>
        </w:rPr>
        <w:t>Vaskkaabli</w:t>
      </w:r>
      <w:r w:rsidR="0095323E" w:rsidRPr="00E33F7C">
        <w:rPr>
          <w:b/>
        </w:rPr>
        <w:t xml:space="preserve">- ja </w:t>
      </w:r>
      <w:r>
        <w:rPr>
          <w:b/>
          <w:bCs/>
        </w:rPr>
        <w:t>mobiilsidevõr</w:t>
      </w:r>
      <w:r w:rsidR="0095323E" w:rsidRPr="00E33F7C">
        <w:rPr>
          <w:b/>
          <w:bCs/>
        </w:rPr>
        <w:t>gu</w:t>
      </w:r>
      <w:r w:rsidR="0095323E" w:rsidRPr="00E33F7C">
        <w:rPr>
          <w:b/>
        </w:rPr>
        <w:t xml:space="preserve"> jae internetiühenduste tooteturu geograafiline piirkond kogu Eesti maismaa territoorium ehk üleriigiline</w:t>
      </w:r>
      <w:r w:rsidR="00FE0405">
        <w:rPr>
          <w:b/>
        </w:rPr>
        <w:t xml:space="preserve">. </w:t>
      </w:r>
      <w:r w:rsidR="00FE0405">
        <w:rPr>
          <w:b/>
          <w:bCs/>
        </w:rPr>
        <w:t xml:space="preserve">Seejuures on </w:t>
      </w:r>
      <w:r w:rsidR="00185B46">
        <w:rPr>
          <w:b/>
          <w:bCs/>
        </w:rPr>
        <w:t xml:space="preserve">turul </w:t>
      </w:r>
      <w:r w:rsidR="008C159A">
        <w:rPr>
          <w:b/>
          <w:bCs/>
        </w:rPr>
        <w:t>ptk.-</w:t>
      </w:r>
      <w:r w:rsidR="00185B46">
        <w:rPr>
          <w:b/>
          <w:bCs/>
        </w:rPr>
        <w:t>s 2.3.3 kirjeldatud kõrgema konkurentsi tunnused</w:t>
      </w:r>
      <w:r w:rsidR="0095323E" w:rsidRPr="00E33F7C">
        <w:rPr>
          <w:b/>
        </w:rPr>
        <w:t>.</w:t>
      </w:r>
    </w:p>
    <w:p w14:paraId="52998FF5" w14:textId="1F9977D7" w:rsidR="0095323E" w:rsidRPr="00E33F7C" w:rsidRDefault="00A3232C" w:rsidP="00AA241E">
      <w:pPr>
        <w:pStyle w:val="Loendilik"/>
        <w:numPr>
          <w:ilvl w:val="0"/>
          <w:numId w:val="87"/>
        </w:numPr>
        <w:jc w:val="both"/>
        <w:rPr>
          <w:b/>
        </w:rPr>
      </w:pPr>
      <w:r w:rsidRPr="00E33F7C">
        <w:rPr>
          <w:b/>
        </w:rPr>
        <w:t>Valguskaabelvõrgu</w:t>
      </w:r>
      <w:r w:rsidR="0095323E" w:rsidRPr="00E33F7C">
        <w:rPr>
          <w:b/>
        </w:rPr>
        <w:t xml:space="preserve"> jae internetiühenduste tooteturg jaguneb kaheks geograafiliseks piirkonnaks:</w:t>
      </w:r>
    </w:p>
    <w:p w14:paraId="683484BD" w14:textId="1195D8BF" w:rsidR="0095323E" w:rsidRPr="00E33F7C" w:rsidRDefault="0095323E" w:rsidP="00AA241E">
      <w:pPr>
        <w:pStyle w:val="Loendilik"/>
        <w:numPr>
          <w:ilvl w:val="1"/>
          <w:numId w:val="87"/>
        </w:numPr>
        <w:jc w:val="both"/>
        <w:rPr>
          <w:b/>
        </w:rPr>
      </w:pPr>
      <w:r w:rsidRPr="00E33F7C">
        <w:rPr>
          <w:b/>
        </w:rPr>
        <w:t>A piirkond, jae internetiühenduste kõrgema konkurentsi</w:t>
      </w:r>
      <w:r w:rsidR="00781EBF">
        <w:rPr>
          <w:b/>
        </w:rPr>
        <w:t xml:space="preserve"> tunnuste</w:t>
      </w:r>
      <w:r w:rsidRPr="00E33F7C">
        <w:rPr>
          <w:b/>
        </w:rPr>
        <w:t>ga piirkond, kuhu liigituvad järgmised 10  linnalist geograafilisest üksust</w:t>
      </w:r>
      <w:r w:rsidR="00EF569D" w:rsidRPr="00E33F7C">
        <w:rPr>
          <w:b/>
        </w:rPr>
        <w:t>, vt ka Tabel 9</w:t>
      </w:r>
      <w:r w:rsidRPr="00E33F7C">
        <w:rPr>
          <w:b/>
        </w:rPr>
        <w:t>:</w:t>
      </w:r>
    </w:p>
    <w:p w14:paraId="2DDB8028" w14:textId="77777777" w:rsidR="0095323E" w:rsidRPr="00E33F7C" w:rsidRDefault="0095323E" w:rsidP="00AA241E">
      <w:pPr>
        <w:pStyle w:val="Loendilik"/>
        <w:numPr>
          <w:ilvl w:val="0"/>
          <w:numId w:val="88"/>
        </w:numPr>
        <w:jc w:val="both"/>
        <w:rPr>
          <w:b/>
        </w:rPr>
      </w:pPr>
      <w:r w:rsidRPr="00E33F7C">
        <w:rPr>
          <w:b/>
        </w:rPr>
        <w:t>Jõhvi linn (asustusüksusena),</w:t>
      </w:r>
    </w:p>
    <w:p w14:paraId="58D05140" w14:textId="77777777" w:rsidR="0095323E" w:rsidRPr="00E33F7C" w:rsidRDefault="0095323E" w:rsidP="00AA241E">
      <w:pPr>
        <w:pStyle w:val="Loendilik"/>
        <w:numPr>
          <w:ilvl w:val="0"/>
          <w:numId w:val="88"/>
        </w:numPr>
        <w:jc w:val="both"/>
        <w:rPr>
          <w:b/>
        </w:rPr>
      </w:pPr>
      <w:r w:rsidRPr="00E33F7C">
        <w:rPr>
          <w:b/>
        </w:rPr>
        <w:t>Kohtla-Järve Ahtme linnaosa (haldusüksusena),</w:t>
      </w:r>
    </w:p>
    <w:p w14:paraId="4AC9F278" w14:textId="77777777" w:rsidR="0095323E" w:rsidRPr="00E33F7C" w:rsidRDefault="0095323E" w:rsidP="00AA241E">
      <w:pPr>
        <w:pStyle w:val="Loendilik"/>
        <w:numPr>
          <w:ilvl w:val="0"/>
          <w:numId w:val="88"/>
        </w:numPr>
        <w:jc w:val="both"/>
        <w:rPr>
          <w:b/>
        </w:rPr>
      </w:pPr>
      <w:r w:rsidRPr="00E33F7C">
        <w:rPr>
          <w:b/>
        </w:rPr>
        <w:t>Kohtla-Järve Järve linnaosa (haldusüksusena),</w:t>
      </w:r>
    </w:p>
    <w:p w14:paraId="4067C6DA" w14:textId="77777777" w:rsidR="0095323E" w:rsidRPr="00E33F7C" w:rsidRDefault="0095323E" w:rsidP="00AA241E">
      <w:pPr>
        <w:pStyle w:val="Loendilik"/>
        <w:numPr>
          <w:ilvl w:val="0"/>
          <w:numId w:val="88"/>
        </w:numPr>
        <w:jc w:val="both"/>
        <w:rPr>
          <w:b/>
        </w:rPr>
      </w:pPr>
      <w:r w:rsidRPr="00E33F7C">
        <w:rPr>
          <w:b/>
        </w:rPr>
        <w:t>Maardu linn (haldusüksusena),</w:t>
      </w:r>
    </w:p>
    <w:p w14:paraId="68446A31" w14:textId="77777777" w:rsidR="0095323E" w:rsidRPr="00E33F7C" w:rsidRDefault="0095323E" w:rsidP="00AA241E">
      <w:pPr>
        <w:pStyle w:val="Loendilik"/>
        <w:numPr>
          <w:ilvl w:val="0"/>
          <w:numId w:val="88"/>
        </w:numPr>
        <w:jc w:val="both"/>
        <w:rPr>
          <w:b/>
        </w:rPr>
      </w:pPr>
      <w:r w:rsidRPr="00E33F7C">
        <w:rPr>
          <w:b/>
        </w:rPr>
        <w:t>Narva linn (haldusüksusena),</w:t>
      </w:r>
    </w:p>
    <w:p w14:paraId="23AAC134" w14:textId="77777777" w:rsidR="0095323E" w:rsidRPr="00E33F7C" w:rsidRDefault="0095323E" w:rsidP="00AA241E">
      <w:pPr>
        <w:pStyle w:val="Loendilik"/>
        <w:numPr>
          <w:ilvl w:val="0"/>
          <w:numId w:val="88"/>
        </w:numPr>
        <w:jc w:val="both"/>
        <w:rPr>
          <w:b/>
        </w:rPr>
      </w:pPr>
      <w:r w:rsidRPr="00E33F7C">
        <w:rPr>
          <w:b/>
        </w:rPr>
        <w:t>Sillamäe linn (haldusüksusena),</w:t>
      </w:r>
    </w:p>
    <w:p w14:paraId="68C2B4D7" w14:textId="77777777" w:rsidR="0095323E" w:rsidRPr="00E33F7C" w:rsidRDefault="0095323E" w:rsidP="00AA241E">
      <w:pPr>
        <w:pStyle w:val="Loendilik"/>
        <w:numPr>
          <w:ilvl w:val="0"/>
          <w:numId w:val="88"/>
        </w:numPr>
        <w:jc w:val="both"/>
        <w:rPr>
          <w:b/>
        </w:rPr>
      </w:pPr>
      <w:r w:rsidRPr="00E33F7C">
        <w:rPr>
          <w:b/>
        </w:rPr>
        <w:t>Tallinna Haabersti linnaosa (haldusüksusena),</w:t>
      </w:r>
    </w:p>
    <w:p w14:paraId="10A08ADA" w14:textId="77777777" w:rsidR="0095323E" w:rsidRPr="00E33F7C" w:rsidRDefault="0095323E" w:rsidP="00AA241E">
      <w:pPr>
        <w:pStyle w:val="Loendilik"/>
        <w:numPr>
          <w:ilvl w:val="0"/>
          <w:numId w:val="88"/>
        </w:numPr>
        <w:jc w:val="both"/>
        <w:rPr>
          <w:b/>
        </w:rPr>
      </w:pPr>
      <w:r w:rsidRPr="00E33F7C">
        <w:rPr>
          <w:b/>
        </w:rPr>
        <w:t>Tallinna Lasnamäe linnaosa (haldusüksusena),</w:t>
      </w:r>
    </w:p>
    <w:p w14:paraId="79FB9280" w14:textId="77777777" w:rsidR="0095323E" w:rsidRPr="00E33F7C" w:rsidRDefault="0095323E" w:rsidP="00AA241E">
      <w:pPr>
        <w:pStyle w:val="Loendilik"/>
        <w:numPr>
          <w:ilvl w:val="0"/>
          <w:numId w:val="88"/>
        </w:numPr>
        <w:jc w:val="both"/>
        <w:rPr>
          <w:b/>
        </w:rPr>
      </w:pPr>
      <w:r w:rsidRPr="00E33F7C">
        <w:rPr>
          <w:b/>
        </w:rPr>
        <w:t>Tallinna Mustamäe linnaosa (haldusüksusena),</w:t>
      </w:r>
    </w:p>
    <w:p w14:paraId="43303960" w14:textId="77777777" w:rsidR="0095323E" w:rsidRPr="00E33F7C" w:rsidRDefault="0095323E" w:rsidP="00AA241E">
      <w:pPr>
        <w:pStyle w:val="Loendilik"/>
        <w:numPr>
          <w:ilvl w:val="0"/>
          <w:numId w:val="88"/>
        </w:numPr>
        <w:jc w:val="both"/>
        <w:rPr>
          <w:b/>
        </w:rPr>
      </w:pPr>
      <w:r w:rsidRPr="00E33F7C">
        <w:rPr>
          <w:b/>
        </w:rPr>
        <w:t>Tallinna Põhja-Tallinn linnaosa (haldusüksusena).</w:t>
      </w:r>
    </w:p>
    <w:p w14:paraId="6353AF37" w14:textId="5AE104FF" w:rsidR="0095323E" w:rsidRPr="00E33F7C" w:rsidRDefault="0095323E" w:rsidP="00AA241E">
      <w:pPr>
        <w:pStyle w:val="Loendilik"/>
        <w:numPr>
          <w:ilvl w:val="0"/>
          <w:numId w:val="89"/>
        </w:numPr>
        <w:jc w:val="both"/>
        <w:rPr>
          <w:b/>
        </w:rPr>
      </w:pPr>
      <w:r w:rsidRPr="00E33F7C">
        <w:rPr>
          <w:b/>
        </w:rPr>
        <w:lastRenderedPageBreak/>
        <w:t>B piirkond, jae internetiühenduste madalama konkurentsi</w:t>
      </w:r>
      <w:r w:rsidR="00781EBF">
        <w:rPr>
          <w:b/>
        </w:rPr>
        <w:t xml:space="preserve"> tunnuste</w:t>
      </w:r>
      <w:r w:rsidRPr="00E33F7C">
        <w:rPr>
          <w:b/>
        </w:rPr>
        <w:t>ga piirkond, kuhu liigituvad kõik geograafilised üksused, mis ei ole liigitatud A piirkonda, kokku 38 geograafilist üksust</w:t>
      </w:r>
      <w:r w:rsidR="00EF569D" w:rsidRPr="00E33F7C">
        <w:rPr>
          <w:b/>
        </w:rPr>
        <w:t>, vt</w:t>
      </w:r>
      <w:r w:rsidRPr="00E33F7C">
        <w:rPr>
          <w:b/>
        </w:rPr>
        <w:t xml:space="preserve"> Tabel </w:t>
      </w:r>
      <w:r w:rsidR="00EF569D" w:rsidRPr="00E33F7C">
        <w:rPr>
          <w:b/>
        </w:rPr>
        <w:t>10</w:t>
      </w:r>
      <w:r w:rsidRPr="00E33F7C">
        <w:rPr>
          <w:b/>
        </w:rPr>
        <w:t xml:space="preserve">. </w:t>
      </w:r>
    </w:p>
    <w:p w14:paraId="2B6E4390" w14:textId="77777777" w:rsidR="00045E37" w:rsidRPr="006E317E" w:rsidRDefault="00045E37" w:rsidP="00AA241E">
      <w:pPr>
        <w:pStyle w:val="Loendilik"/>
        <w:ind w:left="1440"/>
        <w:jc w:val="both"/>
      </w:pPr>
    </w:p>
    <w:p w14:paraId="6DAA97F8" w14:textId="4C151D0C" w:rsidR="0095323E" w:rsidRDefault="008D549A" w:rsidP="00B6466A">
      <w:pPr>
        <w:pStyle w:val="Pealkiri2"/>
        <w:jc w:val="both"/>
      </w:pPr>
      <w:bookmarkStart w:id="416" w:name="_Toc170888957"/>
      <w:bookmarkStart w:id="417" w:name="_Toc174710742"/>
      <w:r w:rsidRPr="00F62684">
        <w:t>J</w:t>
      </w:r>
      <w:bookmarkEnd w:id="416"/>
      <w:r w:rsidR="00ED618A">
        <w:t>AETURU PIIRITLEMISE KOKKUVÕTE</w:t>
      </w:r>
      <w:bookmarkEnd w:id="417"/>
    </w:p>
    <w:p w14:paraId="22D9934A" w14:textId="26FFAE15" w:rsidR="0095323E" w:rsidRPr="006E317E" w:rsidRDefault="0095323E" w:rsidP="00AA241E">
      <w:pPr>
        <w:jc w:val="both"/>
      </w:pPr>
      <w:r w:rsidRPr="009D3F5B">
        <w:t xml:space="preserve">Peatükis </w:t>
      </w:r>
      <w:r w:rsidR="00B6466A">
        <w:t>2.</w:t>
      </w:r>
      <w:r w:rsidR="0049749F">
        <w:t xml:space="preserve">1 – </w:t>
      </w:r>
      <w:r w:rsidR="00B6466A">
        <w:t>2</w:t>
      </w:r>
      <w:r w:rsidR="0049749F">
        <w:t>.3</w:t>
      </w:r>
      <w:r w:rsidRPr="006E317E">
        <w:t xml:space="preserve"> koos alampeatükkidega analüüsis TTJA hulgiturgude 1 ja 3b toodete poolt võimaldatavaid ja Eestis kasutatavaid püsiasukohaga standardsete internetiühenduste kvaliteeti, hindasid, tehnoloogiaid, nõudluse ja pakkumise asendatavust ning leidis, et internetiühenduste jaeturule on põhjendatud kaasata era- ja äriklientide standardsed masstoote mobiilside- ja kaabelsidevõrgu internetiühendused ning moodustada nendest kaks eraldi tooteturgu: </w:t>
      </w:r>
    </w:p>
    <w:p w14:paraId="0FF4545A" w14:textId="666E1FC4" w:rsidR="0095323E" w:rsidRPr="006E317E" w:rsidRDefault="0095323E" w:rsidP="00AA241E">
      <w:pPr>
        <w:ind w:left="720"/>
        <w:jc w:val="both"/>
      </w:pPr>
      <w:r w:rsidRPr="006E317E">
        <w:t xml:space="preserve">1) </w:t>
      </w:r>
      <w:r w:rsidR="00183BEB">
        <w:t>vaskkaabli</w:t>
      </w:r>
      <w:r w:rsidRPr="006E317E">
        <w:t xml:space="preserve">- ja </w:t>
      </w:r>
      <w:r w:rsidR="00183BEB">
        <w:t>mobiilsidevõr</w:t>
      </w:r>
      <w:r w:rsidRPr="006E317E">
        <w:t xml:space="preserve">gu jae internetiühenduste tooteturg, siia kuuluvad standardsed püsiasukohas tarbimiseks suunatud piiramatu mahuga internetiühendused </w:t>
      </w:r>
      <w:proofErr w:type="spellStart"/>
      <w:r w:rsidR="00E61DF6">
        <w:t>ADSLx</w:t>
      </w:r>
      <w:proofErr w:type="spellEnd"/>
      <w:r w:rsidR="00E61DF6">
        <w:t xml:space="preserve">, </w:t>
      </w:r>
      <w:proofErr w:type="spellStart"/>
      <w:r w:rsidRPr="006E317E">
        <w:t>VDSLx</w:t>
      </w:r>
      <w:proofErr w:type="spellEnd"/>
      <w:r w:rsidRPr="006E317E">
        <w:t xml:space="preserve"> </w:t>
      </w:r>
      <w:r w:rsidR="007E6C65">
        <w:t xml:space="preserve">sh </w:t>
      </w:r>
      <w:proofErr w:type="spellStart"/>
      <w:r w:rsidRPr="006E317E">
        <w:t>vectoring</w:t>
      </w:r>
      <w:proofErr w:type="spellEnd"/>
      <w:r w:rsidRPr="006E317E">
        <w:t xml:space="preserve"> (sh Vplus35b) </w:t>
      </w:r>
      <w:r w:rsidR="004F665E">
        <w:t>vaskpaar</w:t>
      </w:r>
      <w:r w:rsidRPr="006E317E">
        <w:t>võrgu baasil, DOCSIS 3.0 koaksiaalkaablivõrgu baasil ja 4G ja 5G mobiilsidevõrgu baasil</w:t>
      </w:r>
    </w:p>
    <w:p w14:paraId="2B54CBB3" w14:textId="118DACA5" w:rsidR="0095323E" w:rsidRPr="006E317E" w:rsidRDefault="0095323E" w:rsidP="00AA241E">
      <w:pPr>
        <w:ind w:left="720"/>
        <w:jc w:val="both"/>
      </w:pPr>
      <w:r w:rsidRPr="006E317E">
        <w:t xml:space="preserve">2)  </w:t>
      </w:r>
      <w:r w:rsidR="00A3232C">
        <w:t>valguskaabelvõrgu</w:t>
      </w:r>
      <w:r w:rsidRPr="006E317E">
        <w:t xml:space="preserve"> jae internetiühenduste tooteturg, siia kuuluvad standardsed püsiasukohas tarbimiseks suunatud piiramatu mahuga internetiühendused FTTB/FTTH </w:t>
      </w:r>
      <w:r w:rsidR="00A3232C">
        <w:t>valguskaabelvõrgu</w:t>
      </w:r>
      <w:r w:rsidRPr="006E317E">
        <w:t xml:space="preserve"> baasil.</w:t>
      </w:r>
    </w:p>
    <w:p w14:paraId="6F8C6116" w14:textId="20687737" w:rsidR="0095323E" w:rsidRPr="006E317E" w:rsidRDefault="0095323E" w:rsidP="00AA241E">
      <w:pPr>
        <w:jc w:val="both"/>
      </w:pPr>
      <w:r w:rsidRPr="006E317E">
        <w:t xml:space="preserve">Peatükis </w:t>
      </w:r>
      <w:r w:rsidR="00D96E93">
        <w:t>2</w:t>
      </w:r>
      <w:r w:rsidR="009D3F5B">
        <w:t>.</w:t>
      </w:r>
      <w:r w:rsidRPr="006E317E">
        <w:t>3</w:t>
      </w:r>
      <w:r w:rsidR="009D3F5B">
        <w:t>.2</w:t>
      </w:r>
      <w:r w:rsidRPr="006E317E">
        <w:t xml:space="preserve"> koos alampeatükkidega jaotati Eesti territoorium haldus- ja asustusüksuste ning võttes arvesse elanike arvu ja tihedust 48 erinevaks geograafiliseks üksuseks, millest 15 on maalised ja 33 linnalised geograafilised üksused. Nendest lähtuvalt piiritleti </w:t>
      </w:r>
      <w:bookmarkStart w:id="418" w:name="_Hlk174016416"/>
      <w:r w:rsidR="00183BEB">
        <w:t>vaskkaabli</w:t>
      </w:r>
      <w:r w:rsidRPr="006E317E">
        <w:t xml:space="preserve">- ja </w:t>
      </w:r>
      <w:r w:rsidR="00183BEB">
        <w:t>mobiilsidevõr</w:t>
      </w:r>
      <w:r w:rsidRPr="006E317E">
        <w:t xml:space="preserve">gu jae internetiühenduste tooteturu ja </w:t>
      </w:r>
      <w:r w:rsidR="00A3232C">
        <w:t>valguskaabelvõrgu</w:t>
      </w:r>
      <w:r w:rsidRPr="006E317E">
        <w:t xml:space="preserve"> jae internetiühenduste tooteturu osas järgmised geograafilised piirkonnad: </w:t>
      </w:r>
    </w:p>
    <w:p w14:paraId="71C4246D" w14:textId="31E701C6" w:rsidR="0095323E" w:rsidRPr="006E317E" w:rsidRDefault="00183BEB" w:rsidP="00AA241E">
      <w:pPr>
        <w:pStyle w:val="Loendilik"/>
        <w:numPr>
          <w:ilvl w:val="0"/>
          <w:numId w:val="93"/>
        </w:numPr>
        <w:jc w:val="both"/>
      </w:pPr>
      <w:bookmarkStart w:id="419" w:name="_Hlk174016439"/>
      <w:bookmarkEnd w:id="418"/>
      <w:r>
        <w:t>Vaskkaabli</w:t>
      </w:r>
      <w:r w:rsidR="0095323E" w:rsidRPr="006E317E">
        <w:t xml:space="preserve">- ja </w:t>
      </w:r>
      <w:r>
        <w:t>mobiilsidevõr</w:t>
      </w:r>
      <w:r w:rsidR="0095323E" w:rsidRPr="006E317E">
        <w:t>gu jae internetiühenduste tooteturu geograafiline piirkond kogu Eesti maismaa territoorium ehk üleriigiline.</w:t>
      </w:r>
      <w:r w:rsidR="0072257D">
        <w:t xml:space="preserve"> </w:t>
      </w:r>
      <w:r w:rsidR="0072257D" w:rsidRPr="0072257D">
        <w:t xml:space="preserve">Seejuures on turul </w:t>
      </w:r>
      <w:r w:rsidR="008C159A">
        <w:t xml:space="preserve">ptk. </w:t>
      </w:r>
      <w:r w:rsidR="0072257D" w:rsidRPr="0072257D">
        <w:t>s 2.3.3 kirjeldatud kõrgema konkurentsi tunnused.</w:t>
      </w:r>
    </w:p>
    <w:p w14:paraId="4D61AB15" w14:textId="3807CB7B" w:rsidR="0095323E" w:rsidRPr="006E317E" w:rsidRDefault="00A3232C" w:rsidP="00AA241E">
      <w:pPr>
        <w:pStyle w:val="Loendilik"/>
        <w:numPr>
          <w:ilvl w:val="0"/>
          <w:numId w:val="93"/>
        </w:numPr>
        <w:jc w:val="both"/>
      </w:pPr>
      <w:r>
        <w:t>Valguskaabelvõrgu</w:t>
      </w:r>
      <w:r w:rsidR="0095323E" w:rsidRPr="006E317E">
        <w:t xml:space="preserve"> jae internetiühenduste tooteturg jaguneb kaheks geograafiliseks piirkonnaks:</w:t>
      </w:r>
    </w:p>
    <w:p w14:paraId="36ED1434" w14:textId="49E06604" w:rsidR="0095323E" w:rsidRPr="006E317E" w:rsidRDefault="0095323E" w:rsidP="00AA241E">
      <w:pPr>
        <w:pStyle w:val="Loendilik"/>
        <w:numPr>
          <w:ilvl w:val="0"/>
          <w:numId w:val="89"/>
        </w:numPr>
        <w:jc w:val="both"/>
      </w:pPr>
      <w:r w:rsidRPr="006E317E">
        <w:t>A piirkond, jae internetiühenduste kõrgema konkurentsi</w:t>
      </w:r>
      <w:r w:rsidR="002878F3">
        <w:t xml:space="preserve"> tunnustega</w:t>
      </w:r>
      <w:r w:rsidRPr="006E317E">
        <w:t xml:space="preserve"> piirkond, kuhu liigituvad järgmised 10  linnalist geograafilisest üksust</w:t>
      </w:r>
      <w:r w:rsidR="00EF569D">
        <w:t>, vt ka Tabel 9</w:t>
      </w:r>
      <w:r w:rsidRPr="006E317E">
        <w:t>:</w:t>
      </w:r>
    </w:p>
    <w:p w14:paraId="15596613" w14:textId="77777777" w:rsidR="0095323E" w:rsidRPr="006E317E" w:rsidRDefault="0095323E" w:rsidP="00AA241E">
      <w:pPr>
        <w:pStyle w:val="Loendilik"/>
        <w:numPr>
          <w:ilvl w:val="0"/>
          <w:numId w:val="90"/>
        </w:numPr>
        <w:jc w:val="both"/>
      </w:pPr>
      <w:r w:rsidRPr="006E317E">
        <w:t>Jõhvi linn (asustusüksusena),</w:t>
      </w:r>
    </w:p>
    <w:p w14:paraId="21ADA82B" w14:textId="77777777" w:rsidR="0095323E" w:rsidRPr="006E317E" w:rsidRDefault="0095323E" w:rsidP="00AA241E">
      <w:pPr>
        <w:pStyle w:val="Loendilik"/>
        <w:numPr>
          <w:ilvl w:val="0"/>
          <w:numId w:val="90"/>
        </w:numPr>
        <w:jc w:val="both"/>
      </w:pPr>
      <w:r w:rsidRPr="006E317E">
        <w:t>Kohtla-Järve Ahtme linnaosa (haldusüksusena),</w:t>
      </w:r>
    </w:p>
    <w:p w14:paraId="1E19351E" w14:textId="77777777" w:rsidR="0095323E" w:rsidRPr="006E317E" w:rsidRDefault="0095323E" w:rsidP="00AA241E">
      <w:pPr>
        <w:pStyle w:val="Loendilik"/>
        <w:numPr>
          <w:ilvl w:val="0"/>
          <w:numId w:val="90"/>
        </w:numPr>
        <w:jc w:val="both"/>
      </w:pPr>
      <w:r w:rsidRPr="006E317E">
        <w:t>Kohtla-Järve Järve linnaosa (haldusüksusena),</w:t>
      </w:r>
    </w:p>
    <w:p w14:paraId="48177BEA" w14:textId="77777777" w:rsidR="0095323E" w:rsidRPr="006E317E" w:rsidRDefault="0095323E" w:rsidP="00AA241E">
      <w:pPr>
        <w:pStyle w:val="Loendilik"/>
        <w:numPr>
          <w:ilvl w:val="0"/>
          <w:numId w:val="90"/>
        </w:numPr>
        <w:jc w:val="both"/>
      </w:pPr>
      <w:r w:rsidRPr="006E317E">
        <w:t>Maardu linn (haldusüksusena),</w:t>
      </w:r>
    </w:p>
    <w:p w14:paraId="47F9ACCE" w14:textId="77777777" w:rsidR="0095323E" w:rsidRPr="006E317E" w:rsidRDefault="0095323E" w:rsidP="00AA241E">
      <w:pPr>
        <w:pStyle w:val="Loendilik"/>
        <w:numPr>
          <w:ilvl w:val="0"/>
          <w:numId w:val="90"/>
        </w:numPr>
        <w:jc w:val="both"/>
      </w:pPr>
      <w:r w:rsidRPr="006E317E">
        <w:t>Narva linn (haldusüksusena),</w:t>
      </w:r>
    </w:p>
    <w:p w14:paraId="50672AC9" w14:textId="77777777" w:rsidR="0095323E" w:rsidRPr="006E317E" w:rsidRDefault="0095323E" w:rsidP="00AA241E">
      <w:pPr>
        <w:pStyle w:val="Loendilik"/>
        <w:numPr>
          <w:ilvl w:val="0"/>
          <w:numId w:val="90"/>
        </w:numPr>
        <w:jc w:val="both"/>
      </w:pPr>
      <w:r w:rsidRPr="006E317E">
        <w:t>Sillamäe linn (haldusüksusena),</w:t>
      </w:r>
    </w:p>
    <w:p w14:paraId="20E13398" w14:textId="77777777" w:rsidR="0095323E" w:rsidRPr="006E317E" w:rsidRDefault="0095323E" w:rsidP="00AA241E">
      <w:pPr>
        <w:pStyle w:val="Loendilik"/>
        <w:numPr>
          <w:ilvl w:val="0"/>
          <w:numId w:val="90"/>
        </w:numPr>
        <w:jc w:val="both"/>
      </w:pPr>
      <w:r w:rsidRPr="006E317E">
        <w:t>Tallinna Haabersti linnaosa (haldusüksusena),</w:t>
      </w:r>
    </w:p>
    <w:p w14:paraId="7A850823" w14:textId="77777777" w:rsidR="0095323E" w:rsidRPr="006E317E" w:rsidRDefault="0095323E" w:rsidP="00AA241E">
      <w:pPr>
        <w:pStyle w:val="Loendilik"/>
        <w:numPr>
          <w:ilvl w:val="0"/>
          <w:numId w:val="90"/>
        </w:numPr>
        <w:jc w:val="both"/>
      </w:pPr>
      <w:r w:rsidRPr="006E317E">
        <w:t>Tallinna Lasnamäe linnaosa (haldusüksusena),</w:t>
      </w:r>
    </w:p>
    <w:p w14:paraId="5C961036" w14:textId="77777777" w:rsidR="0095323E" w:rsidRPr="006E317E" w:rsidRDefault="0095323E" w:rsidP="00AA241E">
      <w:pPr>
        <w:pStyle w:val="Loendilik"/>
        <w:numPr>
          <w:ilvl w:val="0"/>
          <w:numId w:val="90"/>
        </w:numPr>
        <w:jc w:val="both"/>
      </w:pPr>
      <w:r w:rsidRPr="006E317E">
        <w:lastRenderedPageBreak/>
        <w:t>Tallinna Mustamäe linnaosa (haldusüksusena),</w:t>
      </w:r>
    </w:p>
    <w:p w14:paraId="03F8DE3C" w14:textId="77777777" w:rsidR="0095323E" w:rsidRPr="006E317E" w:rsidRDefault="0095323E" w:rsidP="00AA241E">
      <w:pPr>
        <w:pStyle w:val="Loendilik"/>
        <w:numPr>
          <w:ilvl w:val="0"/>
          <w:numId w:val="91"/>
        </w:numPr>
        <w:jc w:val="both"/>
      </w:pPr>
      <w:r w:rsidRPr="006E317E">
        <w:t>Tallinna Põhja-Tallinn linnaosa (haldusüksusena).</w:t>
      </w:r>
    </w:p>
    <w:p w14:paraId="23E1A8C1" w14:textId="046F875D" w:rsidR="0095323E" w:rsidRPr="006E317E" w:rsidRDefault="0095323E" w:rsidP="00AA241E">
      <w:pPr>
        <w:pStyle w:val="Loendilik"/>
        <w:numPr>
          <w:ilvl w:val="0"/>
          <w:numId w:val="92"/>
        </w:numPr>
        <w:jc w:val="both"/>
      </w:pPr>
      <w:r w:rsidRPr="006E317E">
        <w:t>B piirkond, jae internetiühenduste madalama konkurentsi</w:t>
      </w:r>
      <w:r w:rsidR="002878F3">
        <w:t xml:space="preserve"> tunnustega</w:t>
      </w:r>
      <w:r w:rsidRPr="006E317E">
        <w:t xml:space="preserve"> piirkond, kuhu liigituvad kõik geograafilised üksused, mis ei ole liigitatud A piirkonda, kokku 38 geograafilist </w:t>
      </w:r>
      <w:r w:rsidR="00A477A6" w:rsidRPr="006E317E">
        <w:t>üksust</w:t>
      </w:r>
      <w:r w:rsidR="00A477A6">
        <w:t>, vt</w:t>
      </w:r>
      <w:r w:rsidRPr="006E317E">
        <w:t xml:space="preserve"> </w:t>
      </w:r>
      <w:bookmarkEnd w:id="419"/>
      <w:r w:rsidRPr="006E317E">
        <w:t xml:space="preserve">Tabel </w:t>
      </w:r>
      <w:r w:rsidR="00EF569D">
        <w:t>10</w:t>
      </w:r>
      <w:r w:rsidRPr="006E317E">
        <w:t xml:space="preserve">. </w:t>
      </w:r>
    </w:p>
    <w:p w14:paraId="46A63FC8" w14:textId="77777777" w:rsidR="0095323E" w:rsidRPr="00FC26CE" w:rsidRDefault="0095323E" w:rsidP="00AA241E">
      <w:pPr>
        <w:jc w:val="both"/>
        <w:rPr>
          <w:b/>
          <w:bCs/>
        </w:rPr>
      </w:pPr>
      <w:r w:rsidRPr="00FC26CE">
        <w:rPr>
          <w:b/>
          <w:bCs/>
        </w:rPr>
        <w:t xml:space="preserve">Eeltoodust tulenevalt </w:t>
      </w:r>
      <w:bookmarkStart w:id="420" w:name="_Hlk174016498"/>
      <w:r w:rsidRPr="00FC26CE">
        <w:rPr>
          <w:b/>
          <w:bCs/>
        </w:rPr>
        <w:t>määratleb TTJA internetiühenduste jaeturul kolm alam-turgu:</w:t>
      </w:r>
    </w:p>
    <w:p w14:paraId="72E9C048" w14:textId="4DAB6301" w:rsidR="0095323E" w:rsidRPr="00FC26CE" w:rsidRDefault="0095323E" w:rsidP="00AA241E">
      <w:pPr>
        <w:ind w:firstLine="720"/>
        <w:jc w:val="both"/>
        <w:rPr>
          <w:b/>
          <w:bCs/>
        </w:rPr>
      </w:pPr>
      <w:r w:rsidRPr="00FC26CE">
        <w:rPr>
          <w:b/>
          <w:bCs/>
        </w:rPr>
        <w:t xml:space="preserve">1) </w:t>
      </w:r>
      <w:r w:rsidR="00183BEB">
        <w:rPr>
          <w:b/>
          <w:bCs/>
        </w:rPr>
        <w:t>Vaskkaabli</w:t>
      </w:r>
      <w:r w:rsidRPr="00FC26CE">
        <w:rPr>
          <w:b/>
          <w:bCs/>
        </w:rPr>
        <w:t xml:space="preserve">- ja </w:t>
      </w:r>
      <w:r w:rsidR="00183BEB">
        <w:rPr>
          <w:b/>
          <w:bCs/>
        </w:rPr>
        <w:t>mobiilsidevõr</w:t>
      </w:r>
      <w:r w:rsidRPr="00FC26CE">
        <w:rPr>
          <w:b/>
          <w:bCs/>
        </w:rPr>
        <w:t>gu internetiühenduste üleriigiline jaeturg;</w:t>
      </w:r>
    </w:p>
    <w:p w14:paraId="0C828830" w14:textId="4E98AC70" w:rsidR="0095323E" w:rsidRPr="00FC26CE" w:rsidRDefault="0095323E" w:rsidP="00AA241E">
      <w:pPr>
        <w:ind w:firstLine="720"/>
        <w:jc w:val="both"/>
        <w:rPr>
          <w:b/>
          <w:bCs/>
        </w:rPr>
      </w:pPr>
      <w:r w:rsidRPr="00FC26CE">
        <w:rPr>
          <w:b/>
          <w:bCs/>
        </w:rPr>
        <w:t xml:space="preserve">2) </w:t>
      </w:r>
      <w:r w:rsidR="00A3232C" w:rsidRPr="00FC26CE">
        <w:rPr>
          <w:b/>
          <w:bCs/>
        </w:rPr>
        <w:t>Valguskaabelvõrgu</w:t>
      </w:r>
      <w:r w:rsidRPr="00FC26CE">
        <w:rPr>
          <w:b/>
          <w:bCs/>
        </w:rPr>
        <w:t xml:space="preserve"> internetiühenduste A piirkonna jaeturg;</w:t>
      </w:r>
    </w:p>
    <w:p w14:paraId="06AF60FF" w14:textId="1B41F8ED" w:rsidR="0095323E" w:rsidRPr="00FC26CE" w:rsidRDefault="0095323E" w:rsidP="00AA241E">
      <w:pPr>
        <w:ind w:firstLine="720"/>
        <w:jc w:val="both"/>
        <w:rPr>
          <w:b/>
          <w:bCs/>
        </w:rPr>
      </w:pPr>
      <w:r w:rsidRPr="00FC26CE">
        <w:rPr>
          <w:b/>
          <w:bCs/>
        </w:rPr>
        <w:t xml:space="preserve">3) </w:t>
      </w:r>
      <w:r w:rsidR="00A3232C" w:rsidRPr="00FC26CE">
        <w:rPr>
          <w:b/>
          <w:bCs/>
        </w:rPr>
        <w:t>Valguskaabelvõrgu</w:t>
      </w:r>
      <w:r w:rsidRPr="00FC26CE">
        <w:rPr>
          <w:b/>
          <w:bCs/>
        </w:rPr>
        <w:t xml:space="preserve"> internetiühenduste B piirkonna jaeturg.</w:t>
      </w:r>
    </w:p>
    <w:bookmarkEnd w:id="420"/>
    <w:p w14:paraId="678D8D4C" w14:textId="77777777" w:rsidR="0095323E" w:rsidRPr="006E317E" w:rsidRDefault="0095323E" w:rsidP="00AA241E">
      <w:pPr>
        <w:jc w:val="both"/>
      </w:pPr>
    </w:p>
    <w:p w14:paraId="3C728283" w14:textId="0651E3C8" w:rsidR="0095323E" w:rsidRPr="005F60C0" w:rsidRDefault="0035672A" w:rsidP="00AA241E">
      <w:pPr>
        <w:pStyle w:val="Pealkiri1"/>
      </w:pPr>
      <w:bookmarkStart w:id="421" w:name="_Toc174710743"/>
      <w:r w:rsidRPr="005F60C0">
        <w:t xml:space="preserve">JAETURGUDE </w:t>
      </w:r>
      <w:r w:rsidR="0095323E" w:rsidRPr="005F60C0">
        <w:t>KONKURENTSI ANALÜÜS</w:t>
      </w:r>
      <w:bookmarkEnd w:id="421"/>
      <w:r w:rsidR="0095323E" w:rsidRPr="005F60C0">
        <w:t xml:space="preserve"> </w:t>
      </w:r>
    </w:p>
    <w:p w14:paraId="3ECA5A11" w14:textId="5CB9B8B7" w:rsidR="00E32E09" w:rsidRPr="006E317E" w:rsidRDefault="00E32E09" w:rsidP="00AA241E">
      <w:pPr>
        <w:jc w:val="both"/>
      </w:pPr>
      <w:r w:rsidRPr="006E317E">
        <w:t>Vastavalt EK 2018 turgude suunisele tuleks selleks, et kindlaks määrata eelnevat valdkonnaspetsiifilist reguleerimist vajav hulgiturg, alati kõigepealt analüüsida vastavatele hulgiturgudele järgnevat jaeturgu ja hinnata kas aluseks olev</w:t>
      </w:r>
      <w:r w:rsidR="00097E03" w:rsidRPr="006E317E">
        <w:t>al</w:t>
      </w:r>
      <w:r w:rsidRPr="006E317E">
        <w:t xml:space="preserve"> jaeturul eksisteerib või see saavutab tõhusa konkurentsi järgmise turuanalüüsini kestval perioodil hulgimüügi valdkonnaspetsiifilise regulatsiooni puudumisel. Järgnevalt analüüsitakse </w:t>
      </w:r>
      <w:r w:rsidR="008C159A">
        <w:t>ptk.-</w:t>
      </w:r>
      <w:r w:rsidRPr="006E317E">
        <w:t xml:space="preserve">s </w:t>
      </w:r>
      <w:r w:rsidR="00D96E93">
        <w:t>2</w:t>
      </w:r>
      <w:r w:rsidR="006572FC">
        <w:t>.</w:t>
      </w:r>
      <w:r w:rsidR="00D96E93">
        <w:t>4</w:t>
      </w:r>
      <w:r w:rsidRPr="006E317E">
        <w:t xml:space="preserve"> piiritletud jaeturgudel konkurentsi </w:t>
      </w:r>
      <w:r w:rsidR="004C5B08" w:rsidRPr="006E317E">
        <w:t xml:space="preserve">turuosade, turule sisenemise tõkete ja tasakaalustava </w:t>
      </w:r>
      <w:r w:rsidR="00EE71F9">
        <w:t>ostjaj</w:t>
      </w:r>
      <w:r w:rsidR="004C5B08" w:rsidRPr="006E317E">
        <w:t>õu näitajate alusel</w:t>
      </w:r>
      <w:r w:rsidRPr="006E317E">
        <w:t xml:space="preserve">, et tuvastada, kas </w:t>
      </w:r>
      <w:r w:rsidR="00263186" w:rsidRPr="006E317E">
        <w:t>turu konkurents</w:t>
      </w:r>
      <w:r w:rsidRPr="006E317E">
        <w:t xml:space="preserve"> on tõhus või mitte, et kaaluda valdkonnaspetsiifilise regulatsiooni lõpetamist või jätkamist hulgiturgudel 1 ja 3b.</w:t>
      </w:r>
    </w:p>
    <w:p w14:paraId="08BAD47F" w14:textId="4B37B582" w:rsidR="0095323E" w:rsidRDefault="0095323E" w:rsidP="00AA241E">
      <w:pPr>
        <w:jc w:val="both"/>
      </w:pPr>
      <w:r w:rsidRPr="006E317E">
        <w:t xml:space="preserve">Internetiühenduse jaeturu konkurents võib põhineda erinevate sideettevõtjate internetiühendustel, mida iga sideettevõtja osutab enda sidevõrgu baasil (sidevõrkude vaheline konkurents), aga ka erinevate sideettevõtjate internetiühendustel, mida sideettevõtjad osutavad täielikult või osaliselt mõne teise sideettevõtja sidevõrgu baasil (sideteenuste vaheline konkurents) tingimusel, et vastavaid võrguteenused ei </w:t>
      </w:r>
      <w:r w:rsidR="00AE1392" w:rsidRPr="006E317E">
        <w:t>ole</w:t>
      </w:r>
      <w:r w:rsidRPr="006E317E">
        <w:t xml:space="preserve"> valdkonnaspetsiifiliselt reguleeritud (</w:t>
      </w:r>
      <w:proofErr w:type="spellStart"/>
      <w:r w:rsidR="008E5A13">
        <w:rPr>
          <w:i/>
        </w:rPr>
        <w:t>Gr</w:t>
      </w:r>
      <w:r w:rsidR="00C318C1">
        <w:rPr>
          <w:i/>
        </w:rPr>
        <w:t>e</w:t>
      </w:r>
      <w:r w:rsidR="008E5A13">
        <w:rPr>
          <w:i/>
        </w:rPr>
        <w:t>enfieldi</w:t>
      </w:r>
      <w:proofErr w:type="spellEnd"/>
      <w:r w:rsidRPr="006E317E">
        <w:t xml:space="preserve"> </w:t>
      </w:r>
      <w:r w:rsidR="00081034" w:rsidRPr="006E317E">
        <w:t>lähenemisviis</w:t>
      </w:r>
      <w:r w:rsidRPr="006E317E">
        <w:t xml:space="preserve">). Eestis põhineb jaeturu konkurents linnades </w:t>
      </w:r>
      <w:r w:rsidR="003F3C49" w:rsidRPr="006E317E">
        <w:t>peamiselt</w:t>
      </w:r>
      <w:r w:rsidRPr="006E317E">
        <w:t xml:space="preserve"> sidevõrkude vahelisel konkurentsil, </w:t>
      </w:r>
      <w:r w:rsidR="00EC465B" w:rsidRPr="006E317E">
        <w:t>kuid s</w:t>
      </w:r>
      <w:r w:rsidR="00083377" w:rsidRPr="006E317E">
        <w:t>idevõrgud on</w:t>
      </w:r>
      <w:r w:rsidR="000873CD" w:rsidRPr="006E317E">
        <w:t xml:space="preserve"> suures osas</w:t>
      </w:r>
      <w:r w:rsidR="00083377" w:rsidRPr="006E317E">
        <w:t xml:space="preserve"> rajatud</w:t>
      </w:r>
      <w:r w:rsidR="00CE386A" w:rsidRPr="006E317E">
        <w:t xml:space="preserve"> </w:t>
      </w:r>
      <w:r w:rsidR="003F3C49" w:rsidRPr="006E317E">
        <w:t>valdkonnaspetsiifiliselt reguleeritud</w:t>
      </w:r>
      <w:r w:rsidR="002943CD" w:rsidRPr="006E317E">
        <w:t xml:space="preserve"> (TTJA 2017</w:t>
      </w:r>
      <w:r w:rsidR="00E407AA">
        <w:t>.</w:t>
      </w:r>
      <w:r w:rsidR="002943CD" w:rsidRPr="006E317E">
        <w:t xml:space="preserve"> hulgituru 1 otsus)</w:t>
      </w:r>
      <w:r w:rsidR="003F3C49" w:rsidRPr="006E317E">
        <w:t xml:space="preserve"> Telia kaablikanalisatsioonile juurde</w:t>
      </w:r>
      <w:r w:rsidR="000873CD" w:rsidRPr="006E317E">
        <w:t>pääsu baasil.</w:t>
      </w:r>
      <w:r w:rsidR="003F3C49" w:rsidRPr="006E317E">
        <w:t xml:space="preserve"> </w:t>
      </w:r>
      <w:r w:rsidR="00083377" w:rsidRPr="006E317E">
        <w:t xml:space="preserve"> </w:t>
      </w:r>
      <w:r w:rsidR="000873CD" w:rsidRPr="006E317E">
        <w:t>M</w:t>
      </w:r>
      <w:r w:rsidRPr="006E317E">
        <w:t xml:space="preserve">aal </w:t>
      </w:r>
      <w:r w:rsidR="0048186F" w:rsidRPr="006E317E">
        <w:t>põhineb jaeturu konkurents</w:t>
      </w:r>
      <w:r w:rsidRPr="006E317E">
        <w:t xml:space="preserve"> märkimisväärses osas sideteenuste vahelisel konkurentsil riigiabiga rajatud </w:t>
      </w:r>
      <w:r w:rsidR="007D6CDF" w:rsidRPr="006E317E">
        <w:t xml:space="preserve">operaatorneutraalsetele </w:t>
      </w:r>
      <w:r w:rsidRPr="006E317E">
        <w:t>sidevõrkude</w:t>
      </w:r>
      <w:r w:rsidR="007442A8" w:rsidRPr="006E317E">
        <w:t>le juurdepääsu</w:t>
      </w:r>
      <w:r w:rsidRPr="006E317E">
        <w:t xml:space="preserve"> baasil</w:t>
      </w:r>
      <w:r w:rsidR="00EC2A26" w:rsidRPr="006E317E">
        <w:t>,</w:t>
      </w:r>
      <w:r w:rsidRPr="006E317E">
        <w:t xml:space="preserve"> eelkõige </w:t>
      </w:r>
      <w:r w:rsidR="006B181C" w:rsidRPr="006E317E">
        <w:t>Enefit</w:t>
      </w:r>
      <w:r w:rsidRPr="006E317E">
        <w:t xml:space="preserve"> juurdepääsuvõr</w:t>
      </w:r>
      <w:r w:rsidR="00EC2A26" w:rsidRPr="006E317E">
        <w:t>gu</w:t>
      </w:r>
      <w:r w:rsidRPr="006E317E">
        <w:t xml:space="preserve"> ja ELA</w:t>
      </w:r>
      <w:r w:rsidR="004E2C66">
        <w:t xml:space="preserve"> </w:t>
      </w:r>
      <w:r w:rsidRPr="006E317E">
        <w:t>SA ülekandevõ</w:t>
      </w:r>
      <w:r w:rsidR="00EC2A26" w:rsidRPr="006E317E">
        <w:t>rgu baasil</w:t>
      </w:r>
      <w:r w:rsidRPr="006E317E">
        <w:t>, kes ise jaeteenuseid ei paku. Valdkonnaspetsiifiliselt reguleeritud MTE (Telia) sidevõrgule kohaliku ja keskse juurdepääsu toodete (hulgituru 1 ja 3b toodete) mahud on väga marginaalsed, mistõttu need sisuliselt ei mõjuta internetiühenduste jaeturu konkurentsi ning seetõttu ei ole otstarbekas</w:t>
      </w:r>
      <w:r w:rsidRPr="00E407AA">
        <w:rPr>
          <w:i/>
          <w:iCs/>
        </w:rPr>
        <w:t xml:space="preserve"> </w:t>
      </w:r>
      <w:proofErr w:type="spellStart"/>
      <w:r w:rsidR="008E5A13">
        <w:rPr>
          <w:i/>
          <w:iCs/>
        </w:rPr>
        <w:t>Gr</w:t>
      </w:r>
      <w:r w:rsidR="00C318C1">
        <w:rPr>
          <w:i/>
          <w:iCs/>
        </w:rPr>
        <w:t>e</w:t>
      </w:r>
      <w:r w:rsidR="008E5A13">
        <w:rPr>
          <w:i/>
          <w:iCs/>
        </w:rPr>
        <w:t>enfieldi</w:t>
      </w:r>
      <w:proofErr w:type="spellEnd"/>
      <w:r w:rsidR="004A77A9" w:rsidRPr="00E407AA">
        <w:rPr>
          <w:i/>
          <w:iCs/>
        </w:rPr>
        <w:t xml:space="preserve"> </w:t>
      </w:r>
      <w:r w:rsidR="00081034" w:rsidRPr="006E317E">
        <w:t>lähenemisviisi</w:t>
      </w:r>
      <w:r w:rsidR="004A77A9" w:rsidRPr="006E317E">
        <w:t xml:space="preserve"> järgimiseks </w:t>
      </w:r>
      <w:r w:rsidRPr="006E317E">
        <w:t>nende hulgitoodete mahte eraldi jaeturul arves</w:t>
      </w:r>
      <w:r w:rsidR="004A77A9" w:rsidRPr="006E317E">
        <w:t>tada</w:t>
      </w:r>
      <w:r w:rsidRPr="006E317E">
        <w:t>.</w:t>
      </w:r>
    </w:p>
    <w:p w14:paraId="2E67731E" w14:textId="77777777" w:rsidR="005A76EE" w:rsidRPr="005A76EE" w:rsidRDefault="005A76EE" w:rsidP="005A76EE">
      <w:pPr>
        <w:pStyle w:val="Loendilik"/>
        <w:numPr>
          <w:ilvl w:val="0"/>
          <w:numId w:val="81"/>
        </w:numPr>
        <w:spacing w:before="240" w:after="240"/>
        <w:contextualSpacing w:val="0"/>
        <w:jc w:val="both"/>
        <w:outlineLvl w:val="1"/>
        <w:rPr>
          <w:b/>
          <w:iCs/>
          <w:vanish/>
        </w:rPr>
      </w:pPr>
      <w:bookmarkStart w:id="422" w:name="_Toc174094529"/>
      <w:bookmarkStart w:id="423" w:name="_Toc174094796"/>
      <w:bookmarkStart w:id="424" w:name="_Toc174095062"/>
      <w:bookmarkStart w:id="425" w:name="_Toc174095327"/>
      <w:bookmarkStart w:id="426" w:name="_Toc174095865"/>
      <w:bookmarkStart w:id="427" w:name="_Toc174096131"/>
      <w:bookmarkStart w:id="428" w:name="_Toc174536021"/>
      <w:bookmarkStart w:id="429" w:name="_Toc174617128"/>
      <w:bookmarkStart w:id="430" w:name="_Toc174618485"/>
      <w:bookmarkStart w:id="431" w:name="_Toc174627547"/>
      <w:bookmarkStart w:id="432" w:name="_Toc174704971"/>
      <w:bookmarkStart w:id="433" w:name="_Toc174709515"/>
      <w:bookmarkStart w:id="434" w:name="_Toc174710744"/>
      <w:bookmarkEnd w:id="422"/>
      <w:bookmarkEnd w:id="423"/>
      <w:bookmarkEnd w:id="424"/>
      <w:bookmarkEnd w:id="425"/>
      <w:bookmarkEnd w:id="426"/>
      <w:bookmarkEnd w:id="427"/>
      <w:bookmarkEnd w:id="428"/>
      <w:bookmarkEnd w:id="429"/>
      <w:bookmarkEnd w:id="430"/>
      <w:bookmarkEnd w:id="431"/>
      <w:bookmarkEnd w:id="432"/>
      <w:bookmarkEnd w:id="433"/>
      <w:bookmarkEnd w:id="434"/>
    </w:p>
    <w:p w14:paraId="7B3D3975" w14:textId="01C300BE" w:rsidR="0095323E" w:rsidRDefault="00183BEB" w:rsidP="005A76EE">
      <w:pPr>
        <w:pStyle w:val="Pealkiri2"/>
      </w:pPr>
      <w:bookmarkStart w:id="435" w:name="_Toc174710745"/>
      <w:r>
        <w:t>Vaskkaabli</w:t>
      </w:r>
      <w:r w:rsidR="0095323E" w:rsidRPr="006E317E">
        <w:t xml:space="preserve">- ja </w:t>
      </w:r>
      <w:r>
        <w:t>mobiilsidevõr</w:t>
      </w:r>
      <w:r w:rsidR="0095323E" w:rsidRPr="006E317E">
        <w:t>gu internetiühenduste üleriigilisel jaeturu</w:t>
      </w:r>
      <w:r w:rsidR="008B4492" w:rsidRPr="006E317E">
        <w:t xml:space="preserve"> konkurentsi analüüs</w:t>
      </w:r>
      <w:bookmarkEnd w:id="435"/>
    </w:p>
    <w:p w14:paraId="715CA654" w14:textId="77777777" w:rsidR="00BB7280" w:rsidRPr="00BB7280" w:rsidRDefault="00BB7280" w:rsidP="00AA241E">
      <w:pPr>
        <w:pStyle w:val="Loendilik"/>
        <w:keepNext/>
        <w:keepLines/>
        <w:numPr>
          <w:ilvl w:val="0"/>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436" w:name="_Toc174096134"/>
      <w:bookmarkStart w:id="437" w:name="_Toc174536024"/>
      <w:bookmarkStart w:id="438" w:name="_Toc174618487"/>
      <w:bookmarkStart w:id="439" w:name="_Toc174627549"/>
      <w:bookmarkStart w:id="440" w:name="_Toc174704973"/>
      <w:bookmarkStart w:id="441" w:name="_Toc174709517"/>
      <w:bookmarkStart w:id="442" w:name="_Toc174710746"/>
      <w:bookmarkEnd w:id="436"/>
      <w:bookmarkEnd w:id="437"/>
      <w:bookmarkEnd w:id="438"/>
      <w:bookmarkEnd w:id="439"/>
      <w:bookmarkEnd w:id="440"/>
      <w:bookmarkEnd w:id="441"/>
      <w:bookmarkEnd w:id="442"/>
    </w:p>
    <w:p w14:paraId="00F04503" w14:textId="77777777" w:rsidR="00BB7280" w:rsidRPr="00BB7280" w:rsidRDefault="00BB7280"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443" w:name="_Toc174094533"/>
      <w:bookmarkStart w:id="444" w:name="_Toc174094800"/>
      <w:bookmarkStart w:id="445" w:name="_Toc174095066"/>
      <w:bookmarkStart w:id="446" w:name="_Toc174095331"/>
      <w:bookmarkStart w:id="447" w:name="_Toc174095869"/>
      <w:bookmarkStart w:id="448" w:name="_Toc174096135"/>
      <w:bookmarkStart w:id="449" w:name="_Toc174536025"/>
      <w:bookmarkStart w:id="450" w:name="_Toc174617131"/>
      <w:bookmarkStart w:id="451" w:name="_Toc174618488"/>
      <w:bookmarkStart w:id="452" w:name="_Toc174627550"/>
      <w:bookmarkStart w:id="453" w:name="_Toc174704974"/>
      <w:bookmarkStart w:id="454" w:name="_Toc174709518"/>
      <w:bookmarkStart w:id="455" w:name="_Toc174710747"/>
      <w:bookmarkEnd w:id="443"/>
      <w:bookmarkEnd w:id="444"/>
      <w:bookmarkEnd w:id="445"/>
      <w:bookmarkEnd w:id="446"/>
      <w:bookmarkEnd w:id="447"/>
      <w:bookmarkEnd w:id="448"/>
      <w:bookmarkEnd w:id="449"/>
      <w:bookmarkEnd w:id="450"/>
      <w:bookmarkEnd w:id="451"/>
      <w:bookmarkEnd w:id="452"/>
      <w:bookmarkEnd w:id="453"/>
      <w:bookmarkEnd w:id="454"/>
      <w:bookmarkEnd w:id="455"/>
    </w:p>
    <w:p w14:paraId="7C3407E0" w14:textId="0A65DD87" w:rsidR="0095323E" w:rsidRPr="009D2988" w:rsidRDefault="0095323E" w:rsidP="009805E1">
      <w:pPr>
        <w:pStyle w:val="Pealkiri3"/>
      </w:pPr>
      <w:bookmarkStart w:id="456" w:name="_Toc174710748"/>
      <w:r w:rsidRPr="00BB7280">
        <w:t>Turuosad</w:t>
      </w:r>
      <w:bookmarkEnd w:id="456"/>
    </w:p>
    <w:p w14:paraId="731F112F" w14:textId="1614F82A" w:rsidR="0095323E" w:rsidRPr="006E317E" w:rsidRDefault="00183BEB" w:rsidP="00AA241E">
      <w:pPr>
        <w:jc w:val="both"/>
      </w:pPr>
      <w:r>
        <w:t>Vaskkaabli</w:t>
      </w:r>
      <w:r w:rsidR="0095323E" w:rsidRPr="006E317E">
        <w:t xml:space="preserve">- ja </w:t>
      </w:r>
      <w:r>
        <w:t>mobiilsidevõr</w:t>
      </w:r>
      <w:r w:rsidR="0095323E" w:rsidRPr="006E317E">
        <w:t xml:space="preserve">gu internetiühenduste üleriigilisel jaeturul on </w:t>
      </w:r>
      <w:r w:rsidR="00461A3C" w:rsidRPr="006E317E">
        <w:t>jaeklientide internetiühenduste alusel</w:t>
      </w:r>
      <w:r w:rsidR="0095323E" w:rsidRPr="006E317E">
        <w:t xml:space="preserve"> 2023 aastal kõige suurema osakaaluga Elisa </w:t>
      </w:r>
      <w:r w:rsidR="0090127F">
        <w:rPr>
          <w:rFonts w:cs="Times New Roman"/>
        </w:rPr>
        <w:t>…</w:t>
      </w:r>
      <w:r w:rsidR="0090127F" w:rsidRPr="00883566">
        <w:rPr>
          <w:rFonts w:cs="Times New Roman"/>
        </w:rPr>
        <w:t>*</w:t>
      </w:r>
      <w:r w:rsidR="0095323E" w:rsidRPr="006E317E">
        <w:t>%-</w:t>
      </w:r>
      <w:proofErr w:type="spellStart"/>
      <w:r w:rsidR="0095323E" w:rsidRPr="006E317E">
        <w:t>ga</w:t>
      </w:r>
      <w:proofErr w:type="spellEnd"/>
      <w:r w:rsidR="0095323E" w:rsidRPr="006E317E">
        <w:t xml:space="preserve">, järgneb Telia </w:t>
      </w:r>
      <w:r w:rsidR="002119B6">
        <w:t>…*</w:t>
      </w:r>
      <w:r w:rsidR="0095323E" w:rsidRPr="006E317E">
        <w:t xml:space="preserve">%-ga ja Tele2 </w:t>
      </w:r>
      <w:r w:rsidR="002119B6">
        <w:t>…*</w:t>
      </w:r>
      <w:r w:rsidR="0095323E" w:rsidRPr="006E317E">
        <w:t>%-</w:t>
      </w:r>
      <w:proofErr w:type="spellStart"/>
      <w:r w:rsidR="0095323E" w:rsidRPr="006E317E">
        <w:t>ga</w:t>
      </w:r>
      <w:proofErr w:type="spellEnd"/>
      <w:r w:rsidR="0095323E" w:rsidRPr="006E317E">
        <w:t xml:space="preserve">, vt Tabel </w:t>
      </w:r>
      <w:r w:rsidR="00F45E60">
        <w:t>11</w:t>
      </w:r>
      <w:r w:rsidR="0095323E" w:rsidRPr="006E317E">
        <w:t>. Kolmekesi kokku moodustavad nad ca 9</w:t>
      </w:r>
      <w:r w:rsidR="007E6C65">
        <w:t>8</w:t>
      </w:r>
      <w:r w:rsidR="0095323E" w:rsidRPr="006E317E">
        <w:t xml:space="preserve">% turust. Seejuures </w:t>
      </w:r>
      <w:r w:rsidR="002119B6">
        <w:t>…*</w:t>
      </w:r>
      <w:r w:rsidR="0095323E" w:rsidRPr="006E317E">
        <w:t xml:space="preserve"> ja </w:t>
      </w:r>
      <w:r w:rsidR="002119B6">
        <w:t>…*</w:t>
      </w:r>
      <w:r w:rsidR="0095323E" w:rsidRPr="006E317E">
        <w:t xml:space="preserve"> osakaalud on perioodil 2022-2023 langenud ning </w:t>
      </w:r>
      <w:r w:rsidR="002119B6">
        <w:t>…*</w:t>
      </w:r>
      <w:r w:rsidR="0095323E" w:rsidRPr="006E317E">
        <w:t xml:space="preserve"> oma tõusnud.</w:t>
      </w:r>
    </w:p>
    <w:p w14:paraId="09E33F2C" w14:textId="2E0B760D" w:rsidR="0095323E" w:rsidRPr="006E317E" w:rsidRDefault="002119B6" w:rsidP="00AA241E">
      <w:pPr>
        <w:jc w:val="both"/>
      </w:pPr>
      <w:r>
        <w:rPr>
          <w:noProof/>
        </w:rPr>
        <w:drawing>
          <wp:inline distT="0" distB="0" distL="0" distR="0" wp14:anchorId="68B2B8D9" wp14:editId="0331F187">
            <wp:extent cx="5944235" cy="1871345"/>
            <wp:effectExtent l="0" t="0" r="0" b="0"/>
            <wp:docPr id="1768423207"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4235" cy="1871345"/>
                    </a:xfrm>
                    <a:prstGeom prst="rect">
                      <a:avLst/>
                    </a:prstGeom>
                    <a:noFill/>
                  </pic:spPr>
                </pic:pic>
              </a:graphicData>
            </a:graphic>
          </wp:inline>
        </w:drawing>
      </w:r>
    </w:p>
    <w:p w14:paraId="6DFB41A4" w14:textId="523526B1" w:rsidR="0095323E" w:rsidRPr="006E317E" w:rsidRDefault="00EC33F1" w:rsidP="00AA241E">
      <w:pPr>
        <w:pStyle w:val="Pealdis"/>
        <w:jc w:val="both"/>
      </w:pPr>
      <w:r>
        <w:t xml:space="preserve">Tabel </w:t>
      </w:r>
      <w:r>
        <w:fldChar w:fldCharType="begin"/>
      </w:r>
      <w:r>
        <w:instrText xml:space="preserve"> SEQ Tabel \* ARABIC </w:instrText>
      </w:r>
      <w:r>
        <w:fldChar w:fldCharType="separate"/>
      </w:r>
      <w:r w:rsidR="00247D84">
        <w:rPr>
          <w:noProof/>
        </w:rPr>
        <w:t>11</w:t>
      </w:r>
      <w:r>
        <w:fldChar w:fldCharType="end"/>
      </w:r>
      <w:r>
        <w:t xml:space="preserve"> </w:t>
      </w:r>
      <w:r w:rsidR="00183BEB">
        <w:t>Vaskkaabli</w:t>
      </w:r>
      <w:r w:rsidR="0095323E" w:rsidRPr="006E317E">
        <w:t xml:space="preserve">- ja </w:t>
      </w:r>
      <w:r w:rsidR="00183BEB">
        <w:t>mobiilsidevõr</w:t>
      </w:r>
      <w:r w:rsidR="0095323E" w:rsidRPr="006E317E">
        <w:t>gu internetiühenduste üleriigilise jaeturul sideettevõtjate internetiühenduste jaeklientide osakaalud aastatel 2022 – 2023.</w:t>
      </w:r>
    </w:p>
    <w:p w14:paraId="5B12156E" w14:textId="6CBD37D0" w:rsidR="0095323E" w:rsidRDefault="0095323E" w:rsidP="00AA241E">
      <w:pPr>
        <w:jc w:val="both"/>
      </w:pPr>
      <w:r w:rsidRPr="006E317E">
        <w:t xml:space="preserve">Turuosade üldine struktuur viitab sellele, et </w:t>
      </w:r>
      <w:r w:rsidR="00183BEB">
        <w:t>vaskkaabli</w:t>
      </w:r>
      <w:r w:rsidRPr="006E317E">
        <w:t xml:space="preserve">- ja </w:t>
      </w:r>
      <w:r w:rsidR="00183BEB">
        <w:t>mobiilsidevõr</w:t>
      </w:r>
      <w:r w:rsidRPr="006E317E">
        <w:t xml:space="preserve">gu internetiühenduste üleriigilisel jaeturul eksisteerib </w:t>
      </w:r>
      <w:r w:rsidR="006A08E7" w:rsidRPr="006E317E">
        <w:t>tõhus</w:t>
      </w:r>
      <w:r w:rsidRPr="006E317E">
        <w:t xml:space="preserve"> konkurents ja puudub sideettevõtja, kellel võiks olla märkimisväärse turujõuga ettevõtja seisund. </w:t>
      </w:r>
    </w:p>
    <w:p w14:paraId="57F9478E" w14:textId="77777777" w:rsidR="0095323E" w:rsidRDefault="0095323E" w:rsidP="009805E1">
      <w:pPr>
        <w:pStyle w:val="Pealkiri3"/>
      </w:pPr>
      <w:bookmarkStart w:id="457" w:name="_Toc174710749"/>
      <w:r w:rsidRPr="006E317E">
        <w:t>Turule sisenemise tõkked</w:t>
      </w:r>
      <w:bookmarkEnd w:id="457"/>
    </w:p>
    <w:p w14:paraId="113AE948" w14:textId="5ED415DC" w:rsidR="0095323E" w:rsidRPr="006E317E" w:rsidRDefault="0095323E" w:rsidP="00AA241E">
      <w:pPr>
        <w:jc w:val="both"/>
      </w:pPr>
      <w:r w:rsidRPr="006E317E">
        <w:t xml:space="preserve">Üks peamisi konkurentsiprobleeme elektroonilise side turgudel, on turule sisenemise tõkked ja sidevõrgu </w:t>
      </w:r>
      <w:r w:rsidR="00834D5D">
        <w:t>katvuse</w:t>
      </w:r>
      <w:r w:rsidRPr="006E317E">
        <w:t xml:space="preserve"> laiendamine, kuna sidevõrgu rajamisega kaasnevad kõrged pöördumatud kulud, mis on eelkõige seotud sidekaablitaristuga (sidetorud- ja postid), mille rajamise kulud moodustavad kuni 80% sidevõrkude paigaldamise kuludest. Seega on sidekaablitaristu omamine ja kättesaadavus oluline konkurentsi eelis. Sidevõrgu rajamise suurtest ja pöördumatutest kuludest tulenevalt on sidevõrgu tasuvuse tagamiseks vaja saavutada piisav mastaabisääst ehk koguda piisav kliendibaas, et kindlustada stabiilsed tulud suurte ja pöördumatute kulude tagasi teenimiseks.</w:t>
      </w:r>
    </w:p>
    <w:p w14:paraId="1C1428B4" w14:textId="0AB84956" w:rsidR="0095323E" w:rsidRPr="006E317E" w:rsidRDefault="0095323E" w:rsidP="00AA241E">
      <w:pPr>
        <w:jc w:val="both"/>
      </w:pPr>
      <w:r w:rsidRPr="006E317E">
        <w:t xml:space="preserve">Tõkkeid turule sisenemisel või sidevõrgu leviala laiendamisel on aidanud vähendada sidekaabli paigaldamist võimaldavale füüsilise taristule juurdepääsu sümmeetriline reguleerimine ehitusseadustiku </w:t>
      </w:r>
      <w:r w:rsidR="008C159A">
        <w:t xml:space="preserve">ptk. </w:t>
      </w:r>
      <w:r w:rsidRPr="006E317E">
        <w:t xml:space="preserve">6 </w:t>
      </w:r>
      <w:proofErr w:type="spellStart"/>
      <w:r w:rsidRPr="006E317E">
        <w:t>prim</w:t>
      </w:r>
      <w:proofErr w:type="spellEnd"/>
      <w:r w:rsidRPr="006E317E">
        <w:t xml:space="preserve"> 1 alusel ja MTE kaablikanalisatsiooni reguleerimine tugiteenusena valdkonnaspetsiifiliselt hulgiturul 1 TTJA 2017 aasta otsuse alusel. Sideettevõtja omanduses olev füüsiline taristu (sidetorud ja -postid) annab sideettevõtjale siiski oluliselt suurema konkurentsi eelise kui selle rentimine teistelt. Eelkõige toimub sidevõrgu paigaldamine oma enda füüsilise </w:t>
      </w:r>
      <w:r w:rsidRPr="006E317E">
        <w:lastRenderedPageBreak/>
        <w:t xml:space="preserve">taristu baasil tavaliselt suuremates mahtudes, kiiremini ja tõhusamalt. Jae internetiühenduse teenuseid osutavatest sideettevõtjatest omab Eestis kõige suuremat ja ulatuslikumat sidekaablitaristut Telia, vt ka </w:t>
      </w:r>
      <w:r w:rsidR="006572FC" w:rsidRPr="006572FC">
        <w:t>TTJA 2024 ST</w:t>
      </w:r>
      <w:r w:rsidR="001B7EC2">
        <w:t>J</w:t>
      </w:r>
      <w:r w:rsidR="006572FC" w:rsidRPr="006572FC">
        <w:t xml:space="preserve"> hulgituru otsuse kavand</w:t>
      </w:r>
      <w:r w:rsidR="006572FC">
        <w:t>it</w:t>
      </w:r>
      <w:r w:rsidRPr="006E317E">
        <w:t xml:space="preserve">. </w:t>
      </w:r>
    </w:p>
    <w:p w14:paraId="4C6A480C" w14:textId="7A9450BE" w:rsidR="0095323E" w:rsidRPr="006E317E" w:rsidRDefault="0095323E" w:rsidP="00AA241E">
      <w:pPr>
        <w:jc w:val="both"/>
      </w:pPr>
      <w:r w:rsidRPr="006E317E">
        <w:t xml:space="preserve">Internetiühenduste algusaegadel 1990-ndatel osutati internetiühenduse teenust ainult Telia </w:t>
      </w:r>
      <w:r w:rsidR="00AD1150">
        <w:t>vaskpaar</w:t>
      </w:r>
      <w:r w:rsidRPr="006E317E">
        <w:t xml:space="preserve">võrgu baasil. Aastatega on internetiühenduse jaeturule sisenenud paljud teised sideettevõtjad erinevate sidevõrgu tehnoloogiate baasil, vt </w:t>
      </w:r>
      <w:r w:rsidR="00A64B04">
        <w:t xml:space="preserve">ka </w:t>
      </w:r>
      <w:r w:rsidR="008C159A">
        <w:t>ptk.-</w:t>
      </w:r>
      <w:r w:rsidR="00A64B04">
        <w:t xml:space="preserve">s </w:t>
      </w:r>
      <w:r w:rsidR="00D337B6">
        <w:t>2</w:t>
      </w:r>
      <w:r w:rsidR="00A64B04">
        <w:t>.</w:t>
      </w:r>
      <w:r w:rsidR="00D337B6">
        <w:t>2</w:t>
      </w:r>
      <w:r w:rsidR="00A64B04">
        <w:t>.</w:t>
      </w:r>
      <w:r w:rsidR="00D337B6">
        <w:t>7</w:t>
      </w:r>
      <w:r w:rsidR="00A64B04">
        <w:t xml:space="preserve"> </w:t>
      </w:r>
      <w:r w:rsidRPr="006E317E">
        <w:t xml:space="preserve">Tabel </w:t>
      </w:r>
      <w:r w:rsidR="00D337B6">
        <w:t>5</w:t>
      </w:r>
      <w:r w:rsidRPr="006E317E">
        <w:t xml:space="preserve">, peamiselt koaksiaalkaabel-, valguskaabelvõrkude ja mobiilvõrkude baasil, väga vähesel määral ka </w:t>
      </w:r>
      <w:proofErr w:type="spellStart"/>
      <w:r w:rsidRPr="006E317E">
        <w:t>wifi</w:t>
      </w:r>
      <w:proofErr w:type="spellEnd"/>
      <w:r w:rsidRPr="006E317E">
        <w:t xml:space="preserve"> raadiosidevõrgu baasil ja viimasel ajal vähesel määral ka satelliitsidevõrgu baasil, mida nende väga madala kasutuse tõttu internetiühenduste jaeturu konkurentsi analüüsi ei kaasatud. </w:t>
      </w:r>
    </w:p>
    <w:p w14:paraId="245AD937" w14:textId="3034A6C1" w:rsidR="0095323E" w:rsidRPr="006E317E" w:rsidRDefault="00183BEB" w:rsidP="00AA241E">
      <w:pPr>
        <w:jc w:val="both"/>
      </w:pPr>
      <w:r>
        <w:t>Vaskkaabli</w:t>
      </w:r>
      <w:r w:rsidR="0095323E" w:rsidRPr="006E317E">
        <w:t xml:space="preserve">- ja </w:t>
      </w:r>
      <w:r>
        <w:t>mobiilsidevõr</w:t>
      </w:r>
      <w:r w:rsidR="0095323E" w:rsidRPr="006E317E">
        <w:t xml:space="preserve">kude osas on käesolevaks ajaks Eesti maismaa territooriumist  99%-i ulatuses kaetud kolme erineva internetiühendust osutatava mobiilsidevõrguga (Telia, Elisa ja Tele2). </w:t>
      </w:r>
      <w:r w:rsidR="00AD1150">
        <w:t>Vaskpaar</w:t>
      </w:r>
      <w:r w:rsidR="0095323E" w:rsidRPr="006E317E">
        <w:t xml:space="preserve">võrgu </w:t>
      </w:r>
      <w:proofErr w:type="spellStart"/>
      <w:r w:rsidR="007E6C65">
        <w:t>ADSLx</w:t>
      </w:r>
      <w:proofErr w:type="spellEnd"/>
      <w:r w:rsidR="007E6C65">
        <w:t xml:space="preserve"> tehnoloogia baasil on kaetud ca 2% (peamiselt </w:t>
      </w:r>
      <w:r w:rsidR="002119B6">
        <w:t>…*</w:t>
      </w:r>
      <w:r w:rsidR="007E6C65">
        <w:t xml:space="preserve">), </w:t>
      </w:r>
      <w:proofErr w:type="spellStart"/>
      <w:r w:rsidR="0095323E" w:rsidRPr="006E317E">
        <w:t>VDSLx</w:t>
      </w:r>
      <w:proofErr w:type="spellEnd"/>
      <w:r w:rsidR="007E6C65">
        <w:t xml:space="preserve"> sh </w:t>
      </w:r>
      <w:proofErr w:type="spellStart"/>
      <w:r w:rsidR="0095323E" w:rsidRPr="006E317E">
        <w:t>vectoring</w:t>
      </w:r>
      <w:proofErr w:type="spellEnd"/>
      <w:r w:rsidR="007E6C65">
        <w:t xml:space="preserve"> </w:t>
      </w:r>
      <w:r w:rsidR="0095323E" w:rsidRPr="006E317E">
        <w:t>(sh</w:t>
      </w:r>
      <w:r w:rsidR="004E2C66">
        <w:t xml:space="preserve"> </w:t>
      </w:r>
      <w:r w:rsidR="0095323E" w:rsidRPr="006E317E">
        <w:t xml:space="preserve">Vplus35b) tehnoloogia baasil on kaetud ca 24% (peamiselt </w:t>
      </w:r>
      <w:r w:rsidR="002119B6">
        <w:t>…*</w:t>
      </w:r>
      <w:r w:rsidR="0095323E" w:rsidRPr="006E317E">
        <w:t xml:space="preserve">) ning koaksiaalkaablivõrgu DOCSIS 3.0 tehnoloogia baasil 27% (peamiselt </w:t>
      </w:r>
      <w:r w:rsidR="002119B6">
        <w:t>…*</w:t>
      </w:r>
      <w:r w:rsidR="0095323E" w:rsidRPr="006E317E">
        <w:t xml:space="preserve">) elu- ja mitteeluruumidest (korterid ja eramud koos abihoonetega, kontorid ning muud äri- ja tööstusruumid). </w:t>
      </w:r>
    </w:p>
    <w:p w14:paraId="4C4BD930" w14:textId="17EE5A64" w:rsidR="0095323E" w:rsidRPr="006E317E" w:rsidRDefault="0095323E" w:rsidP="00AA241E">
      <w:pPr>
        <w:jc w:val="both"/>
      </w:pPr>
      <w:r w:rsidRPr="006E317E">
        <w:t xml:space="preserve">Kõige suuremat kliendibaasi (ja sellest tulenevat mastaabisäästu) </w:t>
      </w:r>
      <w:r w:rsidR="00183BEB">
        <w:t>vaskkaabli</w:t>
      </w:r>
      <w:r w:rsidRPr="006E317E">
        <w:t xml:space="preserve">- ja </w:t>
      </w:r>
      <w:r w:rsidR="00183BEB">
        <w:t>mobiilsidevõr</w:t>
      </w:r>
      <w:r w:rsidRPr="006E317E">
        <w:t xml:space="preserve">gu internetiühenduse üleriigilise jaeturul omavad </w:t>
      </w:r>
      <w:r w:rsidR="002119B6">
        <w:t>…*</w:t>
      </w:r>
      <w:r w:rsidRPr="006E317E">
        <w:t xml:space="preserve"> ja </w:t>
      </w:r>
      <w:r w:rsidR="002119B6">
        <w:t>…*</w:t>
      </w:r>
      <w:r w:rsidRPr="006E317E">
        <w:t xml:space="preserve">, vt ka Tabel </w:t>
      </w:r>
      <w:r w:rsidR="000D4E2A">
        <w:t>11</w:t>
      </w:r>
      <w:r w:rsidRPr="006E317E">
        <w:t>.</w:t>
      </w:r>
    </w:p>
    <w:p w14:paraId="14D7E7D9" w14:textId="5530EA86" w:rsidR="0095323E" w:rsidRDefault="0095323E" w:rsidP="00AA241E">
      <w:pPr>
        <w:jc w:val="both"/>
      </w:pPr>
      <w:r w:rsidRPr="006E317E">
        <w:t xml:space="preserve">Eespool öeldut silmas pidades on </w:t>
      </w:r>
      <w:r w:rsidR="00183BEB">
        <w:t>vaskkaabli</w:t>
      </w:r>
      <w:r w:rsidRPr="006E317E">
        <w:t xml:space="preserve">- ja </w:t>
      </w:r>
      <w:r w:rsidR="00183BEB">
        <w:t>mobiilsidevõr</w:t>
      </w:r>
      <w:r w:rsidRPr="006E317E">
        <w:t xml:space="preserve">gu internetiühenduste üleriigilisele jaeturule sisenemisel olemas tõkked (peamiselt sidevõrgu rajamise suured ja pöördumatud kulud), mis takistavad uuel sideettevõtjal enda sidevõrgu baasil sisenemist </w:t>
      </w:r>
      <w:r w:rsidR="00183BEB">
        <w:t>vaskkaabli</w:t>
      </w:r>
      <w:r w:rsidRPr="006E317E">
        <w:t xml:space="preserve">- ja </w:t>
      </w:r>
      <w:r w:rsidR="00183BEB">
        <w:t>mobiilsidevõr</w:t>
      </w:r>
      <w:r w:rsidRPr="006E317E">
        <w:t>gu internetiühenduste üleriigilisel jaeturule. Samas turul juba tegutsevatel sideettevõtjatel</w:t>
      </w:r>
      <w:r w:rsidR="00397CA7" w:rsidRPr="006E317E">
        <w:t xml:space="preserve"> (näiteks kolme</w:t>
      </w:r>
      <w:r w:rsidR="0090657A" w:rsidRPr="006E317E">
        <w:t>l</w:t>
      </w:r>
      <w:r w:rsidR="00397CA7" w:rsidRPr="006E317E">
        <w:t xml:space="preserve"> mobii</w:t>
      </w:r>
      <w:r w:rsidR="0090657A" w:rsidRPr="006E317E">
        <w:t>lvõrgu operaatoril)</w:t>
      </w:r>
      <w:r w:rsidRPr="006E317E">
        <w:t>, kellel juba on olemas piisava ulatusega sidevõrk ja kliendibaas (ehk mastaabisääst) on oma sidevõrgu leviala laiendamise tõkked teatud määral ületatud ja neil tõketel on madalam tähtsus.</w:t>
      </w:r>
    </w:p>
    <w:p w14:paraId="4DA8D694" w14:textId="40BB7984" w:rsidR="0095323E" w:rsidRDefault="0095323E" w:rsidP="009805E1">
      <w:pPr>
        <w:pStyle w:val="Pealkiri3"/>
      </w:pPr>
      <w:bookmarkStart w:id="458" w:name="_Toc174710750"/>
      <w:r w:rsidRPr="006E317E">
        <w:t xml:space="preserve">Tasakaalustav </w:t>
      </w:r>
      <w:r w:rsidR="00EE71F9">
        <w:t>ostjaj</w:t>
      </w:r>
      <w:r w:rsidRPr="006E317E">
        <w:t>õud</w:t>
      </w:r>
      <w:bookmarkEnd w:id="458"/>
    </w:p>
    <w:p w14:paraId="71A3F1EE" w14:textId="100A46FA" w:rsidR="0095323E" w:rsidRPr="006E317E" w:rsidRDefault="0095323E" w:rsidP="00AA241E">
      <w:pPr>
        <w:jc w:val="both"/>
      </w:pPr>
      <w:r w:rsidRPr="006E317E">
        <w:t xml:space="preserve">Tasakaalustav </w:t>
      </w:r>
      <w:r w:rsidR="00EE71F9">
        <w:t>ostjaj</w:t>
      </w:r>
      <w:r w:rsidRPr="006E317E">
        <w:t xml:space="preserve">õud </w:t>
      </w:r>
      <w:r w:rsidR="00183BEB">
        <w:t>vaskkaabli</w:t>
      </w:r>
      <w:r w:rsidRPr="006E317E">
        <w:t xml:space="preserve">- ja </w:t>
      </w:r>
      <w:r w:rsidR="00183BEB">
        <w:t>mobiilsidevõr</w:t>
      </w:r>
      <w:r w:rsidRPr="006E317E">
        <w:t>gu internetiühenduse üleriigilisel jaeturul on olemas siis, kui lõppkasutajal on võimalus vahetada oma vastavat internetiühendust osutav sideettevõtja teise vastavat internetiühendust osutava sideettevõtja vastu. Seejuures on oluline, et teenusepakkuja vahetamisega seotud kulud ei oleks suured, et teenuse osutaja vahetamine oleks lõppkasutajale majanduslikult tasuv.</w:t>
      </w:r>
    </w:p>
    <w:p w14:paraId="39852049" w14:textId="6F6F4E72" w:rsidR="0095323E" w:rsidRPr="006E317E" w:rsidRDefault="0095323E" w:rsidP="00AA241E">
      <w:pPr>
        <w:jc w:val="both"/>
      </w:pPr>
      <w:r w:rsidRPr="006E317E">
        <w:t xml:space="preserve">2023 aastal pakkus vaskkaablivõrgu baasil püsiasukohaga interneitühendust peamiselt Telia, koaksiaalkaablivõrgu baasil peamiselt Elisa (vähemal määral ka STV ja Telset) ning mobiilsidevõrgu baasil Telia, Elisa ja Tele2, vt Tabel </w:t>
      </w:r>
      <w:r w:rsidR="000D4E2A">
        <w:t>11</w:t>
      </w:r>
      <w:r w:rsidRPr="006E317E">
        <w:t xml:space="preserve">. </w:t>
      </w:r>
    </w:p>
    <w:p w14:paraId="43346EDB" w14:textId="6392E02C" w:rsidR="0095323E" w:rsidRPr="006E317E" w:rsidRDefault="0095323E" w:rsidP="00AA241E">
      <w:pPr>
        <w:jc w:val="both"/>
      </w:pPr>
      <w:r w:rsidRPr="006E317E">
        <w:lastRenderedPageBreak/>
        <w:t xml:space="preserve">TTJA hinnangul tuleneb piisav tasakaalustav </w:t>
      </w:r>
      <w:r w:rsidR="00EE71F9">
        <w:t>ostjaj</w:t>
      </w:r>
      <w:r w:rsidRPr="006E317E">
        <w:t xml:space="preserve">õud </w:t>
      </w:r>
      <w:r w:rsidR="00183BEB">
        <w:t>vaskkaabli</w:t>
      </w:r>
      <w:r w:rsidRPr="006E317E">
        <w:t xml:space="preserve">- ja </w:t>
      </w:r>
      <w:r w:rsidR="00183BEB">
        <w:t>mobiilsidevõr</w:t>
      </w:r>
      <w:r w:rsidRPr="006E317E">
        <w:t xml:space="preserve">gu internetiühenduse üleriigilisel jaeturul eelkõige kolmes üleriigilises mobiilsidevõrgus pakutavatest püsiasukohaga ja piiramatu andmeside mahuga internetiühendustest, millega liitumine on sageli oluliselt soodsam ja kiirem, kui liitumine </w:t>
      </w:r>
      <w:r w:rsidR="00183BEB">
        <w:t>vaskkaabli</w:t>
      </w:r>
      <w:r w:rsidRPr="006E317E">
        <w:t xml:space="preserve">- või koaksiaalkaabelvõrgu interneitühendustega, kuna puudub vajadus paigaldada ja ühendada kinnistu ja hoonesiseseid kaableid terminaliseadmega, piisab vastava SIM kaardi põhise ruuteri soetamisest. Mobiilsidevõrgu põhine internetiühenduse baasil saab osutada ja tarbida ka televisiooni ja kõne ning muid lisateenuseid (nt elektroonilised turvateenused). </w:t>
      </w:r>
    </w:p>
    <w:p w14:paraId="4D8D9555" w14:textId="50D27360" w:rsidR="0095323E" w:rsidRPr="00C02FAB" w:rsidRDefault="0095323E" w:rsidP="00AA241E">
      <w:pPr>
        <w:jc w:val="both"/>
        <w:rPr>
          <w:b/>
          <w:bCs/>
        </w:rPr>
      </w:pPr>
      <w:r w:rsidRPr="00C02FAB">
        <w:rPr>
          <w:b/>
          <w:bCs/>
        </w:rPr>
        <w:t xml:space="preserve">Eeltoodut silmas pidades on </w:t>
      </w:r>
      <w:r w:rsidR="00183BEB" w:rsidRPr="00C02FAB">
        <w:rPr>
          <w:b/>
          <w:bCs/>
        </w:rPr>
        <w:t>vaskkaabli</w:t>
      </w:r>
      <w:r w:rsidRPr="00C02FAB">
        <w:rPr>
          <w:b/>
          <w:bCs/>
        </w:rPr>
        <w:t xml:space="preserve">- ja </w:t>
      </w:r>
      <w:r w:rsidR="00183BEB" w:rsidRPr="00C02FAB">
        <w:rPr>
          <w:b/>
          <w:bCs/>
        </w:rPr>
        <w:t>mobiilsidevõr</w:t>
      </w:r>
      <w:r w:rsidRPr="00C02FAB">
        <w:rPr>
          <w:b/>
          <w:bCs/>
        </w:rPr>
        <w:t xml:space="preserve">gu internetiühenduste üleriigilisel jaeturul olemas tasakaalustav </w:t>
      </w:r>
      <w:r w:rsidR="00EE71F9">
        <w:rPr>
          <w:b/>
          <w:bCs/>
        </w:rPr>
        <w:t>ostjaj</w:t>
      </w:r>
      <w:r w:rsidRPr="00C02FAB">
        <w:rPr>
          <w:b/>
          <w:bCs/>
        </w:rPr>
        <w:t>õud, sest lõppkasutajad võivad üleriigiliselt vahetada internetiühenduse osutajat olenemata asukohast.</w:t>
      </w:r>
    </w:p>
    <w:p w14:paraId="5901FB90" w14:textId="5AC65601" w:rsidR="0095323E" w:rsidRDefault="00E26D01" w:rsidP="009805E1">
      <w:pPr>
        <w:pStyle w:val="Pealkiri3"/>
      </w:pPr>
      <w:bookmarkStart w:id="459" w:name="_Toc174710751"/>
      <w:r>
        <w:t>Järeldused</w:t>
      </w:r>
      <w:bookmarkEnd w:id="459"/>
    </w:p>
    <w:p w14:paraId="3C1CA1F3" w14:textId="740902D1" w:rsidR="0095323E" w:rsidRDefault="0095323E" w:rsidP="00AA241E">
      <w:pPr>
        <w:jc w:val="both"/>
      </w:pPr>
      <w:r w:rsidRPr="006E317E">
        <w:t xml:space="preserve">Eeltoodust tulenevalt eksisteerib TTJA  hinnangul </w:t>
      </w:r>
      <w:bookmarkStart w:id="460" w:name="_Hlk174016599"/>
      <w:r w:rsidR="00183BEB">
        <w:t>vaskkaabli</w:t>
      </w:r>
      <w:r w:rsidRPr="006E317E">
        <w:t xml:space="preserve">- ja </w:t>
      </w:r>
      <w:r w:rsidR="00183BEB">
        <w:t>mobiilsidevõr</w:t>
      </w:r>
      <w:r w:rsidRPr="006E317E">
        <w:t xml:space="preserve">gu internetiühenduste üleriigilisel jaeturul </w:t>
      </w:r>
      <w:r w:rsidR="00BA2202" w:rsidRPr="006E317E">
        <w:t>tõhus</w:t>
      </w:r>
      <w:r w:rsidRPr="006E317E">
        <w:t xml:space="preserve"> konkurents. </w:t>
      </w:r>
      <w:r w:rsidR="00FF6AC2">
        <w:t>See</w:t>
      </w:r>
      <w:r w:rsidR="00B225EE">
        <w:t xml:space="preserve"> viitab sellele, et </w:t>
      </w:r>
      <w:r w:rsidR="00582D94">
        <w:t>asjaomastel</w:t>
      </w:r>
      <w:r w:rsidRPr="006E317E">
        <w:t xml:space="preserve"> </w:t>
      </w:r>
      <w:r w:rsidR="00183BEB">
        <w:t>vaskkaabli</w:t>
      </w:r>
      <w:r w:rsidR="00320E1D" w:rsidRPr="006E317E">
        <w:t xml:space="preserve">- ja </w:t>
      </w:r>
      <w:r w:rsidR="00183BEB">
        <w:t>mobiilsidevõr</w:t>
      </w:r>
      <w:r w:rsidR="00582D94">
        <w:t>gu</w:t>
      </w:r>
      <w:r w:rsidR="00320E1D" w:rsidRPr="006E317E">
        <w:t xml:space="preserve"> </w:t>
      </w:r>
      <w:r w:rsidR="00582D94">
        <w:t xml:space="preserve">hulgiturul 1 ja hulgiturul 3b ei ole </w:t>
      </w:r>
      <w:r w:rsidR="00A96272">
        <w:t>valdkonnaspetsiifilise regulatsiooni rakendamine põhjendatud, kuid selle</w:t>
      </w:r>
      <w:r w:rsidR="00F41BB3">
        <w:t xml:space="preserve"> lõplikuks kinnitamiseks</w:t>
      </w:r>
      <w:r w:rsidR="00A96272">
        <w:t xml:space="preserve"> tuleks</w:t>
      </w:r>
      <w:r w:rsidRPr="006E317E">
        <w:t xml:space="preserve"> </w:t>
      </w:r>
      <w:r w:rsidR="00612F69" w:rsidRPr="006E317E">
        <w:t xml:space="preserve">vastavatel </w:t>
      </w:r>
      <w:r w:rsidR="00FF6AC2">
        <w:t xml:space="preserve">turgudel </w:t>
      </w:r>
      <w:r w:rsidRPr="006E317E">
        <w:t xml:space="preserve">läbi viia </w:t>
      </w:r>
      <w:r w:rsidR="00A96272">
        <w:t xml:space="preserve">veel </w:t>
      </w:r>
      <w:r w:rsidRPr="006E317E">
        <w:t xml:space="preserve">konkurentsi kolme kriteeriumi test ESS-i turuanalüüsi määruse alusel. </w:t>
      </w:r>
      <w:bookmarkEnd w:id="460"/>
      <w:r w:rsidRPr="006E317E">
        <w:t>Kui test valdkonnaspetsiifilise regulatsiooni põhjendatust ei kinnita, siis hulgiturul MTE välja selgitamise analüüsi ei teostata ja kui hulgiturg on valdkonnaspetsiifiliselt reguleeritud, siis see de-reguleeritakse, kui test kinnitab valdkonnaspetsiifilise regulatsiooni põhjendatust, siis jätkatakse MTE välja selgitamise analüüsiga.</w:t>
      </w:r>
    </w:p>
    <w:p w14:paraId="1AFBAF70" w14:textId="47894281" w:rsidR="00EB2C0B" w:rsidRDefault="00A3232C" w:rsidP="00AA241E">
      <w:pPr>
        <w:pStyle w:val="Pealkiri2"/>
        <w:jc w:val="both"/>
      </w:pPr>
      <w:bookmarkStart w:id="461" w:name="_Toc174710752"/>
      <w:r>
        <w:t>Valguskaabelvõrgu</w:t>
      </w:r>
      <w:r w:rsidR="0095323E" w:rsidRPr="006E317E">
        <w:t xml:space="preserve"> internetiühenduste A piirkonna jaeturu</w:t>
      </w:r>
      <w:r w:rsidR="00CD3803" w:rsidRPr="006E317E">
        <w:t xml:space="preserve"> konkurentsi analüüs</w:t>
      </w:r>
      <w:bookmarkEnd w:id="461"/>
    </w:p>
    <w:p w14:paraId="466DFB3B" w14:textId="77777777" w:rsidR="00FF0EB5" w:rsidRPr="00FF0EB5" w:rsidRDefault="00FF0EB5"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462" w:name="_Toc174094539"/>
      <w:bookmarkStart w:id="463" w:name="_Toc174094806"/>
      <w:bookmarkStart w:id="464" w:name="_Toc174095072"/>
      <w:bookmarkStart w:id="465" w:name="_Toc174095337"/>
      <w:bookmarkStart w:id="466" w:name="_Toc174095875"/>
      <w:bookmarkStart w:id="467" w:name="_Toc174096141"/>
      <w:bookmarkStart w:id="468" w:name="_Toc174536031"/>
      <w:bookmarkStart w:id="469" w:name="_Toc174617137"/>
      <w:bookmarkStart w:id="470" w:name="_Toc174618494"/>
      <w:bookmarkStart w:id="471" w:name="_Toc174627556"/>
      <w:bookmarkStart w:id="472" w:name="_Toc174704980"/>
      <w:bookmarkStart w:id="473" w:name="_Toc174709524"/>
      <w:bookmarkStart w:id="474" w:name="_Toc174710753"/>
      <w:bookmarkEnd w:id="462"/>
      <w:bookmarkEnd w:id="463"/>
      <w:bookmarkEnd w:id="464"/>
      <w:bookmarkEnd w:id="465"/>
      <w:bookmarkEnd w:id="466"/>
      <w:bookmarkEnd w:id="467"/>
      <w:bookmarkEnd w:id="468"/>
      <w:bookmarkEnd w:id="469"/>
      <w:bookmarkEnd w:id="470"/>
      <w:bookmarkEnd w:id="471"/>
      <w:bookmarkEnd w:id="472"/>
      <w:bookmarkEnd w:id="473"/>
      <w:bookmarkEnd w:id="474"/>
    </w:p>
    <w:p w14:paraId="5854D01F" w14:textId="0393569A" w:rsidR="0095323E" w:rsidRPr="002E4D0B" w:rsidRDefault="0095323E" w:rsidP="009805E1">
      <w:pPr>
        <w:pStyle w:val="Pealkiri3"/>
      </w:pPr>
      <w:bookmarkStart w:id="475" w:name="_Toc174710754"/>
      <w:r w:rsidRPr="00FF0EB5">
        <w:t>Turuosad</w:t>
      </w:r>
      <w:bookmarkEnd w:id="475"/>
    </w:p>
    <w:p w14:paraId="48C11AF0" w14:textId="0D63870F" w:rsidR="0095323E" w:rsidRPr="006E317E" w:rsidRDefault="00A3232C" w:rsidP="00AA241E">
      <w:pPr>
        <w:jc w:val="both"/>
      </w:pPr>
      <w:r>
        <w:t>Valguskaabelvõrgu</w:t>
      </w:r>
      <w:r w:rsidR="0095323E" w:rsidRPr="006E317E">
        <w:t xml:space="preserve"> internetiühenduste A piirkonna jaeturul on </w:t>
      </w:r>
      <w:r w:rsidR="00284F00" w:rsidRPr="006E317E">
        <w:t>jaeklientide interneitühenduste</w:t>
      </w:r>
      <w:r w:rsidR="00461A3C" w:rsidRPr="006E317E">
        <w:t xml:space="preserve"> alusel </w:t>
      </w:r>
      <w:r w:rsidR="0095323E" w:rsidRPr="006E317E">
        <w:t xml:space="preserve">2023 aastal kõige suurema osakaaluga STV </w:t>
      </w:r>
      <w:r w:rsidR="002119B6">
        <w:t>…*</w:t>
      </w:r>
      <w:r w:rsidR="0095323E" w:rsidRPr="006E317E">
        <w:t xml:space="preserve">, järgneb Telia </w:t>
      </w:r>
      <w:r w:rsidR="002119B6">
        <w:t>…*</w:t>
      </w:r>
      <w:r w:rsidR="0095323E" w:rsidRPr="006E317E">
        <w:t xml:space="preserve"> ja Elisa </w:t>
      </w:r>
      <w:r w:rsidR="002119B6">
        <w:t>…*</w:t>
      </w:r>
      <w:r w:rsidR="0095323E" w:rsidRPr="006E317E">
        <w:t xml:space="preserve">, vt Tabel </w:t>
      </w:r>
      <w:r w:rsidR="000D4E2A">
        <w:t>12</w:t>
      </w:r>
      <w:r w:rsidR="0095323E" w:rsidRPr="006E317E">
        <w:t xml:space="preserve">. Kolmekesi kokku moodustavad nad ca 91% turust. Seejuures </w:t>
      </w:r>
      <w:r w:rsidR="002119B6">
        <w:t>…*</w:t>
      </w:r>
      <w:r w:rsidR="0095323E" w:rsidRPr="006E317E">
        <w:t xml:space="preserve"> ja </w:t>
      </w:r>
      <w:r w:rsidR="002119B6">
        <w:t>…*</w:t>
      </w:r>
      <w:r w:rsidR="0095323E" w:rsidRPr="006E317E">
        <w:t xml:space="preserve">a osakaalud on perioodil 2022-2023 langenud ning </w:t>
      </w:r>
      <w:r w:rsidR="002119B6">
        <w:t>…*</w:t>
      </w:r>
      <w:r w:rsidR="0095323E" w:rsidRPr="006E317E">
        <w:t xml:space="preserve"> oma tõusnud.</w:t>
      </w:r>
    </w:p>
    <w:p w14:paraId="536AF503" w14:textId="2EA26027" w:rsidR="0095323E" w:rsidRPr="006E317E" w:rsidRDefault="002119B6" w:rsidP="00AA241E">
      <w:pPr>
        <w:jc w:val="both"/>
      </w:pPr>
      <w:r>
        <w:rPr>
          <w:noProof/>
        </w:rPr>
        <w:lastRenderedPageBreak/>
        <w:drawing>
          <wp:inline distT="0" distB="0" distL="0" distR="0" wp14:anchorId="682B089B" wp14:editId="45998C26">
            <wp:extent cx="3596640" cy="2676525"/>
            <wp:effectExtent l="0" t="0" r="3810" b="9525"/>
            <wp:docPr id="1750336669"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6640" cy="2676525"/>
                    </a:xfrm>
                    <a:prstGeom prst="rect">
                      <a:avLst/>
                    </a:prstGeom>
                    <a:noFill/>
                  </pic:spPr>
                </pic:pic>
              </a:graphicData>
            </a:graphic>
          </wp:inline>
        </w:drawing>
      </w:r>
    </w:p>
    <w:p w14:paraId="2A8A053A" w14:textId="7F81D58B" w:rsidR="0095323E" w:rsidRPr="006E317E" w:rsidRDefault="00EC33F1" w:rsidP="00AA241E">
      <w:pPr>
        <w:pStyle w:val="Pealdis"/>
        <w:jc w:val="both"/>
      </w:pPr>
      <w:r>
        <w:t xml:space="preserve">Tabel </w:t>
      </w:r>
      <w:r>
        <w:fldChar w:fldCharType="begin"/>
      </w:r>
      <w:r>
        <w:instrText xml:space="preserve"> SEQ Tabel \* ARABIC </w:instrText>
      </w:r>
      <w:r>
        <w:fldChar w:fldCharType="separate"/>
      </w:r>
      <w:r w:rsidR="00247D84">
        <w:rPr>
          <w:noProof/>
        </w:rPr>
        <w:t>12</w:t>
      </w:r>
      <w:r>
        <w:fldChar w:fldCharType="end"/>
      </w:r>
      <w:r>
        <w:t xml:space="preserve"> </w:t>
      </w:r>
      <w:r w:rsidR="00A3232C">
        <w:t>Valguskaabelvõrgu</w:t>
      </w:r>
      <w:r w:rsidR="0095323E" w:rsidRPr="006E317E">
        <w:t xml:space="preserve"> internetiühenduste </w:t>
      </w:r>
      <w:r w:rsidR="00ED6A68" w:rsidRPr="006E317E">
        <w:t>A piirkonna</w:t>
      </w:r>
      <w:r w:rsidR="0095323E" w:rsidRPr="006E317E">
        <w:t xml:space="preserve"> jaeturul sideettevõtjate internetiühenduste jaeklientide osakaalud aastatel 2022 – 2023.</w:t>
      </w:r>
    </w:p>
    <w:p w14:paraId="0BF7534C" w14:textId="56EF95DC" w:rsidR="0095323E" w:rsidRDefault="0095323E" w:rsidP="00AA241E">
      <w:pPr>
        <w:jc w:val="both"/>
      </w:pPr>
      <w:r w:rsidRPr="006E317E">
        <w:t xml:space="preserve">Turuosade üldine struktuur viitab sellele, et </w:t>
      </w:r>
      <w:r w:rsidR="00A3232C">
        <w:t>valguskaabelvõrgu</w:t>
      </w:r>
      <w:r w:rsidRPr="006E317E">
        <w:t xml:space="preserve"> internetiühenduste </w:t>
      </w:r>
      <w:r w:rsidR="00ED6A68" w:rsidRPr="006E317E">
        <w:t>A piirkonna</w:t>
      </w:r>
      <w:r w:rsidRPr="006E317E">
        <w:t xml:space="preserve"> jaeturul eksisteerib </w:t>
      </w:r>
      <w:r w:rsidR="00B00BB4" w:rsidRPr="006E317E">
        <w:t xml:space="preserve">tõhus </w:t>
      </w:r>
      <w:r w:rsidRPr="006E317E">
        <w:t xml:space="preserve">konkurents ja puudub sideettevõtja, kellel võiks olla märkimisväärse turujõuga ettevõtja seisund. </w:t>
      </w:r>
    </w:p>
    <w:p w14:paraId="701C2A63" w14:textId="77777777" w:rsidR="0095323E" w:rsidRPr="00E70028" w:rsidRDefault="0095323E" w:rsidP="009805E1">
      <w:pPr>
        <w:pStyle w:val="Pealkiri3"/>
      </w:pPr>
      <w:bookmarkStart w:id="476" w:name="_Toc174710755"/>
      <w:r w:rsidRPr="00E70028">
        <w:t>Turule sisenemise tõkked</w:t>
      </w:r>
      <w:bookmarkEnd w:id="476"/>
    </w:p>
    <w:p w14:paraId="039307D6" w14:textId="77777777" w:rsidR="0095323E" w:rsidRPr="006E317E" w:rsidRDefault="0095323E" w:rsidP="00AA241E">
      <w:pPr>
        <w:jc w:val="both"/>
      </w:pPr>
      <w:r w:rsidRPr="006E317E">
        <w:t>Üks peamisi konkurentsiprobleeme elektroonilise side turgudel, on turule sisenemise tõkked ja sidevõrgu leviala laiendamine, kuna sidevõrgu rajamisega kaasnevad kõrged pöördumatud kulud, mis on eelkõige seotud sidekaablitaristuga (sidetorud- ja postid), mille rajamise kulud moodustavad kuni 80% sidevõrkude paigaldamise kuludest. Seega on sidekaablitaristu omamine ja kättesaadavus oluline konkurentsi eelis. Sidevõrgu rajamise suurtest ja pöördumatutest kuludest tulenevalt on sidevõrgu tasuvuse tagamiseks vaja saavutada piisav mastaabisääst ehk koguda piisav kliendibaas, et kindlustada stabiilsed tulud suurte ja pöördumatute kulude tagasi teenimiseks.</w:t>
      </w:r>
    </w:p>
    <w:p w14:paraId="3AA05790" w14:textId="1B667B68" w:rsidR="0095323E" w:rsidRPr="006E317E" w:rsidRDefault="0095323E" w:rsidP="00AA241E">
      <w:pPr>
        <w:jc w:val="both"/>
      </w:pPr>
      <w:r w:rsidRPr="006E317E">
        <w:t xml:space="preserve">Tõkkeid turule sisenemisel või sidevõrgu leviala laiendamisel on aidanud vähendada sidekaabli paigaldamist võimaldavale füüsilise taristule juurdepääsu sümmeetriline reguleerimine ehitusseadustiku </w:t>
      </w:r>
      <w:r w:rsidR="008C159A">
        <w:t xml:space="preserve">ptk. </w:t>
      </w:r>
      <w:r w:rsidRPr="006E317E">
        <w:t xml:space="preserve">6 </w:t>
      </w:r>
      <w:proofErr w:type="spellStart"/>
      <w:r w:rsidRPr="006E317E">
        <w:t>prim</w:t>
      </w:r>
      <w:proofErr w:type="spellEnd"/>
      <w:r w:rsidRPr="006E317E">
        <w:t xml:space="preserve"> 1 alusel ja MTE kaablikanalisatsiooni reguleerimine tugiteenusena valdkonnaspetsiifiliselt hulgiturul 1 TTJA 2017 aasta otsuse alusel. Sideettevõtja omanduses olev füüsiline taristu (sidetorud ja -postid) annab sideettevõtjale siiski oluliselt suurema konkurentsi eelise kui selle rentimine teistelt. Eelkõige toimub sidevõrgu paigaldamine oma enda füüsilise taristu baasil tavaliselt suuremates mahtudes, kiiremini ja tõhusamalt. Jae internetiühenduse teenuseid osutavatest sideettevõtjatest omab Eestis kõige suuremat ja ulatuslikumat sidekaablitaristut Telia, vt ka </w:t>
      </w:r>
      <w:r w:rsidR="006572FC" w:rsidRPr="00883566">
        <w:rPr>
          <w:rFonts w:cs="Times New Roman"/>
        </w:rPr>
        <w:t>TTJA 2024 ST</w:t>
      </w:r>
      <w:r w:rsidR="001B7EC2">
        <w:rPr>
          <w:rFonts w:cs="Times New Roman"/>
        </w:rPr>
        <w:t>J</w:t>
      </w:r>
      <w:r w:rsidR="006572FC" w:rsidRPr="00883566">
        <w:rPr>
          <w:rFonts w:cs="Times New Roman"/>
        </w:rPr>
        <w:t xml:space="preserve"> hulgituru otsuse kavand</w:t>
      </w:r>
      <w:r w:rsidR="006572FC">
        <w:rPr>
          <w:rFonts w:cs="Times New Roman"/>
        </w:rPr>
        <w:t>it</w:t>
      </w:r>
      <w:r w:rsidRPr="006572FC">
        <w:t>.</w:t>
      </w:r>
      <w:r w:rsidRPr="006E317E">
        <w:t xml:space="preserve"> </w:t>
      </w:r>
    </w:p>
    <w:p w14:paraId="344BF958" w14:textId="202833F2" w:rsidR="0095323E" w:rsidRPr="006E317E" w:rsidRDefault="0095323E" w:rsidP="00AA241E">
      <w:pPr>
        <w:jc w:val="both"/>
      </w:pPr>
      <w:r w:rsidRPr="006E317E">
        <w:t xml:space="preserve">Internetiühenduste algusaegadel 1990-ndatel osutati internetiühenduse teenust ainult Telia </w:t>
      </w:r>
      <w:r w:rsidR="00AD1150">
        <w:t>vaskpaar</w:t>
      </w:r>
      <w:r w:rsidRPr="006E317E">
        <w:t xml:space="preserve">võrgu baasil. Aastatega on internetiühenduse jaeturule sisenenud paljud teised </w:t>
      </w:r>
      <w:r w:rsidRPr="006E317E">
        <w:lastRenderedPageBreak/>
        <w:t xml:space="preserve">sideettevõtjad erinevate sidevõrgu tehnoloogiate baasil, vt </w:t>
      </w:r>
      <w:r w:rsidR="008C159A">
        <w:t>ptk.-</w:t>
      </w:r>
      <w:r w:rsidR="00A64B04">
        <w:t xml:space="preserve">s </w:t>
      </w:r>
      <w:r w:rsidR="00D337B6">
        <w:t>2</w:t>
      </w:r>
      <w:r w:rsidR="00A64B04">
        <w:t>.</w:t>
      </w:r>
      <w:r w:rsidR="00D337B6">
        <w:t>2</w:t>
      </w:r>
      <w:r w:rsidR="00A64B04">
        <w:t>.</w:t>
      </w:r>
      <w:r w:rsidR="00D337B6">
        <w:t>7</w:t>
      </w:r>
      <w:r w:rsidR="00206180" w:rsidRPr="006E317E">
        <w:t xml:space="preserve"> </w:t>
      </w:r>
      <w:r w:rsidRPr="006E317E">
        <w:t xml:space="preserve">Tabel </w:t>
      </w:r>
      <w:r w:rsidR="00D337B6">
        <w:t>5</w:t>
      </w:r>
      <w:r w:rsidRPr="006E317E">
        <w:t xml:space="preserve">, peamiselt koaksiaalkaabel-, valguskaabelvõrkude ja mobiilvõrkude baasil, väga vähesel määral ka </w:t>
      </w:r>
      <w:proofErr w:type="spellStart"/>
      <w:r w:rsidR="00860885" w:rsidRPr="006E317E">
        <w:t>WiFi</w:t>
      </w:r>
      <w:proofErr w:type="spellEnd"/>
      <w:r w:rsidRPr="006E317E">
        <w:t xml:space="preserve"> raadiosidevõrgu baasil ja viimasel ajal vähesel määral ka satelliitsidevõrgu baasil, mida nende väga madala kasutuse tõttu internetiühenduste jaeturu konkurentsi analüüsi ei kaasatud. </w:t>
      </w:r>
    </w:p>
    <w:p w14:paraId="61A96A20" w14:textId="220CF0B5" w:rsidR="0095323E" w:rsidRPr="006E317E" w:rsidRDefault="0095323E" w:rsidP="00AA241E">
      <w:pPr>
        <w:jc w:val="both"/>
      </w:pPr>
      <w:r w:rsidRPr="006E317E">
        <w:t xml:space="preserve">Valguskaablivõrkude </w:t>
      </w:r>
      <w:r w:rsidR="00DE036A" w:rsidRPr="006E317E">
        <w:t xml:space="preserve">tehnoloogia </w:t>
      </w:r>
      <w:r w:rsidR="007A76A4" w:rsidRPr="006E317E">
        <w:t>alusel</w:t>
      </w:r>
      <w:r w:rsidR="00DE036A" w:rsidRPr="006E317E">
        <w:t xml:space="preserve"> </w:t>
      </w:r>
      <w:r w:rsidRPr="006E317E">
        <w:t xml:space="preserve">on </w:t>
      </w:r>
      <w:r w:rsidR="00E0330A" w:rsidRPr="006E317E">
        <w:t xml:space="preserve">erakapitali baasil </w:t>
      </w:r>
      <w:r w:rsidR="00AB04A3" w:rsidRPr="006E317E">
        <w:t>2023 aastal</w:t>
      </w:r>
      <w:r w:rsidRPr="006E317E">
        <w:t xml:space="preserve"> </w:t>
      </w:r>
      <w:r w:rsidR="006E11BA" w:rsidRPr="006E317E">
        <w:t xml:space="preserve">A piirkonnas </w:t>
      </w:r>
      <w:r w:rsidR="008E3909" w:rsidRPr="006E317E">
        <w:t xml:space="preserve">kõige enam </w:t>
      </w:r>
      <w:r w:rsidR="00EF5508" w:rsidRPr="006E317E">
        <w:t xml:space="preserve">elu- ja mitteeluruume kaetud </w:t>
      </w:r>
      <w:r w:rsidR="008E3909" w:rsidRPr="006E317E">
        <w:t xml:space="preserve">STV </w:t>
      </w:r>
      <w:r w:rsidR="004F680D" w:rsidRPr="006E317E">
        <w:t>poolt</w:t>
      </w:r>
      <w:r w:rsidR="008E3909" w:rsidRPr="006E317E">
        <w:t xml:space="preserve"> ca </w:t>
      </w:r>
      <w:r w:rsidR="002119B6">
        <w:t>…*</w:t>
      </w:r>
      <w:r w:rsidR="00CA13CC" w:rsidRPr="006E317E">
        <w:t>%</w:t>
      </w:r>
      <w:r w:rsidR="004F680D" w:rsidRPr="006E317E">
        <w:t xml:space="preserve">, järgnevad Telia </w:t>
      </w:r>
      <w:r w:rsidR="002119B6">
        <w:t>…*</w:t>
      </w:r>
      <w:r w:rsidR="004F680D" w:rsidRPr="006E317E">
        <w:t xml:space="preserve">%, </w:t>
      </w:r>
      <w:r w:rsidR="00B41DFA" w:rsidRPr="006E317E">
        <w:t xml:space="preserve">Elisa </w:t>
      </w:r>
      <w:r w:rsidR="002119B6">
        <w:t>…*</w:t>
      </w:r>
      <w:r w:rsidR="00B41DFA" w:rsidRPr="006E317E">
        <w:t>%</w:t>
      </w:r>
      <w:r w:rsidR="00580448" w:rsidRPr="006E317E">
        <w:t xml:space="preserve"> ja</w:t>
      </w:r>
      <w:r w:rsidR="00CC562F" w:rsidRPr="006E317E">
        <w:t xml:space="preserve"> Telset </w:t>
      </w:r>
      <w:r w:rsidR="002119B6">
        <w:t>…*</w:t>
      </w:r>
      <w:r w:rsidR="00826582" w:rsidRPr="006E317E">
        <w:t>%</w:t>
      </w:r>
      <w:r w:rsidR="00580448" w:rsidRPr="006E317E">
        <w:t xml:space="preserve">, vt Tabel </w:t>
      </w:r>
      <w:r w:rsidR="000D4E2A">
        <w:t>13</w:t>
      </w:r>
      <w:r w:rsidR="00BB57A9" w:rsidRPr="006E317E">
        <w:t xml:space="preserve">. </w:t>
      </w:r>
      <w:r w:rsidR="00307692" w:rsidRPr="006E317E">
        <w:t xml:space="preserve"> </w:t>
      </w:r>
      <w:r w:rsidRPr="006E317E">
        <w:t xml:space="preserve"> </w:t>
      </w:r>
      <w:r w:rsidR="00CD68EB" w:rsidRPr="006E317E">
        <w:t xml:space="preserve">A piirkonnas ei ole riigiabiga </w:t>
      </w:r>
      <w:r w:rsidR="00EF3A71" w:rsidRPr="006E317E">
        <w:t xml:space="preserve">peaaegu üldse </w:t>
      </w:r>
      <w:r w:rsidR="00A3232C">
        <w:t>valguskaabelvõrgu</w:t>
      </w:r>
      <w:r w:rsidR="004A79DD" w:rsidRPr="006E317E">
        <w:t xml:space="preserve"> kliendiliine</w:t>
      </w:r>
      <w:r w:rsidR="00C50BAB" w:rsidRPr="006E317E">
        <w:t xml:space="preserve"> rajatud</w:t>
      </w:r>
      <w:r w:rsidR="00492D43" w:rsidRPr="006E317E">
        <w:t xml:space="preserve"> ja seeläbi elu- ja mitteeluruumides internetiühenduse võimalusi loodud</w:t>
      </w:r>
      <w:r w:rsidR="00C50BAB" w:rsidRPr="006E317E">
        <w:t>.</w:t>
      </w:r>
      <w:r w:rsidR="00690DA1" w:rsidRPr="006E317E">
        <w:t xml:space="preserve"> </w:t>
      </w:r>
    </w:p>
    <w:p w14:paraId="7FC4CFA2" w14:textId="68E2EC7B" w:rsidR="00EF303C" w:rsidRPr="006E317E" w:rsidRDefault="006C5EC9" w:rsidP="00AA241E">
      <w:pPr>
        <w:jc w:val="both"/>
      </w:pPr>
      <w:r>
        <w:rPr>
          <w:noProof/>
        </w:rPr>
        <w:drawing>
          <wp:inline distT="0" distB="0" distL="0" distR="0" wp14:anchorId="73691588" wp14:editId="65221DED">
            <wp:extent cx="4840605" cy="3255645"/>
            <wp:effectExtent l="0" t="0" r="0" b="1905"/>
            <wp:docPr id="1541670690"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0605" cy="3255645"/>
                    </a:xfrm>
                    <a:prstGeom prst="rect">
                      <a:avLst/>
                    </a:prstGeom>
                    <a:noFill/>
                  </pic:spPr>
                </pic:pic>
              </a:graphicData>
            </a:graphic>
          </wp:inline>
        </w:drawing>
      </w:r>
    </w:p>
    <w:p w14:paraId="0DF64E6D" w14:textId="02488261" w:rsidR="00EF303C" w:rsidRPr="006E317E" w:rsidRDefault="00EC33F1" w:rsidP="00AA241E">
      <w:pPr>
        <w:pStyle w:val="Pealdis"/>
        <w:jc w:val="both"/>
      </w:pPr>
      <w:r>
        <w:t xml:space="preserve">Tabel </w:t>
      </w:r>
      <w:r>
        <w:fldChar w:fldCharType="begin"/>
      </w:r>
      <w:r>
        <w:instrText xml:space="preserve"> SEQ Tabel \* ARABIC </w:instrText>
      </w:r>
      <w:r>
        <w:fldChar w:fldCharType="separate"/>
      </w:r>
      <w:r w:rsidR="00247D84">
        <w:rPr>
          <w:noProof/>
        </w:rPr>
        <w:t>13</w:t>
      </w:r>
      <w:r>
        <w:fldChar w:fldCharType="end"/>
      </w:r>
      <w:r>
        <w:t xml:space="preserve"> </w:t>
      </w:r>
      <w:r w:rsidR="00160312" w:rsidRPr="006E317E">
        <w:t xml:space="preserve">Sideettevõtjate poolt </w:t>
      </w:r>
      <w:r w:rsidR="00A3232C">
        <w:t>valguskaabelvõrgu</w:t>
      </w:r>
      <w:r w:rsidR="00580448" w:rsidRPr="006E317E">
        <w:t>ga kaetud elu- ja mitteeluruumide</w:t>
      </w:r>
      <w:r w:rsidR="00B91C65" w:rsidRPr="006E317E">
        <w:t xml:space="preserve"> arv ja os</w:t>
      </w:r>
      <w:r w:rsidR="007C4777" w:rsidRPr="006E317E">
        <w:t>a</w:t>
      </w:r>
      <w:r w:rsidR="00160312" w:rsidRPr="006E317E">
        <w:t>kaalud 2023 aastal</w:t>
      </w:r>
      <w:r w:rsidR="00AB04A3" w:rsidRPr="006E317E">
        <w:t xml:space="preserve">. ERA – peamiselt erakapital baasil </w:t>
      </w:r>
      <w:r w:rsidR="00203F04" w:rsidRPr="006E317E">
        <w:t>ühendatud</w:t>
      </w:r>
      <w:r w:rsidR="00CA0ED9" w:rsidRPr="006E317E">
        <w:t xml:space="preserve"> e</w:t>
      </w:r>
      <w:r w:rsidR="002243A5" w:rsidRPr="006E317E">
        <w:t>lu</w:t>
      </w:r>
      <w:r w:rsidR="00CA0ED9" w:rsidRPr="006E317E">
        <w:t>- ja mitteeluruumid</w:t>
      </w:r>
      <w:r w:rsidR="00AB04A3" w:rsidRPr="006E317E">
        <w:t xml:space="preserve">, RIIGI – peamiselt riigiabiga rajatud </w:t>
      </w:r>
      <w:r w:rsidR="00A61A83" w:rsidRPr="006E317E">
        <w:t>kliendiliinid</w:t>
      </w:r>
      <w:r w:rsidR="00E97986" w:rsidRPr="006E317E">
        <w:t>e</w:t>
      </w:r>
      <w:r w:rsidR="002243A5" w:rsidRPr="006E317E">
        <w:t xml:space="preserve"> (juurdepääsuvõrgu)</w:t>
      </w:r>
      <w:r w:rsidR="00E97986" w:rsidRPr="006E317E">
        <w:t xml:space="preserve"> abil ühendatud </w:t>
      </w:r>
      <w:r w:rsidR="002243A5" w:rsidRPr="006E317E">
        <w:t>elu- ja mitteeluruumid</w:t>
      </w:r>
      <w:r w:rsidR="00AB04A3" w:rsidRPr="006E317E">
        <w:t>.</w:t>
      </w:r>
    </w:p>
    <w:p w14:paraId="3B594091" w14:textId="5E9A4A28" w:rsidR="0095323E" w:rsidRPr="006E317E" w:rsidRDefault="0095323E" w:rsidP="00AA241E">
      <w:pPr>
        <w:jc w:val="both"/>
      </w:pPr>
      <w:r w:rsidRPr="006E317E">
        <w:t xml:space="preserve">Kõige suuremat kliendibaasi (ja sellest tulenevat mastaabisäästu) </w:t>
      </w:r>
      <w:r w:rsidR="00A3232C">
        <w:t>valguskaabelvõrgu</w:t>
      </w:r>
      <w:r w:rsidRPr="006E317E">
        <w:t xml:space="preserve"> internetiühenduse </w:t>
      </w:r>
      <w:r w:rsidR="00C3681C" w:rsidRPr="006E317E">
        <w:t>A piirkonna</w:t>
      </w:r>
      <w:r w:rsidRPr="006E317E">
        <w:t xml:space="preserve"> jaeturul omavad </w:t>
      </w:r>
      <w:r w:rsidR="00447A55" w:rsidRPr="006E317E">
        <w:t xml:space="preserve">STV </w:t>
      </w:r>
      <w:r w:rsidR="006C5EC9">
        <w:t>…*</w:t>
      </w:r>
      <w:r w:rsidR="00447A55" w:rsidRPr="006E317E">
        <w:t>%-</w:t>
      </w:r>
      <w:proofErr w:type="spellStart"/>
      <w:r w:rsidR="00447A55" w:rsidRPr="006E317E">
        <w:t>ga</w:t>
      </w:r>
      <w:proofErr w:type="spellEnd"/>
      <w:r w:rsidR="00447A55" w:rsidRPr="006E317E">
        <w:t xml:space="preserve">, järgneb Telia </w:t>
      </w:r>
      <w:r w:rsidR="006C5EC9">
        <w:t>…*</w:t>
      </w:r>
      <w:r w:rsidR="00447A55" w:rsidRPr="006E317E">
        <w:t xml:space="preserve">%-ga ja Elisa </w:t>
      </w:r>
      <w:r w:rsidR="006C5EC9">
        <w:t>…*</w:t>
      </w:r>
      <w:r w:rsidR="00447A55" w:rsidRPr="006E317E">
        <w:t>%-</w:t>
      </w:r>
      <w:proofErr w:type="spellStart"/>
      <w:r w:rsidR="00447A55" w:rsidRPr="006E317E">
        <w:t>ga</w:t>
      </w:r>
      <w:proofErr w:type="spellEnd"/>
      <w:r w:rsidRPr="006E317E">
        <w:t xml:space="preserve">, vt ka Tabel </w:t>
      </w:r>
      <w:r w:rsidR="000D4E2A">
        <w:t>12</w:t>
      </w:r>
      <w:r w:rsidRPr="006E317E">
        <w:t>.</w:t>
      </w:r>
    </w:p>
    <w:p w14:paraId="6A0EC693" w14:textId="1990B8B7" w:rsidR="0095323E" w:rsidRDefault="0095323E" w:rsidP="00AA241E">
      <w:pPr>
        <w:jc w:val="both"/>
      </w:pPr>
      <w:r w:rsidRPr="006E317E">
        <w:t xml:space="preserve">Eespool öeldut silmas pidades on </w:t>
      </w:r>
      <w:r w:rsidR="00A3232C">
        <w:t>valguskaabelvõrgu</w:t>
      </w:r>
      <w:r w:rsidRPr="006E317E">
        <w:t xml:space="preserve"> internetiühenduste </w:t>
      </w:r>
      <w:r w:rsidR="0067484E" w:rsidRPr="006E317E">
        <w:t>A piirkonna</w:t>
      </w:r>
      <w:r w:rsidRPr="006E317E">
        <w:t xml:space="preserve"> jaeturule sisenemisel olemas tõkked (peamiselt sidevõrgu rajamise suured ja pöördumatud kulud), mis takistavad uuel sideettevõtjal enda sidevõrgu baasil sisenemist </w:t>
      </w:r>
      <w:r w:rsidR="00A3232C">
        <w:t>valguskaabelvõrgu</w:t>
      </w:r>
      <w:r w:rsidRPr="006E317E">
        <w:t xml:space="preserve"> internetiühenduste </w:t>
      </w:r>
      <w:r w:rsidR="0067484E" w:rsidRPr="006E317E">
        <w:t>A piirkonna</w:t>
      </w:r>
      <w:r w:rsidRPr="006E317E">
        <w:t xml:space="preserve"> jaeturule. Samas turul juba tegutsevatel sideettevõtjatel</w:t>
      </w:r>
      <w:r w:rsidR="004B494D" w:rsidRPr="006E317E">
        <w:t xml:space="preserve"> (näiteks STV, Telia ja Elisa)</w:t>
      </w:r>
      <w:r w:rsidRPr="006E317E">
        <w:t xml:space="preserve">, kellel juba on olemas piisava ulatusega </w:t>
      </w:r>
      <w:r w:rsidR="00292E0F" w:rsidRPr="006E317E">
        <w:t>valguskaabli</w:t>
      </w:r>
      <w:r w:rsidRPr="006E317E">
        <w:t>võrk ja kliendibaas (ehk mastaabisääst) on oma sidevõrgu leviala laiendamise tõkked teatud määral ületatud ja neil tõketel on madalam tähtsus.</w:t>
      </w:r>
    </w:p>
    <w:p w14:paraId="4288054D" w14:textId="694DA651" w:rsidR="003C487A" w:rsidRPr="00E70028" w:rsidRDefault="003C487A" w:rsidP="009805E1">
      <w:pPr>
        <w:pStyle w:val="Pealkiri3"/>
      </w:pPr>
      <w:bookmarkStart w:id="477" w:name="_Toc174710756"/>
      <w:r w:rsidRPr="00E70028">
        <w:lastRenderedPageBreak/>
        <w:t xml:space="preserve">Tasakaalustav </w:t>
      </w:r>
      <w:r w:rsidR="00EE71F9">
        <w:t>ostjaj</w:t>
      </w:r>
      <w:r w:rsidRPr="00E70028">
        <w:t>õud</w:t>
      </w:r>
      <w:bookmarkEnd w:id="477"/>
    </w:p>
    <w:p w14:paraId="75A6FC30" w14:textId="34B01C6D" w:rsidR="003C487A" w:rsidRPr="006E317E" w:rsidRDefault="003C487A" w:rsidP="00AA241E">
      <w:pPr>
        <w:jc w:val="both"/>
      </w:pPr>
      <w:r w:rsidRPr="006E317E">
        <w:t xml:space="preserve">Tasakaalustav </w:t>
      </w:r>
      <w:r w:rsidR="00EE71F9">
        <w:t>ostjaj</w:t>
      </w:r>
      <w:r w:rsidRPr="006E317E">
        <w:t xml:space="preserve">õud </w:t>
      </w:r>
      <w:r w:rsidR="00A3232C">
        <w:t>valguskaabelvõrgu</w:t>
      </w:r>
      <w:r w:rsidRPr="006E317E">
        <w:t xml:space="preserve"> internetiühenduse </w:t>
      </w:r>
      <w:r w:rsidR="00A3536E" w:rsidRPr="006E317E">
        <w:t>A piirkonna</w:t>
      </w:r>
      <w:r w:rsidRPr="006E317E">
        <w:t xml:space="preserve"> jaeturul on olemas siis, kui lõppkasutajal on võimalus vahetada oma vastavat internetiühendust osutav sideettevõtja teise vastavat internetiühendust osutava sideettevõtja vastu. Seejuures on oluline, et teenusepakkuja vahetamisega seotud kulud ei oleks suured, et teenuse osutaja vahetamine oleks lõppkasutajale majanduslikult tasuv.</w:t>
      </w:r>
    </w:p>
    <w:p w14:paraId="1BC3DB85" w14:textId="573C420B" w:rsidR="003C487A" w:rsidRPr="006E317E" w:rsidRDefault="003C487A" w:rsidP="00AA241E">
      <w:pPr>
        <w:jc w:val="both"/>
      </w:pPr>
      <w:r w:rsidRPr="006E317E">
        <w:t xml:space="preserve">TTJA hinnangul tuleneb piisav tasakaalustav </w:t>
      </w:r>
      <w:r w:rsidR="00EE71F9">
        <w:t>ostjaj</w:t>
      </w:r>
      <w:r w:rsidRPr="006E317E">
        <w:t xml:space="preserve">õud </w:t>
      </w:r>
      <w:r w:rsidR="00A3232C">
        <w:t>valguskaabelvõrgu</w:t>
      </w:r>
      <w:r w:rsidRPr="006E317E">
        <w:t xml:space="preserve"> internetiühenduse </w:t>
      </w:r>
      <w:r w:rsidR="00E31DB2" w:rsidRPr="006E317E">
        <w:t>A piirkonna</w:t>
      </w:r>
      <w:r w:rsidRPr="006E317E">
        <w:t xml:space="preserve"> jaeturul eelkõige </w:t>
      </w:r>
      <w:r w:rsidR="00672FAF" w:rsidRPr="006E317E">
        <w:t xml:space="preserve">ajaolust, et </w:t>
      </w:r>
      <w:r w:rsidRPr="006E317E">
        <w:t xml:space="preserve"> </w:t>
      </w:r>
      <w:r w:rsidR="00184D9A" w:rsidRPr="006E317E">
        <w:t xml:space="preserve">vastava piirkonna </w:t>
      </w:r>
      <w:r w:rsidR="00374648" w:rsidRPr="006E317E">
        <w:t>elu- ja mitteeluruumidest on ka</w:t>
      </w:r>
      <w:r w:rsidR="0062562C" w:rsidRPr="006E317E">
        <w:t xml:space="preserve">etud </w:t>
      </w:r>
      <w:r w:rsidR="0072088B" w:rsidRPr="006E317E">
        <w:t xml:space="preserve">keskmiselt </w:t>
      </w:r>
      <w:r w:rsidR="00153099" w:rsidRPr="006E317E">
        <w:t xml:space="preserve">67% ulatuses vähemalt kahe erineva </w:t>
      </w:r>
      <w:r w:rsidR="003046E5" w:rsidRPr="006E317E">
        <w:t xml:space="preserve">sideettevõtja </w:t>
      </w:r>
      <w:r w:rsidR="00724CD3" w:rsidRPr="006E317E">
        <w:t>internetiühendusega liitumise võimalusega</w:t>
      </w:r>
      <w:r w:rsidR="003238F3" w:rsidRPr="006E317E">
        <w:t>, vt Tabel</w:t>
      </w:r>
      <w:r w:rsidR="000D4E2A">
        <w:t xml:space="preserve"> 14</w:t>
      </w:r>
      <w:r w:rsidR="005831C8" w:rsidRPr="006E317E">
        <w:t xml:space="preserve">. Seetõttu on </w:t>
      </w:r>
      <w:r w:rsidR="00EE4AE0" w:rsidRPr="006E317E">
        <w:t>suuremal o</w:t>
      </w:r>
      <w:r w:rsidR="00F650FB" w:rsidRPr="006E317E">
        <w:t>sal</w:t>
      </w:r>
      <w:r w:rsidR="003618A9" w:rsidRPr="006E317E">
        <w:t xml:space="preserve"> A piirkonna elu- ja mitteeluruumides</w:t>
      </w:r>
      <w:r w:rsidR="00F650FB" w:rsidRPr="006E317E">
        <w:t xml:space="preserve"> </w:t>
      </w:r>
      <w:r w:rsidR="00A3232C">
        <w:t>valguskaabelvõrgu</w:t>
      </w:r>
      <w:r w:rsidR="00F650FB" w:rsidRPr="006E317E">
        <w:t xml:space="preserve"> internetiühenduse</w:t>
      </w:r>
      <w:r w:rsidR="00A91AE4" w:rsidRPr="006E317E">
        <w:t>st huvitatud lõppkasutajatel võimalus</w:t>
      </w:r>
      <w:r w:rsidR="003238F3" w:rsidRPr="006E317E">
        <w:t xml:space="preserve"> </w:t>
      </w:r>
      <w:r w:rsidR="00A91AE4" w:rsidRPr="006E317E">
        <w:t xml:space="preserve">valida erinevate </w:t>
      </w:r>
      <w:r w:rsidR="00D256E1" w:rsidRPr="006E317E">
        <w:t>sideettevõtjate internetiühenduste vahel.</w:t>
      </w:r>
    </w:p>
    <w:p w14:paraId="66CFB0BA" w14:textId="77777777" w:rsidR="003509B8" w:rsidRPr="006E317E" w:rsidRDefault="003509B8" w:rsidP="00AA241E">
      <w:pPr>
        <w:jc w:val="both"/>
      </w:pPr>
      <w:r w:rsidRPr="006E317E">
        <w:rPr>
          <w:noProof/>
        </w:rPr>
        <w:drawing>
          <wp:inline distT="0" distB="0" distL="0" distR="0" wp14:anchorId="7BD67A25" wp14:editId="68AA2913">
            <wp:extent cx="4268091" cy="3485072"/>
            <wp:effectExtent l="0" t="0" r="0" b="127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1339" cy="3487724"/>
                    </a:xfrm>
                    <a:prstGeom prst="rect">
                      <a:avLst/>
                    </a:prstGeom>
                    <a:noFill/>
                    <a:ln>
                      <a:noFill/>
                    </a:ln>
                  </pic:spPr>
                </pic:pic>
              </a:graphicData>
            </a:graphic>
          </wp:inline>
        </w:drawing>
      </w:r>
    </w:p>
    <w:p w14:paraId="64309DDD" w14:textId="407F7B0E" w:rsidR="003509B8" w:rsidRPr="006E317E" w:rsidRDefault="00EC33F1" w:rsidP="00AA241E">
      <w:pPr>
        <w:pStyle w:val="Pealdis"/>
        <w:jc w:val="both"/>
      </w:pPr>
      <w:r>
        <w:t xml:space="preserve">Tabel </w:t>
      </w:r>
      <w:r>
        <w:fldChar w:fldCharType="begin"/>
      </w:r>
      <w:r>
        <w:instrText xml:space="preserve"> SEQ Tabel \* ARABIC </w:instrText>
      </w:r>
      <w:r>
        <w:fldChar w:fldCharType="separate"/>
      </w:r>
      <w:r w:rsidR="00247D84">
        <w:rPr>
          <w:noProof/>
        </w:rPr>
        <w:t>14</w:t>
      </w:r>
      <w:r>
        <w:fldChar w:fldCharType="end"/>
      </w:r>
      <w:r>
        <w:t xml:space="preserve"> </w:t>
      </w:r>
      <w:r w:rsidR="003238F3" w:rsidRPr="006E317E">
        <w:t>A piirkonna</w:t>
      </w:r>
      <w:r w:rsidR="003315CC" w:rsidRPr="006E317E">
        <w:t xml:space="preserve"> elu- ja mitteeluruumide kaetus vähemalt kahe erineva sideettevõtja internetiühendusega liitumise võimalusega </w:t>
      </w:r>
      <w:r w:rsidR="00A3232C">
        <w:t>valguskaabelvõrgu</w:t>
      </w:r>
      <w:r w:rsidR="003315CC" w:rsidRPr="006E317E">
        <w:t>s 2023 aastal</w:t>
      </w:r>
    </w:p>
    <w:p w14:paraId="43C935AA" w14:textId="54C1D9E2" w:rsidR="003C487A" w:rsidRDefault="003C487A" w:rsidP="00AA241E">
      <w:pPr>
        <w:jc w:val="both"/>
      </w:pPr>
      <w:r w:rsidRPr="006E317E">
        <w:t xml:space="preserve">Eeltoodut silmas pidades on </w:t>
      </w:r>
      <w:r w:rsidR="00A3232C">
        <w:t>valguskaabelvõrgu</w:t>
      </w:r>
      <w:r w:rsidRPr="006E317E">
        <w:t xml:space="preserve"> internetiühenduste </w:t>
      </w:r>
      <w:r w:rsidR="00E64232" w:rsidRPr="006E317E">
        <w:t>A piirkonna</w:t>
      </w:r>
      <w:r w:rsidRPr="006E317E">
        <w:t xml:space="preserve"> jaeturul olemas tasakaalustav </w:t>
      </w:r>
      <w:r w:rsidR="00EE71F9">
        <w:t>ostjaj</w:t>
      </w:r>
      <w:r w:rsidRPr="006E317E">
        <w:t xml:space="preserve">õud, sest </w:t>
      </w:r>
      <w:r w:rsidR="001C5530" w:rsidRPr="006E317E">
        <w:t xml:space="preserve">A piirkonna </w:t>
      </w:r>
      <w:r w:rsidR="00E64232" w:rsidRPr="006E317E">
        <w:t>suurema</w:t>
      </w:r>
      <w:r w:rsidR="003929D0" w:rsidRPr="006E317E">
        <w:t>s</w:t>
      </w:r>
      <w:r w:rsidR="00E64232" w:rsidRPr="006E317E">
        <w:t xml:space="preserve"> osa</w:t>
      </w:r>
      <w:r w:rsidR="003929D0" w:rsidRPr="006E317E">
        <w:t>s</w:t>
      </w:r>
      <w:r w:rsidR="001C5530" w:rsidRPr="006E317E">
        <w:t xml:space="preserve"> (keskmiselt 67%) elu- ja mitteeluruumides</w:t>
      </w:r>
      <w:r w:rsidRPr="006E317E">
        <w:t xml:space="preserve"> </w:t>
      </w:r>
      <w:r w:rsidR="00E64232" w:rsidRPr="006E317E">
        <w:t xml:space="preserve">on </w:t>
      </w:r>
      <w:r w:rsidRPr="006E317E">
        <w:t>lõppkasutaja</w:t>
      </w:r>
      <w:r w:rsidR="00E64232" w:rsidRPr="006E317E">
        <w:t>te</w:t>
      </w:r>
      <w:r w:rsidR="001C5530" w:rsidRPr="006E317E">
        <w:t>l</w:t>
      </w:r>
      <w:r w:rsidRPr="006E317E">
        <w:t xml:space="preserve"> </w:t>
      </w:r>
      <w:r w:rsidR="00E64232" w:rsidRPr="006E317E">
        <w:t xml:space="preserve">olemas võimalus </w:t>
      </w:r>
      <w:r w:rsidRPr="006E317E">
        <w:t>vahetada</w:t>
      </w:r>
      <w:r w:rsidR="006F47CE" w:rsidRPr="006E317E">
        <w:t xml:space="preserve"> </w:t>
      </w:r>
      <w:r w:rsidR="00A3232C">
        <w:t>valguskaabelvõrgu</w:t>
      </w:r>
      <w:r w:rsidR="006F47CE" w:rsidRPr="006E317E">
        <w:t xml:space="preserve"> </w:t>
      </w:r>
      <w:r w:rsidRPr="006E317E">
        <w:t>internetiühenduse osutajat.</w:t>
      </w:r>
    </w:p>
    <w:p w14:paraId="76279E27" w14:textId="220179F1" w:rsidR="003C487A" w:rsidRPr="006E317E" w:rsidRDefault="00E26D01" w:rsidP="009805E1">
      <w:pPr>
        <w:pStyle w:val="Pealkiri3"/>
      </w:pPr>
      <w:bookmarkStart w:id="478" w:name="_Toc174710757"/>
      <w:r>
        <w:lastRenderedPageBreak/>
        <w:t>Järeldused</w:t>
      </w:r>
      <w:bookmarkEnd w:id="478"/>
    </w:p>
    <w:p w14:paraId="68EB24BE" w14:textId="0C29C18C" w:rsidR="003C487A" w:rsidRDefault="003C487A" w:rsidP="00AA241E">
      <w:pPr>
        <w:jc w:val="both"/>
      </w:pPr>
      <w:r w:rsidRPr="006E317E">
        <w:t xml:space="preserve">Eeltoodust tulenevalt eksisteerib TTJA  hinnangul </w:t>
      </w:r>
      <w:bookmarkStart w:id="479" w:name="_Hlk174016668"/>
      <w:r w:rsidR="00A3232C">
        <w:t>valguskaabelvõrgu</w:t>
      </w:r>
      <w:r w:rsidRPr="006E317E">
        <w:t xml:space="preserve"> internetiühenduste </w:t>
      </w:r>
      <w:r w:rsidR="00714A92" w:rsidRPr="006E317E">
        <w:t xml:space="preserve">A piirkonna </w:t>
      </w:r>
      <w:r w:rsidRPr="006E317E">
        <w:t xml:space="preserve">jaeturul </w:t>
      </w:r>
      <w:r w:rsidR="008A48CB" w:rsidRPr="006E317E">
        <w:t xml:space="preserve">tõhus </w:t>
      </w:r>
      <w:r w:rsidRPr="006E317E">
        <w:t xml:space="preserve">konkurents. </w:t>
      </w:r>
      <w:r w:rsidR="00612F73">
        <w:t>See viitab sellele, et asjaomastel valguskaablivõrgu</w:t>
      </w:r>
      <w:r w:rsidR="00251E80" w:rsidRPr="006E317E">
        <w:t xml:space="preserve"> A piirkonna </w:t>
      </w:r>
      <w:r w:rsidR="00612F73">
        <w:t>hulgiturul 1 ja hulgiturul 3b ei ole valdkonnaspetsiifilise regulatsiooni rakendamine põhjendatud, kuid selle lõplikuks kinnitamiseks tuleks</w:t>
      </w:r>
      <w:r w:rsidRPr="006E317E">
        <w:t xml:space="preserve"> </w:t>
      </w:r>
      <w:r w:rsidR="00251E80" w:rsidRPr="006E317E">
        <w:t xml:space="preserve">vastavatel </w:t>
      </w:r>
      <w:r w:rsidR="00FF6AC2">
        <w:t xml:space="preserve">turgudel </w:t>
      </w:r>
      <w:r w:rsidRPr="006E317E">
        <w:t xml:space="preserve">läbi viia </w:t>
      </w:r>
      <w:r w:rsidR="00612F73">
        <w:t xml:space="preserve">veel </w:t>
      </w:r>
      <w:r w:rsidRPr="006E317E">
        <w:t>konkurentsi kolme kriteeriumi test ESS-i turuanalüüsi määruse alusel</w:t>
      </w:r>
      <w:r w:rsidR="00612F73" w:rsidRPr="006E317E">
        <w:t>.</w:t>
      </w:r>
      <w:r w:rsidRPr="006E317E">
        <w:t xml:space="preserve"> Kui test valdkonnaspetsiifilise regulatsiooni põhjendatust ei kinnita, siis hulgiturul MTE välja selgitamise analüüsi ei teostata ja kui hulgiturg on valdkonnaspetsiifiliselt reguleeritud, siis see de-reguleeritakse, kui test kinnitab valdkonnaspetsiifilise regulatsiooni põhjendatust, siis jätkatakse MTE välja selgitamise analüüsiga.</w:t>
      </w:r>
    </w:p>
    <w:p w14:paraId="49E2DE6A" w14:textId="77777777" w:rsidR="00045E37" w:rsidRPr="006E317E" w:rsidRDefault="00045E37" w:rsidP="00AA241E">
      <w:pPr>
        <w:jc w:val="both"/>
      </w:pPr>
    </w:p>
    <w:p w14:paraId="694BA715" w14:textId="46FDC5C6" w:rsidR="004C2779" w:rsidRDefault="00A3232C" w:rsidP="00AA241E">
      <w:pPr>
        <w:pStyle w:val="Pealkiri2"/>
        <w:jc w:val="both"/>
      </w:pPr>
      <w:bookmarkStart w:id="480" w:name="_Toc174710758"/>
      <w:bookmarkEnd w:id="479"/>
      <w:r>
        <w:t>Valguskaabelvõrgu</w:t>
      </w:r>
      <w:r w:rsidR="004C2779" w:rsidRPr="006E317E">
        <w:t xml:space="preserve"> internetiühenduste B piirkonna jaeturu konkurentsi analüüs</w:t>
      </w:r>
      <w:bookmarkEnd w:id="480"/>
    </w:p>
    <w:p w14:paraId="5E541F6C" w14:textId="77777777" w:rsidR="00FF0EB5" w:rsidRPr="00FF0EB5" w:rsidRDefault="00FF0EB5"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481" w:name="_Toc174094545"/>
      <w:bookmarkStart w:id="482" w:name="_Toc174094812"/>
      <w:bookmarkStart w:id="483" w:name="_Toc174095078"/>
      <w:bookmarkStart w:id="484" w:name="_Toc174095343"/>
      <w:bookmarkStart w:id="485" w:name="_Toc174095881"/>
      <w:bookmarkStart w:id="486" w:name="_Toc174096147"/>
      <w:bookmarkStart w:id="487" w:name="_Toc174536037"/>
      <w:bookmarkStart w:id="488" w:name="_Toc174617143"/>
      <w:bookmarkStart w:id="489" w:name="_Toc174618500"/>
      <w:bookmarkStart w:id="490" w:name="_Toc174627562"/>
      <w:bookmarkStart w:id="491" w:name="_Toc174704986"/>
      <w:bookmarkStart w:id="492" w:name="_Toc174709530"/>
      <w:bookmarkStart w:id="493" w:name="_Toc174710759"/>
      <w:bookmarkEnd w:id="481"/>
      <w:bookmarkEnd w:id="482"/>
      <w:bookmarkEnd w:id="483"/>
      <w:bookmarkEnd w:id="484"/>
      <w:bookmarkEnd w:id="485"/>
      <w:bookmarkEnd w:id="486"/>
      <w:bookmarkEnd w:id="487"/>
      <w:bookmarkEnd w:id="488"/>
      <w:bookmarkEnd w:id="489"/>
      <w:bookmarkEnd w:id="490"/>
      <w:bookmarkEnd w:id="491"/>
      <w:bookmarkEnd w:id="492"/>
      <w:bookmarkEnd w:id="493"/>
    </w:p>
    <w:p w14:paraId="326FDFF4" w14:textId="5E40283A" w:rsidR="0051271B" w:rsidRPr="006E317E" w:rsidRDefault="0051271B" w:rsidP="009805E1">
      <w:pPr>
        <w:pStyle w:val="Pealkiri3"/>
      </w:pPr>
      <w:bookmarkStart w:id="494" w:name="_Toc174710760"/>
      <w:r w:rsidRPr="00FF0EB5">
        <w:t>Turuosad</w:t>
      </w:r>
      <w:bookmarkEnd w:id="494"/>
    </w:p>
    <w:p w14:paraId="08EF72E1" w14:textId="5EC8BFC9" w:rsidR="0051271B" w:rsidRPr="006E317E" w:rsidRDefault="00A3232C" w:rsidP="00AA241E">
      <w:pPr>
        <w:jc w:val="both"/>
      </w:pPr>
      <w:r>
        <w:t>Valguskaabelvõrgu</w:t>
      </w:r>
      <w:r w:rsidR="0051271B" w:rsidRPr="006E317E">
        <w:t xml:space="preserve"> internetiühenduste </w:t>
      </w:r>
      <w:r w:rsidR="00C22BB0" w:rsidRPr="006E317E">
        <w:t>B</w:t>
      </w:r>
      <w:r w:rsidR="0051271B" w:rsidRPr="006E317E">
        <w:t xml:space="preserve"> piirkonna jaeturul on </w:t>
      </w:r>
      <w:r w:rsidR="00284F00" w:rsidRPr="006E317E">
        <w:t>jaeklientide interne</w:t>
      </w:r>
      <w:r w:rsidR="000F3EA8" w:rsidRPr="006E317E">
        <w:t>tiühenduste</w:t>
      </w:r>
      <w:r w:rsidR="009A5D7D" w:rsidRPr="006E317E">
        <w:t xml:space="preserve"> alusel</w:t>
      </w:r>
      <w:r w:rsidR="0051271B" w:rsidRPr="006E317E">
        <w:t xml:space="preserve"> 2023 aastal kõige suurema osakaaluga </w:t>
      </w:r>
      <w:r w:rsidR="00D601F6" w:rsidRPr="006E317E">
        <w:t>Telia</w:t>
      </w:r>
      <w:r w:rsidR="0051271B" w:rsidRPr="006E317E">
        <w:t xml:space="preserve"> </w:t>
      </w:r>
      <w:r w:rsidR="006C5EC9">
        <w:t>…*</w:t>
      </w:r>
      <w:r w:rsidR="0051271B" w:rsidRPr="006E317E">
        <w:t>%-</w:t>
      </w:r>
      <w:proofErr w:type="spellStart"/>
      <w:r w:rsidR="0051271B" w:rsidRPr="006E317E">
        <w:t>ga</w:t>
      </w:r>
      <w:proofErr w:type="spellEnd"/>
      <w:r w:rsidR="0051271B" w:rsidRPr="006E317E">
        <w:t xml:space="preserve">, järgneb </w:t>
      </w:r>
      <w:r w:rsidR="0036302F" w:rsidRPr="006E317E">
        <w:t>Elisa</w:t>
      </w:r>
      <w:r w:rsidR="0051271B" w:rsidRPr="006E317E">
        <w:t xml:space="preserve"> </w:t>
      </w:r>
      <w:r w:rsidR="006C5EC9">
        <w:t>…*</w:t>
      </w:r>
      <w:r w:rsidR="0051271B" w:rsidRPr="006E317E">
        <w:t xml:space="preserve">%-ga ja </w:t>
      </w:r>
      <w:r w:rsidR="000F3EA8" w:rsidRPr="006E317E">
        <w:t xml:space="preserve">STV </w:t>
      </w:r>
      <w:r w:rsidR="006C5EC9">
        <w:t>…*</w:t>
      </w:r>
      <w:r w:rsidR="0051271B" w:rsidRPr="006E317E">
        <w:t>%-</w:t>
      </w:r>
      <w:proofErr w:type="spellStart"/>
      <w:r w:rsidR="0051271B" w:rsidRPr="006E317E">
        <w:t>ga</w:t>
      </w:r>
      <w:proofErr w:type="spellEnd"/>
      <w:r w:rsidR="0051271B" w:rsidRPr="006E317E">
        <w:t xml:space="preserve">, vt Tabel </w:t>
      </w:r>
      <w:r w:rsidR="00503910">
        <w:t>15</w:t>
      </w:r>
      <w:r w:rsidR="0051271B" w:rsidRPr="006E317E">
        <w:t>. Kolmekesi kokku moodustavad nad ca 9</w:t>
      </w:r>
      <w:r w:rsidR="0022555C" w:rsidRPr="006E317E">
        <w:t>4</w:t>
      </w:r>
      <w:r w:rsidR="0051271B" w:rsidRPr="006E317E">
        <w:t xml:space="preserve">% turust. Seejuures </w:t>
      </w:r>
      <w:r w:rsidR="006C5EC9">
        <w:t>…*</w:t>
      </w:r>
      <w:r w:rsidR="004522F6" w:rsidRPr="006E317E">
        <w:t xml:space="preserve"> </w:t>
      </w:r>
      <w:r w:rsidR="0051271B" w:rsidRPr="006E317E">
        <w:t xml:space="preserve">ja </w:t>
      </w:r>
      <w:r w:rsidR="006C5EC9">
        <w:t>…*</w:t>
      </w:r>
      <w:r w:rsidR="004522F6" w:rsidRPr="006E317E">
        <w:t xml:space="preserve"> </w:t>
      </w:r>
      <w:r w:rsidR="0051271B" w:rsidRPr="006E317E">
        <w:t xml:space="preserve">osakaalud on perioodil 2022-2023 langenud ning </w:t>
      </w:r>
      <w:r w:rsidR="006C5EC9">
        <w:t>…*</w:t>
      </w:r>
      <w:r w:rsidR="0051271B" w:rsidRPr="006E317E">
        <w:t xml:space="preserve"> oma tõusnud.</w:t>
      </w:r>
    </w:p>
    <w:p w14:paraId="38F155BA" w14:textId="2DD507E1" w:rsidR="0051271B" w:rsidRPr="006E317E" w:rsidRDefault="006C5EC9" w:rsidP="00AA241E">
      <w:pPr>
        <w:jc w:val="both"/>
      </w:pPr>
      <w:r>
        <w:rPr>
          <w:noProof/>
        </w:rPr>
        <w:drawing>
          <wp:inline distT="0" distB="0" distL="0" distR="0" wp14:anchorId="78AF564A" wp14:editId="30EA769C">
            <wp:extent cx="3596640" cy="2676525"/>
            <wp:effectExtent l="0" t="0" r="3810" b="9525"/>
            <wp:docPr id="60757076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6640" cy="2676525"/>
                    </a:xfrm>
                    <a:prstGeom prst="rect">
                      <a:avLst/>
                    </a:prstGeom>
                    <a:noFill/>
                  </pic:spPr>
                </pic:pic>
              </a:graphicData>
            </a:graphic>
          </wp:inline>
        </w:drawing>
      </w:r>
    </w:p>
    <w:p w14:paraId="4D3946BE" w14:textId="32488125" w:rsidR="0051271B" w:rsidRPr="006E317E" w:rsidRDefault="00EC33F1" w:rsidP="00AA241E">
      <w:pPr>
        <w:pStyle w:val="Pealdis"/>
        <w:jc w:val="both"/>
      </w:pPr>
      <w:r>
        <w:t xml:space="preserve">Tabel </w:t>
      </w:r>
      <w:r>
        <w:fldChar w:fldCharType="begin"/>
      </w:r>
      <w:r>
        <w:instrText xml:space="preserve"> SEQ Tabel \* ARABIC </w:instrText>
      </w:r>
      <w:r>
        <w:fldChar w:fldCharType="separate"/>
      </w:r>
      <w:r w:rsidR="00247D84">
        <w:rPr>
          <w:noProof/>
        </w:rPr>
        <w:t>15</w:t>
      </w:r>
      <w:r>
        <w:fldChar w:fldCharType="end"/>
      </w:r>
      <w:r>
        <w:t xml:space="preserve"> </w:t>
      </w:r>
      <w:r w:rsidR="00A3232C">
        <w:t>Valguskaabelvõrgu</w:t>
      </w:r>
      <w:r w:rsidR="0051271B" w:rsidRPr="006E317E">
        <w:t xml:space="preserve"> internetiühenduste </w:t>
      </w:r>
      <w:r w:rsidR="00265719" w:rsidRPr="006E317E">
        <w:t>B piirkonna</w:t>
      </w:r>
      <w:r w:rsidR="0051271B" w:rsidRPr="006E317E">
        <w:t xml:space="preserve"> jaeturul sideettevõtjate internetiühenduste jaeklientide osakaalud aastatel 2022 – 2023</w:t>
      </w:r>
    </w:p>
    <w:p w14:paraId="295BCD3A" w14:textId="16A41229" w:rsidR="0051271B" w:rsidRDefault="0051271B" w:rsidP="00AA241E">
      <w:pPr>
        <w:jc w:val="both"/>
      </w:pPr>
      <w:r w:rsidRPr="006E317E">
        <w:t xml:space="preserve">Turuosade üldine struktuur </w:t>
      </w:r>
      <w:r w:rsidR="005841E8" w:rsidRPr="006E317E">
        <w:t xml:space="preserve">(eelkõige Telia </w:t>
      </w:r>
      <w:r w:rsidR="0090592F" w:rsidRPr="006E317E">
        <w:t>kõrge</w:t>
      </w:r>
      <w:r w:rsidR="005841E8" w:rsidRPr="006E317E">
        <w:t xml:space="preserve"> </w:t>
      </w:r>
      <w:r w:rsidR="00E73B26" w:rsidRPr="006E317E">
        <w:t>turuosa</w:t>
      </w:r>
      <w:r w:rsidR="001A3E68" w:rsidRPr="006E317E">
        <w:t xml:space="preserve">) </w:t>
      </w:r>
      <w:r w:rsidRPr="006E317E">
        <w:t xml:space="preserve">viitab sellele, et </w:t>
      </w:r>
      <w:r w:rsidR="00A3232C">
        <w:t>valguskaabelvõrgu</w:t>
      </w:r>
      <w:r w:rsidRPr="006E317E">
        <w:t xml:space="preserve"> internetiühenduste </w:t>
      </w:r>
      <w:r w:rsidR="00265719" w:rsidRPr="006E317E">
        <w:t>B piirkonna</w:t>
      </w:r>
      <w:r w:rsidRPr="006E317E">
        <w:t xml:space="preserve"> jaeturul</w:t>
      </w:r>
      <w:r w:rsidR="00265719" w:rsidRPr="006E317E">
        <w:t xml:space="preserve"> ei</w:t>
      </w:r>
      <w:r w:rsidRPr="006E317E">
        <w:t xml:space="preserve"> eksisteeri </w:t>
      </w:r>
      <w:r w:rsidR="004813A6" w:rsidRPr="006E317E">
        <w:t>tõhusat</w:t>
      </w:r>
      <w:r w:rsidRPr="006E317E">
        <w:t xml:space="preserve"> konkurents</w:t>
      </w:r>
      <w:r w:rsidR="004813A6" w:rsidRPr="006E317E">
        <w:t>i</w:t>
      </w:r>
      <w:r w:rsidRPr="006E317E">
        <w:t xml:space="preserve"> ja </w:t>
      </w:r>
      <w:r w:rsidR="00A96AE6" w:rsidRPr="006E317E">
        <w:t xml:space="preserve">võib </w:t>
      </w:r>
      <w:r w:rsidR="00656B96" w:rsidRPr="006E317E">
        <w:t>olla olemas</w:t>
      </w:r>
      <w:r w:rsidRPr="006E317E">
        <w:t xml:space="preserve"> sideettevõtja, kellel </w:t>
      </w:r>
      <w:r w:rsidR="004C1FC0" w:rsidRPr="006E317E">
        <w:t>võib</w:t>
      </w:r>
      <w:r w:rsidRPr="006E317E">
        <w:t xml:space="preserve"> olla märkimisväärse turujõuga ettevõtja seisund. </w:t>
      </w:r>
    </w:p>
    <w:p w14:paraId="2A33D234" w14:textId="77777777" w:rsidR="00FF0EB5" w:rsidRPr="00FF0EB5" w:rsidRDefault="00FF0EB5" w:rsidP="00AA241E">
      <w:pPr>
        <w:pStyle w:val="Loendilik"/>
        <w:keepNext/>
        <w:keepLines/>
        <w:numPr>
          <w:ilvl w:val="0"/>
          <w:numId w:val="60"/>
        </w:numPr>
        <w:tabs>
          <w:tab w:val="left" w:pos="1985"/>
        </w:tabs>
        <w:spacing w:before="120" w:after="240"/>
        <w:contextualSpacing w:val="0"/>
        <w:jc w:val="both"/>
        <w:outlineLvl w:val="3"/>
        <w:rPr>
          <w:rFonts w:eastAsiaTheme="majorEastAsia" w:cstheme="majorBidi"/>
          <w:i/>
          <w:iCs/>
          <w:vanish/>
          <w:lang w:eastAsia="en-US"/>
        </w:rPr>
      </w:pPr>
    </w:p>
    <w:p w14:paraId="11C08FE1" w14:textId="77777777" w:rsidR="00FF0EB5" w:rsidRPr="00FF0EB5" w:rsidRDefault="00FF0EB5" w:rsidP="00AA241E">
      <w:pPr>
        <w:pStyle w:val="Loendilik"/>
        <w:keepNext/>
        <w:keepLines/>
        <w:numPr>
          <w:ilvl w:val="0"/>
          <w:numId w:val="60"/>
        </w:numPr>
        <w:tabs>
          <w:tab w:val="left" w:pos="1985"/>
        </w:tabs>
        <w:spacing w:before="120" w:after="240"/>
        <w:contextualSpacing w:val="0"/>
        <w:jc w:val="both"/>
        <w:outlineLvl w:val="3"/>
        <w:rPr>
          <w:rFonts w:eastAsiaTheme="majorEastAsia" w:cstheme="majorBidi"/>
          <w:i/>
          <w:iCs/>
          <w:vanish/>
          <w:lang w:eastAsia="en-US"/>
        </w:rPr>
      </w:pPr>
    </w:p>
    <w:p w14:paraId="2C34F785" w14:textId="77777777" w:rsidR="00FF0EB5" w:rsidRPr="00FF0EB5" w:rsidRDefault="00FF0EB5" w:rsidP="00AA241E">
      <w:pPr>
        <w:pStyle w:val="Loendilik"/>
        <w:keepNext/>
        <w:keepLines/>
        <w:numPr>
          <w:ilvl w:val="0"/>
          <w:numId w:val="60"/>
        </w:numPr>
        <w:tabs>
          <w:tab w:val="left" w:pos="1985"/>
        </w:tabs>
        <w:spacing w:before="120" w:after="240"/>
        <w:contextualSpacing w:val="0"/>
        <w:jc w:val="both"/>
        <w:outlineLvl w:val="3"/>
        <w:rPr>
          <w:rFonts w:eastAsiaTheme="majorEastAsia" w:cstheme="majorBidi"/>
          <w:i/>
          <w:iCs/>
          <w:vanish/>
          <w:lang w:eastAsia="en-US"/>
        </w:rPr>
      </w:pPr>
    </w:p>
    <w:p w14:paraId="6C6009EB" w14:textId="77777777" w:rsidR="00FF0EB5" w:rsidRPr="00FF0EB5" w:rsidRDefault="00FF0EB5" w:rsidP="00AA241E">
      <w:pPr>
        <w:pStyle w:val="Loendilik"/>
        <w:keepNext/>
        <w:keepLines/>
        <w:numPr>
          <w:ilvl w:val="0"/>
          <w:numId w:val="60"/>
        </w:numPr>
        <w:tabs>
          <w:tab w:val="left" w:pos="1985"/>
        </w:tabs>
        <w:spacing w:before="120" w:after="240"/>
        <w:contextualSpacing w:val="0"/>
        <w:jc w:val="both"/>
        <w:outlineLvl w:val="3"/>
        <w:rPr>
          <w:rFonts w:eastAsiaTheme="majorEastAsia" w:cstheme="majorBidi"/>
          <w:i/>
          <w:iCs/>
          <w:vanish/>
          <w:lang w:eastAsia="en-US"/>
        </w:rPr>
      </w:pPr>
    </w:p>
    <w:p w14:paraId="5484771F" w14:textId="77777777" w:rsidR="00FF0EB5" w:rsidRPr="00FF0EB5" w:rsidRDefault="00FF0EB5" w:rsidP="00AA241E">
      <w:pPr>
        <w:pStyle w:val="Loendilik"/>
        <w:keepNext/>
        <w:keepLines/>
        <w:numPr>
          <w:ilvl w:val="1"/>
          <w:numId w:val="60"/>
        </w:numPr>
        <w:tabs>
          <w:tab w:val="left" w:pos="1985"/>
        </w:tabs>
        <w:spacing w:before="120" w:after="240"/>
        <w:contextualSpacing w:val="0"/>
        <w:jc w:val="both"/>
        <w:outlineLvl w:val="3"/>
        <w:rPr>
          <w:rFonts w:eastAsiaTheme="majorEastAsia" w:cstheme="majorBidi"/>
          <w:i/>
          <w:iCs/>
          <w:vanish/>
          <w:lang w:eastAsia="en-US"/>
        </w:rPr>
      </w:pPr>
    </w:p>
    <w:p w14:paraId="7D5B43FF" w14:textId="77777777" w:rsidR="00FF0EB5" w:rsidRPr="00FF0EB5" w:rsidRDefault="00FF0EB5" w:rsidP="00AA241E">
      <w:pPr>
        <w:pStyle w:val="Loendilik"/>
        <w:keepNext/>
        <w:keepLines/>
        <w:numPr>
          <w:ilvl w:val="1"/>
          <w:numId w:val="60"/>
        </w:numPr>
        <w:tabs>
          <w:tab w:val="left" w:pos="1985"/>
        </w:tabs>
        <w:spacing w:before="120" w:after="240"/>
        <w:contextualSpacing w:val="0"/>
        <w:jc w:val="both"/>
        <w:outlineLvl w:val="3"/>
        <w:rPr>
          <w:rFonts w:eastAsiaTheme="majorEastAsia" w:cstheme="majorBidi"/>
          <w:i/>
          <w:iCs/>
          <w:vanish/>
          <w:lang w:eastAsia="en-US"/>
        </w:rPr>
      </w:pPr>
    </w:p>
    <w:p w14:paraId="61D5F83F" w14:textId="77777777" w:rsidR="00FF0EB5" w:rsidRPr="00FF0EB5" w:rsidRDefault="00FF0EB5" w:rsidP="00AA241E">
      <w:pPr>
        <w:pStyle w:val="Loendilik"/>
        <w:keepNext/>
        <w:keepLines/>
        <w:numPr>
          <w:ilvl w:val="1"/>
          <w:numId w:val="60"/>
        </w:numPr>
        <w:tabs>
          <w:tab w:val="left" w:pos="1985"/>
        </w:tabs>
        <w:spacing w:before="120" w:after="240"/>
        <w:contextualSpacing w:val="0"/>
        <w:jc w:val="both"/>
        <w:outlineLvl w:val="3"/>
        <w:rPr>
          <w:rFonts w:eastAsiaTheme="majorEastAsia" w:cstheme="majorBidi"/>
          <w:i/>
          <w:iCs/>
          <w:vanish/>
          <w:lang w:eastAsia="en-US"/>
        </w:rPr>
      </w:pPr>
    </w:p>
    <w:p w14:paraId="14691352" w14:textId="77777777" w:rsidR="00FF0EB5" w:rsidRPr="00FF0EB5" w:rsidRDefault="00FF0EB5" w:rsidP="00AA241E">
      <w:pPr>
        <w:pStyle w:val="Loendilik"/>
        <w:keepNext/>
        <w:keepLines/>
        <w:numPr>
          <w:ilvl w:val="2"/>
          <w:numId w:val="60"/>
        </w:numPr>
        <w:tabs>
          <w:tab w:val="left" w:pos="1985"/>
        </w:tabs>
        <w:spacing w:before="120" w:after="240"/>
        <w:contextualSpacing w:val="0"/>
        <w:jc w:val="both"/>
        <w:outlineLvl w:val="3"/>
        <w:rPr>
          <w:rFonts w:eastAsiaTheme="majorEastAsia" w:cstheme="majorBidi"/>
          <w:i/>
          <w:iCs/>
          <w:vanish/>
          <w:lang w:eastAsia="en-US"/>
        </w:rPr>
      </w:pPr>
    </w:p>
    <w:p w14:paraId="0DCA0D6F" w14:textId="68A17096" w:rsidR="00E40F83" w:rsidRPr="006E317E" w:rsidRDefault="00E40F83" w:rsidP="009805E1">
      <w:pPr>
        <w:pStyle w:val="Pealkiri3"/>
      </w:pPr>
      <w:bookmarkStart w:id="495" w:name="_Toc174710761"/>
      <w:r w:rsidRPr="006E317E">
        <w:t>Turule sisenemise tõkked</w:t>
      </w:r>
      <w:bookmarkEnd w:id="495"/>
    </w:p>
    <w:p w14:paraId="1B7221C2" w14:textId="77777777" w:rsidR="00E40F83" w:rsidRPr="006E317E" w:rsidRDefault="00E40F83" w:rsidP="00AA241E">
      <w:pPr>
        <w:jc w:val="both"/>
      </w:pPr>
      <w:r w:rsidRPr="006E317E">
        <w:t>Üks peamisi konkurentsiprobleeme elektroonilise side turgudel, on turule sisenemise tõkked ja sidevõrgu leviala laiendamine, kuna sidevõrgu rajamisega kaasnevad kõrged pöördumatud kulud, mis on eelkõige seotud sidekaablitaristuga (sidetorud- ja postid), mille rajamise kulud moodustavad kuni 80% sidevõrkude paigaldamise kuludest. Seega on sidekaablitaristu omamine ja kättesaadavus oluline konkurentsi eelis. Sidevõrgu rajamise suurtest ja pöördumatutest kuludest tulenevalt on sidevõrgu tasuvuse tagamiseks vaja saavutada piisav mastaabisääst ehk koguda piisav kliendibaas, et kindlustada stabiilsed tulud suurte ja pöördumatute kulude tagasi teenimiseks.</w:t>
      </w:r>
    </w:p>
    <w:p w14:paraId="0485DF6E" w14:textId="20E5FB4F" w:rsidR="00E40F83" w:rsidRPr="006572FC" w:rsidRDefault="00E40F83" w:rsidP="00AA241E">
      <w:pPr>
        <w:jc w:val="both"/>
      </w:pPr>
      <w:r w:rsidRPr="006E317E">
        <w:t xml:space="preserve">Tõkkeid turule sisenemisel või sidevõrgu leviala laiendamisel on aidanud vähendada sidekaabli paigaldamist võimaldavale füüsilise taristule juurdepääsu sümmeetriline reguleerimine ehitusseadustiku </w:t>
      </w:r>
      <w:r w:rsidR="008C159A">
        <w:t xml:space="preserve">ptk. </w:t>
      </w:r>
      <w:r w:rsidRPr="006E317E">
        <w:t xml:space="preserve">6 </w:t>
      </w:r>
      <w:proofErr w:type="spellStart"/>
      <w:r w:rsidRPr="006E317E">
        <w:t>prim</w:t>
      </w:r>
      <w:proofErr w:type="spellEnd"/>
      <w:r w:rsidRPr="006E317E">
        <w:t xml:space="preserve"> 1 alusel ja MTE kaablikanalisatsiooni reguleerimine tugiteenusena valdkonnaspetsiifiliselt hulgiturul 1 TTJA 2017 aasta otsuse alusel. Sideettevõtja omanduses olev füüsiline taristu (sidetorud ja -postid) annab sideettevõtjale siiski oluliselt suurema konkurentsi eelise kui selle rentimine teistelt. Eelkõige toimub sidevõrgu paigaldamine oma enda füüsilise taristu baasil tavaliselt suuremates mahtudes, kiiremini ja tõhusamalt. Jae internetiühenduse teenuseid osutavatest sideettevõtjatest omab Eestis kõige suuremat ja ulatuslikumat sidekaablitaristut Telia, vt ka </w:t>
      </w:r>
      <w:r w:rsidR="006572FC" w:rsidRPr="00883566">
        <w:rPr>
          <w:rFonts w:cs="Times New Roman"/>
        </w:rPr>
        <w:t>TTJA 2024 ST</w:t>
      </w:r>
      <w:r w:rsidR="001B7EC2">
        <w:rPr>
          <w:rFonts w:cs="Times New Roman"/>
        </w:rPr>
        <w:t>J</w:t>
      </w:r>
      <w:r w:rsidR="006572FC" w:rsidRPr="00883566">
        <w:rPr>
          <w:rFonts w:cs="Times New Roman"/>
        </w:rPr>
        <w:t xml:space="preserve"> hulgituru otsuse </w:t>
      </w:r>
      <w:r w:rsidR="006572FC" w:rsidRPr="006572FC">
        <w:rPr>
          <w:rFonts w:cs="Times New Roman"/>
        </w:rPr>
        <w:t>kavandit</w:t>
      </w:r>
      <w:r w:rsidRPr="006572FC">
        <w:t xml:space="preserve">. </w:t>
      </w:r>
    </w:p>
    <w:p w14:paraId="1ED92B2C" w14:textId="440318E7" w:rsidR="00E40F83" w:rsidRPr="006E317E" w:rsidRDefault="00E40F83" w:rsidP="00AA241E">
      <w:pPr>
        <w:jc w:val="both"/>
      </w:pPr>
      <w:r w:rsidRPr="006E317E">
        <w:t xml:space="preserve">Internetiühenduste algusaegadel 1990-ndatel osutati internetiühenduse teenust ainult Telia </w:t>
      </w:r>
      <w:r w:rsidR="00AD1150">
        <w:t>vaskpaar</w:t>
      </w:r>
      <w:r w:rsidRPr="006E317E">
        <w:t xml:space="preserve">võrgu baasil. Aastatega on internetiühenduse jaeturule sisenenud paljud teised sideettevõtjad erinevate sidevõrgu tehnoloogiate baasil, vt </w:t>
      </w:r>
      <w:r w:rsidR="008C159A">
        <w:t>ptk.-</w:t>
      </w:r>
      <w:r w:rsidR="00A64B04">
        <w:t xml:space="preserve">s </w:t>
      </w:r>
      <w:r w:rsidR="00D337B6">
        <w:t>2</w:t>
      </w:r>
      <w:r w:rsidR="008410AE">
        <w:t>.</w:t>
      </w:r>
      <w:r w:rsidR="00D337B6">
        <w:t>2.</w:t>
      </w:r>
      <w:r w:rsidR="00A64B04">
        <w:t>7</w:t>
      </w:r>
      <w:r w:rsidR="00C2175F" w:rsidRPr="006E317E">
        <w:t xml:space="preserve"> </w:t>
      </w:r>
      <w:r w:rsidR="00C8005B" w:rsidRPr="006E317E">
        <w:t xml:space="preserve"> </w:t>
      </w:r>
      <w:r w:rsidRPr="006E317E">
        <w:t xml:space="preserve">Tabel </w:t>
      </w:r>
      <w:r w:rsidR="00A64B04">
        <w:t>5</w:t>
      </w:r>
      <w:r w:rsidRPr="006E317E">
        <w:t>, peamiselt koaksiaalkaabel-, valguskaabelvõrkude ja mobiil</w:t>
      </w:r>
      <w:r w:rsidR="00183C25">
        <w:t>side</w:t>
      </w:r>
      <w:r w:rsidRPr="006E317E">
        <w:t xml:space="preserve">võrkude baasil, väga vähesel määral ka </w:t>
      </w:r>
      <w:proofErr w:type="spellStart"/>
      <w:r w:rsidRPr="006E317E">
        <w:t>wifi</w:t>
      </w:r>
      <w:proofErr w:type="spellEnd"/>
      <w:r w:rsidRPr="006E317E">
        <w:t xml:space="preserve"> raadiosidevõrgu baasil ja viimasel ajal vähesel määral ka satelliitsidevõrgu baasil, mida nende väga madala kasutuse tõttu internetiühenduste jaeturu konkurentsi analüüsi ei kaasatud. </w:t>
      </w:r>
    </w:p>
    <w:p w14:paraId="0C59F0E8" w14:textId="21887422" w:rsidR="00E40F83" w:rsidRPr="006E317E" w:rsidRDefault="00E40F83" w:rsidP="00AA241E">
      <w:pPr>
        <w:jc w:val="both"/>
      </w:pPr>
      <w:r w:rsidRPr="006E317E">
        <w:t xml:space="preserve">Valguskaablivõrkude tehnoloogia alusel on 2023 aastal </w:t>
      </w:r>
      <w:r w:rsidR="00621857" w:rsidRPr="006E317E">
        <w:t>B</w:t>
      </w:r>
      <w:r w:rsidRPr="006E317E">
        <w:t xml:space="preserve"> piirkonnas kõige enam elu- ja mitteeluruume kaetud peamiselt erakapitali baasil </w:t>
      </w:r>
      <w:r w:rsidR="00345338" w:rsidRPr="006E317E">
        <w:t>Telia</w:t>
      </w:r>
      <w:r w:rsidRPr="006E317E">
        <w:t xml:space="preserve"> poolt ca </w:t>
      </w:r>
      <w:r w:rsidR="006C5EC9">
        <w:t>…*</w:t>
      </w:r>
      <w:r w:rsidRPr="006E317E">
        <w:t xml:space="preserve">%, järgnevad </w:t>
      </w:r>
      <w:r w:rsidR="00345338" w:rsidRPr="006E317E">
        <w:t>STV</w:t>
      </w:r>
      <w:r w:rsidR="00EC4FDA" w:rsidRPr="006E317E">
        <w:t xml:space="preserve"> </w:t>
      </w:r>
      <w:r w:rsidR="006C5EC9">
        <w:t>…*</w:t>
      </w:r>
      <w:r w:rsidR="00A607C1" w:rsidRPr="006E317E">
        <w:t>%</w:t>
      </w:r>
      <w:r w:rsidRPr="006E317E">
        <w:t xml:space="preserve">, Elisa </w:t>
      </w:r>
      <w:r w:rsidR="006C5EC9">
        <w:t>…*</w:t>
      </w:r>
      <w:r w:rsidRPr="006E317E">
        <w:t xml:space="preserve">%, vt Tabel </w:t>
      </w:r>
      <w:r w:rsidR="00503910">
        <w:t>16</w:t>
      </w:r>
      <w:r w:rsidRPr="006E317E">
        <w:t xml:space="preserve">.   </w:t>
      </w:r>
      <w:r w:rsidR="00A06ECB" w:rsidRPr="006E317E">
        <w:t>B</w:t>
      </w:r>
      <w:r w:rsidRPr="006E317E">
        <w:t xml:space="preserve"> piirkonna</w:t>
      </w:r>
      <w:r w:rsidR="00345EE0" w:rsidRPr="006E317E">
        <w:t xml:space="preserve"> elu- ja mitteeluruumide</w:t>
      </w:r>
      <w:r w:rsidR="005A2B65" w:rsidRPr="006E317E">
        <w:t>ni</w:t>
      </w:r>
      <w:r w:rsidRPr="006E317E">
        <w:t xml:space="preserve"> </w:t>
      </w:r>
      <w:r w:rsidR="00A06ECB" w:rsidRPr="006E317E">
        <w:t xml:space="preserve">on rajatud </w:t>
      </w:r>
      <w:r w:rsidR="00A3232C">
        <w:t>valguskaabelvõrgu</w:t>
      </w:r>
      <w:r w:rsidR="00A06ECB" w:rsidRPr="006E317E">
        <w:t xml:space="preserve"> kliendiliine ka </w:t>
      </w:r>
      <w:r w:rsidR="00F006A4" w:rsidRPr="006E317E">
        <w:t>riigiabiga</w:t>
      </w:r>
      <w:r w:rsidR="003E185C" w:rsidRPr="006E317E">
        <w:t xml:space="preserve"> ja seeläbi kaetud </w:t>
      </w:r>
      <w:r w:rsidR="00A3232C">
        <w:t>valguskaabelvõrgu</w:t>
      </w:r>
      <w:r w:rsidR="003E185C" w:rsidRPr="006E317E">
        <w:t>ga</w:t>
      </w:r>
      <w:r w:rsidR="00EA6E4E" w:rsidRPr="006E317E">
        <w:t xml:space="preserve"> ca </w:t>
      </w:r>
      <w:r w:rsidR="007A572A" w:rsidRPr="006E317E">
        <w:t>10</w:t>
      </w:r>
      <w:r w:rsidR="005F625F" w:rsidRPr="006E317E">
        <w:t>%</w:t>
      </w:r>
      <w:r w:rsidR="007A572A" w:rsidRPr="006E317E">
        <w:t xml:space="preserve"> </w:t>
      </w:r>
      <w:r w:rsidR="003E185C" w:rsidRPr="006E317E">
        <w:t xml:space="preserve">B piirkonna </w:t>
      </w:r>
      <w:r w:rsidR="007A572A" w:rsidRPr="006E317E">
        <w:t>elu- ja mitteeluruume</w:t>
      </w:r>
      <w:r w:rsidR="005E2747" w:rsidRPr="006E317E">
        <w:t xml:space="preserve"> ning </w:t>
      </w:r>
      <w:r w:rsidR="0051156A" w:rsidRPr="006E317E">
        <w:t xml:space="preserve">riigil on kavas </w:t>
      </w:r>
      <w:r w:rsidR="001B410F" w:rsidRPr="006E317E">
        <w:t xml:space="preserve">riigiabi </w:t>
      </w:r>
      <w:r w:rsidR="00994C16" w:rsidRPr="006E317E">
        <w:t>baasil B piirkonna valgetesse aladesse rajada val</w:t>
      </w:r>
      <w:r w:rsidR="00092915" w:rsidRPr="006E317E">
        <w:t>guskaablivõrke</w:t>
      </w:r>
      <w:r w:rsidR="001B410F" w:rsidRPr="006E317E">
        <w:t xml:space="preserve"> ka tulevikus.</w:t>
      </w:r>
    </w:p>
    <w:p w14:paraId="717BB76A" w14:textId="578D4F7B" w:rsidR="00E40F83" w:rsidRPr="006E317E" w:rsidRDefault="006C5EC9" w:rsidP="00AA241E">
      <w:pPr>
        <w:jc w:val="both"/>
      </w:pPr>
      <w:r>
        <w:rPr>
          <w:noProof/>
        </w:rPr>
        <w:lastRenderedPageBreak/>
        <w:drawing>
          <wp:inline distT="0" distB="0" distL="0" distR="0" wp14:anchorId="1122D69E" wp14:editId="68C137FA">
            <wp:extent cx="4840605" cy="3255645"/>
            <wp:effectExtent l="0" t="0" r="0" b="1905"/>
            <wp:docPr id="1807233627"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0605" cy="3255645"/>
                    </a:xfrm>
                    <a:prstGeom prst="rect">
                      <a:avLst/>
                    </a:prstGeom>
                    <a:noFill/>
                  </pic:spPr>
                </pic:pic>
              </a:graphicData>
            </a:graphic>
          </wp:inline>
        </w:drawing>
      </w:r>
    </w:p>
    <w:p w14:paraId="3238541F" w14:textId="074F2A0C" w:rsidR="00E40F83" w:rsidRPr="006E317E" w:rsidRDefault="00EC33F1" w:rsidP="00AA241E">
      <w:pPr>
        <w:pStyle w:val="Pealdis"/>
        <w:jc w:val="both"/>
      </w:pPr>
      <w:r>
        <w:t xml:space="preserve"> </w:t>
      </w:r>
      <w:r w:rsidR="008A085A">
        <w:t xml:space="preserve">Tabel </w:t>
      </w:r>
      <w:r w:rsidR="008A085A">
        <w:fldChar w:fldCharType="begin"/>
      </w:r>
      <w:r w:rsidR="008A085A">
        <w:instrText xml:space="preserve"> SEQ Tabel \* ARABIC </w:instrText>
      </w:r>
      <w:r w:rsidR="008A085A">
        <w:fldChar w:fldCharType="separate"/>
      </w:r>
      <w:r w:rsidR="00247D84">
        <w:rPr>
          <w:noProof/>
        </w:rPr>
        <w:t>16</w:t>
      </w:r>
      <w:r w:rsidR="008A085A">
        <w:fldChar w:fldCharType="end"/>
      </w:r>
      <w:r w:rsidR="008A085A">
        <w:t xml:space="preserve"> </w:t>
      </w:r>
      <w:r w:rsidR="00E40F83" w:rsidRPr="006E317E">
        <w:t xml:space="preserve">Sideettevõtjate poolt </w:t>
      </w:r>
      <w:r w:rsidR="00A3232C">
        <w:t>valguskaabelvõrgu</w:t>
      </w:r>
      <w:r w:rsidR="00E40F83" w:rsidRPr="006E317E">
        <w:t>ga kaetud elu- ja mitteeluruumide arv ja osakaalud 2023 aastal. ERA – peamiselt erakapital baasil ühendatud elu- ja mitteeluruumid, RIIGI – peamiselt riigiabiga rajatud kliendiliinide (juurdepääsuvõrgu) abil ühendatud elu- ja mitteeluruumid.</w:t>
      </w:r>
      <w:r w:rsidR="00C94031" w:rsidRPr="006E317E">
        <w:t xml:space="preserve"> </w:t>
      </w:r>
    </w:p>
    <w:p w14:paraId="35FFF16B" w14:textId="6D167F56" w:rsidR="00E40F83" w:rsidRPr="006E317E" w:rsidRDefault="00E40F83" w:rsidP="00AA241E">
      <w:pPr>
        <w:jc w:val="both"/>
      </w:pPr>
      <w:r w:rsidRPr="006E317E">
        <w:t xml:space="preserve">Kõige suuremat kliendibaasi (ja sellest tulenevat mastaabisäästu) </w:t>
      </w:r>
      <w:r w:rsidR="00A3232C">
        <w:t>valguskaabelvõrgu</w:t>
      </w:r>
      <w:r w:rsidRPr="006E317E">
        <w:t xml:space="preserve"> internetiühenduse </w:t>
      </w:r>
      <w:r w:rsidR="002B33EB" w:rsidRPr="006E317E">
        <w:t>B</w:t>
      </w:r>
      <w:r w:rsidRPr="006E317E">
        <w:t xml:space="preserve"> piirkonna jaeturul omavad </w:t>
      </w:r>
      <w:r w:rsidR="002B33EB" w:rsidRPr="006E317E">
        <w:t xml:space="preserve">Telia </w:t>
      </w:r>
      <w:r w:rsidR="006C5EC9">
        <w:t>…*</w:t>
      </w:r>
      <w:r w:rsidR="002B33EB" w:rsidRPr="006E317E">
        <w:t>%-</w:t>
      </w:r>
      <w:proofErr w:type="spellStart"/>
      <w:r w:rsidR="002B33EB" w:rsidRPr="006E317E">
        <w:t>ga</w:t>
      </w:r>
      <w:proofErr w:type="spellEnd"/>
      <w:r w:rsidR="002B33EB" w:rsidRPr="006E317E">
        <w:t xml:space="preserve">, järgneb Elisa </w:t>
      </w:r>
      <w:r w:rsidR="006C5EC9">
        <w:t>…*</w:t>
      </w:r>
      <w:r w:rsidR="002B33EB" w:rsidRPr="006E317E">
        <w:t xml:space="preserve">%-ga ja STV </w:t>
      </w:r>
      <w:r w:rsidR="006C5EC9">
        <w:t>…*</w:t>
      </w:r>
      <w:r w:rsidR="002B33EB" w:rsidRPr="006E317E">
        <w:t>%-</w:t>
      </w:r>
      <w:proofErr w:type="spellStart"/>
      <w:r w:rsidR="002B33EB" w:rsidRPr="006E317E">
        <w:t>ga</w:t>
      </w:r>
      <w:proofErr w:type="spellEnd"/>
      <w:r w:rsidR="002B33EB" w:rsidRPr="006E317E">
        <w:t xml:space="preserve">, vt Tabel </w:t>
      </w:r>
      <w:r w:rsidR="00503910">
        <w:t>15.</w:t>
      </w:r>
    </w:p>
    <w:p w14:paraId="01CA424B" w14:textId="7D659BFE" w:rsidR="00592B3F" w:rsidRPr="006E317E" w:rsidRDefault="00E40F83" w:rsidP="00AA241E">
      <w:pPr>
        <w:jc w:val="both"/>
      </w:pPr>
      <w:r w:rsidRPr="006E317E">
        <w:t xml:space="preserve">Eespool öeldut silmas pidades on </w:t>
      </w:r>
      <w:r w:rsidR="00A3232C">
        <w:t>valguskaabelvõrgu</w:t>
      </w:r>
      <w:r w:rsidRPr="006E317E">
        <w:t xml:space="preserve"> internetiühenduste </w:t>
      </w:r>
      <w:r w:rsidR="000D47F3" w:rsidRPr="006E317E">
        <w:t>B</w:t>
      </w:r>
      <w:r w:rsidRPr="006E317E">
        <w:t xml:space="preserve"> piirkonna jaeturule sisenemisel olemas </w:t>
      </w:r>
      <w:r w:rsidR="00B461F4" w:rsidRPr="006E317E">
        <w:t>kõrged sisenemise</w:t>
      </w:r>
      <w:r w:rsidRPr="006E317E">
        <w:t xml:space="preserve"> tõkked (peamiselt sidevõrgu rajamise suured ja pöördumatud kulud), mis takistavad uuel sideettevõtjal enda sidevõrgu baasil sisenemist </w:t>
      </w:r>
      <w:r w:rsidR="00A3232C">
        <w:t>valguskaabelvõrgu</w:t>
      </w:r>
      <w:r w:rsidRPr="006E317E">
        <w:t xml:space="preserve"> internetiühenduste </w:t>
      </w:r>
      <w:r w:rsidR="000D47F3" w:rsidRPr="006E317E">
        <w:t>B</w:t>
      </w:r>
      <w:r w:rsidRPr="006E317E">
        <w:t xml:space="preserve"> piirkonna jaeturule. </w:t>
      </w:r>
      <w:r w:rsidR="00A75061" w:rsidRPr="006E317E">
        <w:t xml:space="preserve">Võrreldes A piirkonnaga on </w:t>
      </w:r>
      <w:r w:rsidR="00307108" w:rsidRPr="006E317E">
        <w:t xml:space="preserve">B piirkonnas </w:t>
      </w:r>
      <w:r w:rsidR="00A75061" w:rsidRPr="006E317E">
        <w:t xml:space="preserve">turule sisenemise tõkked kõrgemad, kuna keerulisem on saavutada piisavat mastaabisäästu, sest B piirkonna </w:t>
      </w:r>
      <w:r w:rsidR="00117095" w:rsidRPr="006E317E">
        <w:t>elanike ja elu- ja mitteeluruumide arv ja tihedus on märkimisväärselt madalam, kui A piirkonnas</w:t>
      </w:r>
      <w:r w:rsidR="00727F37" w:rsidRPr="006E317E">
        <w:t xml:space="preserve">, vt </w:t>
      </w:r>
      <w:r w:rsidR="008C159A">
        <w:t>ptk.-</w:t>
      </w:r>
      <w:r w:rsidR="006572FC">
        <w:t>s</w:t>
      </w:r>
      <w:r w:rsidR="00727F37" w:rsidRPr="006E317E">
        <w:t xml:space="preserve"> </w:t>
      </w:r>
      <w:r w:rsidR="006572FC">
        <w:t>2.</w:t>
      </w:r>
      <w:r w:rsidR="00727F37" w:rsidRPr="006E317E">
        <w:t>3.</w:t>
      </w:r>
      <w:r w:rsidR="006572FC">
        <w:t>2</w:t>
      </w:r>
      <w:r w:rsidR="00727F37" w:rsidRPr="006E317E">
        <w:t xml:space="preserve"> Tabel</w:t>
      </w:r>
      <w:r w:rsidR="006572FC">
        <w:t>eid 6 ja 7</w:t>
      </w:r>
      <w:r w:rsidR="00727F37" w:rsidRPr="006E317E">
        <w:t xml:space="preserve">. </w:t>
      </w:r>
      <w:r w:rsidR="00592B3F" w:rsidRPr="006E317E">
        <w:t xml:space="preserve">Vastavaid </w:t>
      </w:r>
      <w:r w:rsidR="00F73FDA" w:rsidRPr="006E317E">
        <w:t>turule sisenemise</w:t>
      </w:r>
      <w:r w:rsidR="00592B3F" w:rsidRPr="006E317E">
        <w:t xml:space="preserve"> tõkkeid aitavad ületad riigiabiga rajatavad </w:t>
      </w:r>
      <w:r w:rsidR="00A468C4" w:rsidRPr="006E317E">
        <w:t xml:space="preserve">operaatorneutraalsed </w:t>
      </w:r>
      <w:r w:rsidR="00A3232C">
        <w:t>valguskaabelvõrgu</w:t>
      </w:r>
      <w:r w:rsidR="007D1DB4" w:rsidRPr="006E317E">
        <w:t>d</w:t>
      </w:r>
      <w:r w:rsidR="00144C5C" w:rsidRPr="006E317E">
        <w:t xml:space="preserve">, mis katavad ca 10% </w:t>
      </w:r>
      <w:r w:rsidR="00B461F4" w:rsidRPr="006E317E">
        <w:t xml:space="preserve">B piirkonna </w:t>
      </w:r>
      <w:r w:rsidR="00144C5C" w:rsidRPr="006E317E">
        <w:t>elu- ja mitteeluruumidest.</w:t>
      </w:r>
    </w:p>
    <w:p w14:paraId="36DD6CA4" w14:textId="18F5BFD0" w:rsidR="00E40F83" w:rsidRDefault="00F418B3" w:rsidP="00AA241E">
      <w:pPr>
        <w:spacing w:after="240"/>
        <w:jc w:val="both"/>
      </w:pPr>
      <w:r w:rsidRPr="006E317E">
        <w:t xml:space="preserve">TTJA hinnangul on </w:t>
      </w:r>
      <w:r w:rsidR="00E62DC3" w:rsidRPr="006E317E">
        <w:t>oma sidevõrgu leviala laiendamise tõkked teatud määral ületa</w:t>
      </w:r>
      <w:r w:rsidR="006A1E14" w:rsidRPr="006E317E">
        <w:t>n</w:t>
      </w:r>
      <w:r w:rsidR="00E62DC3" w:rsidRPr="006E317E">
        <w:t xml:space="preserve">ud ja neil tõketel on madalam tähtsus </w:t>
      </w:r>
      <w:r w:rsidR="006A1E14" w:rsidRPr="006E317E">
        <w:t xml:space="preserve">eelkõige Telia </w:t>
      </w:r>
      <w:r w:rsidR="007E2ECA" w:rsidRPr="006E317E">
        <w:t xml:space="preserve">puhul, kuna </w:t>
      </w:r>
      <w:r w:rsidR="00F35693" w:rsidRPr="006E317E">
        <w:t>erinevalt teistest</w:t>
      </w:r>
      <w:r w:rsidR="00E40F83" w:rsidRPr="006E317E">
        <w:t xml:space="preserve"> o</w:t>
      </w:r>
      <w:r w:rsidR="001C2AD4" w:rsidRPr="006E317E">
        <w:t>n Telia</w:t>
      </w:r>
      <w:r w:rsidR="004B449F" w:rsidRPr="006E317E">
        <w:t>l B piirkonnas</w:t>
      </w:r>
      <w:r w:rsidR="001C2AD4" w:rsidRPr="006E317E">
        <w:t xml:space="preserve"> märkimisväärselt </w:t>
      </w:r>
      <w:r w:rsidR="00E40F83" w:rsidRPr="006E317E">
        <w:t>ulatus</w:t>
      </w:r>
      <w:r w:rsidR="00FD12CB" w:rsidRPr="006E317E">
        <w:t>lik</w:t>
      </w:r>
      <w:r w:rsidR="00E40F83" w:rsidRPr="006E317E">
        <w:t xml:space="preserve"> valguskaablivõrk</w:t>
      </w:r>
      <w:r w:rsidR="00C975E8" w:rsidRPr="006E317E">
        <w:t xml:space="preserve"> (</w:t>
      </w:r>
      <w:r w:rsidR="006C5EC9">
        <w:t>…*</w:t>
      </w:r>
      <w:r w:rsidR="00C975E8" w:rsidRPr="006E317E">
        <w:t>%</w:t>
      </w:r>
      <w:r w:rsidR="00CC136A" w:rsidRPr="006E317E">
        <w:t xml:space="preserve"> elu- ja mitteeluruumidest)</w:t>
      </w:r>
      <w:r w:rsidR="00E40F83" w:rsidRPr="006E317E">
        <w:t xml:space="preserve"> ja </w:t>
      </w:r>
      <w:r w:rsidR="00FD12CB" w:rsidRPr="006E317E">
        <w:t xml:space="preserve">suur </w:t>
      </w:r>
      <w:r w:rsidR="00E40F83" w:rsidRPr="006E317E">
        <w:t>kliendibaas (</w:t>
      </w:r>
      <w:r w:rsidR="006C5EC9">
        <w:t>…*</w:t>
      </w:r>
      <w:r w:rsidR="00F82C47" w:rsidRPr="006E317E">
        <w:t>%</w:t>
      </w:r>
      <w:r w:rsidR="00323D43" w:rsidRPr="006E317E">
        <w:t xml:space="preserve"> jaeklientidest</w:t>
      </w:r>
      <w:r w:rsidR="00E40F83" w:rsidRPr="006E317E">
        <w:t>)</w:t>
      </w:r>
      <w:r w:rsidR="008C07B7" w:rsidRPr="006E317E">
        <w:t>, vt Tabelid</w:t>
      </w:r>
      <w:r w:rsidR="00503910">
        <w:t xml:space="preserve"> 15 ja 16</w:t>
      </w:r>
      <w:r w:rsidR="00E40F83" w:rsidRPr="006E317E">
        <w:t>.</w:t>
      </w:r>
    </w:p>
    <w:p w14:paraId="3B36FB06" w14:textId="67A3BA3A" w:rsidR="0033292D" w:rsidRPr="006E317E" w:rsidRDefault="0033292D" w:rsidP="009805E1">
      <w:pPr>
        <w:pStyle w:val="Pealkiri3"/>
      </w:pPr>
      <w:bookmarkStart w:id="496" w:name="_Toc174710762"/>
      <w:r w:rsidRPr="006E317E">
        <w:lastRenderedPageBreak/>
        <w:t xml:space="preserve">Tasakaalustav </w:t>
      </w:r>
      <w:r w:rsidR="00EE71F9">
        <w:t>ostjaj</w:t>
      </w:r>
      <w:r w:rsidRPr="006E317E">
        <w:t>õud</w:t>
      </w:r>
      <w:bookmarkEnd w:id="496"/>
    </w:p>
    <w:p w14:paraId="4748DFCF" w14:textId="26E8D378" w:rsidR="0033292D" w:rsidRPr="006E317E" w:rsidRDefault="0033292D" w:rsidP="00AA241E">
      <w:pPr>
        <w:jc w:val="both"/>
      </w:pPr>
      <w:r w:rsidRPr="006E317E">
        <w:t xml:space="preserve">Tasakaalustav </w:t>
      </w:r>
      <w:r w:rsidR="00EE71F9">
        <w:t>ostjaj</w:t>
      </w:r>
      <w:r w:rsidRPr="006E317E">
        <w:t xml:space="preserve">õud </w:t>
      </w:r>
      <w:r w:rsidR="00A3232C">
        <w:t>valguskaabelvõrgu</w:t>
      </w:r>
      <w:r w:rsidRPr="006E317E">
        <w:t xml:space="preserve"> internetiühenduse </w:t>
      </w:r>
      <w:r w:rsidR="008614E8" w:rsidRPr="006E317E">
        <w:t>B</w:t>
      </w:r>
      <w:r w:rsidRPr="006E317E">
        <w:t xml:space="preserve"> piirkonna jaeturul on olemas siis, kui lõppkasutajal on võimalus vahetada oma vastavat internetiühendust osutav sideettevõtja teise vastavat internetiühendust osutava sideettevõtja vastu. Seejuures on oluline, et teenusepakkuja vahetamisega seotud kulud ei oleks suured, et teenuse osutaja vahetamine oleks lõppkasutajale majanduslikult tasuv.</w:t>
      </w:r>
    </w:p>
    <w:p w14:paraId="51BEDEBE" w14:textId="1CD6800B" w:rsidR="0033292D" w:rsidRPr="006E317E" w:rsidRDefault="0033292D" w:rsidP="00AA241E">
      <w:pPr>
        <w:jc w:val="both"/>
      </w:pPr>
      <w:r w:rsidRPr="006E317E">
        <w:t>TTJA hinnangul piisav</w:t>
      </w:r>
      <w:r w:rsidR="008614E8" w:rsidRPr="006E317E">
        <w:t>at</w:t>
      </w:r>
      <w:r w:rsidRPr="006E317E">
        <w:t xml:space="preserve"> tasakaalustav</w:t>
      </w:r>
      <w:r w:rsidR="008614E8" w:rsidRPr="006E317E">
        <w:t>at</w:t>
      </w:r>
      <w:r w:rsidRPr="006E317E">
        <w:t xml:space="preserve"> </w:t>
      </w:r>
      <w:r w:rsidR="00EE71F9">
        <w:t>ostjaj</w:t>
      </w:r>
      <w:r w:rsidRPr="006E317E">
        <w:t>õud</w:t>
      </w:r>
      <w:r w:rsidR="008614E8" w:rsidRPr="006E317E">
        <w:t>u</w:t>
      </w:r>
      <w:r w:rsidRPr="006E317E">
        <w:t xml:space="preserve"> </w:t>
      </w:r>
      <w:r w:rsidR="00A3232C">
        <w:t>valguskaabelvõrgu</w:t>
      </w:r>
      <w:r w:rsidRPr="006E317E">
        <w:t xml:space="preserve"> internetiühenduse </w:t>
      </w:r>
      <w:r w:rsidR="008614E8" w:rsidRPr="006E317E">
        <w:t>B</w:t>
      </w:r>
      <w:r w:rsidRPr="006E317E">
        <w:t xml:space="preserve"> piirkonna jaeturul </w:t>
      </w:r>
      <w:r w:rsidR="008614E8" w:rsidRPr="006E317E">
        <w:t>ei eksisteeri</w:t>
      </w:r>
      <w:r w:rsidR="00D92B32" w:rsidRPr="006E317E">
        <w:t>, kuna</w:t>
      </w:r>
      <w:r w:rsidRPr="006E317E">
        <w:t xml:space="preserve">  vastava piirkonna elu- ja mitteeluruumidest on kaetud keskmiselt </w:t>
      </w:r>
      <w:r w:rsidR="001F7D6F" w:rsidRPr="006E317E">
        <w:t xml:space="preserve">ainult </w:t>
      </w:r>
      <w:r w:rsidR="008E676F" w:rsidRPr="006E317E">
        <w:t>20</w:t>
      </w:r>
      <w:r w:rsidRPr="006E317E">
        <w:t xml:space="preserve">% ulatuses </w:t>
      </w:r>
      <w:r w:rsidR="00F04AE5" w:rsidRPr="006E317E">
        <w:t xml:space="preserve">(võrdluseks A piirkonnas 67% ulatuses) </w:t>
      </w:r>
      <w:r w:rsidRPr="006E317E">
        <w:t>vähemalt kahe erineva sideettevõtja internetiühendusega liitumise võimalusega, vt Tabel</w:t>
      </w:r>
      <w:r w:rsidR="001161A8">
        <w:t>id</w:t>
      </w:r>
      <w:r w:rsidR="00A75522">
        <w:t xml:space="preserve"> </w:t>
      </w:r>
      <w:r w:rsidR="001161A8">
        <w:t>14 ja 16</w:t>
      </w:r>
      <w:r w:rsidRPr="006E317E">
        <w:t xml:space="preserve">. Seetõttu </w:t>
      </w:r>
      <w:r w:rsidR="00B30FC1" w:rsidRPr="006E317E">
        <w:t>puudub</w:t>
      </w:r>
      <w:r w:rsidRPr="006E317E">
        <w:t xml:space="preserve"> suuremal osal </w:t>
      </w:r>
      <w:r w:rsidR="00723425" w:rsidRPr="006E317E">
        <w:t xml:space="preserve">B piirkonna elu- ja mitteeluruumides </w:t>
      </w:r>
      <w:r w:rsidR="00A3232C">
        <w:t>valguskaabelvõrgu</w:t>
      </w:r>
      <w:r w:rsidRPr="006E317E">
        <w:t xml:space="preserve"> internetiühendusest huvitatud lõppkasutajatel võimalus valida erinevate sideettevõtjate internetiühenduste vahel.</w:t>
      </w:r>
    </w:p>
    <w:p w14:paraId="2273F0FF" w14:textId="5C1A087B" w:rsidR="0033292D" w:rsidRPr="006E317E" w:rsidRDefault="00432941" w:rsidP="00AA241E">
      <w:pPr>
        <w:jc w:val="both"/>
      </w:pPr>
      <w:r w:rsidRPr="006E317E">
        <w:rPr>
          <w:noProof/>
        </w:rPr>
        <w:lastRenderedPageBreak/>
        <w:drawing>
          <wp:inline distT="0" distB="0" distL="0" distR="0" wp14:anchorId="11A108E9" wp14:editId="6B046E11">
            <wp:extent cx="3577071" cy="7181850"/>
            <wp:effectExtent l="0" t="0" r="4445" b="0"/>
            <wp:docPr id="28" name="Pil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1607" cy="7211036"/>
                    </a:xfrm>
                    <a:prstGeom prst="rect">
                      <a:avLst/>
                    </a:prstGeom>
                    <a:noFill/>
                    <a:ln>
                      <a:noFill/>
                    </a:ln>
                  </pic:spPr>
                </pic:pic>
              </a:graphicData>
            </a:graphic>
          </wp:inline>
        </w:drawing>
      </w:r>
    </w:p>
    <w:p w14:paraId="2550A802" w14:textId="30A1D122" w:rsidR="00A60329" w:rsidRDefault="00A75522" w:rsidP="00AA241E">
      <w:pPr>
        <w:pStyle w:val="Pealdis"/>
        <w:jc w:val="both"/>
      </w:pPr>
      <w:r>
        <w:t xml:space="preserve">Tabel </w:t>
      </w:r>
      <w:r>
        <w:fldChar w:fldCharType="begin"/>
      </w:r>
      <w:r>
        <w:instrText xml:space="preserve"> SEQ Tabel \* ARABIC </w:instrText>
      </w:r>
      <w:r>
        <w:fldChar w:fldCharType="separate"/>
      </w:r>
      <w:r w:rsidR="00247D84">
        <w:rPr>
          <w:noProof/>
        </w:rPr>
        <w:t>17</w:t>
      </w:r>
      <w:r>
        <w:fldChar w:fldCharType="end"/>
      </w:r>
      <w:r w:rsidRPr="00A75522">
        <w:t xml:space="preserve"> </w:t>
      </w:r>
      <w:r>
        <w:t xml:space="preserve"> </w:t>
      </w:r>
      <w:r w:rsidRPr="00A75522">
        <w:t>B piirkonna elu- ja mitteeluruumide kaetus vähemalt kahe erineva sideettevõtja internetiühendusega liitumise võimalusega valguskaabelvõrgus 2023 aastal</w:t>
      </w:r>
    </w:p>
    <w:p w14:paraId="1D48B532" w14:textId="77777777" w:rsidR="001161A8" w:rsidRPr="001161A8" w:rsidRDefault="001161A8" w:rsidP="00AA241E">
      <w:pPr>
        <w:jc w:val="both"/>
        <w:rPr>
          <w:lang w:eastAsia="ar-SA"/>
        </w:rPr>
      </w:pPr>
    </w:p>
    <w:p w14:paraId="3CB7DAA0" w14:textId="56004D11" w:rsidR="0033292D" w:rsidRDefault="0033292D" w:rsidP="00AA241E">
      <w:pPr>
        <w:jc w:val="both"/>
      </w:pPr>
      <w:r w:rsidRPr="006E317E">
        <w:lastRenderedPageBreak/>
        <w:t xml:space="preserve">Eeltoodut silmas pidades </w:t>
      </w:r>
      <w:r w:rsidR="00091420" w:rsidRPr="006E317E">
        <w:t xml:space="preserve">puudub </w:t>
      </w:r>
      <w:r w:rsidR="00A3232C">
        <w:t>valguskaabelvõrgu</w:t>
      </w:r>
      <w:r w:rsidRPr="006E317E">
        <w:t xml:space="preserve"> internetiühenduste </w:t>
      </w:r>
      <w:r w:rsidR="00091420" w:rsidRPr="006E317E">
        <w:t>B</w:t>
      </w:r>
      <w:r w:rsidRPr="006E317E">
        <w:t xml:space="preserve"> piirkonna jaeturul </w:t>
      </w:r>
      <w:r w:rsidR="00F902B5" w:rsidRPr="006E317E">
        <w:t xml:space="preserve">piisav </w:t>
      </w:r>
      <w:r w:rsidRPr="006E317E">
        <w:t xml:space="preserve">tasakaalustav </w:t>
      </w:r>
      <w:r w:rsidR="00EE71F9">
        <w:t>ostjaj</w:t>
      </w:r>
      <w:r w:rsidRPr="006E317E">
        <w:t>õud, sest suurema</w:t>
      </w:r>
      <w:r w:rsidR="00FD4BB5" w:rsidRPr="006E317E">
        <w:t>s</w:t>
      </w:r>
      <w:r w:rsidRPr="006E317E">
        <w:t xml:space="preserve"> osa</w:t>
      </w:r>
      <w:r w:rsidR="00FD4BB5" w:rsidRPr="006E317E">
        <w:t>s</w:t>
      </w:r>
      <w:r w:rsidR="00F821A9" w:rsidRPr="006E317E">
        <w:t xml:space="preserve"> (ca 80%) B piirkonna elu- ja mitteeluruumides </w:t>
      </w:r>
      <w:r w:rsidRPr="006E317E">
        <w:t xml:space="preserve"> </w:t>
      </w:r>
      <w:r w:rsidR="00F821A9" w:rsidRPr="006E317E">
        <w:t xml:space="preserve">ei ole </w:t>
      </w:r>
      <w:r w:rsidRPr="006E317E">
        <w:t>lõppkasutajate</w:t>
      </w:r>
      <w:r w:rsidR="00F821A9" w:rsidRPr="006E317E">
        <w:t>l</w:t>
      </w:r>
      <w:r w:rsidRPr="006E317E">
        <w:t xml:space="preserve"> olemas võimalus</w:t>
      </w:r>
      <w:r w:rsidR="00F902B5" w:rsidRPr="006E317E">
        <w:t>t</w:t>
      </w:r>
      <w:r w:rsidRPr="006E317E">
        <w:t xml:space="preserve"> vahetada </w:t>
      </w:r>
      <w:r w:rsidR="00A3232C">
        <w:t>valguskaabelvõrgu</w:t>
      </w:r>
      <w:r w:rsidRPr="006E317E">
        <w:t xml:space="preserve"> internetiühenduse osutajat</w:t>
      </w:r>
      <w:r w:rsidR="00F902B5" w:rsidRPr="006E317E">
        <w:t xml:space="preserve"> oma elu- ja mitteeluruumides</w:t>
      </w:r>
      <w:r w:rsidRPr="006E317E">
        <w:t>.</w:t>
      </w:r>
    </w:p>
    <w:p w14:paraId="7EC0346C" w14:textId="6995F40B" w:rsidR="0033292D" w:rsidRPr="006E317E" w:rsidRDefault="00E26D01" w:rsidP="009805E1">
      <w:pPr>
        <w:pStyle w:val="Pealkiri3"/>
      </w:pPr>
      <w:bookmarkStart w:id="497" w:name="_Toc174710763"/>
      <w:r>
        <w:t>Järeldused</w:t>
      </w:r>
      <w:bookmarkEnd w:id="497"/>
    </w:p>
    <w:p w14:paraId="4A35A88B" w14:textId="5707A0D8" w:rsidR="00D46681" w:rsidRPr="006E317E" w:rsidRDefault="0033292D" w:rsidP="00AA241E">
      <w:pPr>
        <w:jc w:val="both"/>
      </w:pPr>
      <w:r w:rsidRPr="006E317E">
        <w:t xml:space="preserve">Eeltoodust tulenevalt </w:t>
      </w:r>
      <w:r w:rsidR="0073704F" w:rsidRPr="006E317E">
        <w:t xml:space="preserve">ei </w:t>
      </w:r>
      <w:r w:rsidR="005F7850" w:rsidRPr="006E317E">
        <w:t>kinnita turuosad</w:t>
      </w:r>
      <w:r w:rsidR="0030698C" w:rsidRPr="006E317E">
        <w:t>e</w:t>
      </w:r>
      <w:r w:rsidR="005F7850" w:rsidRPr="006E317E">
        <w:t xml:space="preserve">, turule sisenemise tõkete ja </w:t>
      </w:r>
      <w:r w:rsidR="0030698C" w:rsidRPr="006E317E">
        <w:t xml:space="preserve">tasakaalustava </w:t>
      </w:r>
      <w:r w:rsidR="00EE71F9">
        <w:t>ostjaj</w:t>
      </w:r>
      <w:r w:rsidR="0030698C" w:rsidRPr="006E317E">
        <w:t xml:space="preserve">õu analüüs, et </w:t>
      </w:r>
      <w:bookmarkStart w:id="498" w:name="_Hlk174016758"/>
      <w:r w:rsidR="00A3232C">
        <w:t>valguskaabelvõrgu</w:t>
      </w:r>
      <w:r w:rsidRPr="006E317E">
        <w:t xml:space="preserve"> internetiühenduste </w:t>
      </w:r>
      <w:r w:rsidR="0073704F" w:rsidRPr="006E317E">
        <w:t>B</w:t>
      </w:r>
      <w:r w:rsidRPr="006E317E">
        <w:t xml:space="preserve"> piirkonna jaeturul</w:t>
      </w:r>
      <w:r w:rsidR="0030698C" w:rsidRPr="006E317E">
        <w:t xml:space="preserve"> eksisteeriks</w:t>
      </w:r>
      <w:r w:rsidRPr="006E317E">
        <w:t xml:space="preserve"> tõhus konkurents. Seetõttu on asjakohane </w:t>
      </w:r>
      <w:r w:rsidR="00A3232C">
        <w:t>valguskaabelvõrgu</w:t>
      </w:r>
      <w:r w:rsidRPr="006E317E">
        <w:t xml:space="preserve"> internetiühenduste </w:t>
      </w:r>
      <w:r w:rsidR="00CF181F" w:rsidRPr="006E317E">
        <w:t>B</w:t>
      </w:r>
      <w:r w:rsidRPr="006E317E">
        <w:t xml:space="preserve"> piirkonna jaeturule eelneva</w:t>
      </w:r>
      <w:r w:rsidR="00186976" w:rsidRPr="006E317E">
        <w:t>tel hulgiturgude</w:t>
      </w:r>
      <w:r w:rsidR="00D46681" w:rsidRPr="006E317E">
        <w:t>l 1 ja 3b</w:t>
      </w:r>
      <w:r w:rsidR="00186976" w:rsidRPr="006E317E">
        <w:t xml:space="preserve"> konkurentsi </w:t>
      </w:r>
      <w:r w:rsidR="00D46681" w:rsidRPr="006E317E">
        <w:t>analüüsi läbi viia järgmiselt:</w:t>
      </w:r>
    </w:p>
    <w:p w14:paraId="7ED0CAF5" w14:textId="77777777" w:rsidR="00D46681" w:rsidRPr="006E317E" w:rsidRDefault="00D46681" w:rsidP="00AA241E">
      <w:pPr>
        <w:jc w:val="both"/>
      </w:pPr>
      <w:r w:rsidRPr="006E317E">
        <w:t>1)</w:t>
      </w:r>
      <w:r w:rsidR="0033292D" w:rsidRPr="006E317E">
        <w:t xml:space="preserve"> hulgituru 1</w:t>
      </w:r>
      <w:r w:rsidR="00F33598" w:rsidRPr="006E317E">
        <w:t xml:space="preserve"> konkurentsi analüüsi osas</w:t>
      </w:r>
      <w:r w:rsidR="0033292D" w:rsidRPr="006E317E">
        <w:t xml:space="preserve"> </w:t>
      </w:r>
      <w:r w:rsidR="00CF181F" w:rsidRPr="006E317E">
        <w:t>jätkata</w:t>
      </w:r>
      <w:r w:rsidR="00F33598" w:rsidRPr="006E317E">
        <w:t xml:space="preserve"> MTE välja selgitamisega</w:t>
      </w:r>
      <w:r w:rsidR="00872257" w:rsidRPr="006E317E">
        <w:t>, kuna vastav</w:t>
      </w:r>
      <w:r w:rsidR="00CC69AB" w:rsidRPr="006E317E">
        <w:t>a</w:t>
      </w:r>
      <w:r w:rsidR="00872257" w:rsidRPr="006E317E">
        <w:t xml:space="preserve"> hulgitur</w:t>
      </w:r>
      <w:r w:rsidR="00CC69AB" w:rsidRPr="006E317E">
        <w:t>u</w:t>
      </w:r>
      <w:r w:rsidR="00872257" w:rsidRPr="006E317E">
        <w:t xml:space="preserve"> </w:t>
      </w:r>
      <w:r w:rsidR="00244E6F" w:rsidRPr="006E317E">
        <w:t>vastuvõtlikust</w:t>
      </w:r>
      <w:r w:rsidR="00CC69AB" w:rsidRPr="006E317E">
        <w:t xml:space="preserve"> valdkonnaspetsiifilis</w:t>
      </w:r>
      <w:r w:rsidR="00186976" w:rsidRPr="006E317E">
        <w:t>ele regulatsioonile</w:t>
      </w:r>
      <w:r w:rsidR="00244E6F" w:rsidRPr="006E317E">
        <w:t xml:space="preserve"> on kinnitatud ka EK 2020 turgude soovituses</w:t>
      </w:r>
      <w:r w:rsidRPr="006E317E">
        <w:t>;</w:t>
      </w:r>
    </w:p>
    <w:p w14:paraId="33D11552" w14:textId="032BAAAE" w:rsidR="00CF181F" w:rsidRPr="006E317E" w:rsidRDefault="00D46681" w:rsidP="00AA241E">
      <w:pPr>
        <w:jc w:val="both"/>
      </w:pPr>
      <w:r w:rsidRPr="006E317E">
        <w:t>2)</w:t>
      </w:r>
      <w:r w:rsidR="00E8042D" w:rsidRPr="006E317E">
        <w:t xml:space="preserve"> hulgituru 3 konkurentsi analüüsi osas esmalt viia läbi kolme kriteeriumi test</w:t>
      </w:r>
      <w:r w:rsidR="00B56A3C" w:rsidRPr="006E317E">
        <w:t xml:space="preserve"> kaalumaks valdkonnaspetsiifilise regulatsiooni jätkamis</w:t>
      </w:r>
      <w:r w:rsidR="003E3967" w:rsidRPr="006E317E">
        <w:t>e põhjendatust</w:t>
      </w:r>
      <w:r w:rsidR="00244E6F" w:rsidRPr="006E317E">
        <w:t xml:space="preserve">, kuna </w:t>
      </w:r>
      <w:r w:rsidR="00CC69AB" w:rsidRPr="006E317E">
        <w:t>vastava hulgituru vastuvõtlikkust</w:t>
      </w:r>
      <w:r w:rsidR="00186976" w:rsidRPr="006E317E">
        <w:t xml:space="preserve"> valdkonnaspetsiifilise regulatsioonile EK 2020 turgude soovituses kinnitatud ei ole</w:t>
      </w:r>
      <w:r w:rsidR="00636B0C" w:rsidRPr="006E317E">
        <w:t>,</w:t>
      </w:r>
      <w:r w:rsidR="003E3967" w:rsidRPr="006E317E">
        <w:t xml:space="preserve"> kui test </w:t>
      </w:r>
      <w:r w:rsidR="00636B0C" w:rsidRPr="006E317E">
        <w:t>valdkonn</w:t>
      </w:r>
      <w:r w:rsidR="006B7CA8" w:rsidRPr="006E317E">
        <w:t>aspetsiifilise regulatsiooni põhjendatust</w:t>
      </w:r>
      <w:r w:rsidR="003E3967" w:rsidRPr="006E317E">
        <w:t xml:space="preserve"> kinnitab, siis jätkata MTE välja selgitamise analüüsiga ja kui mitte, siis </w:t>
      </w:r>
      <w:r w:rsidR="008E5979" w:rsidRPr="006E317E">
        <w:t>vastav hulgiturg de-reguleerida.</w:t>
      </w:r>
    </w:p>
    <w:p w14:paraId="09E0F312" w14:textId="7E9A9BE4" w:rsidR="00275814" w:rsidRPr="002C3C60" w:rsidRDefault="00FE4AB3" w:rsidP="00AA241E">
      <w:pPr>
        <w:pStyle w:val="Pealkiri1"/>
      </w:pPr>
      <w:bookmarkStart w:id="499" w:name="_Toc164846097"/>
      <w:bookmarkStart w:id="500" w:name="_Toc174710764"/>
      <w:bookmarkEnd w:id="498"/>
      <w:r>
        <w:t>H</w:t>
      </w:r>
      <w:r w:rsidR="001A5713">
        <w:t>ULGITURG</w:t>
      </w:r>
      <w:r w:rsidRPr="002C3C60">
        <w:t xml:space="preserve"> </w:t>
      </w:r>
      <w:r w:rsidR="00275814" w:rsidRPr="002C3C60">
        <w:t xml:space="preserve">1 </w:t>
      </w:r>
      <w:r w:rsidR="00E448A3">
        <w:t>ja</w:t>
      </w:r>
      <w:r w:rsidR="00275814" w:rsidRPr="002C3C60">
        <w:t xml:space="preserve"> </w:t>
      </w:r>
      <w:r w:rsidR="00E448A3">
        <w:t>HULGITURG</w:t>
      </w:r>
      <w:r w:rsidR="00275814" w:rsidRPr="002C3C60">
        <w:t xml:space="preserve"> 3b</w:t>
      </w:r>
      <w:bookmarkEnd w:id="499"/>
      <w:r w:rsidR="00E26286">
        <w:t xml:space="preserve"> ÜLEVAADE</w:t>
      </w:r>
      <w:bookmarkEnd w:id="500"/>
    </w:p>
    <w:p w14:paraId="15D9B7A8" w14:textId="7A6747D2" w:rsidR="00275814" w:rsidRPr="00275814" w:rsidRDefault="00275814" w:rsidP="00AA241E">
      <w:pPr>
        <w:spacing w:after="60" w:line="240" w:lineRule="auto"/>
        <w:jc w:val="both"/>
        <w:rPr>
          <w:rFonts w:eastAsia="Times New Roman" w:cs="Times New Roman"/>
          <w:lang w:eastAsia="lv-LV"/>
        </w:rPr>
      </w:pPr>
      <w:r w:rsidRPr="00275814">
        <w:rPr>
          <w:rFonts w:eastAsia="Times New Roman" w:cs="Times New Roman"/>
          <w:lang w:eastAsia="lv-LV"/>
        </w:rPr>
        <w:t>Elektroonilise side sektoris ettevõte poolt osutatavad teenused:</w:t>
      </w:r>
    </w:p>
    <w:p w14:paraId="5C6771C2" w14:textId="77777777" w:rsidR="00275814" w:rsidRPr="00275814" w:rsidRDefault="00275814" w:rsidP="00AA241E">
      <w:pPr>
        <w:numPr>
          <w:ilvl w:val="0"/>
          <w:numId w:val="32"/>
        </w:numPr>
        <w:spacing w:after="60" w:line="240" w:lineRule="auto"/>
        <w:jc w:val="both"/>
        <w:rPr>
          <w:rFonts w:eastAsia="Times New Roman" w:cs="Times New Roman"/>
          <w:lang w:eastAsia="lv-LV"/>
        </w:rPr>
      </w:pPr>
      <w:r w:rsidRPr="00275814">
        <w:rPr>
          <w:rFonts w:eastAsia="Times New Roman" w:cs="Times New Roman"/>
          <w:lang w:eastAsia="lv-LV"/>
        </w:rPr>
        <w:t>Hulgimüügi teenus – ühe side ettevõtja poolt teistele side ettevõtjatele osutatava teenus, st juurdepääsu ja/või vastastikuse sidumise või hulgiteenuse edasimüügiga seotud teenused;</w:t>
      </w:r>
    </w:p>
    <w:p w14:paraId="0784157E" w14:textId="77777777" w:rsidR="00275814" w:rsidRPr="00275814" w:rsidRDefault="00275814" w:rsidP="00AA241E">
      <w:pPr>
        <w:numPr>
          <w:ilvl w:val="0"/>
          <w:numId w:val="32"/>
        </w:numPr>
        <w:spacing w:after="120" w:line="240" w:lineRule="auto"/>
        <w:jc w:val="both"/>
        <w:rPr>
          <w:rFonts w:eastAsia="Times New Roman" w:cs="Times New Roman"/>
          <w:lang w:eastAsia="lv-LV"/>
        </w:rPr>
      </w:pPr>
      <w:r w:rsidRPr="00275814">
        <w:rPr>
          <w:rFonts w:eastAsia="Times New Roman" w:cs="Times New Roman"/>
          <w:lang w:eastAsia="lv-LV"/>
        </w:rPr>
        <w:t>Jaeteenused – side ettevõtjate poolt lõppkasutajatele osutatavad jaeteenused.</w:t>
      </w:r>
    </w:p>
    <w:p w14:paraId="3B5EA15D" w14:textId="32EA1FF7" w:rsidR="00275814" w:rsidRPr="00275814" w:rsidRDefault="00275814" w:rsidP="00AA241E">
      <w:pPr>
        <w:spacing w:after="120" w:line="240" w:lineRule="auto"/>
        <w:jc w:val="both"/>
        <w:rPr>
          <w:rFonts w:eastAsia="Times New Roman" w:cs="Times New Roman"/>
          <w:color w:val="000000"/>
          <w:lang w:eastAsia="lv-LV"/>
        </w:rPr>
      </w:pPr>
      <w:r w:rsidRPr="00275814">
        <w:rPr>
          <w:rFonts w:eastAsia="Times New Roman" w:cs="Times New Roman"/>
          <w:lang w:eastAsia="lv-LV"/>
        </w:rPr>
        <w:t xml:space="preserve">Kohaliku juurdepääsu teenuse e </w:t>
      </w:r>
      <w:r w:rsidR="009758B4">
        <w:rPr>
          <w:rFonts w:eastAsia="Times New Roman" w:cs="Times New Roman"/>
          <w:lang w:eastAsia="lv-LV"/>
        </w:rPr>
        <w:t>hulgi</w:t>
      </w:r>
      <w:r w:rsidRPr="00275814">
        <w:rPr>
          <w:rFonts w:eastAsia="Times New Roman" w:cs="Times New Roman"/>
          <w:lang w:eastAsia="lv-LV"/>
        </w:rPr>
        <w:t xml:space="preserve">turu 1 teenused ja lairiba </w:t>
      </w:r>
      <w:r w:rsidR="00905467" w:rsidRPr="00275814">
        <w:rPr>
          <w:rFonts w:eastAsia="Times New Roman" w:cs="Times New Roman"/>
          <w:lang w:eastAsia="lv-LV"/>
        </w:rPr>
        <w:t>juurdepääsu</w:t>
      </w:r>
      <w:r w:rsidRPr="00275814">
        <w:rPr>
          <w:rFonts w:eastAsia="Times New Roman" w:cs="Times New Roman"/>
          <w:lang w:eastAsia="lv-LV"/>
        </w:rPr>
        <w:t xml:space="preserve"> teenused e </w:t>
      </w:r>
      <w:r w:rsidR="00371806">
        <w:rPr>
          <w:rFonts w:eastAsia="Times New Roman" w:cs="Times New Roman"/>
          <w:lang w:eastAsia="lv-LV"/>
        </w:rPr>
        <w:t>hulgi</w:t>
      </w:r>
      <w:r w:rsidRPr="00275814">
        <w:rPr>
          <w:rFonts w:eastAsia="Times New Roman" w:cs="Times New Roman"/>
          <w:lang w:eastAsia="lv-LV"/>
        </w:rPr>
        <w:t>turu 3b teenused on oma olemuselt hulgimüügiteenused.</w:t>
      </w:r>
    </w:p>
    <w:p w14:paraId="38612E80" w14:textId="77777777" w:rsidR="00275814" w:rsidRPr="00275814" w:rsidRDefault="00275814" w:rsidP="00AA241E">
      <w:pPr>
        <w:spacing w:after="60" w:line="240" w:lineRule="auto"/>
        <w:jc w:val="both"/>
        <w:rPr>
          <w:rFonts w:eastAsia="Times New Roman" w:cs="Times New Roman"/>
          <w:lang w:eastAsia="lv-LV"/>
        </w:rPr>
      </w:pPr>
      <w:r w:rsidRPr="00275814">
        <w:rPr>
          <w:rFonts w:eastAsia="Times New Roman" w:cs="Times New Roman"/>
          <w:lang w:eastAsia="lv-LV"/>
        </w:rPr>
        <w:t>Elektroonilise side ettevõtjad võivad osutada lõppkasutajatele järgmisi teenuseid:</w:t>
      </w:r>
    </w:p>
    <w:p w14:paraId="0341A372" w14:textId="77777777" w:rsidR="00275814" w:rsidRPr="00275814" w:rsidRDefault="00275814" w:rsidP="00AA241E">
      <w:pPr>
        <w:numPr>
          <w:ilvl w:val="0"/>
          <w:numId w:val="31"/>
        </w:numPr>
        <w:spacing w:after="60" w:line="240" w:lineRule="auto"/>
        <w:jc w:val="both"/>
        <w:rPr>
          <w:rFonts w:eastAsia="Times New Roman" w:cs="Times New Roman"/>
          <w:lang w:eastAsia="lv-LV"/>
        </w:rPr>
      </w:pPr>
      <w:r w:rsidRPr="00275814">
        <w:rPr>
          <w:rFonts w:eastAsia="Times New Roman" w:cs="Times New Roman"/>
          <w:lang w:eastAsia="lv-LV"/>
        </w:rPr>
        <w:t xml:space="preserve">oma elektroonilise sidevõrgu vahendusel, sellisel juhul on tegemist ettevõtete vahelise infrastruktuurikonkurentsiga; </w:t>
      </w:r>
    </w:p>
    <w:p w14:paraId="0827EFB6" w14:textId="77777777" w:rsidR="00275814" w:rsidRPr="00275814" w:rsidRDefault="00275814" w:rsidP="00AA241E">
      <w:pPr>
        <w:numPr>
          <w:ilvl w:val="0"/>
          <w:numId w:val="31"/>
        </w:numPr>
        <w:spacing w:after="120" w:line="240" w:lineRule="auto"/>
        <w:contextualSpacing/>
        <w:jc w:val="both"/>
        <w:rPr>
          <w:rFonts w:eastAsia="Times New Roman" w:cs="Times New Roman"/>
          <w:lang w:eastAsia="lv-LV"/>
        </w:rPr>
      </w:pPr>
      <w:r w:rsidRPr="00275814">
        <w:rPr>
          <w:rFonts w:eastAsia="Times New Roman" w:cs="Times New Roman"/>
          <w:lang w:eastAsia="lv-LV"/>
        </w:rPr>
        <w:t>teise side ettevõtja elektroonilise sidevõrgu täieliku või osaline kasutamise vahendusel - sel juhul on tegemist sideteenuste konkurentsiga.</w:t>
      </w:r>
    </w:p>
    <w:p w14:paraId="7F23BB6F" w14:textId="77777777" w:rsidR="00275814" w:rsidRPr="00275814" w:rsidRDefault="00275814" w:rsidP="00AA241E">
      <w:pPr>
        <w:spacing w:after="120" w:line="240" w:lineRule="auto"/>
        <w:jc w:val="both"/>
        <w:rPr>
          <w:rFonts w:eastAsia="Times New Roman" w:cs="Times New Roman"/>
          <w:lang w:eastAsia="lv-LV"/>
        </w:rPr>
      </w:pPr>
      <w:r w:rsidRPr="00275814">
        <w:rPr>
          <w:rFonts w:eastAsia="Times New Roman" w:cs="Times New Roman"/>
          <w:lang w:eastAsia="lv-LV"/>
        </w:rPr>
        <w:t xml:space="preserve">Lisaks juurdepääsule </w:t>
      </w:r>
      <w:r w:rsidRPr="00275814">
        <w:rPr>
          <w:rFonts w:eastAsia="Times New Roman" w:cs="Times New Roman"/>
          <w:lang w:val="lv-LV" w:eastAsia="lv-LV"/>
        </w:rPr>
        <w:t>insener-tehnilisele</w:t>
      </w:r>
      <w:r w:rsidRPr="00275814">
        <w:rPr>
          <w:rFonts w:ascii="Tahoma" w:eastAsia="Times New Roman" w:hAnsi="Tahoma" w:cs="Tahoma"/>
          <w:lang w:val="lv-LV" w:eastAsia="lv-LV"/>
        </w:rPr>
        <w:t xml:space="preserve"> </w:t>
      </w:r>
      <w:r w:rsidRPr="00275814">
        <w:rPr>
          <w:rFonts w:eastAsia="Times New Roman" w:cs="Times New Roman"/>
          <w:lang w:eastAsia="lv-LV"/>
        </w:rPr>
        <w:t xml:space="preserve">infrastruktuurile (juurdepääs kaablikanalisatsioonile ja -postidele, mida käesolevas elektroonilise </w:t>
      </w:r>
      <w:r w:rsidRPr="00275814">
        <w:rPr>
          <w:rFonts w:eastAsia="Times New Roman" w:cs="Times New Roman"/>
          <w:color w:val="000000"/>
          <w:lang w:eastAsia="lv-LV"/>
        </w:rPr>
        <w:t>side turuanalüüsi</w:t>
      </w:r>
      <w:r w:rsidRPr="00275814">
        <w:rPr>
          <w:rFonts w:eastAsia="Times New Roman" w:cs="Times New Roman"/>
          <w:lang w:eastAsia="lv-LV"/>
        </w:rPr>
        <w:t>s ei analüüsita)  osutatakse 1. turu ja 3b turu teenuseid hulgiteenuste konkurentsi raames, kuna kasutavad lõppkasutajatele jaeteenuste osutamiseks Telia või potentsiaalselt ka teise side teenuse osutajate elektroonilise side võrku.</w:t>
      </w:r>
    </w:p>
    <w:p w14:paraId="18DA8981" w14:textId="77777777" w:rsidR="00275814" w:rsidRPr="00275814" w:rsidRDefault="00275814" w:rsidP="00AA241E">
      <w:pPr>
        <w:spacing w:after="60" w:line="240" w:lineRule="auto"/>
        <w:jc w:val="both"/>
        <w:rPr>
          <w:rFonts w:eastAsia="Times New Roman" w:cs="Times New Roman"/>
          <w:lang w:eastAsia="lv-LV"/>
        </w:rPr>
      </w:pPr>
      <w:r w:rsidRPr="00275814">
        <w:rPr>
          <w:rFonts w:eastAsia="Times New Roman" w:cs="Times New Roman"/>
          <w:lang w:eastAsia="lv-LV"/>
        </w:rPr>
        <w:t>Turu 1 ja turu 3b teenuste puhul võib eristada kahte liiki juurdepääsuvõimalusi:</w:t>
      </w:r>
    </w:p>
    <w:p w14:paraId="12D9CBB2" w14:textId="12D06CD3" w:rsidR="00275814" w:rsidRPr="00275814" w:rsidRDefault="00275814" w:rsidP="00AA241E">
      <w:pPr>
        <w:numPr>
          <w:ilvl w:val="0"/>
          <w:numId w:val="34"/>
        </w:numPr>
        <w:spacing w:after="60" w:line="240" w:lineRule="auto"/>
        <w:jc w:val="both"/>
        <w:rPr>
          <w:rFonts w:eastAsia="Times New Roman" w:cs="Times New Roman"/>
          <w:lang w:eastAsia="lv-LV"/>
        </w:rPr>
      </w:pPr>
      <w:r w:rsidRPr="00275814">
        <w:rPr>
          <w:rFonts w:eastAsia="Times New Roman" w:cs="Times New Roman"/>
          <w:lang w:eastAsia="lv-LV"/>
        </w:rPr>
        <w:lastRenderedPageBreak/>
        <w:t xml:space="preserve">füüsiline (passiivne) juurdepääsuteenus (mis kuulub </w:t>
      </w:r>
      <w:r w:rsidR="00B048AF">
        <w:rPr>
          <w:rFonts w:eastAsia="Times New Roman" w:cs="Times New Roman"/>
          <w:lang w:eastAsia="lv-LV"/>
        </w:rPr>
        <w:t>h</w:t>
      </w:r>
      <w:r w:rsidR="00AC226D">
        <w:rPr>
          <w:rFonts w:eastAsia="Times New Roman" w:cs="Times New Roman"/>
          <w:lang w:eastAsia="lv-LV"/>
        </w:rPr>
        <w:t>ulgi</w:t>
      </w:r>
      <w:r w:rsidRPr="00275814">
        <w:rPr>
          <w:rFonts w:eastAsia="Times New Roman" w:cs="Times New Roman"/>
          <w:lang w:eastAsia="lv-LV"/>
        </w:rPr>
        <w:t xml:space="preserve">turule 1) - teenus, milles üks side teenuse osutajad pakub teisele side teenuse osutajale juurdepääsu oma füüsilise võrgu infrastruktuurile, näiteks </w:t>
      </w:r>
      <w:r w:rsidR="000214D5">
        <w:rPr>
          <w:rFonts w:eastAsia="Times New Roman" w:cs="Times New Roman"/>
          <w:lang w:eastAsia="lv-LV"/>
        </w:rPr>
        <w:t>valguskaabli</w:t>
      </w:r>
      <w:r w:rsidRPr="00275814">
        <w:rPr>
          <w:rFonts w:eastAsia="Times New Roman" w:cs="Times New Roman"/>
          <w:lang w:eastAsia="lv-LV"/>
        </w:rPr>
        <w:t xml:space="preserve"> kiule või vaskpaarile. Seda tüüpi juurdepääsu nimetatakse ka passiivseks juurdepääsuks, st side teenuse osutajad ei paku teisele kaupmehele aktiivseid edastusseadmeid;</w:t>
      </w:r>
    </w:p>
    <w:p w14:paraId="4868171F" w14:textId="0BC34FF5" w:rsidR="00275814" w:rsidRPr="00275814" w:rsidRDefault="00275814" w:rsidP="00AA241E">
      <w:pPr>
        <w:numPr>
          <w:ilvl w:val="0"/>
          <w:numId w:val="34"/>
        </w:numPr>
        <w:spacing w:after="240" w:line="240" w:lineRule="auto"/>
        <w:ind w:left="714" w:hanging="357"/>
        <w:contextualSpacing/>
        <w:jc w:val="both"/>
        <w:rPr>
          <w:rFonts w:eastAsia="Times New Roman" w:cs="Times New Roman"/>
          <w:color w:val="000000"/>
          <w:lang w:eastAsia="lv-LV"/>
        </w:rPr>
      </w:pPr>
      <w:r w:rsidRPr="00275814">
        <w:rPr>
          <w:rFonts w:eastAsia="Times New Roman" w:cs="Times New Roman"/>
          <w:lang w:eastAsia="lv-LV"/>
        </w:rPr>
        <w:t xml:space="preserve">Aktiivne juurdepääsuteenus (kuulub nii </w:t>
      </w:r>
      <w:r w:rsidR="00AC226D">
        <w:rPr>
          <w:rFonts w:eastAsia="Times New Roman" w:cs="Times New Roman"/>
          <w:lang w:eastAsia="lv-LV"/>
        </w:rPr>
        <w:t>hulgi</w:t>
      </w:r>
      <w:r w:rsidRPr="00275814">
        <w:rPr>
          <w:rFonts w:eastAsia="Times New Roman" w:cs="Times New Roman"/>
          <w:lang w:eastAsia="lv-LV"/>
        </w:rPr>
        <w:t xml:space="preserve">turule 1 kui ka </w:t>
      </w:r>
      <w:r w:rsidR="00AC226D">
        <w:rPr>
          <w:rFonts w:eastAsia="Times New Roman" w:cs="Times New Roman"/>
          <w:lang w:eastAsia="lv-LV"/>
        </w:rPr>
        <w:t>hulgi</w:t>
      </w:r>
      <w:r w:rsidRPr="00275814">
        <w:rPr>
          <w:rFonts w:eastAsia="Times New Roman" w:cs="Times New Roman"/>
          <w:lang w:eastAsia="lv-LV"/>
        </w:rPr>
        <w:t>turule 3b) – teenus, mille puhul üks side teenuse osutajad pakub teisele side teenuse osutajad teenuse raames ka aktiivset andmeedastusseadmeid ja andmeedastust füüsilise infrastruktuuri kaudu e virtuaalselt.</w:t>
      </w:r>
    </w:p>
    <w:p w14:paraId="77F1DE1F" w14:textId="77777777" w:rsidR="007C17EE" w:rsidRPr="007C17EE" w:rsidRDefault="007C17EE" w:rsidP="00AA241E">
      <w:pPr>
        <w:pStyle w:val="Loendilik"/>
        <w:numPr>
          <w:ilvl w:val="0"/>
          <w:numId w:val="62"/>
        </w:numPr>
        <w:contextualSpacing w:val="0"/>
        <w:jc w:val="both"/>
        <w:outlineLvl w:val="1"/>
        <w:rPr>
          <w:b/>
          <w:vanish/>
        </w:rPr>
      </w:pPr>
      <w:bookmarkStart w:id="501" w:name="_Toc174096153"/>
      <w:bookmarkStart w:id="502" w:name="_Toc174536043"/>
      <w:bookmarkStart w:id="503" w:name="_Toc174618506"/>
      <w:bookmarkStart w:id="504" w:name="_Toc174627568"/>
      <w:bookmarkStart w:id="505" w:name="_Toc174704992"/>
      <w:bookmarkStart w:id="506" w:name="_Toc174709536"/>
      <w:bookmarkStart w:id="507" w:name="_Toc174710765"/>
      <w:bookmarkStart w:id="508" w:name="_Toc164846098"/>
      <w:bookmarkEnd w:id="501"/>
      <w:bookmarkEnd w:id="502"/>
      <w:bookmarkEnd w:id="503"/>
      <w:bookmarkEnd w:id="504"/>
      <w:bookmarkEnd w:id="505"/>
      <w:bookmarkEnd w:id="506"/>
      <w:bookmarkEnd w:id="507"/>
    </w:p>
    <w:p w14:paraId="6FA4BC75" w14:textId="77777777" w:rsidR="007C17EE" w:rsidRPr="007C17EE" w:rsidRDefault="007C17EE" w:rsidP="00AA241E">
      <w:pPr>
        <w:pStyle w:val="Loendilik"/>
        <w:numPr>
          <w:ilvl w:val="0"/>
          <w:numId w:val="62"/>
        </w:numPr>
        <w:contextualSpacing w:val="0"/>
        <w:jc w:val="both"/>
        <w:outlineLvl w:val="1"/>
        <w:rPr>
          <w:b/>
          <w:vanish/>
        </w:rPr>
      </w:pPr>
      <w:bookmarkStart w:id="509" w:name="_Toc174096154"/>
      <w:bookmarkStart w:id="510" w:name="_Toc174536044"/>
      <w:bookmarkStart w:id="511" w:name="_Toc174618507"/>
      <w:bookmarkStart w:id="512" w:name="_Toc174627569"/>
      <w:bookmarkStart w:id="513" w:name="_Toc174704993"/>
      <w:bookmarkStart w:id="514" w:name="_Toc174709537"/>
      <w:bookmarkStart w:id="515" w:name="_Toc174710766"/>
      <w:bookmarkEnd w:id="509"/>
      <w:bookmarkEnd w:id="510"/>
      <w:bookmarkEnd w:id="511"/>
      <w:bookmarkEnd w:id="512"/>
      <w:bookmarkEnd w:id="513"/>
      <w:bookmarkEnd w:id="514"/>
      <w:bookmarkEnd w:id="515"/>
    </w:p>
    <w:p w14:paraId="096A8BE1" w14:textId="77777777" w:rsidR="007C17EE" w:rsidRPr="007C17EE" w:rsidRDefault="007C17EE" w:rsidP="00AA241E">
      <w:pPr>
        <w:pStyle w:val="Loendilik"/>
        <w:numPr>
          <w:ilvl w:val="0"/>
          <w:numId w:val="62"/>
        </w:numPr>
        <w:contextualSpacing w:val="0"/>
        <w:jc w:val="both"/>
        <w:outlineLvl w:val="1"/>
        <w:rPr>
          <w:b/>
          <w:vanish/>
        </w:rPr>
      </w:pPr>
      <w:bookmarkStart w:id="516" w:name="_Toc174096155"/>
      <w:bookmarkStart w:id="517" w:name="_Toc174536045"/>
      <w:bookmarkStart w:id="518" w:name="_Toc174618508"/>
      <w:bookmarkStart w:id="519" w:name="_Toc174627570"/>
      <w:bookmarkStart w:id="520" w:name="_Toc174704994"/>
      <w:bookmarkStart w:id="521" w:name="_Toc174709538"/>
      <w:bookmarkStart w:id="522" w:name="_Toc174710767"/>
      <w:bookmarkEnd w:id="516"/>
      <w:bookmarkEnd w:id="517"/>
      <w:bookmarkEnd w:id="518"/>
      <w:bookmarkEnd w:id="519"/>
      <w:bookmarkEnd w:id="520"/>
      <w:bookmarkEnd w:id="521"/>
      <w:bookmarkEnd w:id="522"/>
    </w:p>
    <w:p w14:paraId="4D0D9389" w14:textId="77777777" w:rsidR="005F5300" w:rsidRPr="005F5300" w:rsidRDefault="005F5300" w:rsidP="00AA241E">
      <w:pPr>
        <w:pStyle w:val="Loendilik"/>
        <w:numPr>
          <w:ilvl w:val="0"/>
          <w:numId w:val="43"/>
        </w:numPr>
        <w:contextualSpacing w:val="0"/>
        <w:jc w:val="both"/>
        <w:outlineLvl w:val="1"/>
        <w:rPr>
          <w:b/>
          <w:vanish/>
        </w:rPr>
      </w:pPr>
      <w:bookmarkStart w:id="523" w:name="_Toc174094554"/>
      <w:bookmarkStart w:id="524" w:name="_Toc174094821"/>
      <w:bookmarkStart w:id="525" w:name="_Toc174095087"/>
      <w:bookmarkStart w:id="526" w:name="_Toc174095352"/>
      <w:bookmarkStart w:id="527" w:name="_Toc174095890"/>
      <w:bookmarkStart w:id="528" w:name="_Toc174096156"/>
      <w:bookmarkStart w:id="529" w:name="_Toc174536046"/>
      <w:bookmarkStart w:id="530" w:name="_Toc174617152"/>
      <w:bookmarkStart w:id="531" w:name="_Toc174618509"/>
      <w:bookmarkStart w:id="532" w:name="_Toc174627571"/>
      <w:bookmarkStart w:id="533" w:name="_Toc174704995"/>
      <w:bookmarkStart w:id="534" w:name="_Toc174709539"/>
      <w:bookmarkStart w:id="535" w:name="_Toc174710768"/>
      <w:bookmarkEnd w:id="523"/>
      <w:bookmarkEnd w:id="524"/>
      <w:bookmarkEnd w:id="525"/>
      <w:bookmarkEnd w:id="526"/>
      <w:bookmarkEnd w:id="527"/>
      <w:bookmarkEnd w:id="528"/>
      <w:bookmarkEnd w:id="529"/>
      <w:bookmarkEnd w:id="530"/>
      <w:bookmarkEnd w:id="531"/>
      <w:bookmarkEnd w:id="532"/>
      <w:bookmarkEnd w:id="533"/>
      <w:bookmarkEnd w:id="534"/>
      <w:bookmarkEnd w:id="535"/>
    </w:p>
    <w:p w14:paraId="63507675" w14:textId="77777777" w:rsidR="00752D66" w:rsidRPr="00752D66" w:rsidRDefault="00752D66" w:rsidP="00AA241E">
      <w:pPr>
        <w:pStyle w:val="Loendilik"/>
        <w:numPr>
          <w:ilvl w:val="0"/>
          <w:numId w:val="81"/>
        </w:numPr>
        <w:spacing w:before="120" w:after="240"/>
        <w:contextualSpacing w:val="0"/>
        <w:jc w:val="both"/>
        <w:outlineLvl w:val="1"/>
        <w:rPr>
          <w:b/>
          <w:iCs/>
          <w:vanish/>
        </w:rPr>
      </w:pPr>
      <w:bookmarkStart w:id="536" w:name="_Toc174094555"/>
      <w:bookmarkStart w:id="537" w:name="_Toc174094822"/>
      <w:bookmarkStart w:id="538" w:name="_Toc174095088"/>
      <w:bookmarkStart w:id="539" w:name="_Toc174095353"/>
      <w:bookmarkStart w:id="540" w:name="_Toc174095891"/>
      <w:bookmarkStart w:id="541" w:name="_Toc174096157"/>
      <w:bookmarkStart w:id="542" w:name="_Toc174536047"/>
      <w:bookmarkStart w:id="543" w:name="_Toc174617153"/>
      <w:bookmarkStart w:id="544" w:name="_Toc174618510"/>
      <w:bookmarkStart w:id="545" w:name="_Toc174627572"/>
      <w:bookmarkStart w:id="546" w:name="_Toc174704996"/>
      <w:bookmarkStart w:id="547" w:name="_Toc174709540"/>
      <w:bookmarkStart w:id="548" w:name="_Toc174710769"/>
      <w:bookmarkEnd w:id="536"/>
      <w:bookmarkEnd w:id="537"/>
      <w:bookmarkEnd w:id="538"/>
      <w:bookmarkEnd w:id="539"/>
      <w:bookmarkEnd w:id="540"/>
      <w:bookmarkEnd w:id="541"/>
      <w:bookmarkEnd w:id="542"/>
      <w:bookmarkEnd w:id="543"/>
      <w:bookmarkEnd w:id="544"/>
      <w:bookmarkEnd w:id="545"/>
      <w:bookmarkEnd w:id="546"/>
      <w:bookmarkEnd w:id="547"/>
      <w:bookmarkEnd w:id="548"/>
    </w:p>
    <w:p w14:paraId="670051D6" w14:textId="75EB30E6" w:rsidR="00275814" w:rsidRPr="00263F4A" w:rsidRDefault="00275814" w:rsidP="00AA241E">
      <w:pPr>
        <w:pStyle w:val="Pealkiri2"/>
        <w:jc w:val="both"/>
      </w:pPr>
      <w:bookmarkStart w:id="549" w:name="_Toc174710770"/>
      <w:r w:rsidRPr="00263F4A">
        <w:t xml:space="preserve">Skemaatiline erinevus </w:t>
      </w:r>
      <w:r w:rsidR="00AC226D">
        <w:t>hulgi</w:t>
      </w:r>
      <w:r w:rsidRPr="00263F4A">
        <w:t xml:space="preserve">turu 1 ja </w:t>
      </w:r>
      <w:r w:rsidR="00AC226D">
        <w:t>hulgi</w:t>
      </w:r>
      <w:r w:rsidRPr="00263F4A">
        <w:t>turu 3b vahel</w:t>
      </w:r>
      <w:bookmarkEnd w:id="508"/>
      <w:bookmarkEnd w:id="549"/>
    </w:p>
    <w:p w14:paraId="1250719C" w14:textId="77777777" w:rsidR="00275814" w:rsidRPr="00275814" w:rsidRDefault="00275814" w:rsidP="00AA241E">
      <w:pPr>
        <w:spacing w:after="120" w:line="240" w:lineRule="auto"/>
        <w:jc w:val="both"/>
        <w:rPr>
          <w:rFonts w:eastAsia="Times New Roman" w:cs="Times New Roman"/>
          <w:lang w:eastAsia="lv-LV"/>
        </w:rPr>
      </w:pPr>
      <w:bookmarkStart w:id="550" w:name="_Toc124431500"/>
      <w:r w:rsidRPr="00275814">
        <w:rPr>
          <w:rFonts w:eastAsia="Times New Roman" w:cs="Times New Roman"/>
          <w:lang w:eastAsia="lv-LV"/>
        </w:rPr>
        <w:t>Kooskõlas 2014. aasta soovituse ja 2020. aasta soovituse joonisega 2 vt turu 1 ja turu 3b ulatus märkimisväärse turujõuga ettevõtja elektroonilise side võrkude struktuuri tüüpilisel näitel.</w:t>
      </w:r>
    </w:p>
    <w:p w14:paraId="3323329B" w14:textId="37A0F6E6" w:rsidR="00275814" w:rsidRPr="00275814" w:rsidRDefault="00275814" w:rsidP="00AA241E">
      <w:pPr>
        <w:spacing w:before="240" w:after="60" w:line="240" w:lineRule="auto"/>
        <w:jc w:val="both"/>
        <w:rPr>
          <w:rFonts w:eastAsia="Times New Roman" w:cs="Times New Roman"/>
          <w:bCs/>
          <w:sz w:val="20"/>
          <w:szCs w:val="18"/>
          <w:lang w:eastAsia="lv-LV"/>
        </w:rPr>
      </w:pPr>
      <w:bookmarkStart w:id="551" w:name="_Toc164846170"/>
      <w:r w:rsidRPr="00275814">
        <w:rPr>
          <w:rFonts w:ascii="Tahoma" w:eastAsia="Times New Roman" w:hAnsi="Tahoma" w:cs="Times New Roman"/>
          <w:bCs/>
          <w:noProof/>
          <w:sz w:val="20"/>
          <w:szCs w:val="18"/>
          <w:lang w:eastAsia="lv-LV"/>
        </w:rPr>
        <w:drawing>
          <wp:inline distT="0" distB="0" distL="0" distR="0" wp14:anchorId="0ED87DE4" wp14:editId="22624489">
            <wp:extent cx="5451231" cy="3758367"/>
            <wp:effectExtent l="0" t="0" r="0" b="0"/>
            <wp:docPr id="432058442" name="Pilt 43205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8315" t="31911" r="27190" b="13553"/>
                    <a:stretch/>
                  </pic:blipFill>
                  <pic:spPr bwMode="auto">
                    <a:xfrm>
                      <a:off x="0" y="0"/>
                      <a:ext cx="5463547" cy="3766858"/>
                    </a:xfrm>
                    <a:prstGeom prst="rect">
                      <a:avLst/>
                    </a:prstGeom>
                    <a:ln>
                      <a:noFill/>
                    </a:ln>
                    <a:extLst>
                      <a:ext uri="{53640926-AAD7-44D8-BBD7-CCE9431645EC}">
                        <a14:shadowObscured xmlns:a14="http://schemas.microsoft.com/office/drawing/2010/main"/>
                      </a:ext>
                    </a:extLst>
                  </pic:spPr>
                </pic:pic>
              </a:graphicData>
            </a:graphic>
          </wp:inline>
        </w:drawing>
      </w:r>
    </w:p>
    <w:p w14:paraId="75BFED68" w14:textId="31C1CE00" w:rsidR="002E0D07" w:rsidRPr="0021385E" w:rsidRDefault="00B340F5" w:rsidP="0021385E">
      <w:pPr>
        <w:pStyle w:val="Pealdis"/>
        <w:jc w:val="both"/>
        <w:rPr>
          <w:bCs w:val="0"/>
          <w:lang w:eastAsia="lv-LV"/>
        </w:rPr>
      </w:pPr>
      <w:r>
        <w:t xml:space="preserve">Joonis </w:t>
      </w:r>
      <w:r>
        <w:fldChar w:fldCharType="begin"/>
      </w:r>
      <w:r>
        <w:instrText xml:space="preserve"> SEQ Joonis \* ARABIC </w:instrText>
      </w:r>
      <w:r>
        <w:fldChar w:fldCharType="separate"/>
      </w:r>
      <w:r w:rsidR="00E5522B">
        <w:rPr>
          <w:noProof/>
        </w:rPr>
        <w:t>14</w:t>
      </w:r>
      <w:r>
        <w:fldChar w:fldCharType="end"/>
      </w:r>
      <w:r>
        <w:t xml:space="preserve"> </w:t>
      </w:r>
      <w:r w:rsidR="0007135D">
        <w:rPr>
          <w:lang w:eastAsia="lv-LV"/>
        </w:rPr>
        <w:t>Hulgit</w:t>
      </w:r>
      <w:r w:rsidR="0007135D" w:rsidRPr="00275814">
        <w:rPr>
          <w:lang w:eastAsia="lv-LV"/>
        </w:rPr>
        <w:t>urg</w:t>
      </w:r>
      <w:r w:rsidR="00275814" w:rsidRPr="00275814">
        <w:rPr>
          <w:lang w:eastAsia="lv-LV"/>
        </w:rPr>
        <w:t xml:space="preserve"> 1 ja </w:t>
      </w:r>
      <w:r w:rsidR="00546A8E">
        <w:rPr>
          <w:lang w:eastAsia="lv-LV"/>
        </w:rPr>
        <w:t>hulgiturg</w:t>
      </w:r>
      <w:r w:rsidR="00275814" w:rsidRPr="00275814">
        <w:rPr>
          <w:lang w:eastAsia="lv-LV"/>
        </w:rPr>
        <w:t xml:space="preserve"> 3b märkimisväärse turujõuga ettevõtja elektroonilise side võrgu erivead struktuurid tüüpil</w:t>
      </w:r>
      <w:bookmarkEnd w:id="551"/>
      <w:r w:rsidR="00275814" w:rsidRPr="00275814">
        <w:rPr>
          <w:lang w:eastAsia="lv-LV"/>
        </w:rPr>
        <w:t>ine näide.</w:t>
      </w:r>
      <w:bookmarkStart w:id="552" w:name="_Toc174096159"/>
      <w:bookmarkStart w:id="553" w:name="_Toc174536049"/>
      <w:bookmarkStart w:id="554" w:name="_Toc174094563"/>
      <w:bookmarkStart w:id="555" w:name="_Toc174094830"/>
      <w:bookmarkStart w:id="556" w:name="_Toc174095096"/>
      <w:bookmarkStart w:id="557" w:name="_Toc174095361"/>
      <w:bookmarkStart w:id="558" w:name="_Toc174095899"/>
      <w:bookmarkStart w:id="559" w:name="_Toc174096165"/>
      <w:bookmarkStart w:id="560" w:name="_Toc174536055"/>
      <w:bookmarkStart w:id="561" w:name="_Toc164846099"/>
      <w:bookmarkEnd w:id="550"/>
      <w:bookmarkEnd w:id="552"/>
      <w:bookmarkEnd w:id="553"/>
      <w:bookmarkEnd w:id="554"/>
      <w:bookmarkEnd w:id="555"/>
      <w:bookmarkEnd w:id="556"/>
      <w:bookmarkEnd w:id="557"/>
      <w:bookmarkEnd w:id="558"/>
      <w:bookmarkEnd w:id="559"/>
      <w:bookmarkEnd w:id="560"/>
    </w:p>
    <w:p w14:paraId="20372BC9" w14:textId="77777777" w:rsidR="005069E1" w:rsidRPr="005069E1" w:rsidRDefault="005069E1" w:rsidP="005069E1">
      <w:pPr>
        <w:pStyle w:val="Loendilik"/>
        <w:keepNext/>
        <w:keepLines/>
        <w:numPr>
          <w:ilvl w:val="0"/>
          <w:numId w:val="83"/>
        </w:numPr>
        <w:spacing w:before="240" w:after="240" w:line="360" w:lineRule="auto"/>
        <w:contextualSpacing w:val="0"/>
        <w:jc w:val="both"/>
        <w:outlineLvl w:val="2"/>
        <w:rPr>
          <w:rFonts w:eastAsia="Calibri" w:cstheme="majorBidi"/>
          <w:bCs/>
          <w:i/>
          <w:iCs/>
          <w:vanish/>
          <w:color w:val="000000" w:themeColor="text1"/>
          <w:lang w:eastAsia="en-US"/>
        </w:rPr>
      </w:pPr>
      <w:bookmarkStart w:id="562" w:name="_Toc174618512"/>
      <w:bookmarkStart w:id="563" w:name="_Toc174704998"/>
      <w:bookmarkStart w:id="564" w:name="_Toc174709542"/>
      <w:bookmarkStart w:id="565" w:name="_Toc174710771"/>
      <w:bookmarkEnd w:id="562"/>
      <w:bookmarkEnd w:id="563"/>
      <w:bookmarkEnd w:id="564"/>
      <w:bookmarkEnd w:id="565"/>
    </w:p>
    <w:p w14:paraId="702C03D5" w14:textId="77777777" w:rsidR="005069E1" w:rsidRPr="005069E1" w:rsidRDefault="005069E1" w:rsidP="005069E1">
      <w:pPr>
        <w:pStyle w:val="Loendilik"/>
        <w:keepNext/>
        <w:keepLines/>
        <w:numPr>
          <w:ilvl w:val="1"/>
          <w:numId w:val="83"/>
        </w:numPr>
        <w:spacing w:before="240" w:after="240" w:line="360" w:lineRule="auto"/>
        <w:contextualSpacing w:val="0"/>
        <w:jc w:val="both"/>
        <w:outlineLvl w:val="2"/>
        <w:rPr>
          <w:rFonts w:eastAsia="Calibri" w:cstheme="majorBidi"/>
          <w:bCs/>
          <w:i/>
          <w:iCs/>
          <w:vanish/>
          <w:color w:val="000000" w:themeColor="text1"/>
          <w:lang w:eastAsia="en-US"/>
        </w:rPr>
      </w:pPr>
      <w:bookmarkStart w:id="566" w:name="_Toc174617156"/>
      <w:bookmarkStart w:id="567" w:name="_Toc174618513"/>
      <w:bookmarkStart w:id="568" w:name="_Toc174627575"/>
      <w:bookmarkStart w:id="569" w:name="_Toc174704999"/>
      <w:bookmarkStart w:id="570" w:name="_Toc174709543"/>
      <w:bookmarkStart w:id="571" w:name="_Toc174710772"/>
      <w:bookmarkEnd w:id="566"/>
      <w:bookmarkEnd w:id="567"/>
      <w:bookmarkEnd w:id="568"/>
      <w:bookmarkEnd w:id="569"/>
      <w:bookmarkEnd w:id="570"/>
      <w:bookmarkEnd w:id="571"/>
    </w:p>
    <w:p w14:paraId="4353023C" w14:textId="7F977337" w:rsidR="00275814" w:rsidRPr="00263F4A" w:rsidRDefault="00546A8E" w:rsidP="009805E1">
      <w:pPr>
        <w:pStyle w:val="Pealkiri3"/>
      </w:pPr>
      <w:bookmarkStart w:id="572" w:name="_Toc174710773"/>
      <w:r>
        <w:t>Hulgiturg</w:t>
      </w:r>
      <w:r w:rsidR="00275814" w:rsidRPr="00263F4A">
        <w:t xml:space="preserve"> 1 selgitus</w:t>
      </w:r>
      <w:bookmarkEnd w:id="561"/>
      <w:bookmarkEnd w:id="572"/>
    </w:p>
    <w:p w14:paraId="62899096" w14:textId="49FE2A8F" w:rsidR="00275814" w:rsidRPr="00275814" w:rsidRDefault="00275814" w:rsidP="00AA241E">
      <w:pPr>
        <w:spacing w:after="120" w:line="240" w:lineRule="auto"/>
        <w:jc w:val="both"/>
        <w:rPr>
          <w:rFonts w:eastAsia="Times New Roman" w:cs="Times New Roman"/>
          <w:color w:val="000000"/>
          <w:lang w:eastAsia="lv-LV"/>
        </w:rPr>
      </w:pPr>
      <w:bookmarkStart w:id="573" w:name="_Toc164846147"/>
      <w:r w:rsidRPr="00275814">
        <w:rPr>
          <w:rFonts w:eastAsia="Times New Roman" w:cs="Times New Roman"/>
          <w:color w:val="000000"/>
          <w:lang w:eastAsia="lv-LV"/>
        </w:rPr>
        <w:t xml:space="preserve">1. </w:t>
      </w:r>
      <w:r w:rsidR="00A05557">
        <w:rPr>
          <w:rFonts w:eastAsia="Times New Roman" w:cs="Times New Roman"/>
          <w:color w:val="000000"/>
          <w:lang w:eastAsia="lv-LV"/>
        </w:rPr>
        <w:t>hulgi</w:t>
      </w:r>
      <w:r w:rsidRPr="00275814">
        <w:rPr>
          <w:rFonts w:eastAsia="Times New Roman" w:cs="Times New Roman"/>
          <w:color w:val="000000"/>
          <w:lang w:eastAsia="lv-LV"/>
        </w:rPr>
        <w:t xml:space="preserve">turu reguleerimise mõte on tagada teiste </w:t>
      </w:r>
      <w:r w:rsidRPr="00275814">
        <w:rPr>
          <w:rFonts w:eastAsia="Times New Roman" w:cs="Times New Roman"/>
          <w:lang w:eastAsia="lv-LV"/>
        </w:rPr>
        <w:t>sideteenuse osutaja</w:t>
      </w:r>
      <w:r w:rsidR="00266105">
        <w:rPr>
          <w:rFonts w:eastAsia="Times New Roman" w:cs="Times New Roman"/>
          <w:lang w:eastAsia="lv-LV"/>
        </w:rPr>
        <w:t>te</w:t>
      </w:r>
      <w:r w:rsidRPr="00275814">
        <w:rPr>
          <w:rFonts w:eastAsia="Times New Roman" w:cs="Times New Roman"/>
          <w:color w:val="000000"/>
          <w:lang w:eastAsia="lv-LV"/>
        </w:rPr>
        <w:t xml:space="preserve"> (alternatiivse</w:t>
      </w:r>
      <w:r w:rsidR="00266105">
        <w:rPr>
          <w:rFonts w:eastAsia="Times New Roman" w:cs="Times New Roman"/>
          <w:color w:val="000000"/>
          <w:lang w:eastAsia="lv-LV"/>
        </w:rPr>
        <w:t>d</w:t>
      </w:r>
      <w:r w:rsidRPr="00275814">
        <w:rPr>
          <w:rFonts w:eastAsia="Times New Roman" w:cs="Times New Roman"/>
          <w:color w:val="000000"/>
          <w:lang w:eastAsia="lv-LV"/>
        </w:rPr>
        <w:t xml:space="preserve"> </w:t>
      </w:r>
      <w:bookmarkStart w:id="574" w:name="_Hlk172630846"/>
      <w:bookmarkStart w:id="575" w:name="_Hlk172629925"/>
      <w:r w:rsidRPr="00275814">
        <w:rPr>
          <w:rFonts w:eastAsia="Times New Roman" w:cs="Times New Roman"/>
          <w:lang w:eastAsia="lv-LV"/>
        </w:rPr>
        <w:t>side teenuse osutaja</w:t>
      </w:r>
      <w:bookmarkEnd w:id="574"/>
      <w:r w:rsidRPr="00275814">
        <w:rPr>
          <w:rFonts w:eastAsia="Times New Roman" w:cs="Times New Roman"/>
          <w:lang w:eastAsia="lv-LV"/>
        </w:rPr>
        <w:t>d</w:t>
      </w:r>
      <w:bookmarkEnd w:id="575"/>
      <w:r w:rsidRPr="00275814">
        <w:rPr>
          <w:rFonts w:eastAsia="Times New Roman" w:cs="Times New Roman"/>
          <w:color w:val="000000"/>
          <w:lang w:eastAsia="lv-LV"/>
        </w:rPr>
        <w:t>) õigus</w:t>
      </w:r>
      <w:r w:rsidRPr="00275814">
        <w:rPr>
          <w:rFonts w:eastAsia="Times New Roman" w:cs="Times New Roman"/>
          <w:lang w:eastAsia="lv-LV"/>
        </w:rPr>
        <w:t xml:space="preserve"> </w:t>
      </w:r>
      <w:r w:rsidRPr="00275814">
        <w:rPr>
          <w:rFonts w:eastAsia="Times New Roman" w:cs="Times New Roman"/>
          <w:color w:val="000000"/>
          <w:lang w:eastAsia="lv-LV"/>
        </w:rPr>
        <w:t>osutada lõppkasutajatele teenuseid, kasutades Telia sidevõrku, kui selles on vaba maht</w:t>
      </w:r>
      <w:r w:rsidR="00266105">
        <w:rPr>
          <w:rFonts w:eastAsia="Times New Roman" w:cs="Times New Roman"/>
          <w:color w:val="000000"/>
          <w:lang w:eastAsia="lv-LV"/>
        </w:rPr>
        <w:t>u</w:t>
      </w:r>
      <w:r w:rsidRPr="00275814">
        <w:rPr>
          <w:rFonts w:eastAsia="Times New Roman" w:cs="Times New Roman"/>
          <w:color w:val="000000"/>
          <w:lang w:eastAsia="lv-LV"/>
        </w:rPr>
        <w:t xml:space="preserve">. Selle turu reguleerimine tähendab ka kõigi Telia võrguga ühendatud lõppkasutajate õigust vahetada </w:t>
      </w:r>
      <w:r w:rsidR="00266105" w:rsidRPr="00275814">
        <w:rPr>
          <w:rFonts w:eastAsia="Times New Roman" w:cs="Times New Roman"/>
          <w:color w:val="000000"/>
          <w:lang w:eastAsia="lv-LV"/>
        </w:rPr>
        <w:t>teenuseosutajat</w:t>
      </w:r>
      <w:r w:rsidRPr="00275814">
        <w:rPr>
          <w:rFonts w:eastAsia="Times New Roman" w:cs="Times New Roman"/>
          <w:color w:val="000000"/>
          <w:lang w:eastAsia="lv-LV"/>
        </w:rPr>
        <w:t xml:space="preserve">/operaatorit, säilitades samal ajal Telia sidevõrgu kliendiliini. Nimelt on Telia kohustatud võimaldama juurdepääsu oma elektroonilise side võrgu passiivsetele ja </w:t>
      </w:r>
      <w:r w:rsidRPr="00275814">
        <w:rPr>
          <w:rFonts w:eastAsia="Times New Roman" w:cs="Times New Roman"/>
          <w:color w:val="000000"/>
          <w:lang w:eastAsia="lv-LV"/>
        </w:rPr>
        <w:lastRenderedPageBreak/>
        <w:t xml:space="preserve">aktiivsetele elementidele teistele elektroonilise side teenuseosutajatele, kes soovivad pakkuda lõppkasutajatele </w:t>
      </w:r>
      <w:r w:rsidR="00266105" w:rsidRPr="00275814">
        <w:rPr>
          <w:rFonts w:eastAsia="Times New Roman" w:cs="Times New Roman"/>
          <w:color w:val="000000"/>
          <w:lang w:eastAsia="lv-LV"/>
        </w:rPr>
        <w:t xml:space="preserve">internetti </w:t>
      </w:r>
      <w:r w:rsidRPr="00275814">
        <w:rPr>
          <w:rFonts w:eastAsia="Times New Roman" w:cs="Times New Roman"/>
          <w:color w:val="000000"/>
          <w:lang w:eastAsia="lv-LV"/>
        </w:rPr>
        <w:t>ja muid teenuseid, kuid kellel ei ole nii ulatuslikku elektroonilise side võrgu katvust</w:t>
      </w:r>
      <w:r w:rsidR="00266105">
        <w:rPr>
          <w:rFonts w:eastAsia="Times New Roman" w:cs="Times New Roman"/>
          <w:color w:val="000000"/>
          <w:lang w:eastAsia="lv-LV"/>
        </w:rPr>
        <w:t>,</w:t>
      </w:r>
      <w:r w:rsidRPr="00275814">
        <w:rPr>
          <w:rFonts w:eastAsia="Times New Roman" w:cs="Times New Roman"/>
          <w:color w:val="000000"/>
          <w:lang w:eastAsia="lv-LV"/>
        </w:rPr>
        <w:t xml:space="preserve"> kui Telial.</w:t>
      </w:r>
    </w:p>
    <w:p w14:paraId="527CADB2" w14:textId="564DE0B8" w:rsidR="00275814" w:rsidRPr="00275814" w:rsidRDefault="0021385E" w:rsidP="00AA241E">
      <w:pPr>
        <w:spacing w:after="120" w:line="240" w:lineRule="auto"/>
        <w:jc w:val="both"/>
        <w:rPr>
          <w:rFonts w:eastAsia="Times New Roman" w:cs="Times New Roman"/>
          <w:color w:val="000000"/>
          <w:lang w:eastAsia="lv-LV"/>
        </w:rPr>
      </w:pPr>
      <w:r>
        <w:rPr>
          <w:rFonts w:eastAsia="Times New Roman" w:cs="Times New Roman"/>
          <w:lang w:eastAsia="lv-LV"/>
        </w:rPr>
        <w:t>Hulgi</w:t>
      </w:r>
      <w:r w:rsidRPr="00275814">
        <w:rPr>
          <w:rFonts w:eastAsia="Times New Roman" w:cs="Times New Roman"/>
          <w:lang w:eastAsia="lv-LV"/>
        </w:rPr>
        <w:t xml:space="preserve">turu </w:t>
      </w:r>
      <w:r w:rsidR="00275814" w:rsidRPr="00275814">
        <w:rPr>
          <w:rFonts w:eastAsia="Times New Roman" w:cs="Times New Roman"/>
          <w:lang w:eastAsia="lv-LV"/>
        </w:rPr>
        <w:t xml:space="preserve">1. teenuseid võib osutada mitte ainult Telia, vaid ka teised side teenuse osutajad võivad neid vabatahtlikult pakkuda oma juurdepääsuvõrgu katvuse raames, mis tahes teisele side teenuse osutajale ärilistel tingimustel, isegi kui neil ei ole nii ulatuslikku </w:t>
      </w:r>
      <w:r w:rsidR="00275814" w:rsidRPr="00275814">
        <w:rPr>
          <w:rFonts w:eastAsia="Times New Roman" w:cs="Times New Roman"/>
          <w:color w:val="000000"/>
          <w:lang w:eastAsia="lv-LV"/>
        </w:rPr>
        <w:t>elektroonilise side võrgu katvust kui Telial.</w:t>
      </w:r>
    </w:p>
    <w:p w14:paraId="14207263" w14:textId="715137CF" w:rsidR="00275814" w:rsidRPr="00275814" w:rsidRDefault="00546A8E" w:rsidP="00AA241E">
      <w:pPr>
        <w:spacing w:after="60" w:line="240" w:lineRule="auto"/>
        <w:jc w:val="both"/>
        <w:rPr>
          <w:rFonts w:eastAsia="Times New Roman" w:cs="Times New Roman"/>
          <w:color w:val="000000"/>
          <w:lang w:eastAsia="lv-LV"/>
        </w:rPr>
      </w:pPr>
      <w:r>
        <w:rPr>
          <w:rFonts w:eastAsia="Times New Roman" w:cs="Times New Roman"/>
          <w:color w:val="000000"/>
          <w:lang w:eastAsia="lv-LV"/>
        </w:rPr>
        <w:t>Hulgiturg</w:t>
      </w:r>
      <w:r w:rsidR="00275814" w:rsidRPr="00275814">
        <w:rPr>
          <w:rFonts w:eastAsia="Times New Roman" w:cs="Times New Roman"/>
          <w:color w:val="000000"/>
          <w:lang w:eastAsia="lv-LV"/>
        </w:rPr>
        <w:t xml:space="preserve"> 1 hõlmab järgmisi hulgimüügiteenuseid:</w:t>
      </w:r>
    </w:p>
    <w:p w14:paraId="3BD108F2" w14:textId="77777777" w:rsidR="00275814" w:rsidRPr="00275814" w:rsidRDefault="00275814" w:rsidP="00AA241E">
      <w:pPr>
        <w:numPr>
          <w:ilvl w:val="0"/>
          <w:numId w:val="35"/>
        </w:numPr>
        <w:spacing w:after="60" w:line="240" w:lineRule="auto"/>
        <w:ind w:left="714" w:hanging="357"/>
        <w:jc w:val="both"/>
        <w:rPr>
          <w:rFonts w:eastAsia="Times New Roman" w:cs="Times New Roman"/>
          <w:lang w:eastAsia="lv-LV"/>
        </w:rPr>
      </w:pPr>
      <w:r w:rsidRPr="00275814">
        <w:rPr>
          <w:rFonts w:eastAsia="Times New Roman" w:cs="Times New Roman"/>
          <w:color w:val="000000"/>
          <w:lang w:eastAsia="lv-LV"/>
        </w:rPr>
        <w:t>eraldatud juurdepääs kliendiliinile või selle osadele (lõikudele), st juurdepääs vaskpaarile või valguskaabel kiule;</w:t>
      </w:r>
    </w:p>
    <w:p w14:paraId="5D51029B" w14:textId="77777777" w:rsidR="00275814" w:rsidRPr="00275814" w:rsidRDefault="00275814" w:rsidP="00AA241E">
      <w:pPr>
        <w:numPr>
          <w:ilvl w:val="0"/>
          <w:numId w:val="35"/>
        </w:numPr>
        <w:spacing w:after="60" w:line="240" w:lineRule="auto"/>
        <w:ind w:left="714" w:hanging="357"/>
        <w:jc w:val="both"/>
        <w:rPr>
          <w:rFonts w:eastAsia="Times New Roman" w:cs="Times New Roman"/>
          <w:lang w:eastAsia="lv-LV"/>
        </w:rPr>
      </w:pPr>
      <w:r w:rsidRPr="00275814">
        <w:rPr>
          <w:rFonts w:eastAsia="Times New Roman" w:cs="Times New Roman"/>
          <w:color w:val="000000"/>
          <w:lang w:eastAsia="lv-LV"/>
        </w:rPr>
        <w:t>virtuaalne eraldamine või kohalik juurdepääs andmevoole (VULA);</w:t>
      </w:r>
    </w:p>
    <w:p w14:paraId="09B890B7" w14:textId="5309C5BD" w:rsidR="00B3532C" w:rsidRPr="009630FB" w:rsidRDefault="00275814" w:rsidP="005273CB">
      <w:pPr>
        <w:rPr>
          <w:rFonts w:eastAsiaTheme="majorEastAsia" w:cstheme="majorBidi"/>
          <w:i/>
          <w:iCs/>
          <w:vanish/>
          <w:lang w:eastAsia="en-US"/>
        </w:rPr>
      </w:pPr>
      <w:r w:rsidRPr="009630FB">
        <w:rPr>
          <w:lang w:val="lv-LV" w:eastAsia="et-EE"/>
        </w:rPr>
        <w:t>j</w:t>
      </w:r>
      <w:r w:rsidRPr="009630FB">
        <w:rPr>
          <w:bCs/>
          <w:lang w:val="lv-LV" w:eastAsia="et-EE"/>
        </w:rPr>
        <w:t xml:space="preserve">uurdepääsu tugiteenused - teisele sideettevõtjale juurdepääsu võimaldamises </w:t>
      </w:r>
      <w:r w:rsidRPr="009630FB">
        <w:rPr>
          <w:lang w:val="lv-LV" w:eastAsia="et-EE"/>
        </w:rPr>
        <w:t>muudele sidevõrgu osadele, seadmetele ja teenustele (muuhulgas juurdepääsu seadmemajutuse</w:t>
      </w:r>
      <w:r w:rsidRPr="005D266E">
        <w:rPr>
          <w:vertAlign w:val="superscript"/>
          <w:lang w:val="lv-LV" w:eastAsia="et-EE"/>
        </w:rPr>
        <w:footnoteReference w:id="69"/>
      </w:r>
      <w:r w:rsidRPr="009630FB">
        <w:rPr>
          <w:lang w:val="lv-LV" w:eastAsia="et-EE"/>
        </w:rPr>
        <w:t xml:space="preserve"> teenusele ja hoonete ühiskasutusele)</w:t>
      </w:r>
      <w:r w:rsidRPr="009630FB">
        <w:rPr>
          <w:color w:val="000000"/>
          <w:lang w:eastAsia="lv-LV"/>
        </w:rPr>
        <w:t xml:space="preserve"> (juurdepääs kaabelkanalisatsioonile ei sisaldu käesolevas elektroonilise side turuanalüüsis).</w:t>
      </w:r>
    </w:p>
    <w:p w14:paraId="2DC77FE9" w14:textId="77777777" w:rsidR="00262302" w:rsidRPr="00262302" w:rsidRDefault="00262302" w:rsidP="00262302">
      <w:pPr>
        <w:pStyle w:val="Loendilik"/>
        <w:keepNext/>
        <w:keepLines/>
        <w:numPr>
          <w:ilvl w:val="0"/>
          <w:numId w:val="36"/>
        </w:numPr>
        <w:tabs>
          <w:tab w:val="left" w:pos="1985"/>
        </w:tabs>
        <w:spacing w:before="120" w:after="240"/>
        <w:contextualSpacing w:val="0"/>
        <w:outlineLvl w:val="3"/>
        <w:rPr>
          <w:rFonts w:eastAsiaTheme="majorEastAsia" w:cstheme="majorBidi"/>
          <w:i/>
          <w:iCs/>
          <w:vanish/>
          <w:lang w:eastAsia="en-US"/>
        </w:rPr>
      </w:pPr>
    </w:p>
    <w:p w14:paraId="0E1F8FE9" w14:textId="77777777" w:rsidR="00262302" w:rsidRPr="00262302" w:rsidRDefault="00262302" w:rsidP="00262302">
      <w:pPr>
        <w:pStyle w:val="Loendilik"/>
        <w:keepNext/>
        <w:keepLines/>
        <w:numPr>
          <w:ilvl w:val="0"/>
          <w:numId w:val="36"/>
        </w:numPr>
        <w:tabs>
          <w:tab w:val="left" w:pos="1985"/>
        </w:tabs>
        <w:spacing w:before="120" w:after="240"/>
        <w:contextualSpacing w:val="0"/>
        <w:outlineLvl w:val="3"/>
        <w:rPr>
          <w:rFonts w:eastAsiaTheme="majorEastAsia" w:cstheme="majorBidi"/>
          <w:i/>
          <w:iCs/>
          <w:vanish/>
          <w:lang w:eastAsia="en-US"/>
        </w:rPr>
      </w:pPr>
    </w:p>
    <w:p w14:paraId="23F503DD" w14:textId="77777777" w:rsidR="00262302" w:rsidRPr="00262302" w:rsidRDefault="00262302" w:rsidP="00262302">
      <w:pPr>
        <w:pStyle w:val="Loendilik"/>
        <w:keepNext/>
        <w:keepLines/>
        <w:numPr>
          <w:ilvl w:val="0"/>
          <w:numId w:val="36"/>
        </w:numPr>
        <w:tabs>
          <w:tab w:val="left" w:pos="1985"/>
        </w:tabs>
        <w:spacing w:before="120" w:after="240"/>
        <w:contextualSpacing w:val="0"/>
        <w:outlineLvl w:val="3"/>
        <w:rPr>
          <w:rFonts w:eastAsiaTheme="majorEastAsia" w:cstheme="majorBidi"/>
          <w:i/>
          <w:iCs/>
          <w:vanish/>
          <w:lang w:eastAsia="en-US"/>
        </w:rPr>
      </w:pPr>
    </w:p>
    <w:p w14:paraId="2570BB3C" w14:textId="77777777" w:rsidR="00262302" w:rsidRPr="00262302" w:rsidRDefault="00262302" w:rsidP="00262302">
      <w:pPr>
        <w:pStyle w:val="Loendilik"/>
        <w:keepNext/>
        <w:keepLines/>
        <w:numPr>
          <w:ilvl w:val="0"/>
          <w:numId w:val="36"/>
        </w:numPr>
        <w:tabs>
          <w:tab w:val="left" w:pos="1985"/>
        </w:tabs>
        <w:spacing w:before="120" w:after="240"/>
        <w:contextualSpacing w:val="0"/>
        <w:outlineLvl w:val="3"/>
        <w:rPr>
          <w:rFonts w:eastAsiaTheme="majorEastAsia" w:cstheme="majorBidi"/>
          <w:i/>
          <w:iCs/>
          <w:vanish/>
          <w:lang w:eastAsia="en-US"/>
        </w:rPr>
      </w:pPr>
    </w:p>
    <w:p w14:paraId="529083E8" w14:textId="77777777" w:rsidR="00262302" w:rsidRPr="00262302" w:rsidRDefault="00262302" w:rsidP="00262302">
      <w:pPr>
        <w:pStyle w:val="Loendilik"/>
        <w:keepNext/>
        <w:keepLines/>
        <w:numPr>
          <w:ilvl w:val="1"/>
          <w:numId w:val="36"/>
        </w:numPr>
        <w:tabs>
          <w:tab w:val="left" w:pos="1985"/>
        </w:tabs>
        <w:spacing w:before="120" w:after="240"/>
        <w:contextualSpacing w:val="0"/>
        <w:outlineLvl w:val="3"/>
        <w:rPr>
          <w:rFonts w:eastAsiaTheme="majorEastAsia" w:cstheme="majorBidi"/>
          <w:i/>
          <w:iCs/>
          <w:vanish/>
          <w:lang w:eastAsia="en-US"/>
        </w:rPr>
      </w:pPr>
    </w:p>
    <w:p w14:paraId="4EA0B0B1" w14:textId="77777777" w:rsidR="00262302" w:rsidRPr="00262302" w:rsidRDefault="00262302" w:rsidP="00262302">
      <w:pPr>
        <w:pStyle w:val="Loendilik"/>
        <w:keepNext/>
        <w:keepLines/>
        <w:numPr>
          <w:ilvl w:val="2"/>
          <w:numId w:val="36"/>
        </w:numPr>
        <w:tabs>
          <w:tab w:val="left" w:pos="1985"/>
        </w:tabs>
        <w:spacing w:before="120" w:after="240"/>
        <w:contextualSpacing w:val="0"/>
        <w:outlineLvl w:val="3"/>
        <w:rPr>
          <w:rFonts w:eastAsiaTheme="majorEastAsia" w:cstheme="majorBidi"/>
          <w:i/>
          <w:iCs/>
          <w:vanish/>
          <w:lang w:eastAsia="en-US"/>
        </w:rPr>
      </w:pPr>
    </w:p>
    <w:p w14:paraId="34CEF7DB" w14:textId="0D213952" w:rsidR="00275814" w:rsidRPr="00275814" w:rsidRDefault="00275814" w:rsidP="00262302">
      <w:pPr>
        <w:pStyle w:val="Pealkiri4"/>
      </w:pPr>
      <w:r w:rsidRPr="003637DE">
        <w:t>Eraldatud</w:t>
      </w:r>
      <w:r w:rsidRPr="00275814">
        <w:t xml:space="preserve"> juurdepääs kliendiliinile või selle osadele</w:t>
      </w:r>
    </w:p>
    <w:p w14:paraId="030752C5" w14:textId="77777777" w:rsidR="00275814" w:rsidRPr="00275814" w:rsidRDefault="00275814" w:rsidP="00AA241E">
      <w:pPr>
        <w:spacing w:after="120" w:line="240" w:lineRule="auto"/>
        <w:jc w:val="both"/>
        <w:rPr>
          <w:rFonts w:eastAsia="Times New Roman" w:cs="Times New Roman"/>
          <w:lang w:eastAsia="lv-LV"/>
        </w:rPr>
      </w:pPr>
      <w:r w:rsidRPr="00275814">
        <w:rPr>
          <w:rFonts w:eastAsia="Times New Roman" w:cs="Times New Roman"/>
          <w:lang w:eastAsia="lv-LV"/>
        </w:rPr>
        <w:t>Eraldatud juurdepääs kliendiliinile on hulgimüügitasandi juurdepääsuteenus, mida osutab teistele side teenuse osutajale elektroonilist sidevõrku omav side ettevõtja (edaspidi võrguoperaator). Võrguoperaator võib olla Telia või mõni muu side teenuse osutaja, kui ta pakub vabatahtlikult mis tahes teisele side teenuse osutaja ärilistel tingimustel eraldatud juurdepääsu kliendiliinile või selle osadele oma juurdepääsuvõrgu leviala raames.</w:t>
      </w:r>
    </w:p>
    <w:p w14:paraId="4AFF0A9C" w14:textId="77777777" w:rsidR="00275814" w:rsidRPr="00275814" w:rsidRDefault="00275814" w:rsidP="00AA241E">
      <w:pPr>
        <w:spacing w:after="120" w:line="240" w:lineRule="auto"/>
        <w:jc w:val="both"/>
        <w:rPr>
          <w:rFonts w:eastAsia="Times New Roman" w:cs="Times New Roman"/>
          <w:lang w:eastAsia="lv-LV"/>
        </w:rPr>
      </w:pPr>
      <w:r w:rsidRPr="00275814">
        <w:rPr>
          <w:rFonts w:eastAsia="Times New Roman" w:cs="Times New Roman"/>
          <w:lang w:eastAsia="lv-LV"/>
        </w:rPr>
        <w:t>Eraldatud juurdepääs kliendiliinile on füüsiline või passiivne juurdepääsuteenus, kuna andmeedastus- ja aktiivseadmeid pakub käesoleval juhul side teenuse osutaja, kes ei ole võrguoperaator.</w:t>
      </w:r>
    </w:p>
    <w:p w14:paraId="3546E19C" w14:textId="77777777" w:rsidR="00275814" w:rsidRPr="00275814" w:rsidRDefault="00275814" w:rsidP="00AA241E">
      <w:pPr>
        <w:spacing w:after="60" w:line="240" w:lineRule="auto"/>
        <w:jc w:val="both"/>
        <w:rPr>
          <w:rFonts w:eastAsia="Times New Roman" w:cs="Times New Roman"/>
          <w:lang w:eastAsia="lv-LV"/>
        </w:rPr>
      </w:pPr>
      <w:r w:rsidRPr="00275814">
        <w:rPr>
          <w:rFonts w:eastAsia="Times New Roman" w:cs="Times New Roman"/>
          <w:lang w:eastAsia="lv-LV"/>
        </w:rPr>
        <w:t>Eraldatud juurdepääs tähendab olukorda, kus võrguoperaatori juurdepääsuliin, kliendiliin või selle osa on renditud (täielikult komplekteeritud) teisele ettevõtjale, et pakkuda lõppkasutajatele interneti püsiühendus;</w:t>
      </w:r>
    </w:p>
    <w:p w14:paraId="7B49ED78" w14:textId="77777777" w:rsidR="00275814" w:rsidRPr="00275814" w:rsidRDefault="00275814" w:rsidP="00AA241E">
      <w:pPr>
        <w:numPr>
          <w:ilvl w:val="0"/>
          <w:numId w:val="28"/>
        </w:numPr>
        <w:spacing w:after="60" w:line="240" w:lineRule="auto"/>
        <w:jc w:val="both"/>
        <w:rPr>
          <w:rFonts w:eastAsia="Times New Roman" w:cs="Times New Roman"/>
          <w:lang w:eastAsia="lv-LV"/>
        </w:rPr>
      </w:pPr>
      <w:r w:rsidRPr="00275814">
        <w:rPr>
          <w:rFonts w:eastAsia="Times New Roman" w:cs="Times New Roman"/>
          <w:lang w:eastAsia="lv-LV"/>
        </w:rPr>
        <w:t>kõnesideteenus (edaspidi - telefon);</w:t>
      </w:r>
    </w:p>
    <w:p w14:paraId="5E27FF97" w14:textId="77777777" w:rsidR="00275814" w:rsidRPr="00275814" w:rsidRDefault="00275814" w:rsidP="00AA241E">
      <w:pPr>
        <w:numPr>
          <w:ilvl w:val="0"/>
          <w:numId w:val="28"/>
        </w:numPr>
        <w:spacing w:after="120" w:line="240" w:lineRule="auto"/>
        <w:jc w:val="both"/>
        <w:rPr>
          <w:rFonts w:eastAsia="Times New Roman" w:cs="Times New Roman"/>
          <w:lang w:eastAsia="lv-LV"/>
        </w:rPr>
      </w:pPr>
      <w:r w:rsidRPr="00275814">
        <w:rPr>
          <w:rFonts w:eastAsia="Times New Roman" w:cs="Times New Roman"/>
          <w:lang w:eastAsia="lv-LV"/>
        </w:rPr>
        <w:t>teleprogrammide levitamise teenus üldkasutatavas elektroonilises sidevõrgus (edaspidi "kaabellevi").</w:t>
      </w:r>
    </w:p>
    <w:p w14:paraId="3F852C61" w14:textId="4A1FB3AB" w:rsidR="00275814" w:rsidRPr="00275814" w:rsidRDefault="00275814" w:rsidP="00AA241E">
      <w:pPr>
        <w:spacing w:after="60" w:line="240" w:lineRule="auto"/>
        <w:jc w:val="both"/>
        <w:rPr>
          <w:rFonts w:eastAsia="Times New Roman" w:cs="Times New Roman"/>
          <w:lang w:eastAsia="lv-LV"/>
        </w:rPr>
      </w:pPr>
      <w:r w:rsidRPr="00275814">
        <w:rPr>
          <w:rFonts w:eastAsia="Times New Roman" w:cs="Times New Roman"/>
          <w:lang w:eastAsia="lv-LV"/>
        </w:rPr>
        <w:t xml:space="preserve">Püsikliendiliini (kliendiliin) või selle osa peab ulatuma lõppkasutaja lõpp-punktist juurdepääsupunktini, kus teisele ettevõtjale pakutakse juurdepääsu kõnealusele võrguteenuse osutamisele. Kahe võrgu ühendus punktiks võib olla MDF, ODF, jaotuskilp või jaotuspunkt. Seega on võimalikud järgmised eraldamised viisid (vt joonis </w:t>
      </w:r>
      <w:r w:rsidR="000B6F07">
        <w:rPr>
          <w:rFonts w:eastAsia="Times New Roman" w:cs="Times New Roman"/>
          <w:lang w:eastAsia="lv-LV"/>
        </w:rPr>
        <w:t>1</w:t>
      </w:r>
      <w:r w:rsidR="004035E5">
        <w:rPr>
          <w:rFonts w:eastAsia="Times New Roman" w:cs="Times New Roman"/>
          <w:lang w:eastAsia="lv-LV"/>
        </w:rPr>
        <w:t>4</w:t>
      </w:r>
      <w:r w:rsidRPr="00275814">
        <w:rPr>
          <w:rFonts w:eastAsia="Times New Roman" w:cs="Times New Roman"/>
          <w:lang w:eastAsia="lv-LV"/>
        </w:rPr>
        <w:t xml:space="preserve"> ):</w:t>
      </w:r>
    </w:p>
    <w:p w14:paraId="73046DFC" w14:textId="77777777" w:rsidR="00275814" w:rsidRPr="00275814" w:rsidRDefault="00275814" w:rsidP="00AA241E">
      <w:pPr>
        <w:numPr>
          <w:ilvl w:val="0"/>
          <w:numId w:val="29"/>
        </w:numPr>
        <w:spacing w:after="60" w:line="240" w:lineRule="auto"/>
        <w:jc w:val="both"/>
        <w:rPr>
          <w:rFonts w:eastAsia="Times New Roman" w:cs="Times New Roman"/>
          <w:lang w:eastAsia="lv-LV"/>
        </w:rPr>
      </w:pPr>
      <w:r w:rsidRPr="00275814">
        <w:rPr>
          <w:rFonts w:eastAsia="Times New Roman" w:cs="Times New Roman"/>
          <w:lang w:eastAsia="lv-LV"/>
        </w:rPr>
        <w:t xml:space="preserve">kliendiliini </w:t>
      </w:r>
      <w:bookmarkStart w:id="576" w:name="_Hlk172631704"/>
      <w:r w:rsidRPr="00275814">
        <w:rPr>
          <w:rFonts w:eastAsia="Times New Roman" w:cs="Times New Roman"/>
          <w:lang w:eastAsia="lv-LV"/>
        </w:rPr>
        <w:t xml:space="preserve">füüsiline </w:t>
      </w:r>
      <w:bookmarkEnd w:id="576"/>
      <w:r w:rsidRPr="00275814">
        <w:rPr>
          <w:rFonts w:eastAsia="Times New Roman" w:cs="Times New Roman"/>
          <w:lang w:eastAsia="lv-LV"/>
        </w:rPr>
        <w:t>juurdepääs – MDF-i või ODF-i juurdepääsuliin lõppkasutaja lõpp-punktini on eraldatud, st kogu kliendiliini rendib teine ettevõtja;</w:t>
      </w:r>
    </w:p>
    <w:p w14:paraId="0BFC5A35" w14:textId="77777777" w:rsidR="00275814" w:rsidRPr="00275814" w:rsidRDefault="00275814" w:rsidP="00AA241E">
      <w:pPr>
        <w:numPr>
          <w:ilvl w:val="0"/>
          <w:numId w:val="29"/>
        </w:numPr>
        <w:spacing w:after="60" w:line="240" w:lineRule="auto"/>
        <w:jc w:val="both"/>
        <w:rPr>
          <w:rFonts w:eastAsia="Times New Roman" w:cs="Times New Roman"/>
          <w:lang w:eastAsia="lv-LV"/>
        </w:rPr>
      </w:pPr>
      <w:r w:rsidRPr="00275814">
        <w:rPr>
          <w:rFonts w:eastAsia="Times New Roman" w:cs="Times New Roman"/>
          <w:lang w:eastAsia="lv-LV"/>
        </w:rPr>
        <w:lastRenderedPageBreak/>
        <w:t>alamkliendiliini füüsiline juurdepääs - juurdepääsuliini osa, mis ulatub jaotuskilbist lõppkasutaja lõpp-punktini, on eraldatud, st teine ettevõtja ei rendi mitte kogu kliendiliini, vaid ainult teatud kliendiliini segmenti/osa;</w:t>
      </w:r>
    </w:p>
    <w:p w14:paraId="6B1D47E4" w14:textId="3B1CC9CC" w:rsidR="00275814" w:rsidRPr="00275814" w:rsidRDefault="00275814" w:rsidP="00AA241E">
      <w:pPr>
        <w:numPr>
          <w:ilvl w:val="0"/>
          <w:numId w:val="29"/>
        </w:numPr>
        <w:spacing w:after="120" w:line="240" w:lineRule="auto"/>
        <w:jc w:val="both"/>
        <w:rPr>
          <w:rFonts w:eastAsia="Times New Roman" w:cs="Times New Roman"/>
          <w:lang w:eastAsia="lv-LV"/>
        </w:rPr>
      </w:pPr>
      <w:r w:rsidRPr="00275814">
        <w:rPr>
          <w:rFonts w:eastAsia="Times New Roman" w:cs="Times New Roman"/>
          <w:lang w:eastAsia="lv-LV"/>
        </w:rPr>
        <w:t>kliendiliiniterminali komplektist juurdepää</w:t>
      </w:r>
      <w:r w:rsidR="008D1367">
        <w:rPr>
          <w:rFonts w:eastAsia="Times New Roman" w:cs="Times New Roman"/>
          <w:lang w:eastAsia="lv-LV"/>
        </w:rPr>
        <w:t>s</w:t>
      </w:r>
      <w:r w:rsidRPr="005D266E">
        <w:rPr>
          <w:rFonts w:eastAsia="Times New Roman" w:cs="Times New Roman"/>
          <w:vertAlign w:val="superscript"/>
          <w:lang w:eastAsia="lv-LV"/>
        </w:rPr>
        <w:footnoteReference w:id="70"/>
      </w:r>
      <w:r w:rsidR="008D1367">
        <w:rPr>
          <w:rFonts w:eastAsia="Times New Roman" w:cs="Times New Roman"/>
          <w:lang w:eastAsia="lv-LV"/>
        </w:rPr>
        <w:t xml:space="preserve"> </w:t>
      </w:r>
      <w:r w:rsidR="008D1367" w:rsidRPr="00275814">
        <w:rPr>
          <w:rFonts w:eastAsia="Times New Roman" w:cs="Times New Roman"/>
          <w:lang w:eastAsia="lv-LV"/>
        </w:rPr>
        <w:t>–</w:t>
      </w:r>
      <w:r w:rsidRPr="00275814">
        <w:rPr>
          <w:rFonts w:eastAsia="Times New Roman" w:cs="Times New Roman"/>
          <w:lang w:eastAsia="lv-LV"/>
        </w:rPr>
        <w:t xml:space="preserve"> juurdepääsuliini osa viimasest jaotuspunktist lõppkasutaja lõpp-punktini on eraldatud, st teine ettevõtja rendib viimase kliendiliini segmendi/sektsiooni.</w:t>
      </w:r>
    </w:p>
    <w:p w14:paraId="5D5BEF36" w14:textId="6C6C84A7" w:rsidR="00275814" w:rsidRPr="00275814" w:rsidRDefault="00275814" w:rsidP="00AA241E">
      <w:pPr>
        <w:spacing w:after="240" w:line="240" w:lineRule="auto"/>
        <w:jc w:val="both"/>
        <w:rPr>
          <w:rFonts w:eastAsia="Times New Roman" w:cs="Times New Roman"/>
          <w:lang w:eastAsia="lv-LV"/>
        </w:rPr>
      </w:pPr>
      <w:r w:rsidRPr="00275814">
        <w:rPr>
          <w:rFonts w:eastAsia="Times New Roman" w:cs="Times New Roman"/>
          <w:lang w:eastAsia="lv-LV"/>
        </w:rPr>
        <w:t>Kõikidel füüsilise eraldamise juhtudel peab andmeedastuse ja aktiivsed seadmed tagama teenuseosutaja, kes tarbib konkreetset hulgimüügitasandi juurdepääsu, mitte võrguoperaator. See tähendab ka seda, et konkreetne kaabel (</w:t>
      </w:r>
      <w:r w:rsidR="002D69F7">
        <w:rPr>
          <w:rFonts w:eastAsia="Times New Roman" w:cs="Times New Roman"/>
          <w:lang w:eastAsia="lv-LV"/>
        </w:rPr>
        <w:t>vaskpaar</w:t>
      </w:r>
      <w:r w:rsidRPr="00275814">
        <w:rPr>
          <w:rFonts w:eastAsia="Times New Roman" w:cs="Times New Roman"/>
          <w:lang w:eastAsia="lv-LV"/>
        </w:rPr>
        <w:t xml:space="preserve">- või valguskaabli kiud), mida teine teenuseosutaja soovib eraldada, ühendatakse lahti võrguoperaatori elektroonilise side võrgust ja ühendatakse teise teenuseosutaja omandis oleva elektroonilise side võrguga. </w:t>
      </w:r>
      <w:r w:rsidRPr="00C80DAD">
        <w:rPr>
          <w:rFonts w:eastAsia="Times New Roman" w:cs="Times New Roman"/>
          <w:lang w:eastAsia="lv-LV"/>
        </w:rPr>
        <w:t>Kui kogu kliendiliin on komplektist eraldatud, on teisel seda võrguteenust kasutaval ettevõtjal oma toimiv juurdepääsuvõrk.</w:t>
      </w:r>
      <w:r w:rsidRPr="00275814">
        <w:rPr>
          <w:rFonts w:eastAsia="Times New Roman" w:cs="Times New Roman"/>
          <w:lang w:eastAsia="lv-LV"/>
        </w:rPr>
        <w:t xml:space="preserve"> </w:t>
      </w:r>
    </w:p>
    <w:p w14:paraId="7DA6C74D" w14:textId="56165E3C" w:rsidR="00275814" w:rsidRPr="00004C27" w:rsidRDefault="00275814" w:rsidP="00262302">
      <w:pPr>
        <w:pStyle w:val="Pealkiri4"/>
      </w:pPr>
      <w:r w:rsidRPr="00004C27">
        <w:t>Virtuaalne eraldamine või juurdepääs kohalikule andmevoole (VULA)</w:t>
      </w:r>
    </w:p>
    <w:p w14:paraId="0238D4A8" w14:textId="09DB02E4" w:rsidR="00275814" w:rsidRPr="00275814" w:rsidRDefault="00275814" w:rsidP="00AA241E">
      <w:pPr>
        <w:spacing w:after="120" w:line="240" w:lineRule="auto"/>
        <w:jc w:val="both"/>
        <w:rPr>
          <w:rFonts w:eastAsia="Times New Roman" w:cs="Times New Roman"/>
          <w:lang w:eastAsia="lv-LV"/>
        </w:rPr>
      </w:pPr>
      <w:r w:rsidRPr="00275814">
        <w:rPr>
          <w:rFonts w:eastAsia="Times New Roman" w:cs="Times New Roman"/>
          <w:lang w:eastAsia="lv-LV"/>
        </w:rPr>
        <w:t xml:space="preserve">Mitte kõik juurdepääsuvõrgu arhitektuurid ei võimalda kõigi kliendiliini segmentide (kliendiliin, </w:t>
      </w:r>
      <w:r w:rsidR="00336554">
        <w:rPr>
          <w:rFonts w:eastAsia="Times New Roman" w:cs="Times New Roman"/>
          <w:lang w:eastAsia="lv-LV"/>
        </w:rPr>
        <w:t>kliend</w:t>
      </w:r>
      <w:r w:rsidRPr="00275814">
        <w:rPr>
          <w:rFonts w:eastAsia="Times New Roman" w:cs="Times New Roman"/>
          <w:lang w:eastAsia="lv-LV"/>
        </w:rPr>
        <w:t>iliin või terminal) füüsilist eraldamist.</w:t>
      </w:r>
    </w:p>
    <w:p w14:paraId="5942D1EC" w14:textId="77777777" w:rsidR="00275814" w:rsidRPr="00275814" w:rsidRDefault="00275814" w:rsidP="00AA241E">
      <w:pPr>
        <w:spacing w:after="60" w:line="240" w:lineRule="auto"/>
        <w:jc w:val="both"/>
        <w:rPr>
          <w:rFonts w:eastAsia="Times New Roman" w:cs="Times New Roman"/>
          <w:lang w:eastAsia="lv-LV"/>
        </w:rPr>
      </w:pPr>
      <w:r w:rsidRPr="00275814">
        <w:rPr>
          <w:rFonts w:eastAsia="Times New Roman" w:cs="Times New Roman"/>
          <w:lang w:eastAsia="lv-LV"/>
        </w:rPr>
        <w:t>Kliendiliinide ja nende segmentide eraldamiseks on järgmised võimalused:</w:t>
      </w:r>
    </w:p>
    <w:p w14:paraId="737C40F9" w14:textId="77777777" w:rsidR="00275814" w:rsidRPr="00275814" w:rsidRDefault="00275814" w:rsidP="00AA241E">
      <w:pPr>
        <w:numPr>
          <w:ilvl w:val="0"/>
          <w:numId w:val="33"/>
        </w:numPr>
        <w:spacing w:after="60" w:line="240" w:lineRule="auto"/>
        <w:jc w:val="both"/>
        <w:rPr>
          <w:rFonts w:eastAsia="Times New Roman" w:cs="Times New Roman"/>
          <w:lang w:eastAsia="lv-LV"/>
        </w:rPr>
      </w:pPr>
      <w:r w:rsidRPr="00275814">
        <w:rPr>
          <w:rFonts w:eastAsia="Times New Roman" w:cs="Times New Roman"/>
          <w:lang w:eastAsia="lv-LV"/>
        </w:rPr>
        <w:t>vaskpaari saab füüsiliselt eraldada MDF-</w:t>
      </w:r>
      <w:proofErr w:type="spellStart"/>
      <w:r w:rsidRPr="00275814">
        <w:rPr>
          <w:rFonts w:eastAsia="Times New Roman" w:cs="Times New Roman"/>
          <w:lang w:eastAsia="lv-LV"/>
        </w:rPr>
        <w:t>is</w:t>
      </w:r>
      <w:proofErr w:type="spellEnd"/>
      <w:r w:rsidRPr="00275814">
        <w:rPr>
          <w:rFonts w:eastAsia="Times New Roman" w:cs="Times New Roman"/>
          <w:lang w:eastAsia="lv-LV"/>
        </w:rPr>
        <w:t>, jaotuskilbis ja viimases jaotuspunktis (suund MDF-ist), st on võimalik eraldada kliendiliin, alam-kliendiliin ja lõpp-punkt, kuna MDF-ist paigaldatakse eraldi vaskpaar igale lõppkliendile tema lõpp-punktini;</w:t>
      </w:r>
    </w:p>
    <w:p w14:paraId="00D57311" w14:textId="269039C8" w:rsidR="00275814" w:rsidRPr="00275814" w:rsidRDefault="00275814" w:rsidP="00AA241E">
      <w:pPr>
        <w:numPr>
          <w:ilvl w:val="0"/>
          <w:numId w:val="33"/>
        </w:numPr>
        <w:spacing w:after="60" w:line="240" w:lineRule="auto"/>
        <w:jc w:val="both"/>
        <w:rPr>
          <w:rFonts w:eastAsia="Times New Roman" w:cs="Times New Roman"/>
          <w:lang w:eastAsia="lv-LV"/>
        </w:rPr>
      </w:pPr>
      <w:r w:rsidRPr="00275814">
        <w:rPr>
          <w:rFonts w:eastAsia="Times New Roman" w:cs="Times New Roman"/>
          <w:lang w:eastAsia="lv-LV"/>
        </w:rPr>
        <w:t xml:space="preserve">FTTN-võrgu puhul edastatakse mitme lõppkasutaja andmed valguskaabel kiu kaudu ODF-ist jaotuskilpi, mistõttu ODF-ist ei ole võimalik füüsiliselt juurdepääsu osutada. Seda saab teha jaotuskilbis või viimases (suund ODF-ist) jaotuspunktis, st on olemas võimalused alam-kliendiliini ja lõpliku ühenduse eraldamiseks. VDSL2 </w:t>
      </w:r>
      <w:r w:rsidR="00BD5C2A">
        <w:rPr>
          <w:rFonts w:eastAsia="Times New Roman" w:cs="Times New Roman"/>
          <w:lang w:eastAsia="lv-LV"/>
        </w:rPr>
        <w:t>v</w:t>
      </w:r>
      <w:proofErr w:type="spellStart"/>
      <w:r w:rsidRPr="00275814">
        <w:rPr>
          <w:rFonts w:eastAsia="Times New Roman" w:cs="Times New Roman"/>
          <w:i/>
          <w:iCs/>
          <w:lang w:val="en-GB" w:eastAsia="lv-LV"/>
        </w:rPr>
        <w:t>ectoring</w:t>
      </w:r>
      <w:proofErr w:type="spellEnd"/>
      <w:r w:rsidRPr="00275814">
        <w:rPr>
          <w:rFonts w:eastAsia="Times New Roman" w:cs="Times New Roman"/>
          <w:lang w:eastAsia="lv-LV"/>
        </w:rPr>
        <w:t xml:space="preserve"> tehniline lahenduse puhul ei ole füüsiline eraldamine tehniliselt võimalik;</w:t>
      </w:r>
    </w:p>
    <w:p w14:paraId="17AC0827" w14:textId="77777777" w:rsidR="00275814" w:rsidRPr="00275814" w:rsidRDefault="00275814" w:rsidP="00AA241E">
      <w:pPr>
        <w:numPr>
          <w:ilvl w:val="0"/>
          <w:numId w:val="33"/>
        </w:numPr>
        <w:spacing w:after="60" w:line="240" w:lineRule="auto"/>
        <w:jc w:val="both"/>
        <w:rPr>
          <w:rFonts w:eastAsia="Times New Roman" w:cs="Times New Roman"/>
          <w:lang w:eastAsia="lv-LV"/>
        </w:rPr>
      </w:pPr>
      <w:r w:rsidRPr="00275814">
        <w:rPr>
          <w:rFonts w:eastAsia="Times New Roman" w:cs="Times New Roman"/>
          <w:lang w:eastAsia="lv-LV"/>
        </w:rPr>
        <w:t>FTTB puhul edastatakse mitme lõppkasutaja andmed valguskaabel kiu mahu vahendusel ODF-ist viimasesse jaotuspunkti/jaoturisse, kuid üldjuhul viikase ODF aadressiobjektini rohkem kui üks valgus kiud ja seda vaba valgus kiudu on võimalik ODF-ist viimasesse jaotuspunkti/jaoturisse füüsiliselt eraldada.</w:t>
      </w:r>
    </w:p>
    <w:p w14:paraId="3DC183C1" w14:textId="24EC1BA4" w:rsidR="00275814" w:rsidRPr="00275814" w:rsidRDefault="00275814" w:rsidP="00AA241E">
      <w:pPr>
        <w:numPr>
          <w:ilvl w:val="0"/>
          <w:numId w:val="33"/>
        </w:numPr>
        <w:spacing w:after="60" w:line="240" w:lineRule="auto"/>
        <w:jc w:val="both"/>
        <w:rPr>
          <w:rFonts w:eastAsia="Times New Roman" w:cs="Times New Roman"/>
          <w:lang w:eastAsia="lv-LV"/>
        </w:rPr>
      </w:pPr>
      <w:r w:rsidRPr="00275814">
        <w:rPr>
          <w:rFonts w:eastAsia="Times New Roman" w:cs="Times New Roman"/>
          <w:lang w:eastAsia="lv-LV"/>
        </w:rPr>
        <w:t xml:space="preserve">FTTH PON puhul edastatakse mitme lõppkasutaja andmed valguskaabel kiu mahu vahendusel ODF-ist viimasesse jaotuspunkti/jaoturisse, mis muudab ODF-i füüsilise eraldamise füüsiliselt võimatuks. </w:t>
      </w:r>
      <w:proofErr w:type="spellStart"/>
      <w:r w:rsidRPr="00275814">
        <w:rPr>
          <w:rFonts w:eastAsia="Times New Roman" w:cs="Times New Roman"/>
          <w:lang w:eastAsia="lv-LV"/>
        </w:rPr>
        <w:t>PON-i</w:t>
      </w:r>
      <w:proofErr w:type="spellEnd"/>
      <w:r w:rsidRPr="00275814">
        <w:rPr>
          <w:rFonts w:eastAsia="Times New Roman" w:cs="Times New Roman"/>
          <w:lang w:eastAsia="lv-LV"/>
        </w:rPr>
        <w:t xml:space="preserve"> puhul saab seda teha viimases (suund ODF-ist) jaotuspunktis või </w:t>
      </w:r>
      <w:proofErr w:type="spellStart"/>
      <w:r w:rsidRPr="00275814">
        <w:rPr>
          <w:rFonts w:eastAsia="Times New Roman" w:cs="Times New Roman"/>
          <w:lang w:eastAsia="lv-LV"/>
        </w:rPr>
        <w:t>PON-i</w:t>
      </w:r>
      <w:proofErr w:type="spellEnd"/>
      <w:r w:rsidRPr="00275814">
        <w:rPr>
          <w:rFonts w:eastAsia="Times New Roman" w:cs="Times New Roman"/>
          <w:lang w:eastAsia="lv-LV"/>
        </w:rPr>
        <w:t xml:space="preserve"> puhul viimases (suund ODF-ist) passiivses </w:t>
      </w:r>
      <w:r w:rsidR="000214D5">
        <w:rPr>
          <w:rFonts w:eastAsia="Times New Roman" w:cs="Times New Roman"/>
          <w:lang w:eastAsia="lv-LV"/>
        </w:rPr>
        <w:t>valguskaabli</w:t>
      </w:r>
      <w:r w:rsidRPr="00275814">
        <w:rPr>
          <w:rFonts w:eastAsia="Times New Roman" w:cs="Times New Roman"/>
          <w:lang w:eastAsia="lv-LV"/>
        </w:rPr>
        <w:t xml:space="preserve"> jaoturis/</w:t>
      </w:r>
      <w:proofErr w:type="spellStart"/>
      <w:r w:rsidRPr="00275814">
        <w:rPr>
          <w:rFonts w:eastAsia="Times New Roman" w:cs="Times New Roman"/>
          <w:i/>
          <w:iCs/>
          <w:lang w:eastAsia="lv-LV"/>
        </w:rPr>
        <w:t>splitteris</w:t>
      </w:r>
      <w:proofErr w:type="spellEnd"/>
      <w:r w:rsidRPr="00275814">
        <w:rPr>
          <w:rFonts w:eastAsia="Times New Roman" w:cs="Times New Roman"/>
          <w:lang w:eastAsia="lv-LV"/>
        </w:rPr>
        <w:t>, st eraldatud on ainult kliendiliini viimanelõik;</w:t>
      </w:r>
    </w:p>
    <w:p w14:paraId="43E8624F" w14:textId="5C818E7F" w:rsidR="00275814" w:rsidRPr="00275814" w:rsidRDefault="00275814" w:rsidP="00AA241E">
      <w:pPr>
        <w:numPr>
          <w:ilvl w:val="0"/>
          <w:numId w:val="33"/>
        </w:numPr>
        <w:spacing w:after="120" w:line="240" w:lineRule="auto"/>
        <w:ind w:left="714" w:hanging="357"/>
        <w:jc w:val="both"/>
        <w:rPr>
          <w:rFonts w:eastAsia="Times New Roman" w:cs="Times New Roman"/>
          <w:lang w:eastAsia="lv-LV"/>
        </w:rPr>
      </w:pPr>
      <w:r w:rsidRPr="00275814">
        <w:rPr>
          <w:rFonts w:eastAsia="Times New Roman" w:cs="Times New Roman"/>
          <w:lang w:eastAsia="lv-LV"/>
        </w:rPr>
        <w:t>FTTH-tüüpi P2P-arhitektuuri puhul paigaldatakse ODF-ist lõppkasutaja lõpp-punktini eraldi kiud, nii et neid saab füüsiliselt eraldada nii ODF-</w:t>
      </w:r>
      <w:proofErr w:type="spellStart"/>
      <w:r w:rsidRPr="00275814">
        <w:rPr>
          <w:rFonts w:eastAsia="Times New Roman" w:cs="Times New Roman"/>
          <w:lang w:eastAsia="lv-LV"/>
        </w:rPr>
        <w:t>is</w:t>
      </w:r>
      <w:proofErr w:type="spellEnd"/>
      <w:r w:rsidRPr="00275814">
        <w:rPr>
          <w:rFonts w:eastAsia="Times New Roman" w:cs="Times New Roman"/>
          <w:lang w:eastAsia="lv-LV"/>
        </w:rPr>
        <w:t xml:space="preserve"> kui ka viimases (ODF-jaotuspunktist lähtuvas suunas), st on võimalik kliendiliin ja </w:t>
      </w:r>
      <w:r w:rsidR="00336554">
        <w:rPr>
          <w:rFonts w:eastAsia="Times New Roman" w:cs="Times New Roman"/>
          <w:lang w:eastAsia="lv-LV"/>
        </w:rPr>
        <w:t>kliend</w:t>
      </w:r>
      <w:r w:rsidRPr="00275814">
        <w:rPr>
          <w:rFonts w:eastAsia="Times New Roman" w:cs="Times New Roman"/>
          <w:lang w:eastAsia="lv-LV"/>
        </w:rPr>
        <w:t>iliini lõpp eraldada.</w:t>
      </w:r>
    </w:p>
    <w:p w14:paraId="4510551A" w14:textId="52135697" w:rsidR="00275814" w:rsidRPr="00275814" w:rsidRDefault="00275814" w:rsidP="00AA241E">
      <w:pPr>
        <w:spacing w:after="120" w:line="240" w:lineRule="auto"/>
        <w:jc w:val="both"/>
        <w:rPr>
          <w:rFonts w:eastAsia="Times New Roman" w:cs="Times New Roman"/>
          <w:b/>
          <w:szCs w:val="20"/>
          <w:lang w:eastAsia="lv-LV"/>
        </w:rPr>
      </w:pPr>
      <w:r w:rsidRPr="00275814">
        <w:rPr>
          <w:rFonts w:eastAsia="Times New Roman" w:cs="Times New Roman"/>
          <w:lang w:eastAsia="lv-LV"/>
        </w:rPr>
        <w:lastRenderedPageBreak/>
        <w:t>Tabelis 1</w:t>
      </w:r>
      <w:r w:rsidR="00E5522B">
        <w:rPr>
          <w:rFonts w:eastAsia="Times New Roman" w:cs="Times New Roman"/>
          <w:lang w:eastAsia="lv-LV"/>
        </w:rPr>
        <w:t>8</w:t>
      </w:r>
      <w:r w:rsidRPr="00275814">
        <w:rPr>
          <w:rFonts w:eastAsia="Times New Roman" w:cs="Times New Roman"/>
          <w:lang w:eastAsia="lv-LV"/>
        </w:rPr>
        <w:t xml:space="preserve"> on esitatud kokkuvõte füüsilise eraldamise võimalustest juurdepääsusõlmest MDF/ODF.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2693"/>
      </w:tblGrid>
      <w:tr w:rsidR="00275814" w:rsidRPr="00275814" w14:paraId="777EA6D1" w14:textId="77777777">
        <w:trPr>
          <w:jc w:val="center"/>
        </w:trPr>
        <w:tc>
          <w:tcPr>
            <w:tcW w:w="2382" w:type="dxa"/>
            <w:shd w:val="clear" w:color="auto" w:fill="auto"/>
            <w:vAlign w:val="center"/>
          </w:tcPr>
          <w:p w14:paraId="0A9C4E63" w14:textId="77777777" w:rsidR="00275814" w:rsidRPr="00275814" w:rsidRDefault="00275814" w:rsidP="00AA241E">
            <w:pPr>
              <w:spacing w:after="120" w:line="240" w:lineRule="auto"/>
              <w:jc w:val="both"/>
              <w:rPr>
                <w:rFonts w:eastAsia="Times New Roman" w:cs="Times New Roman"/>
                <w:bCs/>
                <w:sz w:val="20"/>
                <w:szCs w:val="20"/>
                <w:lang w:eastAsia="lv-LV"/>
              </w:rPr>
            </w:pPr>
            <w:r w:rsidRPr="00275814">
              <w:rPr>
                <w:rFonts w:eastAsia="Times New Roman" w:cs="Times New Roman"/>
                <w:bCs/>
                <w:sz w:val="20"/>
                <w:szCs w:val="20"/>
                <w:lang w:eastAsia="lv-LV"/>
              </w:rPr>
              <w:t>Juurdepääsuvõrgu arhitektuur</w:t>
            </w:r>
          </w:p>
        </w:tc>
        <w:tc>
          <w:tcPr>
            <w:tcW w:w="2693" w:type="dxa"/>
            <w:shd w:val="clear" w:color="auto" w:fill="auto"/>
            <w:vAlign w:val="center"/>
          </w:tcPr>
          <w:p w14:paraId="2977E450" w14:textId="77777777" w:rsidR="00275814" w:rsidRPr="00275814" w:rsidRDefault="00275814" w:rsidP="00AA241E">
            <w:pPr>
              <w:spacing w:after="120" w:line="240" w:lineRule="auto"/>
              <w:jc w:val="both"/>
              <w:rPr>
                <w:rFonts w:eastAsia="Times New Roman" w:cs="Times New Roman"/>
                <w:bCs/>
                <w:sz w:val="20"/>
                <w:szCs w:val="20"/>
                <w:lang w:eastAsia="lv-LV"/>
              </w:rPr>
            </w:pPr>
            <w:r w:rsidRPr="00275814">
              <w:rPr>
                <w:rFonts w:eastAsia="Times New Roman" w:cs="Times New Roman"/>
                <w:bCs/>
                <w:sz w:val="20"/>
                <w:szCs w:val="20"/>
                <w:lang w:eastAsia="lv-LV"/>
              </w:rPr>
              <w:t>Juurdepääsu punkt vaskpaar/valguskaabel kiule MDF/ODF sõlmest kliendiliini lõpp-punktile</w:t>
            </w:r>
          </w:p>
        </w:tc>
      </w:tr>
      <w:tr w:rsidR="00275814" w:rsidRPr="00275814" w14:paraId="5DD266FF" w14:textId="77777777">
        <w:trPr>
          <w:trHeight w:val="469"/>
          <w:jc w:val="center"/>
        </w:trPr>
        <w:tc>
          <w:tcPr>
            <w:tcW w:w="2382" w:type="dxa"/>
            <w:shd w:val="clear" w:color="auto" w:fill="auto"/>
            <w:vAlign w:val="center"/>
          </w:tcPr>
          <w:p w14:paraId="50D288A3" w14:textId="77777777" w:rsidR="00275814" w:rsidRPr="00275814" w:rsidRDefault="00275814" w:rsidP="00AA241E">
            <w:pPr>
              <w:spacing w:after="120" w:line="240" w:lineRule="auto"/>
              <w:jc w:val="both"/>
              <w:rPr>
                <w:rFonts w:eastAsia="Times New Roman" w:cs="Times New Roman"/>
                <w:sz w:val="20"/>
                <w:szCs w:val="20"/>
                <w:lang w:eastAsia="lv-LV"/>
              </w:rPr>
            </w:pPr>
            <w:r w:rsidRPr="00275814">
              <w:rPr>
                <w:rFonts w:eastAsia="Times New Roman" w:cs="Times New Roman"/>
                <w:sz w:val="20"/>
                <w:szCs w:val="20"/>
                <w:lang w:eastAsia="lv-LV"/>
              </w:rPr>
              <w:t>Vaskpaar</w:t>
            </w:r>
          </w:p>
        </w:tc>
        <w:tc>
          <w:tcPr>
            <w:tcW w:w="2693" w:type="dxa"/>
            <w:shd w:val="clear" w:color="auto" w:fill="auto"/>
            <w:vAlign w:val="center"/>
          </w:tcPr>
          <w:p w14:paraId="37D0BC3E" w14:textId="77777777" w:rsidR="00275814" w:rsidRPr="00275814" w:rsidRDefault="00275814" w:rsidP="00403A74">
            <w:pPr>
              <w:spacing w:after="0" w:line="240" w:lineRule="auto"/>
              <w:jc w:val="center"/>
              <w:rPr>
                <w:rFonts w:eastAsia="Times New Roman" w:cs="Times New Roman"/>
                <w:sz w:val="20"/>
                <w:szCs w:val="20"/>
                <w:lang w:eastAsia="lv-LV"/>
              </w:rPr>
            </w:pPr>
            <w:r w:rsidRPr="00275814">
              <w:rPr>
                <w:rFonts w:eastAsia="Times New Roman" w:cs="Times New Roman"/>
                <w:noProof/>
                <w:sz w:val="20"/>
                <w:szCs w:val="20"/>
                <w:lang w:eastAsia="lv-LV"/>
              </w:rPr>
              <w:drawing>
                <wp:inline distT="0" distB="0" distL="0" distR="0" wp14:anchorId="2EEBF1CB" wp14:editId="2CA7D12A">
                  <wp:extent cx="281305" cy="267335"/>
                  <wp:effectExtent l="0" t="0" r="4445" b="0"/>
                  <wp:docPr id="131" name="Pilt 131" descr="Pilt, kus on taim&#10;&#10;Kirjeldus luuakse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ttēls 131" descr="Attēls, kurā ir augs&#10;&#10;Apraksts ģenerēts automātisk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305" cy="267335"/>
                          </a:xfrm>
                          <a:prstGeom prst="rect">
                            <a:avLst/>
                          </a:prstGeom>
                          <a:noFill/>
                          <a:ln>
                            <a:noFill/>
                          </a:ln>
                        </pic:spPr>
                      </pic:pic>
                    </a:graphicData>
                  </a:graphic>
                </wp:inline>
              </w:drawing>
            </w:r>
          </w:p>
        </w:tc>
      </w:tr>
      <w:tr w:rsidR="00275814" w:rsidRPr="00275814" w14:paraId="6F75EC11" w14:textId="77777777">
        <w:trPr>
          <w:trHeight w:val="474"/>
          <w:jc w:val="center"/>
        </w:trPr>
        <w:tc>
          <w:tcPr>
            <w:tcW w:w="2382" w:type="dxa"/>
            <w:shd w:val="clear" w:color="auto" w:fill="auto"/>
            <w:vAlign w:val="center"/>
          </w:tcPr>
          <w:p w14:paraId="6BC6219F" w14:textId="77777777" w:rsidR="00275814" w:rsidRPr="00275814" w:rsidRDefault="00275814" w:rsidP="00AA241E">
            <w:pPr>
              <w:spacing w:after="120" w:line="240" w:lineRule="auto"/>
              <w:jc w:val="both"/>
              <w:rPr>
                <w:rFonts w:eastAsia="Times New Roman" w:cs="Times New Roman"/>
                <w:sz w:val="20"/>
                <w:szCs w:val="20"/>
                <w:lang w:eastAsia="lv-LV"/>
              </w:rPr>
            </w:pPr>
            <w:r w:rsidRPr="00275814">
              <w:rPr>
                <w:rFonts w:eastAsia="Times New Roman" w:cs="Times New Roman"/>
                <w:sz w:val="20"/>
                <w:szCs w:val="20"/>
                <w:lang w:eastAsia="lv-LV"/>
              </w:rPr>
              <w:t>FTTN</w:t>
            </w:r>
          </w:p>
        </w:tc>
        <w:tc>
          <w:tcPr>
            <w:tcW w:w="2693" w:type="dxa"/>
            <w:shd w:val="clear" w:color="auto" w:fill="auto"/>
            <w:vAlign w:val="center"/>
          </w:tcPr>
          <w:p w14:paraId="2B04BA90" w14:textId="77777777" w:rsidR="00275814" w:rsidRPr="00275814" w:rsidRDefault="00275814" w:rsidP="00403A74">
            <w:pPr>
              <w:spacing w:after="120" w:line="240" w:lineRule="auto"/>
              <w:jc w:val="center"/>
              <w:rPr>
                <w:rFonts w:eastAsia="Times New Roman" w:cs="Times New Roman"/>
                <w:sz w:val="20"/>
                <w:szCs w:val="20"/>
                <w:lang w:eastAsia="lv-LV"/>
              </w:rPr>
            </w:pPr>
            <w:r w:rsidRPr="00275814">
              <w:rPr>
                <w:rFonts w:eastAsia="Times New Roman" w:cs="Times New Roman"/>
                <w:noProof/>
                <w:sz w:val="20"/>
                <w:szCs w:val="20"/>
                <w:lang w:eastAsia="lv-LV"/>
              </w:rPr>
              <w:drawing>
                <wp:inline distT="0" distB="0" distL="0" distR="0" wp14:anchorId="3D0FF89F" wp14:editId="28C1C6BA">
                  <wp:extent cx="295275" cy="295275"/>
                  <wp:effectExtent l="0" t="0" r="9525" b="9525"/>
                  <wp:docPr id="129" name="Pilt 129" descr="Värvi, kunsti, tähte sisaldav pilt&#10;&#10;Kirjeldus luuakse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ttēls 129" descr="Attēls, kurā ir krāsainība, māksla, zvaigzne&#10;&#10;Apraksts ģenerēts automātisk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r>
      <w:tr w:rsidR="00275814" w:rsidRPr="00275814" w14:paraId="33E07DC3" w14:textId="77777777">
        <w:trPr>
          <w:jc w:val="center"/>
        </w:trPr>
        <w:tc>
          <w:tcPr>
            <w:tcW w:w="2382" w:type="dxa"/>
            <w:shd w:val="clear" w:color="auto" w:fill="auto"/>
            <w:vAlign w:val="center"/>
          </w:tcPr>
          <w:p w14:paraId="19EE4C80" w14:textId="1A858355" w:rsidR="00275814" w:rsidRPr="00275814" w:rsidRDefault="00275814" w:rsidP="00AA241E">
            <w:pPr>
              <w:spacing w:after="120" w:line="240" w:lineRule="auto"/>
              <w:jc w:val="both"/>
              <w:rPr>
                <w:rFonts w:eastAsia="Times New Roman" w:cs="Times New Roman"/>
                <w:sz w:val="20"/>
                <w:szCs w:val="20"/>
                <w:lang w:eastAsia="lv-LV"/>
              </w:rPr>
            </w:pPr>
            <w:r w:rsidRPr="00275814">
              <w:rPr>
                <w:rFonts w:eastAsia="Times New Roman" w:cs="Times New Roman"/>
                <w:sz w:val="20"/>
                <w:szCs w:val="20"/>
                <w:lang w:eastAsia="lv-LV"/>
              </w:rPr>
              <w:t xml:space="preserve">VDSL2 </w:t>
            </w:r>
            <w:r w:rsidR="00BD5C2A">
              <w:rPr>
                <w:rFonts w:eastAsia="Times New Roman" w:cs="Times New Roman"/>
                <w:sz w:val="20"/>
                <w:szCs w:val="20"/>
                <w:lang w:eastAsia="lv-LV"/>
              </w:rPr>
              <w:t>v</w:t>
            </w:r>
            <w:proofErr w:type="spellStart"/>
            <w:r w:rsidRPr="00275814">
              <w:rPr>
                <w:rFonts w:eastAsia="Times New Roman" w:cs="Times New Roman"/>
                <w:i/>
                <w:iCs/>
                <w:sz w:val="20"/>
                <w:szCs w:val="20"/>
                <w:lang w:val="en-GB" w:eastAsia="lv-LV"/>
              </w:rPr>
              <w:t>ectoring</w:t>
            </w:r>
            <w:proofErr w:type="spellEnd"/>
          </w:p>
        </w:tc>
        <w:tc>
          <w:tcPr>
            <w:tcW w:w="2693" w:type="dxa"/>
            <w:shd w:val="clear" w:color="auto" w:fill="auto"/>
            <w:vAlign w:val="center"/>
          </w:tcPr>
          <w:p w14:paraId="65F99BF2" w14:textId="77777777" w:rsidR="00275814" w:rsidRPr="00275814" w:rsidRDefault="00275814" w:rsidP="00403A74">
            <w:pPr>
              <w:spacing w:after="120" w:line="240" w:lineRule="auto"/>
              <w:jc w:val="center"/>
              <w:rPr>
                <w:rFonts w:eastAsia="Times New Roman" w:cs="Times New Roman"/>
                <w:sz w:val="20"/>
                <w:szCs w:val="20"/>
                <w:lang w:eastAsia="lv-LV"/>
              </w:rPr>
            </w:pPr>
            <w:r w:rsidRPr="00275814">
              <w:rPr>
                <w:rFonts w:eastAsia="Times New Roman" w:cs="Times New Roman"/>
                <w:noProof/>
                <w:sz w:val="20"/>
                <w:szCs w:val="20"/>
                <w:lang w:eastAsia="lv-LV"/>
              </w:rPr>
              <w:drawing>
                <wp:inline distT="0" distB="0" distL="0" distR="0" wp14:anchorId="2CF194AE" wp14:editId="4AE19926">
                  <wp:extent cx="295275" cy="295275"/>
                  <wp:effectExtent l="0" t="0" r="9525" b="9525"/>
                  <wp:docPr id="127" name="Pilt 127" descr="Värvi, kunsti, tähte sisaldav pilt&#10;&#10;Kirjeldus luuakse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ttēls 127" descr="Attēls, kurā ir krāsainība, māksla, zvaigzne&#10;&#10;Apraksts ģenerēts automātisk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r>
      <w:tr w:rsidR="00275814" w:rsidRPr="00275814" w14:paraId="4A444166" w14:textId="77777777">
        <w:trPr>
          <w:jc w:val="center"/>
        </w:trPr>
        <w:tc>
          <w:tcPr>
            <w:tcW w:w="2382" w:type="dxa"/>
            <w:shd w:val="clear" w:color="auto" w:fill="auto"/>
            <w:vAlign w:val="center"/>
          </w:tcPr>
          <w:p w14:paraId="46457C6E" w14:textId="77777777" w:rsidR="00275814" w:rsidRPr="00275814" w:rsidRDefault="00275814" w:rsidP="00AA241E">
            <w:pPr>
              <w:spacing w:after="120" w:line="240" w:lineRule="auto"/>
              <w:jc w:val="both"/>
              <w:rPr>
                <w:rFonts w:eastAsia="Times New Roman" w:cs="Times New Roman"/>
                <w:sz w:val="20"/>
                <w:szCs w:val="20"/>
                <w:lang w:eastAsia="lv-LV"/>
              </w:rPr>
            </w:pPr>
            <w:r w:rsidRPr="00275814">
              <w:rPr>
                <w:rFonts w:eastAsia="Times New Roman" w:cs="Times New Roman"/>
                <w:sz w:val="20"/>
                <w:szCs w:val="20"/>
                <w:lang w:eastAsia="lv-LV"/>
              </w:rPr>
              <w:t>FTTB</w:t>
            </w:r>
          </w:p>
        </w:tc>
        <w:tc>
          <w:tcPr>
            <w:tcW w:w="2693" w:type="dxa"/>
            <w:shd w:val="clear" w:color="auto" w:fill="auto"/>
            <w:vAlign w:val="center"/>
          </w:tcPr>
          <w:p w14:paraId="72C35296" w14:textId="77777777" w:rsidR="00275814" w:rsidRPr="00275814" w:rsidRDefault="00275814" w:rsidP="00403A74">
            <w:pPr>
              <w:spacing w:after="120" w:line="240" w:lineRule="auto"/>
              <w:jc w:val="center"/>
              <w:rPr>
                <w:rFonts w:eastAsia="Times New Roman" w:cs="Times New Roman"/>
                <w:sz w:val="20"/>
                <w:szCs w:val="20"/>
                <w:lang w:eastAsia="lv-LV"/>
              </w:rPr>
            </w:pPr>
            <w:r w:rsidRPr="00275814">
              <w:rPr>
                <w:rFonts w:eastAsia="Times New Roman" w:cs="Times New Roman"/>
                <w:noProof/>
                <w:sz w:val="20"/>
                <w:szCs w:val="20"/>
                <w:lang w:eastAsia="lv-LV"/>
              </w:rPr>
              <w:drawing>
                <wp:inline distT="0" distB="0" distL="0" distR="0" wp14:anchorId="4BBD1AA6" wp14:editId="30B435F6">
                  <wp:extent cx="281305" cy="267335"/>
                  <wp:effectExtent l="0" t="0" r="4445" b="0"/>
                  <wp:docPr id="432058443" name="Pilt 432058443" descr="Pilt, kus on taim&#10;&#10;Kirjeldus luuakse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Attēls 121" descr="Attēls, kurā ir augs&#10;&#10;Apraksts ģenerēts automātisk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305" cy="267335"/>
                          </a:xfrm>
                          <a:prstGeom prst="rect">
                            <a:avLst/>
                          </a:prstGeom>
                          <a:noFill/>
                          <a:ln>
                            <a:noFill/>
                          </a:ln>
                        </pic:spPr>
                      </pic:pic>
                    </a:graphicData>
                  </a:graphic>
                </wp:inline>
              </w:drawing>
            </w:r>
          </w:p>
        </w:tc>
      </w:tr>
      <w:tr w:rsidR="00275814" w:rsidRPr="00275814" w14:paraId="730C440B" w14:textId="77777777">
        <w:trPr>
          <w:jc w:val="center"/>
        </w:trPr>
        <w:tc>
          <w:tcPr>
            <w:tcW w:w="2382" w:type="dxa"/>
            <w:shd w:val="clear" w:color="auto" w:fill="auto"/>
            <w:vAlign w:val="center"/>
          </w:tcPr>
          <w:p w14:paraId="378DB81A" w14:textId="77777777" w:rsidR="00275814" w:rsidRPr="00275814" w:rsidRDefault="00275814" w:rsidP="00AA241E">
            <w:pPr>
              <w:spacing w:after="120" w:line="240" w:lineRule="auto"/>
              <w:jc w:val="both"/>
              <w:rPr>
                <w:rFonts w:eastAsia="Times New Roman" w:cs="Times New Roman"/>
                <w:sz w:val="20"/>
                <w:szCs w:val="20"/>
                <w:lang w:eastAsia="lv-LV"/>
              </w:rPr>
            </w:pPr>
            <w:r w:rsidRPr="00275814">
              <w:rPr>
                <w:rFonts w:eastAsia="Times New Roman" w:cs="Times New Roman"/>
                <w:sz w:val="20"/>
                <w:szCs w:val="20"/>
                <w:lang w:eastAsia="lv-LV"/>
              </w:rPr>
              <w:t>FTTH PON</w:t>
            </w:r>
          </w:p>
        </w:tc>
        <w:tc>
          <w:tcPr>
            <w:tcW w:w="2693" w:type="dxa"/>
            <w:shd w:val="clear" w:color="auto" w:fill="auto"/>
            <w:vAlign w:val="center"/>
          </w:tcPr>
          <w:p w14:paraId="52DC9350" w14:textId="77777777" w:rsidR="00275814" w:rsidRPr="00275814" w:rsidRDefault="00275814" w:rsidP="00403A74">
            <w:pPr>
              <w:spacing w:after="120" w:line="240" w:lineRule="auto"/>
              <w:jc w:val="center"/>
              <w:rPr>
                <w:rFonts w:eastAsia="Times New Roman" w:cs="Times New Roman"/>
                <w:sz w:val="20"/>
                <w:szCs w:val="20"/>
                <w:lang w:eastAsia="lv-LV"/>
              </w:rPr>
            </w:pPr>
            <w:r w:rsidRPr="00275814">
              <w:rPr>
                <w:rFonts w:eastAsia="Times New Roman" w:cs="Times New Roman"/>
                <w:noProof/>
                <w:sz w:val="20"/>
                <w:szCs w:val="20"/>
                <w:lang w:eastAsia="lv-LV"/>
              </w:rPr>
              <w:drawing>
                <wp:inline distT="0" distB="0" distL="0" distR="0" wp14:anchorId="0C86E82D" wp14:editId="2E85B69A">
                  <wp:extent cx="295275" cy="295275"/>
                  <wp:effectExtent l="0" t="0" r="9525" b="9525"/>
                  <wp:docPr id="123" name="Pilt 123" descr="Värvi, kunsti, tähte sisaldav pilt&#10;&#10;Kirjeldus luuakse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Attēls 123" descr="Attēls, kurā ir krāsainība, māksla, zvaigzne&#10;&#10;Apraksts ģenerēts automātisk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r>
      <w:tr w:rsidR="00275814" w:rsidRPr="00275814" w14:paraId="0D9D99BE" w14:textId="77777777">
        <w:trPr>
          <w:jc w:val="center"/>
        </w:trPr>
        <w:tc>
          <w:tcPr>
            <w:tcW w:w="2382" w:type="dxa"/>
            <w:shd w:val="clear" w:color="auto" w:fill="auto"/>
            <w:vAlign w:val="center"/>
          </w:tcPr>
          <w:p w14:paraId="389B4DFC" w14:textId="77777777" w:rsidR="00275814" w:rsidRPr="00275814" w:rsidRDefault="00275814" w:rsidP="00AA241E">
            <w:pPr>
              <w:spacing w:after="120" w:line="240" w:lineRule="auto"/>
              <w:jc w:val="both"/>
              <w:rPr>
                <w:rFonts w:eastAsia="Times New Roman" w:cs="Times New Roman"/>
                <w:sz w:val="20"/>
                <w:szCs w:val="20"/>
                <w:lang w:eastAsia="lv-LV"/>
              </w:rPr>
            </w:pPr>
            <w:r w:rsidRPr="00275814">
              <w:rPr>
                <w:rFonts w:eastAsia="Times New Roman" w:cs="Times New Roman"/>
                <w:sz w:val="20"/>
                <w:szCs w:val="20"/>
                <w:lang w:eastAsia="lv-LV"/>
              </w:rPr>
              <w:t>FTTH P2P</w:t>
            </w:r>
          </w:p>
        </w:tc>
        <w:tc>
          <w:tcPr>
            <w:tcW w:w="2693" w:type="dxa"/>
            <w:shd w:val="clear" w:color="auto" w:fill="auto"/>
            <w:vAlign w:val="center"/>
          </w:tcPr>
          <w:p w14:paraId="390B9D48" w14:textId="77777777" w:rsidR="00275814" w:rsidRPr="00275814" w:rsidRDefault="00275814" w:rsidP="00403A74">
            <w:pPr>
              <w:spacing w:after="120" w:line="240" w:lineRule="auto"/>
              <w:jc w:val="center"/>
              <w:rPr>
                <w:rFonts w:eastAsia="Times New Roman" w:cs="Times New Roman"/>
                <w:sz w:val="20"/>
                <w:szCs w:val="20"/>
                <w:lang w:eastAsia="lv-LV"/>
              </w:rPr>
            </w:pPr>
            <w:r w:rsidRPr="00275814">
              <w:rPr>
                <w:rFonts w:eastAsia="Times New Roman" w:cs="Times New Roman"/>
                <w:noProof/>
                <w:sz w:val="20"/>
                <w:szCs w:val="20"/>
                <w:lang w:eastAsia="lv-LV"/>
              </w:rPr>
              <w:drawing>
                <wp:inline distT="0" distB="0" distL="0" distR="0" wp14:anchorId="5ABB0AE2" wp14:editId="549D713E">
                  <wp:extent cx="281305" cy="267335"/>
                  <wp:effectExtent l="0" t="0" r="4445" b="0"/>
                  <wp:docPr id="121" name="Pilt 121" descr="Pilt, kus on taim&#10;&#10;Kirjeldus luuakse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Attēls 121" descr="Attēls, kurā ir augs&#10;&#10;Apraksts ģenerēts automātisk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305" cy="267335"/>
                          </a:xfrm>
                          <a:prstGeom prst="rect">
                            <a:avLst/>
                          </a:prstGeom>
                          <a:noFill/>
                          <a:ln>
                            <a:noFill/>
                          </a:ln>
                        </pic:spPr>
                      </pic:pic>
                    </a:graphicData>
                  </a:graphic>
                </wp:inline>
              </w:drawing>
            </w:r>
          </w:p>
        </w:tc>
      </w:tr>
    </w:tbl>
    <w:p w14:paraId="2AD4AD75" w14:textId="4095D8FF" w:rsidR="00275814" w:rsidRPr="00275814" w:rsidRDefault="008A085A" w:rsidP="00AA241E">
      <w:pPr>
        <w:pStyle w:val="Pealdis"/>
        <w:jc w:val="both"/>
        <w:rPr>
          <w:lang w:eastAsia="lv-LV"/>
        </w:rPr>
      </w:pPr>
      <w:bookmarkStart w:id="577" w:name="_Toc164846258"/>
      <w:r>
        <w:t xml:space="preserve">Tabel </w:t>
      </w:r>
      <w:r>
        <w:fldChar w:fldCharType="begin"/>
      </w:r>
      <w:r>
        <w:instrText xml:space="preserve"> SEQ Tabel \* ARABIC </w:instrText>
      </w:r>
      <w:r>
        <w:fldChar w:fldCharType="separate"/>
      </w:r>
      <w:r w:rsidR="00247D84">
        <w:rPr>
          <w:noProof/>
        </w:rPr>
        <w:t>18</w:t>
      </w:r>
      <w:r>
        <w:fldChar w:fldCharType="end"/>
      </w:r>
      <w:r>
        <w:t xml:space="preserve"> </w:t>
      </w:r>
      <w:r>
        <w:rPr>
          <w:lang w:eastAsia="lv-LV"/>
        </w:rPr>
        <w:t xml:space="preserve"> </w:t>
      </w:r>
      <w:r w:rsidR="00275814" w:rsidRPr="00275814">
        <w:rPr>
          <w:lang w:eastAsia="lv-LV"/>
        </w:rPr>
        <w:t>Füüsilise eraldamise võimalused juurdepääsusõlmes MDF/ODF</w:t>
      </w:r>
      <w:bookmarkEnd w:id="577"/>
    </w:p>
    <w:p w14:paraId="2BD81982" w14:textId="77777777" w:rsidR="00275814" w:rsidRPr="00275814" w:rsidRDefault="00275814" w:rsidP="00AA241E">
      <w:pPr>
        <w:spacing w:after="120" w:line="240" w:lineRule="auto"/>
        <w:jc w:val="both"/>
        <w:rPr>
          <w:rFonts w:eastAsia="Times New Roman" w:cs="Times New Roman"/>
          <w:lang w:eastAsia="lv-LV"/>
        </w:rPr>
      </w:pPr>
      <w:r w:rsidRPr="00275814">
        <w:rPr>
          <w:rFonts w:eastAsia="Times New Roman" w:cs="Times New Roman"/>
          <w:lang w:eastAsia="lv-LV"/>
        </w:rPr>
        <w:t xml:space="preserve">Arvestades, et mitme juurdepääsuvõrgu arhitektuur baasil ei sa ODF-st osutada täies mahus füüsislist juurdepääsu teenust, on ODF-i füüsilise juurdepääsu alternatiivina kasutusele võetud VULA teenus kooskõlas </w:t>
      </w:r>
      <w:r w:rsidRPr="008A141D">
        <w:rPr>
          <w:rFonts w:eastAsia="Times New Roman" w:cs="Times New Roman"/>
          <w:lang w:eastAsia="lv-LV"/>
        </w:rPr>
        <w:t>järgmise põlvkonna juurdepääsuvõrgu soovituse põhjendusega 21</w:t>
      </w:r>
      <w:r w:rsidRPr="00275814">
        <w:rPr>
          <w:rFonts w:eastAsia="Times New Roman" w:cs="Times New Roman"/>
          <w:lang w:eastAsia="lv-LV"/>
        </w:rPr>
        <w:t>, kus juurdepääs teisele sideteenuse osutajale antakse Etherneti kommutaatori juurdepääsusõlmes, kuid mitte ODF-</w:t>
      </w:r>
      <w:proofErr w:type="spellStart"/>
      <w:r w:rsidRPr="00275814">
        <w:rPr>
          <w:rFonts w:eastAsia="Times New Roman" w:cs="Times New Roman"/>
          <w:lang w:eastAsia="lv-LV"/>
        </w:rPr>
        <w:t>is</w:t>
      </w:r>
      <w:proofErr w:type="spellEnd"/>
      <w:r w:rsidRPr="00275814">
        <w:rPr>
          <w:rFonts w:eastAsia="Times New Roman" w:cs="Times New Roman"/>
          <w:lang w:eastAsia="lv-LV"/>
        </w:rPr>
        <w:t>.</w:t>
      </w:r>
    </w:p>
    <w:p w14:paraId="1C576785" w14:textId="46E9E834" w:rsidR="00275814" w:rsidRPr="00275814" w:rsidRDefault="00275814" w:rsidP="00AA241E">
      <w:pPr>
        <w:spacing w:after="120" w:line="240" w:lineRule="auto"/>
        <w:jc w:val="both"/>
        <w:rPr>
          <w:rFonts w:eastAsia="Times New Roman" w:cs="Times New Roman"/>
          <w:lang w:eastAsia="lv-LV"/>
        </w:rPr>
      </w:pPr>
      <w:r w:rsidRPr="00275814">
        <w:rPr>
          <w:rFonts w:eastAsia="Times New Roman" w:cs="Times New Roman"/>
          <w:lang w:eastAsia="lv-LV"/>
        </w:rPr>
        <w:t>VULA on aktiivne hulgimüügi Etherneti OSI</w:t>
      </w:r>
      <w:r w:rsidRPr="005D266E">
        <w:rPr>
          <w:rFonts w:eastAsia="Times New Roman" w:cs="Times New Roman"/>
          <w:vertAlign w:val="superscript"/>
          <w:lang w:eastAsia="lv-LV"/>
        </w:rPr>
        <w:footnoteReference w:id="71"/>
      </w:r>
      <w:r w:rsidRPr="00275814">
        <w:rPr>
          <w:rFonts w:eastAsia="Times New Roman" w:cs="Times New Roman"/>
          <w:lang w:eastAsia="lv-LV"/>
        </w:rPr>
        <w:t xml:space="preserve"> teise kihi juurdepääsu andmevooteenus, mida pakub võrguoperaator. VULA viitab olukorrale, kus teine teenuseosutaja kasutab võrguoperaatori elektroonilist sidevõrku lõppkasutajatele interneti- ja muude teenuste pakkumiseks läbi virtuaalse kanali. VULA koosneb seega juurdepääsuvõrguliinist (</w:t>
      </w:r>
      <w:r w:rsidR="00336554">
        <w:rPr>
          <w:rFonts w:eastAsia="Times New Roman" w:cs="Times New Roman"/>
          <w:lang w:eastAsia="lv-LV"/>
        </w:rPr>
        <w:t>klien</w:t>
      </w:r>
      <w:r w:rsidRPr="00275814">
        <w:rPr>
          <w:rFonts w:eastAsia="Times New Roman" w:cs="Times New Roman"/>
          <w:lang w:eastAsia="lv-LV"/>
        </w:rPr>
        <w:t xml:space="preserve">diliin) ja andmeedastusest lõppkasutaja lõpp-punktist Etherneti kommutaatorisse võrguoperaatori põhivõrgus kohalikul tasandil, kus teisele ettevõtjale antakse juurdepääs sellele juurdepääsuvõrgu hulgiteenusele (vt joonis </w:t>
      </w:r>
      <w:r w:rsidR="00300CB3">
        <w:rPr>
          <w:rFonts w:eastAsia="Times New Roman" w:cs="Times New Roman"/>
          <w:lang w:eastAsia="lv-LV"/>
        </w:rPr>
        <w:t>1</w:t>
      </w:r>
      <w:r w:rsidR="004035E5">
        <w:rPr>
          <w:rFonts w:eastAsia="Times New Roman" w:cs="Times New Roman"/>
          <w:lang w:eastAsia="lv-LV"/>
        </w:rPr>
        <w:t>4</w:t>
      </w:r>
      <w:r w:rsidRPr="00275814">
        <w:rPr>
          <w:rFonts w:eastAsia="Times New Roman" w:cs="Times New Roman"/>
          <w:lang w:eastAsia="lv-LV"/>
        </w:rPr>
        <w:t>). VULA tähendab, et hulgimüügiteenuse tehnilised omadused ja kvaliteet on sellised, et need dubleerivad füüsilise eraldamise/juurdepääsu omadusi.</w:t>
      </w:r>
    </w:p>
    <w:p w14:paraId="602B243E" w14:textId="77777777" w:rsidR="00275814" w:rsidRPr="00275814" w:rsidRDefault="00275814" w:rsidP="00AA241E">
      <w:pPr>
        <w:spacing w:after="240" w:line="240" w:lineRule="auto"/>
        <w:jc w:val="both"/>
        <w:rPr>
          <w:rFonts w:eastAsia="Times New Roman" w:cs="Times New Roman"/>
          <w:lang w:eastAsia="lv-LV"/>
        </w:rPr>
      </w:pPr>
      <w:r w:rsidRPr="00ED1E9F">
        <w:rPr>
          <w:rFonts w:eastAsia="Times New Roman" w:cs="Times New Roman"/>
          <w:lang w:eastAsia="lv-LV"/>
        </w:rPr>
        <w:t>Turgude soovitusele 2014 lisatud selgitava memorandumi SWD(2014) 298</w:t>
      </w:r>
      <w:r w:rsidRPr="00ED1E9F">
        <w:rPr>
          <w:rFonts w:eastAsia="Times New Roman" w:cs="Times New Roman"/>
          <w:vertAlign w:val="superscript"/>
          <w:lang w:eastAsia="lv-LV"/>
        </w:rPr>
        <w:footnoteReference w:id="72"/>
      </w:r>
      <w:r w:rsidRPr="00ED1E9F">
        <w:rPr>
          <w:rFonts w:eastAsia="Times New Roman" w:cs="Times New Roman"/>
          <w:lang w:eastAsia="lv-LV"/>
        </w:rPr>
        <w:t xml:space="preserve"> kohaselt tuleb turul kehtestada VULA teenusele erinõuded.</w:t>
      </w:r>
    </w:p>
    <w:p w14:paraId="769FEF09" w14:textId="77777777" w:rsidR="00275814" w:rsidRPr="00275814" w:rsidRDefault="00275814" w:rsidP="00262302">
      <w:pPr>
        <w:pStyle w:val="Pealkiri4"/>
      </w:pPr>
      <w:r w:rsidRPr="00275814">
        <w:lastRenderedPageBreak/>
        <w:t>Juurdepääs füüsilisele taristule</w:t>
      </w:r>
    </w:p>
    <w:p w14:paraId="70A2232E" w14:textId="77777777" w:rsidR="00275814" w:rsidRPr="00275814" w:rsidRDefault="00275814" w:rsidP="00AA241E">
      <w:pPr>
        <w:spacing w:after="60" w:line="240" w:lineRule="auto"/>
        <w:jc w:val="both"/>
        <w:rPr>
          <w:rFonts w:eastAsia="Times New Roman" w:cs="Times New Roman"/>
          <w:lang w:eastAsia="lv-LV"/>
        </w:rPr>
      </w:pPr>
      <w:r w:rsidRPr="00275814">
        <w:rPr>
          <w:rFonts w:eastAsia="Times New Roman" w:cs="Times New Roman"/>
          <w:lang w:eastAsia="lv-LV"/>
        </w:rPr>
        <w:t>Kui reguleeriv asutus tuvastab turul märkimisväärse turujõuga ettevõtja ja kui kaabelkanalisatsiooni mahud on kättesaadavad, kohaldatakse tema suhtes kohustust tagada juurdepääs tsiviilehituse infrastruktuurile</w:t>
      </w:r>
      <w:r w:rsidRPr="005D266E">
        <w:rPr>
          <w:rFonts w:eastAsia="Times New Roman" w:cs="Times New Roman"/>
          <w:vertAlign w:val="superscript"/>
          <w:lang w:eastAsia="lv-LV"/>
        </w:rPr>
        <w:footnoteReference w:id="73"/>
      </w:r>
      <w:r w:rsidRPr="00275814">
        <w:rPr>
          <w:rFonts w:eastAsia="Times New Roman" w:cs="Times New Roman"/>
          <w:lang w:eastAsia="lv-LV"/>
        </w:rPr>
        <w:t>. Tsiviilehituse infrastruktuur hõlmab tavaliselt, kuid mitte ainult, maa-aluseid või maapealseid ressursse, nagu kaabelkanalisatsiooni, kanalid, kontrollkaevud ja postid</w:t>
      </w:r>
      <w:r w:rsidRPr="005D266E">
        <w:rPr>
          <w:rFonts w:eastAsia="Times New Roman" w:cs="Times New Roman"/>
          <w:vertAlign w:val="superscript"/>
          <w:lang w:eastAsia="lv-LV"/>
        </w:rPr>
        <w:footnoteReference w:id="74"/>
      </w:r>
      <w:r w:rsidRPr="00275814">
        <w:rPr>
          <w:rFonts w:eastAsia="Times New Roman" w:cs="Times New Roman"/>
          <w:lang w:eastAsia="lv-LV"/>
        </w:rPr>
        <w:t>. Praktikas ei kasutata mitte ainult mõistet "Tsiviilehituse infrastruktuur", vaid ka "füüsiline taristu", mis on määratletud nii kiire elektroonilise side võrgu seaduse kui ka kooli poolelijätmisega:</w:t>
      </w:r>
    </w:p>
    <w:p w14:paraId="172C7FBE" w14:textId="77777777" w:rsidR="00275814" w:rsidRPr="00275814" w:rsidRDefault="00275814" w:rsidP="00AA241E">
      <w:pPr>
        <w:numPr>
          <w:ilvl w:val="0"/>
          <w:numId w:val="30"/>
        </w:numPr>
        <w:spacing w:after="60" w:line="240" w:lineRule="auto"/>
        <w:ind w:left="714" w:hanging="357"/>
        <w:jc w:val="both"/>
        <w:rPr>
          <w:rFonts w:eastAsia="Times New Roman" w:cs="Times New Roman"/>
          <w:lang w:eastAsia="lv-LV"/>
        </w:rPr>
      </w:pPr>
      <w:r w:rsidRPr="00275814">
        <w:rPr>
          <w:rFonts w:eastAsia="Times New Roman" w:cs="Times New Roman"/>
          <w:lang w:eastAsia="lv-LV"/>
        </w:rPr>
        <w:t>Vastavalt Ehitusseaduslikule on f</w:t>
      </w:r>
      <w:r w:rsidRPr="00275814">
        <w:rPr>
          <w:rFonts w:eastAsia="Times New Roman" w:cs="Times New Roman"/>
          <w:color w:val="202020"/>
          <w:shd w:val="clear" w:color="auto" w:fill="FFFFFF"/>
          <w:lang w:val="lv-LV" w:eastAsia="lv-LV"/>
        </w:rPr>
        <w:t>üüsiline taristu on taristu, mis võimaldab pakkuda füüsilist paiknemiskohta võrguelementidele, mis võimaldavad pakkuda elektroonilise side teenust. Füüsiliseks taristuks on näiteks toru, mast, kaablikanal, kontrollkaev, juurdepääsuluuk, kaablikapp, antennirajatis, torn ja post. Kaablid ei ole käesoleva seadustiku tähenduses füüsiline taristu.</w:t>
      </w:r>
    </w:p>
    <w:p w14:paraId="65241294" w14:textId="77777777" w:rsidR="00275814" w:rsidRPr="00275814" w:rsidRDefault="00275814" w:rsidP="00AA241E">
      <w:pPr>
        <w:autoSpaceDE w:val="0"/>
        <w:autoSpaceDN w:val="0"/>
        <w:adjustRightInd w:val="0"/>
        <w:spacing w:after="0" w:line="240" w:lineRule="auto"/>
        <w:jc w:val="both"/>
        <w:rPr>
          <w:rFonts w:eastAsia="Calibri" w:cs="Times New Roman"/>
          <w:color w:val="000000"/>
          <w:lang w:eastAsia="en-US"/>
          <w14:ligatures w14:val="standardContextual"/>
        </w:rPr>
      </w:pPr>
      <w:r w:rsidRPr="00275814">
        <w:rPr>
          <w:rFonts w:eastAsia="Calibri" w:cs="Times New Roman"/>
          <w:color w:val="000000"/>
          <w:lang w:eastAsia="en-US"/>
          <w14:ligatures w14:val="standardContextual"/>
        </w:rPr>
        <w:t xml:space="preserve">Käesolevas analüüsis ei vaadelda juurdepääsu füüsilisele taristule. Seda analüüsitakse eraldi analüüsis. </w:t>
      </w:r>
    </w:p>
    <w:p w14:paraId="33E9B4D2" w14:textId="77777777" w:rsidR="00275814" w:rsidRDefault="00275814" w:rsidP="00AA241E">
      <w:pPr>
        <w:autoSpaceDE w:val="0"/>
        <w:autoSpaceDN w:val="0"/>
        <w:adjustRightInd w:val="0"/>
        <w:spacing w:after="0" w:line="240" w:lineRule="auto"/>
        <w:jc w:val="both"/>
        <w:rPr>
          <w:rFonts w:eastAsia="Calibri" w:cs="Times New Roman"/>
          <w:color w:val="000000"/>
          <w:sz w:val="23"/>
          <w:szCs w:val="23"/>
          <w:lang w:eastAsia="en-US"/>
          <w14:ligatures w14:val="standardContextual"/>
        </w:rPr>
      </w:pPr>
      <w:r w:rsidRPr="00275814">
        <w:rPr>
          <w:rFonts w:eastAsia="Calibri" w:cs="Times New Roman"/>
          <w:color w:val="000000"/>
          <w:lang w:eastAsia="en-US"/>
          <w14:ligatures w14:val="standardContextual"/>
        </w:rPr>
        <w:t xml:space="preserve">Kohustuse osas vaadeldaks ainult juurdepääsu </w:t>
      </w:r>
      <w:r w:rsidRPr="00275814">
        <w:rPr>
          <w:rFonts w:eastAsia="Calibri" w:cs="Times New Roman"/>
          <w:color w:val="000000"/>
          <w:sz w:val="23"/>
          <w:szCs w:val="23"/>
          <w:lang w:eastAsia="en-US"/>
          <w14:ligatures w14:val="standardContextual"/>
        </w:rPr>
        <w:t xml:space="preserve">seotud teenustele, mis on vajalikud valguskaabli fiidersegmendi kiu ühendamiseks teise sideettevõtja sidevõrguga. </w:t>
      </w:r>
    </w:p>
    <w:p w14:paraId="33F41BCA" w14:textId="2D358E22" w:rsidR="004B086C" w:rsidRPr="00CF548A" w:rsidRDefault="0007135D" w:rsidP="009805E1">
      <w:pPr>
        <w:pStyle w:val="Pealkiri3"/>
      </w:pPr>
      <w:bookmarkStart w:id="578" w:name="_Toc174710774"/>
      <w:r>
        <w:t>Hulgiturg</w:t>
      </w:r>
      <w:r w:rsidR="0044381B" w:rsidRPr="00263F4A">
        <w:t xml:space="preserve"> 3b selgitus</w:t>
      </w:r>
      <w:bookmarkEnd w:id="578"/>
    </w:p>
    <w:p w14:paraId="6075626D" w14:textId="7A70BE93" w:rsidR="007A0B34" w:rsidRDefault="007A0B34" w:rsidP="00AA241E">
      <w:pPr>
        <w:spacing w:before="120" w:after="120" w:line="240" w:lineRule="auto"/>
        <w:jc w:val="both"/>
        <w:rPr>
          <w:lang w:eastAsia="et-EE"/>
        </w:rPr>
      </w:pPr>
      <w:r w:rsidRPr="00D820F2">
        <w:rPr>
          <w:lang w:eastAsia="et-EE"/>
        </w:rPr>
        <w:t xml:space="preserve">2014. Toote- ja teenuseturgude soovituse lisa punktis 3b nimetatud lairiba juurdepääsu hulgituruga on </w:t>
      </w:r>
      <w:r w:rsidRPr="00D820F2">
        <w:t>horisontaalselt</w:t>
      </w:r>
      <w:r w:rsidRPr="00D820F2">
        <w:rPr>
          <w:lang w:eastAsia="et-EE"/>
        </w:rPr>
        <w:t xml:space="preserve"> seotud sama lisa punktis 3a  (2020. aasta soovituse lisas </w:t>
      </w:r>
      <w:r w:rsidR="00546A8E">
        <w:rPr>
          <w:lang w:eastAsia="et-EE"/>
        </w:rPr>
        <w:t>hulgiturg</w:t>
      </w:r>
      <w:r w:rsidRPr="00D820F2">
        <w:rPr>
          <w:lang w:eastAsia="et-EE"/>
        </w:rPr>
        <w:t xml:space="preserve"> 1 nimetatud kohaliku kaabelühenduse hulgiteenus kindlaksmääratud asukohas ehk sidevõrgus kohaliku juurdepääsu hulgiturg). Nendel turgudel teenuste osutamiseks kasutatav sidevõrgu infrastruktuur on juurdepääsuvõrgu osas kattuv. </w:t>
      </w:r>
    </w:p>
    <w:p w14:paraId="4EA58ECE" w14:textId="63184764" w:rsidR="007A0B34" w:rsidRDefault="007A0B34" w:rsidP="00AA241E">
      <w:pPr>
        <w:spacing w:before="120" w:after="120" w:line="240" w:lineRule="auto"/>
        <w:jc w:val="both"/>
        <w:rPr>
          <w:lang w:eastAsia="et-EE"/>
        </w:rPr>
      </w:pPr>
      <w:r w:rsidRPr="00D820F2">
        <w:rPr>
          <w:lang w:eastAsia="et-EE"/>
        </w:rPr>
        <w:t>Kindlaksmääratud asukohas kohaliku juurdepääsu hulgiturg hõlmab vaskpaaril ja valguskaablil põhinevaid juurdepääsuvõrke. Lairiba juurdepääsu hulgiturg on horisontaalselt seotud sidevõrgu erivõimsustele juurdepääsu hulgituruga</w:t>
      </w:r>
      <w:r w:rsidR="00B45111">
        <w:rPr>
          <w:lang w:eastAsia="et-EE"/>
        </w:rPr>
        <w:t>.</w:t>
      </w:r>
      <w:r w:rsidR="006806A3">
        <w:rPr>
          <w:lang w:eastAsia="et-EE"/>
        </w:rPr>
        <w:t xml:space="preserve"> </w:t>
      </w:r>
      <w:r w:rsidRPr="00D820F2">
        <w:rPr>
          <w:lang w:eastAsia="et-EE"/>
        </w:rPr>
        <w:t>Nimetatud hulgiturul teenuste osutamiseks kasutatav sidevõrgu infrastruktuur (juurdepääsuvõrk) on olulises osas kattuv lairiba juurdepääsu hulgituruga, peamiseks erinevuseks on teenuste kvaliteet.</w:t>
      </w:r>
    </w:p>
    <w:p w14:paraId="132DD600" w14:textId="77777777" w:rsidR="00813E3C" w:rsidRDefault="00813E3C" w:rsidP="00AA241E">
      <w:pPr>
        <w:spacing w:before="120" w:after="120" w:line="240" w:lineRule="auto"/>
        <w:jc w:val="both"/>
        <w:rPr>
          <w:lang w:eastAsia="et-EE"/>
        </w:rPr>
      </w:pPr>
      <w:r w:rsidRPr="00084874">
        <w:rPr>
          <w:lang w:eastAsia="et-EE"/>
        </w:rPr>
        <w:t xml:space="preserve">Lairiba juurdepääsu hulgituruga allapoole seotud turg on lairibateenuse jaeturg. Toote- ja teenuseturgude soovituse lisa ei sisalda lairiba juurdepääsu hulgituruga allapoole seotud jaeturge, st eeldatakse nimetatud jaeturgude konkurentsivõimelisust ning neil jaeturgudel üldjuhul valdkonnaspetsiifilise reguleerimise menetlust läbi ei viida (konkurentsi olukorrast tingituna on õigus nimetatud turge reguleerida ESS § 43 lõike 1 alusel). </w:t>
      </w:r>
    </w:p>
    <w:p w14:paraId="46791D7D" w14:textId="5165E33F" w:rsidR="00AA1F14" w:rsidRDefault="00AA1F14" w:rsidP="00AA241E">
      <w:pPr>
        <w:spacing w:before="120" w:after="120" w:line="240" w:lineRule="auto"/>
        <w:jc w:val="both"/>
        <w:rPr>
          <w:lang w:eastAsia="et-EE"/>
        </w:rPr>
      </w:pPr>
      <w:r w:rsidRPr="00AA1F14">
        <w:rPr>
          <w:lang w:eastAsia="et-EE"/>
        </w:rPr>
        <w:t>Eeltoodut arvesse võttes leiab TTJA, et lairiba juurdepääsu hulgituru analüüsimisel on asjakohane hinnata turuanalüüsi kaasatud ettevõtjate näitajaid ka lähedalt seotud turgudel.</w:t>
      </w:r>
    </w:p>
    <w:p w14:paraId="76A3971B" w14:textId="4BC0FE46" w:rsidR="009A6047" w:rsidRDefault="009A6047" w:rsidP="00AA241E">
      <w:pPr>
        <w:spacing w:before="120" w:after="240" w:line="240" w:lineRule="auto"/>
        <w:jc w:val="both"/>
        <w:rPr>
          <w:lang w:eastAsia="et-EE"/>
        </w:rPr>
      </w:pPr>
      <w:r>
        <w:rPr>
          <w:lang w:eastAsia="et-EE"/>
        </w:rPr>
        <w:t xml:space="preserve">Järgides ESS-i sätteid ning olukorda lairiba juurdepääsu hulgiturul, piiritleb TTJA asjaomase turu lähtudes 2014. aasta toote- ja teenuseturgude soovituse lisa punktist 3b. </w:t>
      </w:r>
    </w:p>
    <w:p w14:paraId="2FE1C4AF" w14:textId="77777777" w:rsidR="00B45EB8" w:rsidRPr="00B45EB8" w:rsidRDefault="00B45EB8" w:rsidP="00B45EB8">
      <w:pPr>
        <w:pStyle w:val="Loendilik"/>
        <w:keepNext/>
        <w:keepLines/>
        <w:numPr>
          <w:ilvl w:val="2"/>
          <w:numId w:val="36"/>
        </w:numPr>
        <w:tabs>
          <w:tab w:val="left" w:pos="1985"/>
        </w:tabs>
        <w:spacing w:before="120" w:after="240"/>
        <w:contextualSpacing w:val="0"/>
        <w:jc w:val="both"/>
        <w:outlineLvl w:val="3"/>
        <w:rPr>
          <w:rFonts w:eastAsiaTheme="majorEastAsia" w:cstheme="majorBidi"/>
          <w:i/>
          <w:iCs/>
          <w:vanish/>
          <w:lang w:eastAsia="en-US"/>
        </w:rPr>
      </w:pPr>
    </w:p>
    <w:p w14:paraId="4679664B" w14:textId="77777777" w:rsidR="00B45EB8" w:rsidRPr="00512159" w:rsidRDefault="00B45EB8" w:rsidP="00512159">
      <w:pPr>
        <w:keepNext/>
        <w:keepLines/>
        <w:tabs>
          <w:tab w:val="left" w:pos="1985"/>
        </w:tabs>
        <w:spacing w:before="120" w:after="240"/>
        <w:jc w:val="both"/>
        <w:outlineLvl w:val="3"/>
        <w:rPr>
          <w:rFonts w:eastAsiaTheme="majorEastAsia" w:cstheme="majorBidi"/>
          <w:i/>
          <w:iCs/>
          <w:vanish/>
          <w:lang w:eastAsia="en-US"/>
        </w:rPr>
      </w:pPr>
    </w:p>
    <w:p w14:paraId="770C6E5F" w14:textId="0343434C" w:rsidR="00995823" w:rsidRPr="00262302" w:rsidRDefault="00995823" w:rsidP="00B45EB8">
      <w:pPr>
        <w:pStyle w:val="Pealkiri4"/>
      </w:pPr>
      <w:r w:rsidRPr="00262302">
        <w:t xml:space="preserve">Juurdepääs </w:t>
      </w:r>
      <w:r w:rsidR="00637127" w:rsidRPr="00262302">
        <w:t>lairibale</w:t>
      </w:r>
    </w:p>
    <w:p w14:paraId="154C6F95" w14:textId="288D457D" w:rsidR="00B65E8A" w:rsidRDefault="00B65E8A" w:rsidP="00AA241E">
      <w:pPr>
        <w:spacing w:before="120" w:after="120" w:line="240" w:lineRule="auto"/>
        <w:jc w:val="both"/>
        <w:rPr>
          <w:lang w:eastAsia="et-EE"/>
        </w:rPr>
      </w:pPr>
      <w:r>
        <w:rPr>
          <w:lang w:eastAsia="et-EE"/>
        </w:rPr>
        <w:t xml:space="preserve">Lairiba juurdepääsu hulgiturul pakutakse teenust kasutavale sideettevõtjale juurdepääsu püsivõrgu ülekande- ja juurdepääsuvõrgule, mille vahendusel saab osutada lõppkasutajale lairiba jaeteenust (ka </w:t>
      </w:r>
      <w:proofErr w:type="spellStart"/>
      <w:r w:rsidRPr="00F16896">
        <w:rPr>
          <w:i/>
          <w:iCs/>
          <w:lang w:eastAsia="et-EE"/>
        </w:rPr>
        <w:t>self-supply</w:t>
      </w:r>
      <w:proofErr w:type="spellEnd"/>
      <w:r w:rsidR="00CB07A6">
        <w:rPr>
          <w:lang w:eastAsia="et-EE"/>
        </w:rPr>
        <w:t xml:space="preserve"> e sisemist teenust</w:t>
      </w:r>
      <w:r>
        <w:rPr>
          <w:lang w:eastAsia="et-EE"/>
        </w:rPr>
        <w:t>). Seega sisaldavad lairiba juurdepääsu hulgituru teenused juurdepääsu sidevõrgule (andmeedastuskanalite loomist sidevõrgust lõppkasutajani), kuid ei piirdu üksnes sellega, vaid sisaldavad ka muid andmeedastuse toimimiseks vajalikke elemente ehk nn juurdepääsu tugiteenuseid.</w:t>
      </w:r>
    </w:p>
    <w:p w14:paraId="0D7588CA" w14:textId="4EE97992" w:rsidR="005F217A" w:rsidRDefault="005F217A" w:rsidP="00AA241E">
      <w:pPr>
        <w:spacing w:before="120" w:after="120" w:line="240" w:lineRule="auto"/>
        <w:jc w:val="both"/>
        <w:rPr>
          <w:lang w:eastAsia="et-EE"/>
        </w:rPr>
      </w:pPr>
      <w:r>
        <w:rPr>
          <w:lang w:eastAsia="et-EE"/>
        </w:rPr>
        <w:t xml:space="preserve">Turu 3 b </w:t>
      </w:r>
      <w:r w:rsidRPr="005F217A">
        <w:rPr>
          <w:lang w:eastAsia="et-EE"/>
        </w:rPr>
        <w:t xml:space="preserve">reguleerimise tähtsus on tagada teistele </w:t>
      </w:r>
      <w:r>
        <w:rPr>
          <w:lang w:eastAsia="et-EE"/>
        </w:rPr>
        <w:t xml:space="preserve">sideettevõtjatele </w:t>
      </w:r>
      <w:r w:rsidRPr="005F217A">
        <w:rPr>
          <w:lang w:eastAsia="et-EE"/>
        </w:rPr>
        <w:t xml:space="preserve">õigus osutada lõppkasutajatele teenuseid, kasutades </w:t>
      </w:r>
      <w:r>
        <w:rPr>
          <w:lang w:eastAsia="et-EE"/>
        </w:rPr>
        <w:t>Telia</w:t>
      </w:r>
      <w:r w:rsidRPr="005F217A">
        <w:rPr>
          <w:lang w:eastAsia="et-EE"/>
        </w:rPr>
        <w:t xml:space="preserve"> taristut, </w:t>
      </w:r>
      <w:r>
        <w:rPr>
          <w:lang w:eastAsia="et-EE"/>
        </w:rPr>
        <w:t xml:space="preserve">juhul </w:t>
      </w:r>
      <w:r w:rsidRPr="005F217A">
        <w:rPr>
          <w:lang w:eastAsia="et-EE"/>
        </w:rPr>
        <w:t xml:space="preserve">kui see on </w:t>
      </w:r>
      <w:r w:rsidR="00481941">
        <w:rPr>
          <w:lang w:eastAsia="et-EE"/>
        </w:rPr>
        <w:t>olemas</w:t>
      </w:r>
      <w:r w:rsidRPr="005F217A">
        <w:rPr>
          <w:lang w:eastAsia="et-EE"/>
        </w:rPr>
        <w:t xml:space="preserve">. </w:t>
      </w:r>
      <w:r w:rsidR="00481941">
        <w:rPr>
          <w:lang w:eastAsia="et-EE"/>
        </w:rPr>
        <w:t>3b</w:t>
      </w:r>
      <w:r w:rsidRPr="005F217A">
        <w:rPr>
          <w:lang w:eastAsia="et-EE"/>
        </w:rPr>
        <w:t xml:space="preserve"> reguleerimine tähendab ka kõigi </w:t>
      </w:r>
      <w:r w:rsidR="00481941">
        <w:rPr>
          <w:lang w:eastAsia="et-EE"/>
        </w:rPr>
        <w:t>Telia</w:t>
      </w:r>
      <w:r w:rsidRPr="005F217A">
        <w:rPr>
          <w:lang w:eastAsia="et-EE"/>
        </w:rPr>
        <w:t xml:space="preserve"> lõppkasutajate õigust vahetada </w:t>
      </w:r>
      <w:r w:rsidR="00481941">
        <w:rPr>
          <w:lang w:eastAsia="et-EE"/>
        </w:rPr>
        <w:t>sideettevõtjat</w:t>
      </w:r>
      <w:r w:rsidRPr="005F217A">
        <w:rPr>
          <w:lang w:eastAsia="et-EE"/>
        </w:rPr>
        <w:t xml:space="preserve">, säilitades samal ajal sama </w:t>
      </w:r>
      <w:r w:rsidR="00BE50E4">
        <w:rPr>
          <w:lang w:eastAsia="et-EE"/>
        </w:rPr>
        <w:t>Telia</w:t>
      </w:r>
      <w:r w:rsidRPr="005F217A">
        <w:rPr>
          <w:lang w:eastAsia="et-EE"/>
        </w:rPr>
        <w:t xml:space="preserve"> </w:t>
      </w:r>
      <w:r w:rsidR="00BE50E4" w:rsidRPr="00C80DAD">
        <w:rPr>
          <w:lang w:eastAsia="et-EE"/>
        </w:rPr>
        <w:t>kl</w:t>
      </w:r>
      <w:r w:rsidR="00263F4A" w:rsidRPr="00C80DAD">
        <w:rPr>
          <w:lang w:eastAsia="et-EE"/>
        </w:rPr>
        <w:t>i</w:t>
      </w:r>
      <w:r w:rsidR="00BE50E4" w:rsidRPr="00C80DAD">
        <w:rPr>
          <w:lang w:eastAsia="et-EE"/>
        </w:rPr>
        <w:t>end</w:t>
      </w:r>
      <w:r w:rsidRPr="00C80DAD">
        <w:rPr>
          <w:lang w:eastAsia="et-EE"/>
        </w:rPr>
        <w:t>iliini.</w:t>
      </w:r>
      <w:r w:rsidRPr="005F217A">
        <w:rPr>
          <w:lang w:eastAsia="et-EE"/>
        </w:rPr>
        <w:t xml:space="preserve"> Nimelt on </w:t>
      </w:r>
      <w:r w:rsidR="00BE50E4">
        <w:rPr>
          <w:lang w:eastAsia="et-EE"/>
        </w:rPr>
        <w:t>Telia</w:t>
      </w:r>
      <w:r w:rsidRPr="005F217A">
        <w:rPr>
          <w:lang w:eastAsia="et-EE"/>
        </w:rPr>
        <w:t xml:space="preserve"> kohustatud võimaldama juurdepääsu oma elektroonilise side võrgu aktiivsetele elementidele (et võimaldada juurdepääsu andme</w:t>
      </w:r>
      <w:r w:rsidR="00BE50E4">
        <w:rPr>
          <w:lang w:eastAsia="et-EE"/>
        </w:rPr>
        <w:t>sidele e lairibale</w:t>
      </w:r>
      <w:r w:rsidRPr="005F217A">
        <w:rPr>
          <w:lang w:eastAsia="et-EE"/>
        </w:rPr>
        <w:t xml:space="preserve">) teistele elektroonilise side </w:t>
      </w:r>
      <w:r w:rsidR="00BE50E4">
        <w:rPr>
          <w:lang w:eastAsia="et-EE"/>
        </w:rPr>
        <w:t>ettevõtjatele</w:t>
      </w:r>
      <w:r w:rsidRPr="005F217A">
        <w:rPr>
          <w:lang w:eastAsia="et-EE"/>
        </w:rPr>
        <w:t>, kes soovivad pakkuda lõppkasutajatele internetti ja muid teenuseid, kuid kellel ei ole nii laia elektroonilise side võr</w:t>
      </w:r>
      <w:r w:rsidR="00BE50E4">
        <w:rPr>
          <w:lang w:eastAsia="et-EE"/>
        </w:rPr>
        <w:t>k</w:t>
      </w:r>
      <w:r w:rsidRPr="005F217A">
        <w:rPr>
          <w:lang w:eastAsia="et-EE"/>
        </w:rPr>
        <w:t xml:space="preserve">u kui </w:t>
      </w:r>
      <w:r w:rsidR="00BE50E4">
        <w:rPr>
          <w:lang w:eastAsia="et-EE"/>
        </w:rPr>
        <w:t>Telial</w:t>
      </w:r>
      <w:r w:rsidRPr="005F217A">
        <w:rPr>
          <w:lang w:eastAsia="et-EE"/>
        </w:rPr>
        <w:t>.</w:t>
      </w:r>
    </w:p>
    <w:p w14:paraId="17318AC7" w14:textId="4C4F1C0C" w:rsidR="00B855F5" w:rsidRDefault="00B855F5" w:rsidP="00AA241E">
      <w:pPr>
        <w:spacing w:before="120" w:after="120" w:line="240" w:lineRule="auto"/>
        <w:jc w:val="both"/>
        <w:rPr>
          <w:lang w:eastAsia="et-EE"/>
        </w:rPr>
      </w:pPr>
      <w:r>
        <w:rPr>
          <w:lang w:eastAsia="et-EE"/>
        </w:rPr>
        <w:t xml:space="preserve">Turu 3b </w:t>
      </w:r>
      <w:r w:rsidRPr="00B855F5">
        <w:rPr>
          <w:lang w:eastAsia="et-EE"/>
        </w:rPr>
        <w:t xml:space="preserve">teenuseid võib osutada mitte ainult </w:t>
      </w:r>
      <w:r>
        <w:rPr>
          <w:lang w:eastAsia="et-EE"/>
        </w:rPr>
        <w:t>Telia,</w:t>
      </w:r>
      <w:r w:rsidRPr="00B855F5">
        <w:rPr>
          <w:lang w:eastAsia="et-EE"/>
        </w:rPr>
        <w:t xml:space="preserve"> vaid ka teised </w:t>
      </w:r>
      <w:r>
        <w:rPr>
          <w:lang w:eastAsia="et-EE"/>
        </w:rPr>
        <w:t>sideettevõtjad</w:t>
      </w:r>
      <w:r w:rsidRPr="00B855F5">
        <w:rPr>
          <w:lang w:eastAsia="et-EE"/>
        </w:rPr>
        <w:t xml:space="preserve"> võivad neid vabatahtlikult pakkuda oma juurdepääsuvõrgu katvuse raames mis tahes teisele </w:t>
      </w:r>
      <w:r>
        <w:rPr>
          <w:lang w:eastAsia="et-EE"/>
        </w:rPr>
        <w:t xml:space="preserve">sideettevõtjale </w:t>
      </w:r>
      <w:r w:rsidRPr="00B855F5">
        <w:rPr>
          <w:lang w:eastAsia="et-EE"/>
        </w:rPr>
        <w:t>kaubanduslikel tingimustel, isegi kui neil ei ole nii laia elektroonilise side võr</w:t>
      </w:r>
      <w:r w:rsidR="006953FD">
        <w:rPr>
          <w:lang w:eastAsia="et-EE"/>
        </w:rPr>
        <w:t>k</w:t>
      </w:r>
      <w:r w:rsidRPr="00B855F5">
        <w:rPr>
          <w:lang w:eastAsia="et-EE"/>
        </w:rPr>
        <w:t xml:space="preserve">u kui </w:t>
      </w:r>
      <w:r w:rsidR="006953FD">
        <w:rPr>
          <w:lang w:eastAsia="et-EE"/>
        </w:rPr>
        <w:t>Telial.</w:t>
      </w:r>
    </w:p>
    <w:p w14:paraId="7863DDFA" w14:textId="31D87857" w:rsidR="00250ABD" w:rsidRDefault="00F76CA8" w:rsidP="00AA241E">
      <w:pPr>
        <w:spacing w:before="120" w:after="120" w:line="240" w:lineRule="auto"/>
        <w:jc w:val="both"/>
        <w:rPr>
          <w:lang w:eastAsia="et-EE"/>
        </w:rPr>
      </w:pPr>
      <w:r w:rsidRPr="00F76CA8">
        <w:rPr>
          <w:lang w:eastAsia="et-EE"/>
        </w:rPr>
        <w:t xml:space="preserve">Juurdepääs </w:t>
      </w:r>
      <w:r>
        <w:rPr>
          <w:lang w:eastAsia="et-EE"/>
        </w:rPr>
        <w:t>andmesidele</w:t>
      </w:r>
      <w:r w:rsidRPr="00F76CA8">
        <w:rPr>
          <w:lang w:eastAsia="et-EE"/>
        </w:rPr>
        <w:t xml:space="preserve"> on ainus 3b turul olev teenus ja </w:t>
      </w:r>
      <w:r>
        <w:rPr>
          <w:lang w:eastAsia="et-EE"/>
        </w:rPr>
        <w:t xml:space="preserve">see </w:t>
      </w:r>
      <w:r w:rsidRPr="00F76CA8">
        <w:rPr>
          <w:lang w:eastAsia="et-EE"/>
        </w:rPr>
        <w:t xml:space="preserve">viitab olukorrale, kus teine ettevõtja kasutab võrguettevõtja elektroonilist sidevõrku lõppkasutajatele interneti ja muude teenuste pakkumiseks. Seega seisneb juurdepääs </w:t>
      </w:r>
      <w:r>
        <w:rPr>
          <w:lang w:eastAsia="et-EE"/>
        </w:rPr>
        <w:t>andmesidele</w:t>
      </w:r>
      <w:r w:rsidRPr="00F76CA8">
        <w:rPr>
          <w:lang w:eastAsia="et-EE"/>
        </w:rPr>
        <w:t xml:space="preserve"> füüsilises </w:t>
      </w:r>
      <w:r w:rsidR="0007135D">
        <w:rPr>
          <w:lang w:eastAsia="et-EE"/>
        </w:rPr>
        <w:t>kliendiliin</w:t>
      </w:r>
      <w:r w:rsidRPr="00F76CA8">
        <w:rPr>
          <w:lang w:eastAsia="et-EE"/>
        </w:rPr>
        <w:t xml:space="preserve">is ja andmeedastuses lõppkasutaja lõpp-punktist konkreetsesse pääsupunkti (DSLAM, Etherneti </w:t>
      </w:r>
      <w:proofErr w:type="spellStart"/>
      <w:r w:rsidRPr="00F76CA8">
        <w:rPr>
          <w:lang w:eastAsia="et-EE"/>
        </w:rPr>
        <w:t>kommuteerija</w:t>
      </w:r>
      <w:proofErr w:type="spellEnd"/>
      <w:r w:rsidRPr="00F76CA8">
        <w:rPr>
          <w:lang w:eastAsia="et-EE"/>
        </w:rPr>
        <w:t>, IP-kommutaator või BRAS</w:t>
      </w:r>
      <w:r w:rsidR="00F16896">
        <w:rPr>
          <w:lang w:eastAsia="et-EE"/>
        </w:rPr>
        <w:t xml:space="preserve"> (</w:t>
      </w:r>
      <w:proofErr w:type="spellStart"/>
      <w:r w:rsidR="00EB3AF9" w:rsidRPr="00EB3AF9">
        <w:rPr>
          <w:i/>
          <w:iCs/>
          <w:lang w:eastAsia="et-EE"/>
        </w:rPr>
        <w:t>Broadband</w:t>
      </w:r>
      <w:proofErr w:type="spellEnd"/>
      <w:r w:rsidR="00EB3AF9" w:rsidRPr="00EB3AF9">
        <w:rPr>
          <w:i/>
          <w:iCs/>
          <w:lang w:eastAsia="et-EE"/>
        </w:rPr>
        <w:t xml:space="preserve"> </w:t>
      </w:r>
      <w:proofErr w:type="spellStart"/>
      <w:r w:rsidR="00EB3AF9" w:rsidRPr="00EB3AF9">
        <w:rPr>
          <w:i/>
          <w:iCs/>
          <w:lang w:eastAsia="et-EE"/>
        </w:rPr>
        <w:t>Remote</w:t>
      </w:r>
      <w:proofErr w:type="spellEnd"/>
      <w:r w:rsidR="00EB3AF9" w:rsidRPr="00EB3AF9">
        <w:rPr>
          <w:i/>
          <w:iCs/>
          <w:lang w:eastAsia="et-EE"/>
        </w:rPr>
        <w:t xml:space="preserve"> Access Server</w:t>
      </w:r>
      <w:r w:rsidR="00EB3AF9">
        <w:rPr>
          <w:lang w:eastAsia="et-EE"/>
        </w:rPr>
        <w:t xml:space="preserve">) </w:t>
      </w:r>
      <w:r w:rsidRPr="00F76CA8">
        <w:rPr>
          <w:lang w:eastAsia="et-EE"/>
        </w:rPr>
        <w:t xml:space="preserve">jne piirkondlikul või riiklikul tasandil) võrguettevõtja põhivõrgus, kus teisele </w:t>
      </w:r>
      <w:r w:rsidR="00EB3AF9">
        <w:rPr>
          <w:lang w:eastAsia="et-EE"/>
        </w:rPr>
        <w:t>side</w:t>
      </w:r>
      <w:r w:rsidRPr="00F76CA8">
        <w:rPr>
          <w:lang w:eastAsia="et-EE"/>
        </w:rPr>
        <w:t>ettevõtjale antakse juurdepääs sellele hulgiteenusele.</w:t>
      </w:r>
    </w:p>
    <w:p w14:paraId="73C5AA2C" w14:textId="1B25F7BA" w:rsidR="009C6EF2" w:rsidRDefault="009C6EF2" w:rsidP="00AA241E">
      <w:pPr>
        <w:spacing w:before="120" w:after="120" w:line="240" w:lineRule="auto"/>
        <w:jc w:val="both"/>
        <w:rPr>
          <w:lang w:eastAsia="et-EE"/>
        </w:rPr>
      </w:pPr>
      <w:r>
        <w:rPr>
          <w:lang w:eastAsia="et-EE"/>
        </w:rPr>
        <w:t xml:space="preserve">Juurdepääsupunkt, kus alternatiivsele </w:t>
      </w:r>
      <w:r w:rsidR="007B3BA9">
        <w:rPr>
          <w:lang w:eastAsia="et-EE"/>
        </w:rPr>
        <w:t>sideettevõtjatele</w:t>
      </w:r>
      <w:r>
        <w:rPr>
          <w:lang w:eastAsia="et-EE"/>
        </w:rPr>
        <w:t xml:space="preserve"> antakse juurdepääs and</w:t>
      </w:r>
      <w:r w:rsidR="007B3BA9">
        <w:rPr>
          <w:lang w:eastAsia="et-EE"/>
        </w:rPr>
        <w:t>mesidele</w:t>
      </w:r>
      <w:r>
        <w:rPr>
          <w:lang w:eastAsia="et-EE"/>
        </w:rPr>
        <w:t xml:space="preserve">, võib asuda võrguettevõtja põhivõrgu hierarhia eri tasanditel </w:t>
      </w:r>
      <w:r w:rsidRPr="002E251B">
        <w:rPr>
          <w:lang w:eastAsia="et-EE"/>
        </w:rPr>
        <w:t xml:space="preserve">(vt joonis </w:t>
      </w:r>
      <w:r w:rsidR="00300CB3" w:rsidRPr="002E251B">
        <w:rPr>
          <w:lang w:eastAsia="et-EE"/>
        </w:rPr>
        <w:t>1</w:t>
      </w:r>
      <w:r w:rsidR="004035E5" w:rsidRPr="002E251B">
        <w:rPr>
          <w:lang w:eastAsia="et-EE"/>
        </w:rPr>
        <w:t>4</w:t>
      </w:r>
      <w:r w:rsidRPr="002E251B">
        <w:rPr>
          <w:lang w:eastAsia="et-EE"/>
        </w:rPr>
        <w:t>).</w:t>
      </w:r>
    </w:p>
    <w:p w14:paraId="011E4210" w14:textId="4AD263B5" w:rsidR="009C6EF2" w:rsidRDefault="009C6EF2" w:rsidP="00AA241E">
      <w:pPr>
        <w:pStyle w:val="Loendilik"/>
        <w:numPr>
          <w:ilvl w:val="0"/>
          <w:numId w:val="30"/>
        </w:numPr>
        <w:spacing w:before="120" w:after="120" w:line="240" w:lineRule="auto"/>
        <w:jc w:val="both"/>
        <w:rPr>
          <w:lang w:eastAsia="et-EE"/>
        </w:rPr>
      </w:pPr>
      <w:r>
        <w:rPr>
          <w:lang w:eastAsia="et-EE"/>
        </w:rPr>
        <w:t>kohalikul tasandil VULA (</w:t>
      </w:r>
      <w:r w:rsidR="00546A8E">
        <w:rPr>
          <w:lang w:eastAsia="et-EE"/>
        </w:rPr>
        <w:t>hulgiturg</w:t>
      </w:r>
      <w:r>
        <w:rPr>
          <w:lang w:eastAsia="et-EE"/>
        </w:rPr>
        <w:t xml:space="preserve"> 1 teenus); </w:t>
      </w:r>
    </w:p>
    <w:p w14:paraId="00D91ED5" w14:textId="24F67A73" w:rsidR="009C6EF2" w:rsidRDefault="009C6EF2" w:rsidP="00AA241E">
      <w:pPr>
        <w:pStyle w:val="Loendilik"/>
        <w:numPr>
          <w:ilvl w:val="0"/>
          <w:numId w:val="30"/>
        </w:numPr>
        <w:spacing w:before="120" w:after="120" w:line="240" w:lineRule="auto"/>
        <w:jc w:val="both"/>
        <w:rPr>
          <w:lang w:eastAsia="et-EE"/>
        </w:rPr>
      </w:pPr>
      <w:r>
        <w:rPr>
          <w:lang w:eastAsia="et-EE"/>
        </w:rPr>
        <w:t>piirkondlikul tasandil (3b teenus);</w:t>
      </w:r>
    </w:p>
    <w:p w14:paraId="4ED4E9B7" w14:textId="1EC465E5" w:rsidR="009C6EF2" w:rsidRDefault="009C6EF2" w:rsidP="00AA241E">
      <w:pPr>
        <w:pStyle w:val="Loendilik"/>
        <w:numPr>
          <w:ilvl w:val="0"/>
          <w:numId w:val="30"/>
        </w:numPr>
        <w:spacing w:before="120" w:after="120" w:line="240" w:lineRule="auto"/>
        <w:jc w:val="both"/>
        <w:rPr>
          <w:lang w:eastAsia="et-EE"/>
        </w:rPr>
      </w:pPr>
      <w:r>
        <w:rPr>
          <w:lang w:eastAsia="et-EE"/>
        </w:rPr>
        <w:t>riiklik (turu 3b teenus).</w:t>
      </w:r>
    </w:p>
    <w:p w14:paraId="22E3063C" w14:textId="343B09C3" w:rsidR="000A0BC1" w:rsidRDefault="000A0BC1" w:rsidP="00AA241E">
      <w:pPr>
        <w:spacing w:before="120" w:after="120" w:line="240" w:lineRule="auto"/>
        <w:jc w:val="both"/>
        <w:rPr>
          <w:lang w:eastAsia="et-EE"/>
        </w:rPr>
      </w:pPr>
      <w:r>
        <w:rPr>
          <w:lang w:eastAsia="et-EE"/>
        </w:rPr>
        <w:t xml:space="preserve">Kui juurdepääsupunkt asub kohalikul tasandil, tähendab see, et </w:t>
      </w:r>
      <w:r w:rsidR="007D4E16">
        <w:rPr>
          <w:lang w:eastAsia="et-EE"/>
        </w:rPr>
        <w:t xml:space="preserve">ühendus antakse  </w:t>
      </w:r>
      <w:r>
        <w:rPr>
          <w:lang w:eastAsia="et-EE"/>
        </w:rPr>
        <w:t xml:space="preserve">üle teisele sideettevõtjale võrguettevõtja </w:t>
      </w:r>
      <w:r w:rsidR="007D4E16">
        <w:rPr>
          <w:lang w:eastAsia="et-EE"/>
        </w:rPr>
        <w:t xml:space="preserve"> juurdepääsuvõrgus</w:t>
      </w:r>
      <w:r>
        <w:rPr>
          <w:lang w:eastAsia="et-EE"/>
        </w:rPr>
        <w:t xml:space="preserve">, mis on lõppkasutaja lõpp-punktile kõige lähemal võrreldes piirkondliku ja riikliku tasandiga. Juurdepääs lairibale kohalikul tasandil on seega füüsiline </w:t>
      </w:r>
      <w:r w:rsidR="0007135D">
        <w:rPr>
          <w:lang w:eastAsia="et-EE"/>
        </w:rPr>
        <w:t>kliendiliin</w:t>
      </w:r>
      <w:r>
        <w:rPr>
          <w:lang w:eastAsia="et-EE"/>
        </w:rPr>
        <w:t xml:space="preserve"> ja andmeedastus lõppkasutaja lõpp-punktist juurdepääsusõlme. Piirkondlik juurdepääsupunkt asub</w:t>
      </w:r>
      <w:r w:rsidR="007D4E16" w:rsidRPr="007D4E16">
        <w:rPr>
          <w:lang w:eastAsia="et-EE"/>
        </w:rPr>
        <w:t xml:space="preserve"> </w:t>
      </w:r>
      <w:r w:rsidR="007D4E16">
        <w:rPr>
          <w:lang w:eastAsia="et-EE"/>
        </w:rPr>
        <w:t>sidevõrgu hierarhias</w:t>
      </w:r>
      <w:r>
        <w:rPr>
          <w:lang w:eastAsia="et-EE"/>
        </w:rPr>
        <w:t xml:space="preserve"> kaugemal</w:t>
      </w:r>
      <w:r w:rsidR="007D4E16">
        <w:rPr>
          <w:lang w:eastAsia="et-EE"/>
        </w:rPr>
        <w:t>, kui kohalik juurdepääsu punkt</w:t>
      </w:r>
      <w:r>
        <w:rPr>
          <w:lang w:eastAsia="et-EE"/>
        </w:rPr>
        <w:t xml:space="preserve"> ja riiklik juurdepääsupunkt asub põhivõrgu hierarhias kõige kaugemal</w:t>
      </w:r>
      <w:r w:rsidR="007D4E16" w:rsidRPr="007D4E16">
        <w:rPr>
          <w:lang w:eastAsia="et-EE"/>
        </w:rPr>
        <w:t xml:space="preserve"> </w:t>
      </w:r>
      <w:r w:rsidR="007D4E16">
        <w:rPr>
          <w:lang w:eastAsia="et-EE"/>
        </w:rPr>
        <w:t>lõppkasutaja lõpp-punktist</w:t>
      </w:r>
      <w:r>
        <w:rPr>
          <w:lang w:eastAsia="et-EE"/>
        </w:rPr>
        <w:t xml:space="preserve">. Kohalikul, piirkondlikul või riiklikul tasandil </w:t>
      </w:r>
      <w:r w:rsidR="007D4E16">
        <w:rPr>
          <w:lang w:eastAsia="et-EE"/>
        </w:rPr>
        <w:t xml:space="preserve">käsitletakse juurdepääsupunktides </w:t>
      </w:r>
      <w:r>
        <w:rPr>
          <w:lang w:eastAsia="et-EE"/>
        </w:rPr>
        <w:t xml:space="preserve"> teenindatavate lõppkasutajate arvu</w:t>
      </w:r>
      <w:r w:rsidR="007D4E16" w:rsidRPr="007D4E16">
        <w:rPr>
          <w:lang w:eastAsia="et-EE"/>
        </w:rPr>
        <w:t xml:space="preserve"> </w:t>
      </w:r>
      <w:r w:rsidR="007D4E16">
        <w:rPr>
          <w:lang w:eastAsia="et-EE"/>
        </w:rPr>
        <w:t>erinevalt, samas kohalik ja piirkondlik juurdepääsu punkt võivad asuda samas asukohas</w:t>
      </w:r>
      <w:r>
        <w:rPr>
          <w:lang w:eastAsia="et-EE"/>
        </w:rPr>
        <w:t>.</w:t>
      </w:r>
    </w:p>
    <w:p w14:paraId="7A72E2B7" w14:textId="73796060" w:rsidR="000A0BC1" w:rsidRDefault="000A0BC1" w:rsidP="00AA241E">
      <w:pPr>
        <w:spacing w:before="120" w:after="120" w:line="240" w:lineRule="auto"/>
        <w:jc w:val="both"/>
        <w:rPr>
          <w:lang w:eastAsia="et-EE"/>
        </w:rPr>
      </w:pPr>
      <w:r>
        <w:rPr>
          <w:lang w:eastAsia="et-EE"/>
        </w:rPr>
        <w:t>Juurdepääsu lairibale saab pakkuda erinevate juurdepääsuvõrgu arhitektuuride kaudu, nagu</w:t>
      </w:r>
      <w:r w:rsidR="007D4E16">
        <w:rPr>
          <w:lang w:eastAsia="et-EE"/>
        </w:rPr>
        <w:t xml:space="preserve"> juurdepääs</w:t>
      </w:r>
      <w:r>
        <w:rPr>
          <w:lang w:eastAsia="et-EE"/>
        </w:rPr>
        <w:t xml:space="preserve"> vask</w:t>
      </w:r>
      <w:r w:rsidR="007D4E16">
        <w:rPr>
          <w:lang w:eastAsia="et-EE"/>
        </w:rPr>
        <w:t>paar</w:t>
      </w:r>
      <w:r>
        <w:rPr>
          <w:lang w:eastAsia="et-EE"/>
        </w:rPr>
        <w:t xml:space="preserve"> kliendiliinile, FTTN, FTTH ja FTTB jne. Juurdepääsu lairibale saab pakkuda OSI 2 kihis (Ethernet) või OSI 3 kihis (IP). Kui juurdepääs andmevoole on ette nähtud OSI 3 kihis, </w:t>
      </w:r>
      <w:r>
        <w:rPr>
          <w:lang w:eastAsia="et-EE"/>
        </w:rPr>
        <w:lastRenderedPageBreak/>
        <w:t xml:space="preserve">võib alternatiivsel operaatoril olla vähem kontrolli teenuse tehniliste parameetrite üle võrreldes juurdepääsuga OSI 2 kihis. </w:t>
      </w:r>
    </w:p>
    <w:p w14:paraId="30616911" w14:textId="77777777" w:rsidR="00B65E8A" w:rsidRDefault="00B65E8A" w:rsidP="00AA241E">
      <w:pPr>
        <w:spacing w:before="120" w:after="120" w:line="240" w:lineRule="auto"/>
        <w:jc w:val="both"/>
        <w:rPr>
          <w:lang w:eastAsia="et-EE"/>
        </w:rPr>
      </w:pPr>
      <w:r>
        <w:rPr>
          <w:lang w:eastAsia="et-EE"/>
        </w:rPr>
        <w:t>Kindlaks määratud asukohas lairiba juurdepääsu hulgituru teenuse võib jagada järgmisteks hulgiteenusteks:</w:t>
      </w:r>
    </w:p>
    <w:p w14:paraId="24088506" w14:textId="112BDDC9" w:rsidR="00B65E8A" w:rsidRDefault="00B65E8A" w:rsidP="00AA241E">
      <w:pPr>
        <w:pStyle w:val="Loendilik"/>
        <w:numPr>
          <w:ilvl w:val="0"/>
          <w:numId w:val="30"/>
        </w:numPr>
        <w:spacing w:before="120" w:after="120" w:line="240" w:lineRule="auto"/>
        <w:jc w:val="both"/>
        <w:rPr>
          <w:lang w:eastAsia="et-EE"/>
        </w:rPr>
      </w:pPr>
      <w:r>
        <w:rPr>
          <w:lang w:eastAsia="et-EE"/>
        </w:rPr>
        <w:t>juurdepääsupunktile juurdepääsu teenus – sidevõrgule juurdepääsupunkti loomine, haldamine ja selle kasutada andmine teisele sideettevõtjale sideteenuste osutamiseks;</w:t>
      </w:r>
    </w:p>
    <w:p w14:paraId="75E3F478" w14:textId="6F68F97E" w:rsidR="00B65E8A" w:rsidRDefault="00B65E8A" w:rsidP="00AA241E">
      <w:pPr>
        <w:pStyle w:val="Loendilik"/>
        <w:numPr>
          <w:ilvl w:val="0"/>
          <w:numId w:val="30"/>
        </w:numPr>
        <w:spacing w:before="120" w:after="120" w:line="240" w:lineRule="auto"/>
        <w:jc w:val="both"/>
        <w:rPr>
          <w:lang w:eastAsia="et-EE"/>
        </w:rPr>
      </w:pPr>
      <w:r>
        <w:rPr>
          <w:lang w:eastAsia="et-EE"/>
        </w:rPr>
        <w:t>lairibaühendusele juurdepääsu teenus – juurdepääsupunktist sidevõrgu lõpp-punkti lairibaühenduse loomine, haldamine ja selle kasutada andmine teisele sideettevõtjale sideteenuste osutamiseks;</w:t>
      </w:r>
    </w:p>
    <w:p w14:paraId="45268FC3" w14:textId="0316C93B" w:rsidR="00B65E8A" w:rsidRDefault="00B65E8A" w:rsidP="00AA241E">
      <w:pPr>
        <w:pStyle w:val="Loendilik"/>
        <w:numPr>
          <w:ilvl w:val="0"/>
          <w:numId w:val="30"/>
        </w:numPr>
        <w:spacing w:before="120" w:after="120" w:line="240" w:lineRule="auto"/>
        <w:jc w:val="both"/>
        <w:rPr>
          <w:lang w:eastAsia="et-EE"/>
        </w:rPr>
      </w:pPr>
      <w:r>
        <w:rPr>
          <w:lang w:eastAsia="et-EE"/>
        </w:rPr>
        <w:t>juurdepääsupunktile ja lairibaühendusele juurdepääsu teenuste toimimiseks vajalikud tugiteenused (muu hulgas juurdepääsu seadmemajutuse  teenusele ja hoonete ühiskasutusele).</w:t>
      </w:r>
    </w:p>
    <w:p w14:paraId="2B7BFB51" w14:textId="77777777" w:rsidR="00B65E8A" w:rsidRDefault="00B65E8A" w:rsidP="00AA241E">
      <w:pPr>
        <w:spacing w:before="120" w:after="120" w:line="240" w:lineRule="auto"/>
        <w:jc w:val="both"/>
        <w:rPr>
          <w:lang w:eastAsia="et-EE"/>
        </w:rPr>
      </w:pPr>
      <w:r>
        <w:rPr>
          <w:lang w:eastAsia="et-EE"/>
        </w:rPr>
        <w:t>Lairiba juurdepääsu hulgituru koosseisu kuuluvad teenused, mida osutatakse või mida on võimalik osutada elektroonilise side püsivõrgu:</w:t>
      </w:r>
    </w:p>
    <w:p w14:paraId="4E651915" w14:textId="7BFD05B2" w:rsidR="00B65E8A" w:rsidRDefault="00B65E8A" w:rsidP="00AA241E">
      <w:pPr>
        <w:pStyle w:val="Loendilik"/>
        <w:numPr>
          <w:ilvl w:val="0"/>
          <w:numId w:val="76"/>
        </w:numPr>
        <w:spacing w:before="120" w:after="120" w:line="240" w:lineRule="auto"/>
        <w:jc w:val="both"/>
        <w:rPr>
          <w:lang w:eastAsia="et-EE"/>
        </w:rPr>
      </w:pPr>
      <w:r>
        <w:rPr>
          <w:lang w:eastAsia="et-EE"/>
        </w:rPr>
        <w:t xml:space="preserve">ülekandevõrgu; </w:t>
      </w:r>
    </w:p>
    <w:p w14:paraId="17801F7C" w14:textId="62C503D2" w:rsidR="00B65E8A" w:rsidRDefault="00B65E8A" w:rsidP="00AA241E">
      <w:pPr>
        <w:pStyle w:val="Loendilik"/>
        <w:numPr>
          <w:ilvl w:val="0"/>
          <w:numId w:val="76"/>
        </w:numPr>
        <w:spacing w:before="120" w:after="120" w:line="240" w:lineRule="auto"/>
        <w:jc w:val="both"/>
        <w:rPr>
          <w:lang w:eastAsia="et-EE"/>
        </w:rPr>
      </w:pPr>
      <w:r>
        <w:rPr>
          <w:lang w:eastAsia="et-EE"/>
        </w:rPr>
        <w:t xml:space="preserve">vaskpaaril põhineva juurdepääsuvõrgu; </w:t>
      </w:r>
    </w:p>
    <w:p w14:paraId="29449E42" w14:textId="5A9CD5D6" w:rsidR="00B65E8A" w:rsidRDefault="00B65E8A" w:rsidP="00AA241E">
      <w:pPr>
        <w:pStyle w:val="Loendilik"/>
        <w:numPr>
          <w:ilvl w:val="0"/>
          <w:numId w:val="76"/>
        </w:numPr>
        <w:spacing w:before="120" w:after="120" w:line="240" w:lineRule="auto"/>
        <w:jc w:val="both"/>
        <w:rPr>
          <w:lang w:eastAsia="et-EE"/>
        </w:rPr>
      </w:pPr>
      <w:r>
        <w:rPr>
          <w:lang w:eastAsia="et-EE"/>
        </w:rPr>
        <w:t xml:space="preserve">valguskaablil põhineva juurdepääsuvõrgu; </w:t>
      </w:r>
    </w:p>
    <w:p w14:paraId="622A7DED" w14:textId="41B42554" w:rsidR="00813E3C" w:rsidRPr="00D820F2" w:rsidRDefault="00B65E8A" w:rsidP="00AA241E">
      <w:pPr>
        <w:pStyle w:val="Loendilik"/>
        <w:numPr>
          <w:ilvl w:val="0"/>
          <w:numId w:val="76"/>
        </w:numPr>
        <w:spacing w:before="120" w:after="120" w:line="240" w:lineRule="auto"/>
        <w:jc w:val="both"/>
        <w:rPr>
          <w:lang w:eastAsia="et-EE"/>
        </w:rPr>
      </w:pPr>
      <w:r>
        <w:rPr>
          <w:lang w:eastAsia="et-EE"/>
        </w:rPr>
        <w:t>kaabellevivõrgu vahendusel.</w:t>
      </w:r>
    </w:p>
    <w:p w14:paraId="0F59AC52" w14:textId="38FA1B6C" w:rsidR="0019768D" w:rsidRPr="006E317E" w:rsidRDefault="00546A8E" w:rsidP="00AA241E">
      <w:pPr>
        <w:pStyle w:val="Pealkiri1"/>
      </w:pPr>
      <w:bookmarkStart w:id="579" w:name="_Toc174710775"/>
      <w:bookmarkEnd w:id="573"/>
      <w:r>
        <w:t>H</w:t>
      </w:r>
      <w:r w:rsidR="00E26286">
        <w:t>ULGITURG</w:t>
      </w:r>
      <w:r>
        <w:t xml:space="preserve"> 1</w:t>
      </w:r>
      <w:r w:rsidR="00E26286">
        <w:t xml:space="preserve"> ANALÜÜS</w:t>
      </w:r>
      <w:bookmarkEnd w:id="579"/>
    </w:p>
    <w:p w14:paraId="2C26E27A" w14:textId="77777777" w:rsidR="0010136E" w:rsidRPr="0010136E" w:rsidRDefault="0010136E" w:rsidP="00AA241E">
      <w:pPr>
        <w:pStyle w:val="Loendilik"/>
        <w:numPr>
          <w:ilvl w:val="0"/>
          <w:numId w:val="43"/>
        </w:numPr>
        <w:contextualSpacing w:val="0"/>
        <w:jc w:val="both"/>
        <w:outlineLvl w:val="1"/>
        <w:rPr>
          <w:b/>
          <w:vanish/>
        </w:rPr>
      </w:pPr>
      <w:bookmarkStart w:id="580" w:name="_Toc174094567"/>
      <w:bookmarkStart w:id="581" w:name="_Toc174094834"/>
      <w:bookmarkStart w:id="582" w:name="_Toc174095100"/>
      <w:bookmarkStart w:id="583" w:name="_Toc174095365"/>
      <w:bookmarkStart w:id="584" w:name="_Toc174095903"/>
      <w:bookmarkStart w:id="585" w:name="_Toc174096169"/>
      <w:bookmarkStart w:id="586" w:name="_Toc174536059"/>
      <w:bookmarkStart w:id="587" w:name="_Toc174617160"/>
      <w:bookmarkStart w:id="588" w:name="_Toc174618517"/>
      <w:bookmarkStart w:id="589" w:name="_Toc174627579"/>
      <w:bookmarkStart w:id="590" w:name="_Toc174705003"/>
      <w:bookmarkStart w:id="591" w:name="_Toc174709547"/>
      <w:bookmarkStart w:id="592" w:name="_Toc174710776"/>
      <w:bookmarkStart w:id="593" w:name="_Toc164846148"/>
      <w:bookmarkEnd w:id="580"/>
      <w:bookmarkEnd w:id="581"/>
      <w:bookmarkEnd w:id="582"/>
      <w:bookmarkEnd w:id="583"/>
      <w:bookmarkEnd w:id="584"/>
      <w:bookmarkEnd w:id="585"/>
      <w:bookmarkEnd w:id="586"/>
      <w:bookmarkEnd w:id="587"/>
      <w:bookmarkEnd w:id="588"/>
      <w:bookmarkEnd w:id="589"/>
      <w:bookmarkEnd w:id="590"/>
      <w:bookmarkEnd w:id="591"/>
      <w:bookmarkEnd w:id="592"/>
    </w:p>
    <w:p w14:paraId="6317251E" w14:textId="77777777" w:rsidR="00B3532C" w:rsidRPr="00B3532C" w:rsidRDefault="00B3532C" w:rsidP="00AA241E">
      <w:pPr>
        <w:pStyle w:val="Loendilik"/>
        <w:numPr>
          <w:ilvl w:val="0"/>
          <w:numId w:val="81"/>
        </w:numPr>
        <w:spacing w:before="120" w:after="240"/>
        <w:contextualSpacing w:val="0"/>
        <w:jc w:val="both"/>
        <w:outlineLvl w:val="1"/>
        <w:rPr>
          <w:b/>
          <w:iCs/>
          <w:vanish/>
        </w:rPr>
      </w:pPr>
      <w:bookmarkStart w:id="594" w:name="_Toc174094568"/>
      <w:bookmarkStart w:id="595" w:name="_Toc174094835"/>
      <w:bookmarkStart w:id="596" w:name="_Toc174095101"/>
      <w:bookmarkStart w:id="597" w:name="_Toc174095366"/>
      <w:bookmarkStart w:id="598" w:name="_Toc174095904"/>
      <w:bookmarkStart w:id="599" w:name="_Toc174096170"/>
      <w:bookmarkStart w:id="600" w:name="_Toc174536060"/>
      <w:bookmarkStart w:id="601" w:name="_Toc174617161"/>
      <w:bookmarkStart w:id="602" w:name="_Toc174618518"/>
      <w:bookmarkStart w:id="603" w:name="_Toc174627580"/>
      <w:bookmarkStart w:id="604" w:name="_Toc174705004"/>
      <w:bookmarkStart w:id="605" w:name="_Toc174709548"/>
      <w:bookmarkStart w:id="606" w:name="_Toc174710777"/>
      <w:bookmarkEnd w:id="594"/>
      <w:bookmarkEnd w:id="595"/>
      <w:bookmarkEnd w:id="596"/>
      <w:bookmarkEnd w:id="597"/>
      <w:bookmarkEnd w:id="598"/>
      <w:bookmarkEnd w:id="599"/>
      <w:bookmarkEnd w:id="600"/>
      <w:bookmarkEnd w:id="601"/>
      <w:bookmarkEnd w:id="602"/>
      <w:bookmarkEnd w:id="603"/>
      <w:bookmarkEnd w:id="604"/>
      <w:bookmarkEnd w:id="605"/>
      <w:bookmarkEnd w:id="606"/>
    </w:p>
    <w:p w14:paraId="08DEF34B" w14:textId="79BDF8F0" w:rsidR="0019768D" w:rsidRPr="005F60C0" w:rsidRDefault="00D663B4" w:rsidP="00AA241E">
      <w:pPr>
        <w:pStyle w:val="Pealkiri2"/>
        <w:jc w:val="both"/>
      </w:pPr>
      <w:bookmarkStart w:id="607" w:name="_Toc174710778"/>
      <w:r>
        <w:t>Hulgit</w:t>
      </w:r>
      <w:r w:rsidR="0019768D" w:rsidRPr="00F605C7">
        <w:t>uru</w:t>
      </w:r>
      <w:r w:rsidR="0019768D" w:rsidRPr="005F60C0">
        <w:t xml:space="preserve"> </w:t>
      </w:r>
      <w:r w:rsidR="005C64E2">
        <w:t>1</w:t>
      </w:r>
      <w:r w:rsidR="0019768D" w:rsidRPr="005F60C0">
        <w:t xml:space="preserve"> analüüs jae</w:t>
      </w:r>
      <w:bookmarkEnd w:id="593"/>
      <w:r w:rsidR="008545E0">
        <w:t>tasandil</w:t>
      </w:r>
      <w:bookmarkEnd w:id="607"/>
    </w:p>
    <w:p w14:paraId="6C2830E7" w14:textId="5663DA2B" w:rsidR="0019768D" w:rsidRPr="006E317E" w:rsidRDefault="0019768D" w:rsidP="00AA241E">
      <w:pPr>
        <w:jc w:val="both"/>
      </w:pPr>
      <w:r w:rsidRPr="006E317E">
        <w:t>Lähtepunktiks selliste hulgiturgude kindlaksmääramisel, kus  eelnev reguleerimine võib olla vajalik, on asjaomaste jaeturgude analüüs. Tõhusa konkurentsi analüüs viiakse läbi tulevikku suunatud perspektiivis, mis hõlmab teatud ajavahemikku. Kui reguleeriv asutus jõuab turuanalüüsi tulemuste põhjal järeldusele, et jaekaubanduse turul puudub tõhus konkurents, määrab ta kindlaks erinõuded (kohustused), mis vastavad ja proportsionaalsed märkimisväärse turujõuga ettevõtjale, ning turuanalüüsi tulemusena tuvastatud probleemid. Kui reguleeriv asutus jõuab järeldusele, et jaeturul on tõhus konkurents, siis tunnistab ta märkimisväärse turujõuga ettevõtjale eelneva sätestatud otsuse kehtetuks ja teavitab sellest ettevõtjat .</w:t>
      </w:r>
    </w:p>
    <w:p w14:paraId="5CE8F1A5" w14:textId="4086D310" w:rsidR="0019768D" w:rsidRPr="006E317E" w:rsidRDefault="0019768D" w:rsidP="00AA241E">
      <w:pPr>
        <w:jc w:val="both"/>
      </w:pPr>
      <w:r w:rsidRPr="006E317E">
        <w:t xml:space="preserve">Seega hindab </w:t>
      </w:r>
      <w:r w:rsidR="00F15D99">
        <w:t>TTJA</w:t>
      </w:r>
      <w:r w:rsidRPr="006E317E">
        <w:t xml:space="preserve"> käesolevas </w:t>
      </w:r>
      <w:r w:rsidR="00F15D99">
        <w:t>peatükis</w:t>
      </w:r>
      <w:r w:rsidRPr="006E317E">
        <w:t xml:space="preserve">, kas </w:t>
      </w:r>
      <w:r w:rsidR="00464947">
        <w:rPr>
          <w:rFonts w:cs="Times New Roman"/>
        </w:rPr>
        <w:t>vaskkaabli</w:t>
      </w:r>
      <w:r w:rsidR="00464947" w:rsidRPr="008B7E69">
        <w:rPr>
          <w:rFonts w:cs="Times New Roman"/>
        </w:rPr>
        <w:t xml:space="preserve">- ja </w:t>
      </w:r>
      <w:r w:rsidR="00464947">
        <w:rPr>
          <w:rFonts w:cs="Times New Roman"/>
        </w:rPr>
        <w:t>mobiilsidevõr</w:t>
      </w:r>
      <w:r w:rsidR="00464947" w:rsidRPr="008B7E69">
        <w:rPr>
          <w:rFonts w:cs="Times New Roman"/>
        </w:rPr>
        <w:t>gu internetiühenduste üleriigili</w:t>
      </w:r>
      <w:r w:rsidR="002D69F7">
        <w:rPr>
          <w:rFonts w:cs="Times New Roman"/>
        </w:rPr>
        <w:t>sel</w:t>
      </w:r>
      <w:r w:rsidR="00464947" w:rsidRPr="008B7E69">
        <w:rPr>
          <w:rFonts w:cs="Times New Roman"/>
        </w:rPr>
        <w:t xml:space="preserve"> jaetur</w:t>
      </w:r>
      <w:r w:rsidR="00464149">
        <w:rPr>
          <w:rFonts w:cs="Times New Roman"/>
        </w:rPr>
        <w:t xml:space="preserve">ul </w:t>
      </w:r>
      <w:r w:rsidRPr="006E317E">
        <w:t xml:space="preserve">ning </w:t>
      </w:r>
      <w:r w:rsidR="00531264" w:rsidRPr="00530054">
        <w:rPr>
          <w:rFonts w:cs="Times New Roman"/>
        </w:rPr>
        <w:t xml:space="preserve">valguskaabelvõrgu </w:t>
      </w:r>
      <w:r w:rsidR="00464149" w:rsidRPr="00530054">
        <w:rPr>
          <w:rFonts w:cs="Times New Roman"/>
        </w:rPr>
        <w:t xml:space="preserve">internetiühenduste </w:t>
      </w:r>
      <w:r w:rsidR="00531264" w:rsidRPr="00530054">
        <w:rPr>
          <w:rFonts w:cs="Times New Roman"/>
        </w:rPr>
        <w:t>jaetur</w:t>
      </w:r>
      <w:r w:rsidR="008A1309">
        <w:rPr>
          <w:rFonts w:cs="Times New Roman"/>
        </w:rPr>
        <w:t xml:space="preserve">ul </w:t>
      </w:r>
      <w:r w:rsidR="002D69F7">
        <w:rPr>
          <w:rFonts w:cs="Times New Roman"/>
        </w:rPr>
        <w:t xml:space="preserve">toimib </w:t>
      </w:r>
      <w:r w:rsidRPr="006E317E">
        <w:t>tõhus konkurents, st kas hulgi</w:t>
      </w:r>
      <w:r w:rsidR="003A1C14">
        <w:t xml:space="preserve">turul </w:t>
      </w:r>
      <w:r w:rsidRPr="006E317E">
        <w:t xml:space="preserve">on endiselt vaja </w:t>
      </w:r>
      <w:r w:rsidR="003A1C14">
        <w:t>kohustusi</w:t>
      </w:r>
      <w:r w:rsidR="007D4E16">
        <w:t xml:space="preserve"> määrata</w:t>
      </w:r>
      <w:r w:rsidRPr="006E317E">
        <w:t xml:space="preserve">, võttes arvesse, et need on Teliale  </w:t>
      </w:r>
      <w:r w:rsidR="00A13EB5">
        <w:t>hulgi</w:t>
      </w:r>
      <w:r w:rsidRPr="006E317E">
        <w:t xml:space="preserve">turul 1 eelnevalt </w:t>
      </w:r>
      <w:r w:rsidR="003A1C14">
        <w:t>kehtestatud</w:t>
      </w:r>
      <w:r w:rsidRPr="006E317E">
        <w:t>.</w:t>
      </w:r>
    </w:p>
    <w:p w14:paraId="6F8B3E26" w14:textId="187FF506" w:rsidR="0019768D" w:rsidRPr="00FC7F01" w:rsidRDefault="00F130BE" w:rsidP="00AA241E">
      <w:pPr>
        <w:jc w:val="both"/>
        <w:rPr>
          <w:highlight w:val="yellow"/>
        </w:rPr>
      </w:pPr>
      <w:r>
        <w:t>Hulgit</w:t>
      </w:r>
      <w:r w:rsidR="0019768D" w:rsidRPr="006E317E">
        <w:t xml:space="preserve">urul 1:  </w:t>
      </w:r>
      <w:r w:rsidR="00A13EB5">
        <w:rPr>
          <w:rFonts w:cs="Times New Roman"/>
        </w:rPr>
        <w:t>vaskkaabli</w:t>
      </w:r>
      <w:r w:rsidR="00A13EB5" w:rsidRPr="008B7E69">
        <w:rPr>
          <w:rFonts w:cs="Times New Roman"/>
        </w:rPr>
        <w:t xml:space="preserve">- ja </w:t>
      </w:r>
      <w:r w:rsidR="00A13EB5">
        <w:rPr>
          <w:rFonts w:cs="Times New Roman"/>
        </w:rPr>
        <w:t>mobiilsidevõr</w:t>
      </w:r>
      <w:r w:rsidR="00A13EB5" w:rsidRPr="008B7E69">
        <w:rPr>
          <w:rFonts w:cs="Times New Roman"/>
        </w:rPr>
        <w:t>gu internetiühenduste jaetur</w:t>
      </w:r>
      <w:r w:rsidR="00A13EB5">
        <w:rPr>
          <w:rFonts w:cs="Times New Roman"/>
        </w:rPr>
        <w:t>u</w:t>
      </w:r>
      <w:r w:rsidR="00A13EB5" w:rsidRPr="006E317E">
        <w:t xml:space="preserve"> </w:t>
      </w:r>
      <w:r w:rsidR="0019768D" w:rsidRPr="006E317E">
        <w:t xml:space="preserve">analüüs ning </w:t>
      </w:r>
      <w:r w:rsidR="00261B04">
        <w:t>valgus</w:t>
      </w:r>
      <w:r w:rsidR="00261B04" w:rsidRPr="006E317E">
        <w:t>kaabel</w:t>
      </w:r>
      <w:r w:rsidR="0019768D" w:rsidRPr="006E317E">
        <w:t xml:space="preserve"> </w:t>
      </w:r>
      <w:r w:rsidR="00813880">
        <w:t>jae</w:t>
      </w:r>
      <w:r w:rsidR="00F024A1">
        <w:t>turu</w:t>
      </w:r>
      <w:r w:rsidR="0019768D" w:rsidRPr="006E317E">
        <w:t xml:space="preserve"> analüüs tuleb läbi viia vastavalt jaeturu määratlusele (</w:t>
      </w:r>
      <w:r w:rsidR="0019768D" w:rsidRPr="002E251B">
        <w:t xml:space="preserve">vt </w:t>
      </w:r>
      <w:r w:rsidR="000276C6" w:rsidRPr="002E251B">
        <w:t>3</w:t>
      </w:r>
      <w:r w:rsidR="0019768D" w:rsidRPr="002E251B">
        <w:t>. peatükk</w:t>
      </w:r>
      <w:r w:rsidR="0019768D" w:rsidRPr="006E317E">
        <w:t>) ja geograafiliste turgude määratlusele (</w:t>
      </w:r>
      <w:r w:rsidR="0019768D" w:rsidRPr="002E251B">
        <w:t xml:space="preserve">vt </w:t>
      </w:r>
      <w:r w:rsidR="00577534" w:rsidRPr="002E251B">
        <w:t xml:space="preserve">punkt </w:t>
      </w:r>
      <w:r w:rsidR="000276C6" w:rsidRPr="002E251B">
        <w:t>2</w:t>
      </w:r>
      <w:r w:rsidR="0019768D" w:rsidRPr="002E251B">
        <w:t>.</w:t>
      </w:r>
      <w:r w:rsidR="00577534" w:rsidRPr="002E251B">
        <w:t>3</w:t>
      </w:r>
      <w:r w:rsidR="0019768D" w:rsidRPr="006E317E">
        <w:t>).</w:t>
      </w:r>
    </w:p>
    <w:p w14:paraId="05AEDC3A" w14:textId="77777777" w:rsidR="00201AA2" w:rsidRPr="00201AA2" w:rsidRDefault="00201AA2" w:rsidP="00AA241E">
      <w:pPr>
        <w:pStyle w:val="Loendilik"/>
        <w:keepNext/>
        <w:keepLines/>
        <w:numPr>
          <w:ilvl w:val="0"/>
          <w:numId w:val="67"/>
        </w:numPr>
        <w:spacing w:before="160" w:after="80" w:line="360" w:lineRule="auto"/>
        <w:contextualSpacing w:val="0"/>
        <w:jc w:val="both"/>
        <w:outlineLvl w:val="2"/>
        <w:rPr>
          <w:rFonts w:eastAsia="Calibri" w:cstheme="majorBidi"/>
          <w:bCs/>
          <w:vanish/>
          <w:color w:val="000000" w:themeColor="text1"/>
          <w:lang w:eastAsia="en-US"/>
        </w:rPr>
      </w:pPr>
      <w:bookmarkStart w:id="608" w:name="_Toc174096172"/>
      <w:bookmarkStart w:id="609" w:name="_Toc174536062"/>
      <w:bookmarkStart w:id="610" w:name="_Toc174618520"/>
      <w:bookmarkStart w:id="611" w:name="_Toc174627582"/>
      <w:bookmarkStart w:id="612" w:name="_Toc174705006"/>
      <w:bookmarkStart w:id="613" w:name="_Toc174709550"/>
      <w:bookmarkStart w:id="614" w:name="_Toc174710779"/>
      <w:bookmarkStart w:id="615" w:name="_Toc164846149"/>
      <w:bookmarkEnd w:id="608"/>
      <w:bookmarkEnd w:id="609"/>
      <w:bookmarkEnd w:id="610"/>
      <w:bookmarkEnd w:id="611"/>
      <w:bookmarkEnd w:id="612"/>
      <w:bookmarkEnd w:id="613"/>
      <w:bookmarkEnd w:id="614"/>
    </w:p>
    <w:p w14:paraId="51985AFB" w14:textId="77777777" w:rsidR="00201AA2" w:rsidRPr="00201AA2" w:rsidRDefault="00201AA2" w:rsidP="00AA241E">
      <w:pPr>
        <w:pStyle w:val="Loendilik"/>
        <w:keepNext/>
        <w:keepLines/>
        <w:numPr>
          <w:ilvl w:val="1"/>
          <w:numId w:val="67"/>
        </w:numPr>
        <w:spacing w:before="160" w:after="80" w:line="360" w:lineRule="auto"/>
        <w:contextualSpacing w:val="0"/>
        <w:jc w:val="both"/>
        <w:outlineLvl w:val="2"/>
        <w:rPr>
          <w:rFonts w:eastAsia="Calibri" w:cstheme="majorBidi"/>
          <w:bCs/>
          <w:vanish/>
          <w:color w:val="000000" w:themeColor="text1"/>
          <w:lang w:eastAsia="en-US"/>
        </w:rPr>
      </w:pPr>
      <w:bookmarkStart w:id="616" w:name="_Toc174094571"/>
      <w:bookmarkStart w:id="617" w:name="_Toc174094838"/>
      <w:bookmarkStart w:id="618" w:name="_Toc174095104"/>
      <w:bookmarkStart w:id="619" w:name="_Toc174095369"/>
      <w:bookmarkStart w:id="620" w:name="_Toc174095907"/>
      <w:bookmarkStart w:id="621" w:name="_Toc174096173"/>
      <w:bookmarkStart w:id="622" w:name="_Toc174536063"/>
      <w:bookmarkStart w:id="623" w:name="_Toc174617164"/>
      <w:bookmarkStart w:id="624" w:name="_Toc174618521"/>
      <w:bookmarkStart w:id="625" w:name="_Toc174627583"/>
      <w:bookmarkStart w:id="626" w:name="_Toc174705007"/>
      <w:bookmarkStart w:id="627" w:name="_Toc174709551"/>
      <w:bookmarkStart w:id="628" w:name="_Toc174710780"/>
      <w:bookmarkEnd w:id="616"/>
      <w:bookmarkEnd w:id="617"/>
      <w:bookmarkEnd w:id="618"/>
      <w:bookmarkEnd w:id="619"/>
      <w:bookmarkEnd w:id="620"/>
      <w:bookmarkEnd w:id="621"/>
      <w:bookmarkEnd w:id="622"/>
      <w:bookmarkEnd w:id="623"/>
      <w:bookmarkEnd w:id="624"/>
      <w:bookmarkEnd w:id="625"/>
      <w:bookmarkEnd w:id="626"/>
      <w:bookmarkEnd w:id="627"/>
      <w:bookmarkEnd w:id="628"/>
    </w:p>
    <w:p w14:paraId="2F4161FB" w14:textId="77777777" w:rsidR="002E0D07" w:rsidRPr="002E0D07" w:rsidRDefault="002E0D07" w:rsidP="00AA241E">
      <w:pPr>
        <w:pStyle w:val="Loendilik"/>
        <w:keepNext/>
        <w:keepLines/>
        <w:numPr>
          <w:ilvl w:val="0"/>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629" w:name="_Toc174096174"/>
      <w:bookmarkStart w:id="630" w:name="_Toc174536064"/>
      <w:bookmarkStart w:id="631" w:name="_Toc174618522"/>
      <w:bookmarkStart w:id="632" w:name="_Toc174627584"/>
      <w:bookmarkStart w:id="633" w:name="_Toc174705008"/>
      <w:bookmarkStart w:id="634" w:name="_Toc174709552"/>
      <w:bookmarkStart w:id="635" w:name="_Toc174710781"/>
      <w:bookmarkEnd w:id="629"/>
      <w:bookmarkEnd w:id="630"/>
      <w:bookmarkEnd w:id="631"/>
      <w:bookmarkEnd w:id="632"/>
      <w:bookmarkEnd w:id="633"/>
      <w:bookmarkEnd w:id="634"/>
      <w:bookmarkEnd w:id="635"/>
    </w:p>
    <w:p w14:paraId="3586B84E" w14:textId="77777777" w:rsidR="002E0D07" w:rsidRPr="002E0D07" w:rsidRDefault="002E0D07"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636" w:name="_Toc174094573"/>
      <w:bookmarkStart w:id="637" w:name="_Toc174094840"/>
      <w:bookmarkStart w:id="638" w:name="_Toc174095106"/>
      <w:bookmarkStart w:id="639" w:name="_Toc174095371"/>
      <w:bookmarkStart w:id="640" w:name="_Toc174095909"/>
      <w:bookmarkStart w:id="641" w:name="_Toc174096175"/>
      <w:bookmarkStart w:id="642" w:name="_Toc174536065"/>
      <w:bookmarkStart w:id="643" w:name="_Toc174617166"/>
      <w:bookmarkStart w:id="644" w:name="_Toc174618523"/>
      <w:bookmarkStart w:id="645" w:name="_Toc174627585"/>
      <w:bookmarkStart w:id="646" w:name="_Toc174705009"/>
      <w:bookmarkStart w:id="647" w:name="_Toc174709553"/>
      <w:bookmarkStart w:id="648" w:name="_Toc174710782"/>
      <w:bookmarkEnd w:id="636"/>
      <w:bookmarkEnd w:id="637"/>
      <w:bookmarkEnd w:id="638"/>
      <w:bookmarkEnd w:id="639"/>
      <w:bookmarkEnd w:id="640"/>
      <w:bookmarkEnd w:id="641"/>
      <w:bookmarkEnd w:id="642"/>
      <w:bookmarkEnd w:id="643"/>
      <w:bookmarkEnd w:id="644"/>
      <w:bookmarkEnd w:id="645"/>
      <w:bookmarkEnd w:id="646"/>
      <w:bookmarkEnd w:id="647"/>
      <w:bookmarkEnd w:id="648"/>
    </w:p>
    <w:p w14:paraId="2DE19C51" w14:textId="788BBDF2" w:rsidR="0019768D" w:rsidRPr="006E317E" w:rsidRDefault="00183BEB" w:rsidP="009805E1">
      <w:pPr>
        <w:pStyle w:val="Pealkiri3"/>
      </w:pPr>
      <w:bookmarkStart w:id="649" w:name="_Toc174710783"/>
      <w:r>
        <w:t>Vaskkaabli</w:t>
      </w:r>
      <w:r w:rsidR="002754CA">
        <w:t xml:space="preserve">- ja </w:t>
      </w:r>
      <w:r>
        <w:t>mobiilsidevõr</w:t>
      </w:r>
      <w:r w:rsidR="002754CA">
        <w:t>gu internetiühenduste</w:t>
      </w:r>
      <w:r w:rsidR="001A6554">
        <w:t xml:space="preserve"> üleriigili</w:t>
      </w:r>
      <w:r w:rsidR="008E5856">
        <w:t>ne</w:t>
      </w:r>
      <w:r w:rsidR="002754CA">
        <w:t xml:space="preserve"> </w:t>
      </w:r>
      <w:bookmarkEnd w:id="615"/>
      <w:r w:rsidR="00B144F2">
        <w:t>jaeturg</w:t>
      </w:r>
      <w:bookmarkEnd w:id="649"/>
    </w:p>
    <w:p w14:paraId="270519F7" w14:textId="77777777" w:rsidR="00810A3C" w:rsidRPr="00810A3C" w:rsidRDefault="00810A3C" w:rsidP="00810A3C">
      <w:pPr>
        <w:pStyle w:val="Loendilik"/>
        <w:keepNext/>
        <w:keepLines/>
        <w:numPr>
          <w:ilvl w:val="0"/>
          <w:numId w:val="66"/>
        </w:numPr>
        <w:tabs>
          <w:tab w:val="left" w:pos="1985"/>
        </w:tabs>
        <w:spacing w:before="120" w:after="240"/>
        <w:contextualSpacing w:val="0"/>
        <w:jc w:val="both"/>
        <w:outlineLvl w:val="3"/>
        <w:rPr>
          <w:rFonts w:eastAsiaTheme="majorEastAsia" w:cstheme="majorBidi"/>
          <w:i/>
          <w:iCs/>
          <w:vanish/>
          <w:lang w:eastAsia="en-US"/>
        </w:rPr>
      </w:pPr>
    </w:p>
    <w:p w14:paraId="6DBD9CA7" w14:textId="77777777" w:rsidR="00810A3C" w:rsidRPr="00810A3C" w:rsidRDefault="00810A3C" w:rsidP="00810A3C">
      <w:pPr>
        <w:pStyle w:val="Loendilik"/>
        <w:keepNext/>
        <w:keepLines/>
        <w:numPr>
          <w:ilvl w:val="0"/>
          <w:numId w:val="66"/>
        </w:numPr>
        <w:tabs>
          <w:tab w:val="left" w:pos="1985"/>
        </w:tabs>
        <w:spacing w:before="120" w:after="240"/>
        <w:contextualSpacing w:val="0"/>
        <w:jc w:val="both"/>
        <w:outlineLvl w:val="3"/>
        <w:rPr>
          <w:rFonts w:eastAsiaTheme="majorEastAsia" w:cstheme="majorBidi"/>
          <w:i/>
          <w:iCs/>
          <w:vanish/>
          <w:lang w:eastAsia="en-US"/>
        </w:rPr>
      </w:pPr>
    </w:p>
    <w:p w14:paraId="242DA685" w14:textId="77777777" w:rsidR="00810A3C" w:rsidRPr="00810A3C" w:rsidRDefault="00810A3C" w:rsidP="00810A3C">
      <w:pPr>
        <w:pStyle w:val="Loendilik"/>
        <w:keepNext/>
        <w:keepLines/>
        <w:numPr>
          <w:ilvl w:val="0"/>
          <w:numId w:val="66"/>
        </w:numPr>
        <w:tabs>
          <w:tab w:val="left" w:pos="1985"/>
        </w:tabs>
        <w:spacing w:before="120" w:after="240"/>
        <w:contextualSpacing w:val="0"/>
        <w:jc w:val="both"/>
        <w:outlineLvl w:val="3"/>
        <w:rPr>
          <w:rFonts w:eastAsiaTheme="majorEastAsia" w:cstheme="majorBidi"/>
          <w:i/>
          <w:iCs/>
          <w:vanish/>
          <w:lang w:eastAsia="en-US"/>
        </w:rPr>
      </w:pPr>
    </w:p>
    <w:p w14:paraId="472B040F" w14:textId="77777777" w:rsidR="00810A3C" w:rsidRPr="00810A3C" w:rsidRDefault="00810A3C" w:rsidP="00810A3C">
      <w:pPr>
        <w:pStyle w:val="Loendilik"/>
        <w:keepNext/>
        <w:keepLines/>
        <w:numPr>
          <w:ilvl w:val="0"/>
          <w:numId w:val="66"/>
        </w:numPr>
        <w:tabs>
          <w:tab w:val="left" w:pos="1985"/>
        </w:tabs>
        <w:spacing w:before="120" w:after="240"/>
        <w:contextualSpacing w:val="0"/>
        <w:jc w:val="both"/>
        <w:outlineLvl w:val="3"/>
        <w:rPr>
          <w:rFonts w:eastAsiaTheme="majorEastAsia" w:cstheme="majorBidi"/>
          <w:i/>
          <w:iCs/>
          <w:vanish/>
          <w:lang w:eastAsia="en-US"/>
        </w:rPr>
      </w:pPr>
    </w:p>
    <w:p w14:paraId="4CD5F81D" w14:textId="77777777" w:rsidR="00810A3C" w:rsidRPr="00810A3C" w:rsidRDefault="00810A3C" w:rsidP="00810A3C">
      <w:pPr>
        <w:pStyle w:val="Loendilik"/>
        <w:keepNext/>
        <w:keepLines/>
        <w:numPr>
          <w:ilvl w:val="0"/>
          <w:numId w:val="66"/>
        </w:numPr>
        <w:tabs>
          <w:tab w:val="left" w:pos="1985"/>
        </w:tabs>
        <w:spacing w:before="120" w:after="240"/>
        <w:contextualSpacing w:val="0"/>
        <w:jc w:val="both"/>
        <w:outlineLvl w:val="3"/>
        <w:rPr>
          <w:rFonts w:eastAsiaTheme="majorEastAsia" w:cstheme="majorBidi"/>
          <w:i/>
          <w:iCs/>
          <w:vanish/>
          <w:lang w:eastAsia="en-US"/>
        </w:rPr>
      </w:pPr>
    </w:p>
    <w:p w14:paraId="52B5ACD9" w14:textId="77777777" w:rsidR="00810A3C" w:rsidRPr="00810A3C" w:rsidRDefault="00810A3C" w:rsidP="00810A3C">
      <w:pPr>
        <w:pStyle w:val="Loendilik"/>
        <w:keepNext/>
        <w:keepLines/>
        <w:numPr>
          <w:ilvl w:val="1"/>
          <w:numId w:val="66"/>
        </w:numPr>
        <w:tabs>
          <w:tab w:val="left" w:pos="1985"/>
        </w:tabs>
        <w:spacing w:before="120" w:after="240"/>
        <w:contextualSpacing w:val="0"/>
        <w:jc w:val="both"/>
        <w:outlineLvl w:val="3"/>
        <w:rPr>
          <w:rFonts w:eastAsiaTheme="majorEastAsia" w:cstheme="majorBidi"/>
          <w:i/>
          <w:iCs/>
          <w:vanish/>
          <w:lang w:eastAsia="en-US"/>
        </w:rPr>
      </w:pPr>
    </w:p>
    <w:p w14:paraId="1AD12EAF" w14:textId="77777777" w:rsidR="00810A3C" w:rsidRPr="00810A3C" w:rsidRDefault="00810A3C" w:rsidP="00810A3C">
      <w:pPr>
        <w:pStyle w:val="Loendilik"/>
        <w:keepNext/>
        <w:keepLines/>
        <w:numPr>
          <w:ilvl w:val="2"/>
          <w:numId w:val="66"/>
        </w:numPr>
        <w:tabs>
          <w:tab w:val="left" w:pos="1985"/>
        </w:tabs>
        <w:spacing w:before="120" w:after="240"/>
        <w:contextualSpacing w:val="0"/>
        <w:jc w:val="both"/>
        <w:outlineLvl w:val="3"/>
        <w:rPr>
          <w:rFonts w:eastAsiaTheme="majorEastAsia" w:cstheme="majorBidi"/>
          <w:i/>
          <w:iCs/>
          <w:vanish/>
          <w:lang w:eastAsia="en-US"/>
        </w:rPr>
      </w:pPr>
    </w:p>
    <w:p w14:paraId="43369F39" w14:textId="1EB4D80D" w:rsidR="0019768D" w:rsidRPr="006E317E" w:rsidRDefault="0019768D" w:rsidP="00810A3C">
      <w:pPr>
        <w:pStyle w:val="Heading49"/>
        <w:numPr>
          <w:ilvl w:val="3"/>
          <w:numId w:val="66"/>
        </w:numPr>
      </w:pPr>
      <w:r w:rsidRPr="00A06342">
        <w:t>Turuosa</w:t>
      </w:r>
      <w:r w:rsidRPr="006E317E">
        <w:t>d</w:t>
      </w:r>
    </w:p>
    <w:p w14:paraId="218738B5" w14:textId="0C1B310E" w:rsidR="0019768D" w:rsidRPr="006E317E" w:rsidRDefault="0019768D" w:rsidP="00AA241E">
      <w:pPr>
        <w:jc w:val="both"/>
      </w:pPr>
      <w:r w:rsidRPr="006E317E">
        <w:t>Sideettevõtja</w:t>
      </w:r>
      <w:r w:rsidR="00FF4624">
        <w:t>te</w:t>
      </w:r>
      <w:r w:rsidRPr="006E317E">
        <w:t xml:space="preserve"> turu</w:t>
      </w:r>
      <w:r w:rsidR="00837818">
        <w:t>jõu</w:t>
      </w:r>
      <w:r w:rsidRPr="006E317E">
        <w:t xml:space="preserve"> analüüsimisel </w:t>
      </w:r>
      <w:r w:rsidR="00FF4624">
        <w:t xml:space="preserve">on </w:t>
      </w:r>
      <w:r w:rsidRPr="006E317E">
        <w:t xml:space="preserve">oluline võtta arvesse nii tema turuosasid, kui ka potentsiaalsete konkurentide poolt </w:t>
      </w:r>
      <w:r w:rsidR="00263F4A" w:rsidRPr="006E317E">
        <w:t>pikas</w:t>
      </w:r>
      <w:r w:rsidRPr="006E317E">
        <w:t xml:space="preserve"> perspektiivis kasutatavaid piiranguid. Turuosad annavad reguleerivale asutusele esimest kasulikku teavet turustruktuuri ja turul tegutsevate eri ettevõtjate suhtelise tähtsuse kohta</w:t>
      </w:r>
      <w:r w:rsidRPr="005D266E">
        <w:rPr>
          <w:vertAlign w:val="superscript"/>
        </w:rPr>
        <w:footnoteReference w:id="75"/>
      </w:r>
      <w:r w:rsidRPr="006E317E">
        <w:t>.</w:t>
      </w:r>
    </w:p>
    <w:p w14:paraId="5B9739EA" w14:textId="010AA289" w:rsidR="0019768D" w:rsidRPr="006E317E" w:rsidRDefault="0019768D" w:rsidP="00AA241E">
      <w:pPr>
        <w:jc w:val="both"/>
      </w:pPr>
      <w:r w:rsidRPr="006E317E">
        <w:t xml:space="preserve">Väljakujunenud kohtupraktika kohaselt kinnitab turgu valitsevat seisundit asjaolu, et ettevõtjal on juba mõnda aega väga suur turuosa üle 50% iseenesest, kuid mitte erandlikel asjaoludel. Kogemused on näidanud, et mida suurem on see turuosa ja mida pikem on ajavahemik, mille jooksul ettevõtjal on selline turuosa, seda tõenäolisem on, et sellest saab oluline esialgne märk märkimisväärse turujõu olemasolust. Kuid isegi suure turuosaga kaupleja ei pruugi olla võimeline tegutsema olulisel määral sõltumatult oma klientidest, kellel on piisav tasakaalustav ostja jõud. Lisaks võib asjaolu, et tugeva turupositsiooniga ettevõtja kaotab järk-järgult oma turuosa, tähendada ka konkurentsi tugevnemist turul, kuid see ei välista märkimisväärse turujõu loomist. Turuosa märkimisväärne kõikumine aja jooksul võib viidata turuvõimu puudumisele asjaomasel turul. Uue </w:t>
      </w:r>
      <w:r w:rsidR="00AE6708" w:rsidRPr="006E317E">
        <w:t>turule tulija</w:t>
      </w:r>
      <w:r w:rsidRPr="006E317E">
        <w:t xml:space="preserve"> suutlikkus oma turuosa kiiresti suurendada võib kajastada ka asjaolu, et asjaomasel turul on suurem konkurents ja et turutõkkeid on võimalik ületada mõistliku aja jooksul</w:t>
      </w:r>
      <w:r w:rsidRPr="005D266E">
        <w:rPr>
          <w:vertAlign w:val="superscript"/>
        </w:rPr>
        <w:footnoteReference w:id="76"/>
      </w:r>
      <w:r w:rsidRPr="006E317E">
        <w:t>.</w:t>
      </w:r>
    </w:p>
    <w:p w14:paraId="5395AEC2" w14:textId="45E37C77" w:rsidR="0019768D" w:rsidRDefault="0019768D" w:rsidP="00AA241E">
      <w:pPr>
        <w:jc w:val="both"/>
      </w:pPr>
      <w:r w:rsidRPr="006E317E">
        <w:t xml:space="preserve">Hulgituru analüüsi lähtepunktiks on asjaomaste jaeturgude analüüs ja nende </w:t>
      </w:r>
      <w:r w:rsidR="001A6554">
        <w:t xml:space="preserve">sideettevõtjate </w:t>
      </w:r>
      <w:r w:rsidRPr="006E317E">
        <w:t>turuosade arvutamine, kes pakuvad lõppkasutajatele internetti oma elektroonilise side võrgu kaudu</w:t>
      </w:r>
      <w:r w:rsidRPr="005D266E">
        <w:rPr>
          <w:vertAlign w:val="superscript"/>
        </w:rPr>
        <w:footnoteReference w:id="77"/>
      </w:r>
      <w:r w:rsidRPr="006E317E">
        <w:t xml:space="preserve">. Lisaks tuleb turuosade arvutamisel arvesse võtta ka </w:t>
      </w:r>
      <w:proofErr w:type="spellStart"/>
      <w:r w:rsidR="008E5A13" w:rsidRPr="0087302D">
        <w:rPr>
          <w:i/>
          <w:iCs/>
        </w:rPr>
        <w:t>Gr</w:t>
      </w:r>
      <w:r w:rsidR="00C318C1">
        <w:rPr>
          <w:i/>
          <w:iCs/>
        </w:rPr>
        <w:t>e</w:t>
      </w:r>
      <w:r w:rsidR="008E5A13" w:rsidRPr="0087302D">
        <w:rPr>
          <w:i/>
          <w:iCs/>
        </w:rPr>
        <w:t>enfieldi</w:t>
      </w:r>
      <w:proofErr w:type="spellEnd"/>
      <w:r w:rsidRPr="0087302D">
        <w:rPr>
          <w:i/>
          <w:iCs/>
        </w:rPr>
        <w:t xml:space="preserve"> </w:t>
      </w:r>
      <w:r w:rsidRPr="006E317E">
        <w:t>lähenemisviisi, eeldades, et asjaomastel turgudel ei reguleerita hulgimüüki</w:t>
      </w:r>
      <w:r w:rsidRPr="005D266E">
        <w:rPr>
          <w:vertAlign w:val="superscript"/>
        </w:rPr>
        <w:footnoteReference w:id="78"/>
      </w:r>
      <w:r w:rsidRPr="006E317E">
        <w:t>.</w:t>
      </w:r>
      <w:r w:rsidR="00FA4D2C">
        <w:t>(v</w:t>
      </w:r>
      <w:r w:rsidR="00881B84">
        <w:t>t. p</w:t>
      </w:r>
      <w:r w:rsidR="0004565B">
        <w:t xml:space="preserve"> 2.1.2)</w:t>
      </w:r>
    </w:p>
    <w:p w14:paraId="5C44E57B" w14:textId="5DCB3098" w:rsidR="0019768D" w:rsidRPr="006E317E" w:rsidRDefault="008E5A13" w:rsidP="00AA241E">
      <w:pPr>
        <w:jc w:val="both"/>
      </w:pPr>
      <w:proofErr w:type="spellStart"/>
      <w:r w:rsidRPr="0087302D">
        <w:rPr>
          <w:i/>
          <w:iCs/>
        </w:rPr>
        <w:t>Gr</w:t>
      </w:r>
      <w:r w:rsidR="00C318C1">
        <w:rPr>
          <w:i/>
          <w:iCs/>
        </w:rPr>
        <w:t>e</w:t>
      </w:r>
      <w:r w:rsidRPr="0087302D">
        <w:rPr>
          <w:i/>
          <w:iCs/>
        </w:rPr>
        <w:t>enfieldi</w:t>
      </w:r>
      <w:proofErr w:type="spellEnd"/>
      <w:r w:rsidR="0019768D" w:rsidRPr="006E317E">
        <w:t xml:space="preserve"> lähenemisviis </w:t>
      </w:r>
      <w:r w:rsidR="00577D84">
        <w:t>hulgi</w:t>
      </w:r>
      <w:r w:rsidR="0019768D" w:rsidRPr="006E317E">
        <w:t>turul 1 tähendab, et jae</w:t>
      </w:r>
      <w:r w:rsidR="002A1662">
        <w:t>turu</w:t>
      </w:r>
      <w:r w:rsidR="0019768D" w:rsidRPr="006E317E">
        <w:t xml:space="preserve"> konkurentsi hindamisel ja operaatorite turuosade arvutamisel eeldatakse, et  </w:t>
      </w:r>
      <w:r w:rsidR="00577D84">
        <w:t>hulgi</w:t>
      </w:r>
      <w:r w:rsidR="0019768D" w:rsidRPr="006E317E">
        <w:t xml:space="preserve">turul 1 teenuseaktiivseid </w:t>
      </w:r>
      <w:r w:rsidR="0007135D">
        <w:t>kliendiliin</w:t>
      </w:r>
      <w:r w:rsidR="0019768D" w:rsidRPr="006E317E">
        <w:t xml:space="preserve">e osutab Telia (eelnevalt kindlaksmääratud kahepoolse hulgimüügilepinguga ettevõtja), mitte aga teenuse osutajad, kes saavad neid teenuseid </w:t>
      </w:r>
      <w:r w:rsidR="00577D84">
        <w:t>hulgi</w:t>
      </w:r>
      <w:r w:rsidR="0019768D" w:rsidRPr="006E317E">
        <w:t>turu 1. hulgi</w:t>
      </w:r>
      <w:r w:rsidR="002A1662">
        <w:t>turul</w:t>
      </w:r>
      <w:r w:rsidR="0019768D" w:rsidRPr="006E317E">
        <w:t xml:space="preserve">,  kui </w:t>
      </w:r>
      <w:r w:rsidR="00577D84">
        <w:t>hulgi</w:t>
      </w:r>
      <w:r w:rsidR="0019768D" w:rsidRPr="006E317E">
        <w:t xml:space="preserve">turgu 1 ei reguleeritaks, ei oleks märkimisväärse turujõuga ettevõtjal stiimulit nendele turgudele teenuseid osutada. Kui teine sideettevõtja osutab vabatahtlikult </w:t>
      </w:r>
      <w:r w:rsidR="00577D84">
        <w:t>hulgi</w:t>
      </w:r>
      <w:r w:rsidR="00577D84" w:rsidRPr="006E317E">
        <w:t xml:space="preserve">turu </w:t>
      </w:r>
      <w:r w:rsidR="0019768D" w:rsidRPr="006E317E">
        <w:t>1. teenuseid hulgi</w:t>
      </w:r>
      <w:r w:rsidR="002A1662">
        <w:t>turul</w:t>
      </w:r>
      <w:r w:rsidR="0019768D" w:rsidRPr="006E317E">
        <w:t xml:space="preserve"> teistele teenuse osutajatele, siis ei eeldata, et neid jae</w:t>
      </w:r>
      <w:r w:rsidR="002A1662">
        <w:t xml:space="preserve">teenuseid </w:t>
      </w:r>
      <w:r w:rsidR="0019768D" w:rsidRPr="006E317E">
        <w:t xml:space="preserve">osutaks teenuseosutaja ise, kes neid vabatahtlikult osutab, vaid ettevõtjad, kes ostavad </w:t>
      </w:r>
      <w:r w:rsidR="002A1662">
        <w:t xml:space="preserve">hulgiturul </w:t>
      </w:r>
      <w:r w:rsidR="0019768D" w:rsidRPr="006E317E">
        <w:t>1. teenuseid.</w:t>
      </w:r>
    </w:p>
    <w:p w14:paraId="5A248343" w14:textId="5D9E1362" w:rsidR="0019768D" w:rsidRPr="006E317E" w:rsidRDefault="0019768D" w:rsidP="00AA241E">
      <w:pPr>
        <w:jc w:val="both"/>
      </w:pPr>
      <w:r w:rsidRPr="006E317E">
        <w:t xml:space="preserve">Suurimad </w:t>
      </w:r>
      <w:r w:rsidR="00183BEB">
        <w:t>vaskkaabli</w:t>
      </w:r>
      <w:r w:rsidR="00CD6DFD" w:rsidRPr="00CD6DFD">
        <w:t xml:space="preserve">- ja </w:t>
      </w:r>
      <w:r w:rsidR="00183BEB">
        <w:t>mobiilsidevõr</w:t>
      </w:r>
      <w:r w:rsidR="00CD6DFD" w:rsidRPr="00CD6DFD">
        <w:t xml:space="preserve">gu internetiühenduste </w:t>
      </w:r>
      <w:r w:rsidR="00012B60">
        <w:t>jaeturu</w:t>
      </w:r>
      <w:r w:rsidR="00CD6DFD" w:rsidRPr="00CD6DFD">
        <w:t xml:space="preserve"> </w:t>
      </w:r>
      <w:r w:rsidRPr="006E317E">
        <w:t xml:space="preserve">operaatorid, kes pakuvad lõppkasutajatele internetti oma elektroonilise side võrgu kaudu, on Telia ja Elisa ning </w:t>
      </w:r>
      <w:r w:rsidRPr="006E317E">
        <w:lastRenderedPageBreak/>
        <w:t xml:space="preserve">mobiilsideoperaatorid – Telia, Elisa ja Tele2. Lisaks on turuosade arvutamiseks kaasatud </w:t>
      </w:r>
      <w:proofErr w:type="spellStart"/>
      <w:r w:rsidR="002A1662" w:rsidRPr="002A1662">
        <w:rPr>
          <w:i/>
          <w:iCs/>
        </w:rPr>
        <w:t>Gr</w:t>
      </w:r>
      <w:r w:rsidR="00C318C1">
        <w:rPr>
          <w:i/>
          <w:iCs/>
        </w:rPr>
        <w:t>e</w:t>
      </w:r>
      <w:r w:rsidR="002A1662" w:rsidRPr="002A1662">
        <w:rPr>
          <w:i/>
          <w:iCs/>
        </w:rPr>
        <w:t>enfieldi</w:t>
      </w:r>
      <w:proofErr w:type="spellEnd"/>
      <w:r w:rsidR="002A1662">
        <w:t xml:space="preserve"> lähenemisviisi</w:t>
      </w:r>
      <w:r w:rsidRPr="002A1662">
        <w:t xml:space="preserve"> </w:t>
      </w:r>
      <w:r w:rsidRPr="006E317E">
        <w:t xml:space="preserve">kohaselt vaja loetleda ka need sideettevõtjad, kes osutavad </w:t>
      </w:r>
      <w:r w:rsidR="0030734B">
        <w:t>hulgi</w:t>
      </w:r>
      <w:r w:rsidRPr="006E317E">
        <w:t>turu 1 hulgiteenuseid teistele teenuseosutajatele, mille hulk Eestis on tühine võrreldes interneti pakkumise mahuga nende võrkude kaudu.</w:t>
      </w:r>
    </w:p>
    <w:p w14:paraId="45CC8A8A" w14:textId="7685C080" w:rsidR="0019768D" w:rsidRPr="006E317E" w:rsidRDefault="0019768D" w:rsidP="00AA241E">
      <w:pPr>
        <w:jc w:val="both"/>
      </w:pPr>
      <w:r w:rsidRPr="006E317E">
        <w:t xml:space="preserve">Vaskpaar juurdepääsuvõrgus osutab kaks ettevõtja </w:t>
      </w:r>
      <w:r w:rsidR="0030734B">
        <w:t>hulgi</w:t>
      </w:r>
      <w:r w:rsidRPr="006E317E">
        <w:t xml:space="preserve">turu 1 hulgiteenuseid, st eraldatud juurdepääsu kliendiliinile või </w:t>
      </w:r>
      <w:proofErr w:type="spellStart"/>
      <w:r w:rsidRPr="006E317E">
        <w:t>VULA-le</w:t>
      </w:r>
      <w:proofErr w:type="spellEnd"/>
      <w:r w:rsidRPr="006E317E">
        <w:t xml:space="preserve">. Nendeks ettevõtjateks on Telia (MTE) ja Telset, kes osutab </w:t>
      </w:r>
      <w:r w:rsidR="0030734B">
        <w:t>hulgi</w:t>
      </w:r>
      <w:r w:rsidRPr="006E317E">
        <w:t xml:space="preserve">turu 1 teenuseid, selleks vastavat kohustust omamata. Teenuse osutamise mahud on  äärmiselt väikesed Telia maht </w:t>
      </w:r>
      <w:r w:rsidR="00A91584" w:rsidRPr="001C4261">
        <w:t>…*</w:t>
      </w:r>
      <w:r w:rsidR="00A91584">
        <w:t xml:space="preserve"> </w:t>
      </w:r>
      <w:r w:rsidRPr="006E317E">
        <w:t xml:space="preserve">vaskpaar  klindiliini ja Telseti maht  </w:t>
      </w:r>
      <w:r w:rsidR="00BA68DA">
        <w:t>…*</w:t>
      </w:r>
      <w:r w:rsidRPr="006E317E">
        <w:t xml:space="preserve"> vaskpaar  kliendiliini. Vaata renditud vaskpaaride mahu muutust analüüstaval ajavahemikul. (tabel</w:t>
      </w:r>
      <w:r w:rsidR="002A1662">
        <w:t xml:space="preserve"> 1</w:t>
      </w:r>
      <w:r w:rsidR="00E5522B">
        <w:t>9</w:t>
      </w:r>
      <w:r w:rsidR="002A1662">
        <w:t>)</w:t>
      </w:r>
    </w:p>
    <w:tbl>
      <w:tblPr>
        <w:tblStyle w:val="Kontuurtabel1"/>
        <w:tblW w:w="9043" w:type="dxa"/>
        <w:tblLook w:val="04A0" w:firstRow="1" w:lastRow="0" w:firstColumn="1" w:lastColumn="0" w:noHBand="0" w:noVBand="1"/>
      </w:tblPr>
      <w:tblGrid>
        <w:gridCol w:w="1113"/>
        <w:gridCol w:w="1113"/>
        <w:gridCol w:w="1113"/>
        <w:gridCol w:w="1252"/>
        <w:gridCol w:w="1113"/>
        <w:gridCol w:w="1113"/>
        <w:gridCol w:w="1113"/>
        <w:gridCol w:w="1113"/>
      </w:tblGrid>
      <w:tr w:rsidR="0019768D" w:rsidRPr="006E317E" w14:paraId="5A9EDB93" w14:textId="77777777" w:rsidTr="001244BD">
        <w:trPr>
          <w:trHeight w:val="261"/>
        </w:trPr>
        <w:tc>
          <w:tcPr>
            <w:tcW w:w="1113" w:type="dxa"/>
            <w:shd w:val="clear" w:color="auto" w:fill="92D050"/>
            <w:noWrap/>
            <w:hideMark/>
          </w:tcPr>
          <w:p w14:paraId="26404F48" w14:textId="77777777" w:rsidR="0019768D" w:rsidRPr="001244BD" w:rsidRDefault="0019768D" w:rsidP="00AA241E">
            <w:pPr>
              <w:jc w:val="both"/>
              <w:rPr>
                <w:b/>
                <w:bCs/>
              </w:rPr>
            </w:pPr>
            <w:r w:rsidRPr="001244BD">
              <w:rPr>
                <w:b/>
                <w:bCs/>
              </w:rPr>
              <w:t>tk</w:t>
            </w:r>
          </w:p>
        </w:tc>
        <w:tc>
          <w:tcPr>
            <w:tcW w:w="1113" w:type="dxa"/>
            <w:shd w:val="clear" w:color="auto" w:fill="92D050"/>
            <w:noWrap/>
            <w:hideMark/>
          </w:tcPr>
          <w:p w14:paraId="0C2E5341" w14:textId="77777777" w:rsidR="0019768D" w:rsidRPr="001244BD" w:rsidRDefault="0019768D" w:rsidP="00403A74">
            <w:pPr>
              <w:jc w:val="center"/>
              <w:rPr>
                <w:b/>
                <w:bCs/>
              </w:rPr>
            </w:pPr>
            <w:r w:rsidRPr="001244BD">
              <w:rPr>
                <w:b/>
                <w:bCs/>
              </w:rPr>
              <w:t>2017</w:t>
            </w:r>
          </w:p>
        </w:tc>
        <w:tc>
          <w:tcPr>
            <w:tcW w:w="1113" w:type="dxa"/>
            <w:shd w:val="clear" w:color="auto" w:fill="92D050"/>
            <w:noWrap/>
            <w:hideMark/>
          </w:tcPr>
          <w:p w14:paraId="683C8CC6" w14:textId="77777777" w:rsidR="0019768D" w:rsidRPr="001244BD" w:rsidRDefault="0019768D" w:rsidP="00403A74">
            <w:pPr>
              <w:jc w:val="center"/>
              <w:rPr>
                <w:b/>
                <w:bCs/>
              </w:rPr>
            </w:pPr>
            <w:r w:rsidRPr="001244BD">
              <w:rPr>
                <w:b/>
                <w:bCs/>
              </w:rPr>
              <w:t>2018</w:t>
            </w:r>
          </w:p>
        </w:tc>
        <w:tc>
          <w:tcPr>
            <w:tcW w:w="1252" w:type="dxa"/>
            <w:shd w:val="clear" w:color="auto" w:fill="92D050"/>
            <w:noWrap/>
            <w:hideMark/>
          </w:tcPr>
          <w:p w14:paraId="75F16F8D" w14:textId="77777777" w:rsidR="0019768D" w:rsidRPr="001244BD" w:rsidRDefault="0019768D" w:rsidP="00403A74">
            <w:pPr>
              <w:jc w:val="center"/>
              <w:rPr>
                <w:b/>
                <w:bCs/>
              </w:rPr>
            </w:pPr>
            <w:r w:rsidRPr="001244BD">
              <w:rPr>
                <w:b/>
                <w:bCs/>
              </w:rPr>
              <w:t>2019</w:t>
            </w:r>
          </w:p>
        </w:tc>
        <w:tc>
          <w:tcPr>
            <w:tcW w:w="1113" w:type="dxa"/>
            <w:shd w:val="clear" w:color="auto" w:fill="92D050"/>
            <w:noWrap/>
            <w:hideMark/>
          </w:tcPr>
          <w:p w14:paraId="4A517C71" w14:textId="77777777" w:rsidR="0019768D" w:rsidRPr="001244BD" w:rsidRDefault="0019768D" w:rsidP="00403A74">
            <w:pPr>
              <w:jc w:val="center"/>
              <w:rPr>
                <w:b/>
                <w:bCs/>
              </w:rPr>
            </w:pPr>
            <w:r w:rsidRPr="001244BD">
              <w:rPr>
                <w:b/>
                <w:bCs/>
              </w:rPr>
              <w:t>2020</w:t>
            </w:r>
          </w:p>
        </w:tc>
        <w:tc>
          <w:tcPr>
            <w:tcW w:w="1113" w:type="dxa"/>
            <w:shd w:val="clear" w:color="auto" w:fill="92D050"/>
            <w:noWrap/>
            <w:hideMark/>
          </w:tcPr>
          <w:p w14:paraId="331FDD95" w14:textId="77777777" w:rsidR="0019768D" w:rsidRPr="001244BD" w:rsidRDefault="0019768D" w:rsidP="00403A74">
            <w:pPr>
              <w:jc w:val="center"/>
              <w:rPr>
                <w:b/>
                <w:bCs/>
              </w:rPr>
            </w:pPr>
            <w:r w:rsidRPr="001244BD">
              <w:rPr>
                <w:b/>
                <w:bCs/>
              </w:rPr>
              <w:t>2021</w:t>
            </w:r>
          </w:p>
        </w:tc>
        <w:tc>
          <w:tcPr>
            <w:tcW w:w="1113" w:type="dxa"/>
            <w:shd w:val="clear" w:color="auto" w:fill="92D050"/>
            <w:noWrap/>
            <w:hideMark/>
          </w:tcPr>
          <w:p w14:paraId="6884717F" w14:textId="77777777" w:rsidR="0019768D" w:rsidRPr="001244BD" w:rsidRDefault="0019768D" w:rsidP="00403A74">
            <w:pPr>
              <w:jc w:val="center"/>
              <w:rPr>
                <w:b/>
                <w:bCs/>
              </w:rPr>
            </w:pPr>
            <w:r w:rsidRPr="001244BD">
              <w:rPr>
                <w:b/>
                <w:bCs/>
              </w:rPr>
              <w:t>2022</w:t>
            </w:r>
          </w:p>
        </w:tc>
        <w:tc>
          <w:tcPr>
            <w:tcW w:w="1113" w:type="dxa"/>
            <w:shd w:val="clear" w:color="auto" w:fill="92D050"/>
            <w:noWrap/>
            <w:hideMark/>
          </w:tcPr>
          <w:p w14:paraId="3C030335" w14:textId="77777777" w:rsidR="0019768D" w:rsidRPr="001244BD" w:rsidRDefault="0019768D" w:rsidP="00403A74">
            <w:pPr>
              <w:jc w:val="center"/>
              <w:rPr>
                <w:b/>
                <w:bCs/>
              </w:rPr>
            </w:pPr>
            <w:r w:rsidRPr="001244BD">
              <w:rPr>
                <w:b/>
                <w:bCs/>
              </w:rPr>
              <w:t>2023</w:t>
            </w:r>
          </w:p>
        </w:tc>
      </w:tr>
      <w:tr w:rsidR="00A91584" w:rsidRPr="006E317E" w14:paraId="7DACBFF0" w14:textId="77777777" w:rsidTr="008A085A">
        <w:trPr>
          <w:trHeight w:val="261"/>
        </w:trPr>
        <w:tc>
          <w:tcPr>
            <w:tcW w:w="1113" w:type="dxa"/>
            <w:noWrap/>
            <w:hideMark/>
          </w:tcPr>
          <w:p w14:paraId="1B5A6FA5" w14:textId="77777777" w:rsidR="00A91584" w:rsidRPr="006E317E" w:rsidRDefault="00A91584" w:rsidP="00A91584">
            <w:pPr>
              <w:jc w:val="both"/>
            </w:pPr>
            <w:r w:rsidRPr="006E317E">
              <w:t>Telia</w:t>
            </w:r>
          </w:p>
        </w:tc>
        <w:tc>
          <w:tcPr>
            <w:tcW w:w="1113" w:type="dxa"/>
            <w:noWrap/>
            <w:hideMark/>
          </w:tcPr>
          <w:p w14:paraId="7779CD3A" w14:textId="6567CFCF" w:rsidR="00A91584" w:rsidRPr="006E317E" w:rsidRDefault="00A91584" w:rsidP="00A91584">
            <w:pPr>
              <w:jc w:val="right"/>
            </w:pPr>
            <w:r w:rsidRPr="001130AB">
              <w:t>…*</w:t>
            </w:r>
          </w:p>
        </w:tc>
        <w:tc>
          <w:tcPr>
            <w:tcW w:w="1113" w:type="dxa"/>
            <w:noWrap/>
            <w:hideMark/>
          </w:tcPr>
          <w:p w14:paraId="16C3246E" w14:textId="33D0F440" w:rsidR="00A91584" w:rsidRPr="006E317E" w:rsidRDefault="00A91584" w:rsidP="00A91584">
            <w:pPr>
              <w:jc w:val="right"/>
            </w:pPr>
            <w:r w:rsidRPr="001130AB">
              <w:t>…*</w:t>
            </w:r>
          </w:p>
        </w:tc>
        <w:tc>
          <w:tcPr>
            <w:tcW w:w="1252" w:type="dxa"/>
            <w:noWrap/>
            <w:hideMark/>
          </w:tcPr>
          <w:p w14:paraId="57595B43" w14:textId="43960308" w:rsidR="00A91584" w:rsidRPr="006E317E" w:rsidRDefault="00A91584" w:rsidP="00A91584">
            <w:pPr>
              <w:jc w:val="right"/>
            </w:pPr>
            <w:r w:rsidRPr="001130AB">
              <w:t>…*</w:t>
            </w:r>
          </w:p>
        </w:tc>
        <w:tc>
          <w:tcPr>
            <w:tcW w:w="1113" w:type="dxa"/>
            <w:noWrap/>
            <w:hideMark/>
          </w:tcPr>
          <w:p w14:paraId="1A0F083D" w14:textId="128CADC1" w:rsidR="00A91584" w:rsidRPr="006E317E" w:rsidRDefault="00A91584" w:rsidP="00A91584">
            <w:pPr>
              <w:jc w:val="right"/>
            </w:pPr>
            <w:r w:rsidRPr="001130AB">
              <w:t>…*</w:t>
            </w:r>
          </w:p>
        </w:tc>
        <w:tc>
          <w:tcPr>
            <w:tcW w:w="1113" w:type="dxa"/>
            <w:noWrap/>
            <w:hideMark/>
          </w:tcPr>
          <w:p w14:paraId="4DBBB90B" w14:textId="246B1D27" w:rsidR="00A91584" w:rsidRPr="006E317E" w:rsidRDefault="00A91584" w:rsidP="00A91584">
            <w:pPr>
              <w:jc w:val="right"/>
            </w:pPr>
            <w:r w:rsidRPr="001130AB">
              <w:t>…*</w:t>
            </w:r>
          </w:p>
        </w:tc>
        <w:tc>
          <w:tcPr>
            <w:tcW w:w="1113" w:type="dxa"/>
            <w:noWrap/>
            <w:hideMark/>
          </w:tcPr>
          <w:p w14:paraId="35B6AD45" w14:textId="03A7715B" w:rsidR="00A91584" w:rsidRPr="006E317E" w:rsidRDefault="00A91584" w:rsidP="00A91584">
            <w:pPr>
              <w:jc w:val="right"/>
            </w:pPr>
            <w:r w:rsidRPr="001130AB">
              <w:t>…*</w:t>
            </w:r>
          </w:p>
        </w:tc>
        <w:tc>
          <w:tcPr>
            <w:tcW w:w="1113" w:type="dxa"/>
            <w:noWrap/>
            <w:hideMark/>
          </w:tcPr>
          <w:p w14:paraId="3C21F47A" w14:textId="2780DA46" w:rsidR="00A91584" w:rsidRPr="006E317E" w:rsidRDefault="00A91584" w:rsidP="00A91584">
            <w:pPr>
              <w:jc w:val="right"/>
            </w:pPr>
            <w:r w:rsidRPr="001130AB">
              <w:t>…*</w:t>
            </w:r>
          </w:p>
        </w:tc>
      </w:tr>
      <w:tr w:rsidR="0019768D" w:rsidRPr="006E317E" w14:paraId="26E30D37" w14:textId="77777777" w:rsidTr="008A085A">
        <w:trPr>
          <w:trHeight w:val="261"/>
        </w:trPr>
        <w:tc>
          <w:tcPr>
            <w:tcW w:w="1113" w:type="dxa"/>
            <w:noWrap/>
            <w:hideMark/>
          </w:tcPr>
          <w:p w14:paraId="674C4F4C" w14:textId="77777777" w:rsidR="0019768D" w:rsidRPr="006E317E" w:rsidRDefault="0019768D" w:rsidP="00AA241E">
            <w:pPr>
              <w:jc w:val="both"/>
            </w:pPr>
            <w:r w:rsidRPr="006E317E">
              <w:t>Telset</w:t>
            </w:r>
          </w:p>
        </w:tc>
        <w:tc>
          <w:tcPr>
            <w:tcW w:w="1113" w:type="dxa"/>
            <w:noWrap/>
            <w:hideMark/>
          </w:tcPr>
          <w:p w14:paraId="758B1336" w14:textId="77A6E550" w:rsidR="0019768D" w:rsidRPr="006E317E" w:rsidRDefault="00BA68DA" w:rsidP="00403A74">
            <w:pPr>
              <w:jc w:val="right"/>
            </w:pPr>
            <w:r>
              <w:t>…*</w:t>
            </w:r>
          </w:p>
        </w:tc>
        <w:tc>
          <w:tcPr>
            <w:tcW w:w="1113" w:type="dxa"/>
            <w:noWrap/>
            <w:hideMark/>
          </w:tcPr>
          <w:p w14:paraId="736D0170" w14:textId="69031CC2" w:rsidR="0019768D" w:rsidRPr="006E317E" w:rsidRDefault="00BA68DA" w:rsidP="00BA68DA">
            <w:pPr>
              <w:jc w:val="right"/>
            </w:pPr>
            <w:r>
              <w:t>…*</w:t>
            </w:r>
          </w:p>
        </w:tc>
        <w:tc>
          <w:tcPr>
            <w:tcW w:w="1252" w:type="dxa"/>
            <w:noWrap/>
            <w:hideMark/>
          </w:tcPr>
          <w:p w14:paraId="37DD2B96" w14:textId="4CE7AC5C" w:rsidR="0019768D" w:rsidRPr="006E317E" w:rsidRDefault="00BA68DA" w:rsidP="00BA68DA">
            <w:pPr>
              <w:jc w:val="right"/>
            </w:pPr>
            <w:r>
              <w:t>…*</w:t>
            </w:r>
          </w:p>
        </w:tc>
        <w:tc>
          <w:tcPr>
            <w:tcW w:w="1113" w:type="dxa"/>
            <w:noWrap/>
            <w:hideMark/>
          </w:tcPr>
          <w:p w14:paraId="3ADDE3BF" w14:textId="00107C22" w:rsidR="0019768D" w:rsidRPr="006E317E" w:rsidRDefault="00BA68DA" w:rsidP="00BA68DA">
            <w:pPr>
              <w:jc w:val="right"/>
            </w:pPr>
            <w:r>
              <w:t>…*</w:t>
            </w:r>
          </w:p>
        </w:tc>
        <w:tc>
          <w:tcPr>
            <w:tcW w:w="1113" w:type="dxa"/>
            <w:noWrap/>
            <w:hideMark/>
          </w:tcPr>
          <w:p w14:paraId="6D76F073" w14:textId="0C998A45" w:rsidR="0019768D" w:rsidRPr="006E317E" w:rsidRDefault="00BA68DA" w:rsidP="00BA68DA">
            <w:pPr>
              <w:jc w:val="right"/>
            </w:pPr>
            <w:r>
              <w:t>…*</w:t>
            </w:r>
          </w:p>
        </w:tc>
        <w:tc>
          <w:tcPr>
            <w:tcW w:w="1113" w:type="dxa"/>
            <w:noWrap/>
            <w:hideMark/>
          </w:tcPr>
          <w:p w14:paraId="06F3525C" w14:textId="6A538D04" w:rsidR="0019768D" w:rsidRPr="006E317E" w:rsidRDefault="00BA68DA" w:rsidP="00BA68DA">
            <w:pPr>
              <w:jc w:val="right"/>
            </w:pPr>
            <w:r>
              <w:t>…*</w:t>
            </w:r>
          </w:p>
        </w:tc>
        <w:tc>
          <w:tcPr>
            <w:tcW w:w="1113" w:type="dxa"/>
            <w:noWrap/>
            <w:hideMark/>
          </w:tcPr>
          <w:p w14:paraId="3FAB3A29" w14:textId="64E4231C" w:rsidR="0019768D" w:rsidRPr="006E317E" w:rsidRDefault="00BA68DA" w:rsidP="00BA68DA">
            <w:pPr>
              <w:jc w:val="right"/>
            </w:pPr>
            <w:r>
              <w:t>…*</w:t>
            </w:r>
          </w:p>
        </w:tc>
      </w:tr>
    </w:tbl>
    <w:p w14:paraId="07475A6A" w14:textId="4B738A2F" w:rsidR="0019768D" w:rsidRPr="006152CD" w:rsidRDefault="008A085A" w:rsidP="00AA241E">
      <w:pPr>
        <w:pStyle w:val="Pealdis"/>
        <w:jc w:val="both"/>
        <w:rPr>
          <w:sz w:val="22"/>
          <w:szCs w:val="22"/>
        </w:rPr>
      </w:pPr>
      <w:r>
        <w:t xml:space="preserve">Tabel </w:t>
      </w:r>
      <w:r>
        <w:fldChar w:fldCharType="begin"/>
      </w:r>
      <w:r>
        <w:instrText xml:space="preserve"> SEQ Tabel \* ARABIC </w:instrText>
      </w:r>
      <w:r>
        <w:fldChar w:fldCharType="separate"/>
      </w:r>
      <w:r w:rsidR="00247D84">
        <w:rPr>
          <w:noProof/>
        </w:rPr>
        <w:t>19</w:t>
      </w:r>
      <w:r>
        <w:fldChar w:fldCharType="end"/>
      </w:r>
      <w:r>
        <w:rPr>
          <w:sz w:val="22"/>
          <w:szCs w:val="22"/>
        </w:rPr>
        <w:t xml:space="preserve"> </w:t>
      </w:r>
      <w:r w:rsidR="0019768D" w:rsidRPr="006152CD">
        <w:rPr>
          <w:sz w:val="22"/>
          <w:szCs w:val="22"/>
        </w:rPr>
        <w:t>Renditud vaskpaar ühendusete mahtude muutus 2017-2023, Eesti kokku</w:t>
      </w:r>
    </w:p>
    <w:p w14:paraId="57644F7A" w14:textId="242BE2C2" w:rsidR="0019768D" w:rsidRPr="006E317E" w:rsidRDefault="0019768D" w:rsidP="00AA241E">
      <w:pPr>
        <w:jc w:val="both"/>
      </w:pPr>
      <w:r w:rsidRPr="006E317E">
        <w:t xml:space="preserve">Õigete turuosade hindamiseks on vaja kohaldada </w:t>
      </w:r>
      <w:proofErr w:type="spellStart"/>
      <w:r w:rsidR="008E5A13" w:rsidRPr="002A1662">
        <w:rPr>
          <w:i/>
          <w:iCs/>
        </w:rPr>
        <w:t>Gr</w:t>
      </w:r>
      <w:r w:rsidR="00C318C1">
        <w:rPr>
          <w:i/>
          <w:iCs/>
        </w:rPr>
        <w:t>e</w:t>
      </w:r>
      <w:r w:rsidR="008E5A13" w:rsidRPr="002A1662">
        <w:rPr>
          <w:i/>
          <w:iCs/>
        </w:rPr>
        <w:t>enfieldi</w:t>
      </w:r>
      <w:proofErr w:type="spellEnd"/>
      <w:r w:rsidRPr="006E317E">
        <w:t xml:space="preserve"> lähenemisviisi, kuna see võib mõjutada turuanalüüsi tulemusi olukorras, kus 1. turu teenuste kasutamine hulgiturul on väga väike. See tähendab, et turul kehtivad erinõuded tuleb kaotada, kui infrastruktuurikonkurents kujutab endast tõhusat konkurentsi vaadeldavas geograafilises piirkonnas. Kuigi vaskpaar juurdepääsuvõrgu </w:t>
      </w:r>
      <w:r w:rsidR="005303CA">
        <w:t>hulgi</w:t>
      </w:r>
      <w:r w:rsidR="005303CA" w:rsidRPr="006E317E">
        <w:t xml:space="preserve">turu </w:t>
      </w:r>
      <w:r w:rsidRPr="006E317E">
        <w:t xml:space="preserve">1. teenuste hulgimüük on minimaalne, arvutab </w:t>
      </w:r>
      <w:r w:rsidR="002A1662">
        <w:t xml:space="preserve">TTJA </w:t>
      </w:r>
      <w:r w:rsidRPr="006E317E">
        <w:t xml:space="preserve">siiski vastavalt õigusaktidele turuosad </w:t>
      </w:r>
      <w:proofErr w:type="spellStart"/>
      <w:r w:rsidR="008E5A13" w:rsidRPr="002A1662">
        <w:rPr>
          <w:i/>
          <w:iCs/>
        </w:rPr>
        <w:t>Gr</w:t>
      </w:r>
      <w:r w:rsidR="00C318C1">
        <w:rPr>
          <w:i/>
          <w:iCs/>
        </w:rPr>
        <w:t>e</w:t>
      </w:r>
      <w:r w:rsidR="008E5A13" w:rsidRPr="002A1662">
        <w:rPr>
          <w:i/>
          <w:iCs/>
        </w:rPr>
        <w:t>enfieldi</w:t>
      </w:r>
      <w:proofErr w:type="spellEnd"/>
      <w:r w:rsidRPr="002A1662">
        <w:rPr>
          <w:i/>
          <w:iCs/>
        </w:rPr>
        <w:t xml:space="preserve"> </w:t>
      </w:r>
      <w:r w:rsidRPr="006E317E">
        <w:t>lähenemisviisi kohaselt.</w:t>
      </w:r>
    </w:p>
    <w:p w14:paraId="3E49D349" w14:textId="1D311F5A" w:rsidR="0019768D" w:rsidRPr="006E317E" w:rsidRDefault="002A1662" w:rsidP="00AA241E">
      <w:pPr>
        <w:jc w:val="both"/>
      </w:pPr>
      <w:r>
        <w:t>TTJA</w:t>
      </w:r>
      <w:r w:rsidR="0019768D" w:rsidRPr="006E317E">
        <w:t xml:space="preserve"> arvutab operaatorite turuosad vastavalt internetituru määratlusele </w:t>
      </w:r>
      <w:r>
        <w:t>jaeturul</w:t>
      </w:r>
      <w:r w:rsidR="0019768D" w:rsidRPr="006E317E">
        <w:t xml:space="preserve"> ja geograafiliste turgude määratlusele. Seega võtab </w:t>
      </w:r>
      <w:r w:rsidR="0005539C">
        <w:t>TTJA</w:t>
      </w:r>
      <w:r w:rsidR="0019768D" w:rsidRPr="006E317E">
        <w:t xml:space="preserve"> </w:t>
      </w:r>
      <w:r w:rsidR="00183BEB">
        <w:t>vaskkaabli</w:t>
      </w:r>
      <w:r w:rsidR="0005539C" w:rsidRPr="0005539C">
        <w:t xml:space="preserve">- ja </w:t>
      </w:r>
      <w:r w:rsidR="00183BEB">
        <w:t>mobiilsidevõr</w:t>
      </w:r>
      <w:r w:rsidR="0005539C" w:rsidRPr="0005539C">
        <w:t xml:space="preserve">gu internetiühenduste </w:t>
      </w:r>
      <w:r w:rsidR="006B298C">
        <w:t>jaeturu</w:t>
      </w:r>
      <w:r w:rsidR="00FD1B93">
        <w:t>l</w:t>
      </w:r>
      <w:r w:rsidR="0005539C" w:rsidRPr="0005539C">
        <w:t xml:space="preserve"> </w:t>
      </w:r>
      <w:r w:rsidR="0019768D" w:rsidRPr="006E317E">
        <w:t xml:space="preserve">tegutsevate operaatorite turuosade arvutamisel arvesse ainult operaatorite aktiivseid </w:t>
      </w:r>
      <w:r w:rsidR="0007135D">
        <w:t>kliendiliin</w:t>
      </w:r>
      <w:r w:rsidR="0019768D" w:rsidRPr="006E317E">
        <w:t>e, mis kasutavad DSL-, VDSL-, VDSL2-</w:t>
      </w:r>
      <w:r w:rsidR="164E06B8">
        <w:t>vectoring</w:t>
      </w:r>
      <w:r w:rsidR="005F61AB">
        <w:t xml:space="preserve"> </w:t>
      </w:r>
      <w:r w:rsidR="0019768D" w:rsidRPr="006E317E">
        <w:t xml:space="preserve">tehnoloogiat, DOCSIS 3.0, FWA-d, ja mobiilsideoperaatorite pakutavate piiramatute mobiilse interneti ühenduste (SIM-kaartide) arvu. Geograafiliste turgude määratluse kohaselt arvutatakse </w:t>
      </w:r>
      <w:r w:rsidR="0041026E" w:rsidRPr="0041026E">
        <w:t>vaskkaabli- ja mobiilsidevõrgu internetiühenduste jaetur</w:t>
      </w:r>
      <w:r w:rsidR="0041026E">
        <w:t>u</w:t>
      </w:r>
      <w:r w:rsidR="0041026E" w:rsidRPr="0041026E">
        <w:t xml:space="preserve"> </w:t>
      </w:r>
      <w:r w:rsidR="0019768D" w:rsidRPr="006E317E">
        <w:t>turuosad kokku kogu Eesti territooriumil.</w:t>
      </w:r>
    </w:p>
    <w:p w14:paraId="313B7ACD" w14:textId="64D7FB66" w:rsidR="008A085A" w:rsidRPr="002E251B" w:rsidRDefault="00EF6C49" w:rsidP="00AA241E">
      <w:pPr>
        <w:jc w:val="both"/>
      </w:pPr>
      <w:bookmarkStart w:id="650" w:name="_Toc164846272"/>
      <w:r>
        <w:rPr>
          <w:rFonts w:cs="Times New Roman"/>
        </w:rPr>
        <w:t>Vaskkaabli</w:t>
      </w:r>
      <w:r w:rsidRPr="0005539C">
        <w:t xml:space="preserve">- ja </w:t>
      </w:r>
      <w:r>
        <w:t>mobiilsidevõr</w:t>
      </w:r>
      <w:r w:rsidRPr="0005539C">
        <w:t xml:space="preserve">gu internetiühenduste </w:t>
      </w:r>
      <w:r w:rsidRPr="008B7E69">
        <w:rPr>
          <w:rFonts w:cs="Times New Roman"/>
        </w:rPr>
        <w:t>üleriigili</w:t>
      </w:r>
      <w:r>
        <w:rPr>
          <w:rFonts w:cs="Times New Roman"/>
        </w:rPr>
        <w:t>sel</w:t>
      </w:r>
      <w:r w:rsidRPr="008B7E69">
        <w:rPr>
          <w:rFonts w:cs="Times New Roman"/>
        </w:rPr>
        <w:t xml:space="preserve"> </w:t>
      </w:r>
      <w:r>
        <w:t>jaeturul</w:t>
      </w:r>
      <w:r w:rsidRPr="006E317E">
        <w:t xml:space="preserve"> </w:t>
      </w:r>
      <w:r w:rsidR="0019768D" w:rsidRPr="006E317E">
        <w:t xml:space="preserve">tegutsevate suurimate teenuseosutajate turuosade dünaamika kohta </w:t>
      </w:r>
      <w:r w:rsidR="00B45E3D">
        <w:t>(</w:t>
      </w:r>
      <w:r w:rsidR="0019768D" w:rsidRPr="006E317E">
        <w:t xml:space="preserve">vt tabel </w:t>
      </w:r>
      <w:r w:rsidR="00346D5D" w:rsidRPr="002E251B">
        <w:t>20</w:t>
      </w:r>
      <w:r w:rsidR="00B45E3D" w:rsidRPr="002E251B">
        <w:t>)</w:t>
      </w:r>
      <w:r w:rsidR="002A1662" w:rsidRPr="002E251B">
        <w:t>.</w:t>
      </w:r>
    </w:p>
    <w:p w14:paraId="3DC316FC" w14:textId="77777777" w:rsidR="008A085A" w:rsidRPr="002E251B" w:rsidRDefault="008A085A" w:rsidP="00AA241E">
      <w:pPr>
        <w:jc w:val="both"/>
      </w:pPr>
      <w:r w:rsidRPr="002E251B">
        <w:br w:type="page"/>
      </w:r>
    </w:p>
    <w:tbl>
      <w:tblPr>
        <w:tblStyle w:val="Kontuurtabel1"/>
        <w:tblW w:w="9553" w:type="dxa"/>
        <w:tblLook w:val="04E0" w:firstRow="1" w:lastRow="1" w:firstColumn="1" w:lastColumn="0" w:noHBand="0" w:noVBand="1"/>
      </w:tblPr>
      <w:tblGrid>
        <w:gridCol w:w="1314"/>
        <w:gridCol w:w="1177"/>
        <w:gridCol w:w="1177"/>
        <w:gridCol w:w="1177"/>
        <w:gridCol w:w="1177"/>
        <w:gridCol w:w="1177"/>
        <w:gridCol w:w="1177"/>
        <w:gridCol w:w="1177"/>
      </w:tblGrid>
      <w:tr w:rsidR="0019768D" w:rsidRPr="006E317E" w14:paraId="31E81309" w14:textId="77777777" w:rsidTr="000A6B37">
        <w:trPr>
          <w:trHeight w:val="384"/>
        </w:trPr>
        <w:tc>
          <w:tcPr>
            <w:tcW w:w="0" w:type="auto"/>
            <w:shd w:val="clear" w:color="auto" w:fill="92D050"/>
            <w:noWrap/>
            <w:hideMark/>
          </w:tcPr>
          <w:p w14:paraId="4B6DEE2D" w14:textId="77777777" w:rsidR="0019768D" w:rsidRPr="000A6B37" w:rsidRDefault="0019768D" w:rsidP="00AA241E">
            <w:pPr>
              <w:jc w:val="both"/>
              <w:rPr>
                <w:b/>
                <w:bCs/>
              </w:rPr>
            </w:pPr>
            <w:r w:rsidRPr="000A6B37">
              <w:rPr>
                <w:b/>
                <w:bCs/>
              </w:rPr>
              <w:lastRenderedPageBreak/>
              <w:t> </w:t>
            </w:r>
          </w:p>
        </w:tc>
        <w:tc>
          <w:tcPr>
            <w:tcW w:w="0" w:type="auto"/>
            <w:shd w:val="clear" w:color="auto" w:fill="92D050"/>
            <w:noWrap/>
            <w:hideMark/>
          </w:tcPr>
          <w:p w14:paraId="53570D83" w14:textId="77777777" w:rsidR="0019768D" w:rsidRPr="000A6B37" w:rsidRDefault="0019768D" w:rsidP="00403A74">
            <w:pPr>
              <w:jc w:val="center"/>
              <w:rPr>
                <w:b/>
                <w:bCs/>
              </w:rPr>
            </w:pPr>
            <w:r w:rsidRPr="000A6B37">
              <w:rPr>
                <w:b/>
                <w:bCs/>
              </w:rPr>
              <w:t>2017</w:t>
            </w:r>
          </w:p>
        </w:tc>
        <w:tc>
          <w:tcPr>
            <w:tcW w:w="0" w:type="auto"/>
            <w:shd w:val="clear" w:color="auto" w:fill="92D050"/>
            <w:noWrap/>
            <w:hideMark/>
          </w:tcPr>
          <w:p w14:paraId="4DAE3A46" w14:textId="77777777" w:rsidR="0019768D" w:rsidRPr="000A6B37" w:rsidRDefault="0019768D" w:rsidP="00403A74">
            <w:pPr>
              <w:jc w:val="center"/>
              <w:rPr>
                <w:b/>
                <w:bCs/>
              </w:rPr>
            </w:pPr>
            <w:r w:rsidRPr="000A6B37">
              <w:rPr>
                <w:b/>
                <w:bCs/>
              </w:rPr>
              <w:t>2018</w:t>
            </w:r>
          </w:p>
        </w:tc>
        <w:tc>
          <w:tcPr>
            <w:tcW w:w="0" w:type="auto"/>
            <w:shd w:val="clear" w:color="auto" w:fill="92D050"/>
            <w:noWrap/>
            <w:hideMark/>
          </w:tcPr>
          <w:p w14:paraId="2FFE678C" w14:textId="77777777" w:rsidR="0019768D" w:rsidRPr="000A6B37" w:rsidRDefault="0019768D" w:rsidP="00403A74">
            <w:pPr>
              <w:jc w:val="center"/>
              <w:rPr>
                <w:b/>
                <w:bCs/>
              </w:rPr>
            </w:pPr>
            <w:r w:rsidRPr="000A6B37">
              <w:rPr>
                <w:b/>
                <w:bCs/>
              </w:rPr>
              <w:t>2019</w:t>
            </w:r>
          </w:p>
        </w:tc>
        <w:tc>
          <w:tcPr>
            <w:tcW w:w="0" w:type="auto"/>
            <w:shd w:val="clear" w:color="auto" w:fill="92D050"/>
            <w:noWrap/>
            <w:hideMark/>
          </w:tcPr>
          <w:p w14:paraId="4DD730B6" w14:textId="77777777" w:rsidR="0019768D" w:rsidRPr="000A6B37" w:rsidRDefault="0019768D" w:rsidP="00403A74">
            <w:pPr>
              <w:jc w:val="center"/>
              <w:rPr>
                <w:b/>
                <w:bCs/>
              </w:rPr>
            </w:pPr>
            <w:r w:rsidRPr="000A6B37">
              <w:rPr>
                <w:b/>
                <w:bCs/>
              </w:rPr>
              <w:t>2020</w:t>
            </w:r>
          </w:p>
        </w:tc>
        <w:tc>
          <w:tcPr>
            <w:tcW w:w="0" w:type="auto"/>
            <w:shd w:val="clear" w:color="auto" w:fill="92D050"/>
            <w:noWrap/>
            <w:hideMark/>
          </w:tcPr>
          <w:p w14:paraId="5374A190" w14:textId="77777777" w:rsidR="0019768D" w:rsidRPr="000A6B37" w:rsidRDefault="0019768D" w:rsidP="00403A74">
            <w:pPr>
              <w:jc w:val="center"/>
              <w:rPr>
                <w:b/>
                <w:bCs/>
              </w:rPr>
            </w:pPr>
            <w:r w:rsidRPr="000A6B37">
              <w:rPr>
                <w:b/>
                <w:bCs/>
              </w:rPr>
              <w:t>2021</w:t>
            </w:r>
          </w:p>
        </w:tc>
        <w:tc>
          <w:tcPr>
            <w:tcW w:w="0" w:type="auto"/>
            <w:shd w:val="clear" w:color="auto" w:fill="92D050"/>
            <w:noWrap/>
            <w:hideMark/>
          </w:tcPr>
          <w:p w14:paraId="3C66FD49" w14:textId="77777777" w:rsidR="0019768D" w:rsidRPr="000A6B37" w:rsidRDefault="0019768D" w:rsidP="00403A74">
            <w:pPr>
              <w:jc w:val="center"/>
              <w:rPr>
                <w:b/>
                <w:bCs/>
              </w:rPr>
            </w:pPr>
            <w:r w:rsidRPr="000A6B37">
              <w:rPr>
                <w:b/>
                <w:bCs/>
              </w:rPr>
              <w:t>2022</w:t>
            </w:r>
          </w:p>
        </w:tc>
        <w:tc>
          <w:tcPr>
            <w:tcW w:w="0" w:type="auto"/>
            <w:shd w:val="clear" w:color="auto" w:fill="92D050"/>
            <w:noWrap/>
            <w:hideMark/>
          </w:tcPr>
          <w:p w14:paraId="560FA98B" w14:textId="77777777" w:rsidR="0019768D" w:rsidRPr="000A6B37" w:rsidRDefault="0019768D" w:rsidP="00403A74">
            <w:pPr>
              <w:jc w:val="center"/>
              <w:rPr>
                <w:b/>
                <w:bCs/>
              </w:rPr>
            </w:pPr>
            <w:r w:rsidRPr="000A6B37">
              <w:rPr>
                <w:b/>
                <w:bCs/>
              </w:rPr>
              <w:t>2023</w:t>
            </w:r>
          </w:p>
        </w:tc>
      </w:tr>
      <w:tr w:rsidR="00A91584" w:rsidRPr="006E317E" w14:paraId="43ADA3C4" w14:textId="77777777" w:rsidTr="008A085A">
        <w:trPr>
          <w:trHeight w:val="371"/>
        </w:trPr>
        <w:tc>
          <w:tcPr>
            <w:tcW w:w="0" w:type="auto"/>
            <w:noWrap/>
            <w:hideMark/>
          </w:tcPr>
          <w:p w14:paraId="2F2F1C6F" w14:textId="77777777" w:rsidR="00A91584" w:rsidRPr="006E317E" w:rsidRDefault="00A91584" w:rsidP="00A91584">
            <w:pPr>
              <w:jc w:val="both"/>
            </w:pPr>
            <w:r w:rsidRPr="006E317E">
              <w:t>Telia</w:t>
            </w:r>
          </w:p>
        </w:tc>
        <w:tc>
          <w:tcPr>
            <w:tcW w:w="0" w:type="auto"/>
            <w:noWrap/>
            <w:hideMark/>
          </w:tcPr>
          <w:p w14:paraId="3D6291D6" w14:textId="650FD5A1" w:rsidR="00A91584" w:rsidRPr="006E317E" w:rsidRDefault="00A91584" w:rsidP="00A91584">
            <w:pPr>
              <w:jc w:val="center"/>
            </w:pPr>
            <w:r w:rsidRPr="001C4261">
              <w:t>…*%</w:t>
            </w:r>
          </w:p>
        </w:tc>
        <w:tc>
          <w:tcPr>
            <w:tcW w:w="0" w:type="auto"/>
            <w:noWrap/>
            <w:hideMark/>
          </w:tcPr>
          <w:p w14:paraId="09818B79" w14:textId="27D4D70A" w:rsidR="00A91584" w:rsidRPr="006E317E" w:rsidRDefault="00A91584" w:rsidP="00A91584">
            <w:pPr>
              <w:jc w:val="center"/>
            </w:pPr>
            <w:r w:rsidRPr="001C4261">
              <w:t>…*%</w:t>
            </w:r>
          </w:p>
        </w:tc>
        <w:tc>
          <w:tcPr>
            <w:tcW w:w="0" w:type="auto"/>
            <w:noWrap/>
            <w:hideMark/>
          </w:tcPr>
          <w:p w14:paraId="49D0546F" w14:textId="7BE7F163" w:rsidR="00A91584" w:rsidRPr="006E317E" w:rsidRDefault="00A91584" w:rsidP="00A91584">
            <w:pPr>
              <w:jc w:val="center"/>
            </w:pPr>
            <w:r w:rsidRPr="001C4261">
              <w:t>…*%</w:t>
            </w:r>
          </w:p>
        </w:tc>
        <w:tc>
          <w:tcPr>
            <w:tcW w:w="0" w:type="auto"/>
            <w:noWrap/>
            <w:hideMark/>
          </w:tcPr>
          <w:p w14:paraId="5843F7FF" w14:textId="68A5F09C" w:rsidR="00A91584" w:rsidRPr="006E317E" w:rsidRDefault="00A91584" w:rsidP="00A91584">
            <w:pPr>
              <w:jc w:val="center"/>
            </w:pPr>
            <w:r w:rsidRPr="001C4261">
              <w:t>…*%</w:t>
            </w:r>
          </w:p>
        </w:tc>
        <w:tc>
          <w:tcPr>
            <w:tcW w:w="0" w:type="auto"/>
            <w:noWrap/>
            <w:hideMark/>
          </w:tcPr>
          <w:p w14:paraId="428DCB07" w14:textId="2FF7D605" w:rsidR="00A91584" w:rsidRPr="006E317E" w:rsidRDefault="00A91584" w:rsidP="00A91584">
            <w:pPr>
              <w:jc w:val="center"/>
            </w:pPr>
            <w:r w:rsidRPr="001C4261">
              <w:t>…*%</w:t>
            </w:r>
          </w:p>
        </w:tc>
        <w:tc>
          <w:tcPr>
            <w:tcW w:w="0" w:type="auto"/>
            <w:noWrap/>
            <w:hideMark/>
          </w:tcPr>
          <w:p w14:paraId="54B299C4" w14:textId="13A4CB67" w:rsidR="00A91584" w:rsidRPr="006E317E" w:rsidRDefault="00A91584" w:rsidP="00A91584">
            <w:pPr>
              <w:jc w:val="center"/>
            </w:pPr>
            <w:r w:rsidRPr="001C4261">
              <w:t>…*%</w:t>
            </w:r>
          </w:p>
        </w:tc>
        <w:tc>
          <w:tcPr>
            <w:tcW w:w="0" w:type="auto"/>
            <w:noWrap/>
            <w:hideMark/>
          </w:tcPr>
          <w:p w14:paraId="62C1E651" w14:textId="0EC2FFBA" w:rsidR="00A91584" w:rsidRPr="006E317E" w:rsidRDefault="00A91584" w:rsidP="00A91584">
            <w:pPr>
              <w:jc w:val="center"/>
            </w:pPr>
            <w:r w:rsidRPr="001C4261">
              <w:t>…*%</w:t>
            </w:r>
          </w:p>
        </w:tc>
      </w:tr>
      <w:tr w:rsidR="00A91584" w:rsidRPr="006E317E" w14:paraId="327B9314" w14:textId="77777777" w:rsidTr="008A085A">
        <w:trPr>
          <w:trHeight w:val="371"/>
        </w:trPr>
        <w:tc>
          <w:tcPr>
            <w:tcW w:w="0" w:type="auto"/>
            <w:noWrap/>
            <w:hideMark/>
          </w:tcPr>
          <w:p w14:paraId="77707715" w14:textId="77777777" w:rsidR="00A91584" w:rsidRPr="006E317E" w:rsidRDefault="00A91584" w:rsidP="00A91584">
            <w:pPr>
              <w:jc w:val="both"/>
            </w:pPr>
            <w:r w:rsidRPr="006E317E">
              <w:t>Elisa</w:t>
            </w:r>
          </w:p>
        </w:tc>
        <w:tc>
          <w:tcPr>
            <w:tcW w:w="0" w:type="auto"/>
            <w:noWrap/>
            <w:hideMark/>
          </w:tcPr>
          <w:p w14:paraId="30955B83" w14:textId="6B19A2C0" w:rsidR="00A91584" w:rsidRPr="006E317E" w:rsidRDefault="00A91584" w:rsidP="00A91584">
            <w:pPr>
              <w:jc w:val="center"/>
            </w:pPr>
            <w:r w:rsidRPr="001C4261">
              <w:t>…*%</w:t>
            </w:r>
          </w:p>
        </w:tc>
        <w:tc>
          <w:tcPr>
            <w:tcW w:w="0" w:type="auto"/>
            <w:noWrap/>
            <w:hideMark/>
          </w:tcPr>
          <w:p w14:paraId="6CE4863B" w14:textId="61C4FEBD" w:rsidR="00A91584" w:rsidRPr="006E317E" w:rsidRDefault="00A91584" w:rsidP="00A91584">
            <w:pPr>
              <w:jc w:val="center"/>
            </w:pPr>
            <w:r w:rsidRPr="001C4261">
              <w:t>…*%</w:t>
            </w:r>
          </w:p>
        </w:tc>
        <w:tc>
          <w:tcPr>
            <w:tcW w:w="0" w:type="auto"/>
            <w:noWrap/>
            <w:hideMark/>
          </w:tcPr>
          <w:p w14:paraId="15FE76E1" w14:textId="6C648A20" w:rsidR="00A91584" w:rsidRPr="006E317E" w:rsidRDefault="00A91584" w:rsidP="00A91584">
            <w:pPr>
              <w:jc w:val="center"/>
            </w:pPr>
            <w:r w:rsidRPr="001C4261">
              <w:t>…*%</w:t>
            </w:r>
          </w:p>
        </w:tc>
        <w:tc>
          <w:tcPr>
            <w:tcW w:w="0" w:type="auto"/>
            <w:noWrap/>
            <w:hideMark/>
          </w:tcPr>
          <w:p w14:paraId="5E234983" w14:textId="151CACBB" w:rsidR="00A91584" w:rsidRPr="006E317E" w:rsidRDefault="00A91584" w:rsidP="00A91584">
            <w:pPr>
              <w:jc w:val="center"/>
            </w:pPr>
            <w:r w:rsidRPr="001C4261">
              <w:t>…*%</w:t>
            </w:r>
          </w:p>
        </w:tc>
        <w:tc>
          <w:tcPr>
            <w:tcW w:w="0" w:type="auto"/>
            <w:noWrap/>
            <w:hideMark/>
          </w:tcPr>
          <w:p w14:paraId="0AC81423" w14:textId="3DBB3839" w:rsidR="00A91584" w:rsidRPr="006E317E" w:rsidRDefault="00A91584" w:rsidP="00A91584">
            <w:pPr>
              <w:jc w:val="center"/>
            </w:pPr>
            <w:r w:rsidRPr="001C4261">
              <w:t>…*%</w:t>
            </w:r>
          </w:p>
        </w:tc>
        <w:tc>
          <w:tcPr>
            <w:tcW w:w="0" w:type="auto"/>
            <w:noWrap/>
            <w:hideMark/>
          </w:tcPr>
          <w:p w14:paraId="38B94B9F" w14:textId="304236FF" w:rsidR="00A91584" w:rsidRPr="006E317E" w:rsidRDefault="00A91584" w:rsidP="00A91584">
            <w:pPr>
              <w:jc w:val="center"/>
            </w:pPr>
            <w:r w:rsidRPr="001C4261">
              <w:t>…*%</w:t>
            </w:r>
          </w:p>
        </w:tc>
        <w:tc>
          <w:tcPr>
            <w:tcW w:w="0" w:type="auto"/>
            <w:noWrap/>
            <w:hideMark/>
          </w:tcPr>
          <w:p w14:paraId="3796E27C" w14:textId="4F540100" w:rsidR="00A91584" w:rsidRPr="006E317E" w:rsidRDefault="00A91584" w:rsidP="00A91584">
            <w:pPr>
              <w:jc w:val="center"/>
            </w:pPr>
            <w:r w:rsidRPr="001C4261">
              <w:t>…*%</w:t>
            </w:r>
          </w:p>
        </w:tc>
      </w:tr>
      <w:tr w:rsidR="00A91584" w:rsidRPr="006E317E" w14:paraId="3FC2FE10" w14:textId="77777777" w:rsidTr="008A085A">
        <w:trPr>
          <w:trHeight w:val="371"/>
        </w:trPr>
        <w:tc>
          <w:tcPr>
            <w:tcW w:w="0" w:type="auto"/>
            <w:noWrap/>
            <w:hideMark/>
          </w:tcPr>
          <w:p w14:paraId="49C62C8C" w14:textId="77777777" w:rsidR="00A91584" w:rsidRPr="006E317E" w:rsidRDefault="00A91584" w:rsidP="00A91584">
            <w:pPr>
              <w:jc w:val="both"/>
            </w:pPr>
            <w:r w:rsidRPr="006E317E">
              <w:t>Tele 2</w:t>
            </w:r>
          </w:p>
        </w:tc>
        <w:tc>
          <w:tcPr>
            <w:tcW w:w="0" w:type="auto"/>
            <w:noWrap/>
            <w:hideMark/>
          </w:tcPr>
          <w:p w14:paraId="52A7DF3C" w14:textId="0E6D245B" w:rsidR="00A91584" w:rsidRPr="006E317E" w:rsidRDefault="00A91584" w:rsidP="00A91584">
            <w:pPr>
              <w:jc w:val="center"/>
            </w:pPr>
            <w:r w:rsidRPr="001C4261">
              <w:t>…*%</w:t>
            </w:r>
          </w:p>
        </w:tc>
        <w:tc>
          <w:tcPr>
            <w:tcW w:w="0" w:type="auto"/>
            <w:noWrap/>
            <w:hideMark/>
          </w:tcPr>
          <w:p w14:paraId="0D2BDB9D" w14:textId="4FF5CED0" w:rsidR="00A91584" w:rsidRPr="006E317E" w:rsidRDefault="00A91584" w:rsidP="00A91584">
            <w:pPr>
              <w:jc w:val="center"/>
            </w:pPr>
            <w:r w:rsidRPr="001C4261">
              <w:t>…*%</w:t>
            </w:r>
          </w:p>
        </w:tc>
        <w:tc>
          <w:tcPr>
            <w:tcW w:w="0" w:type="auto"/>
            <w:noWrap/>
            <w:hideMark/>
          </w:tcPr>
          <w:p w14:paraId="6694CF34" w14:textId="5D10ECEF" w:rsidR="00A91584" w:rsidRPr="006E317E" w:rsidRDefault="00A91584" w:rsidP="00A91584">
            <w:pPr>
              <w:jc w:val="center"/>
            </w:pPr>
            <w:r w:rsidRPr="001C4261">
              <w:t>…*%</w:t>
            </w:r>
          </w:p>
        </w:tc>
        <w:tc>
          <w:tcPr>
            <w:tcW w:w="0" w:type="auto"/>
            <w:noWrap/>
            <w:hideMark/>
          </w:tcPr>
          <w:p w14:paraId="75DDEE6E" w14:textId="1647558B" w:rsidR="00A91584" w:rsidRPr="006E317E" w:rsidRDefault="00A91584" w:rsidP="00A91584">
            <w:pPr>
              <w:jc w:val="center"/>
            </w:pPr>
            <w:r w:rsidRPr="001C4261">
              <w:t>…*%</w:t>
            </w:r>
          </w:p>
        </w:tc>
        <w:tc>
          <w:tcPr>
            <w:tcW w:w="0" w:type="auto"/>
            <w:noWrap/>
            <w:hideMark/>
          </w:tcPr>
          <w:p w14:paraId="5E10EB6B" w14:textId="190A4208" w:rsidR="00A91584" w:rsidRPr="006E317E" w:rsidRDefault="00A91584" w:rsidP="00A91584">
            <w:pPr>
              <w:jc w:val="center"/>
            </w:pPr>
            <w:r w:rsidRPr="001C4261">
              <w:t>…*%</w:t>
            </w:r>
          </w:p>
        </w:tc>
        <w:tc>
          <w:tcPr>
            <w:tcW w:w="0" w:type="auto"/>
            <w:noWrap/>
            <w:hideMark/>
          </w:tcPr>
          <w:p w14:paraId="4A2452A5" w14:textId="21258D26" w:rsidR="00A91584" w:rsidRPr="006E317E" w:rsidRDefault="00A91584" w:rsidP="00A91584">
            <w:pPr>
              <w:jc w:val="center"/>
            </w:pPr>
            <w:r w:rsidRPr="001C4261">
              <w:t>…*%</w:t>
            </w:r>
          </w:p>
        </w:tc>
        <w:tc>
          <w:tcPr>
            <w:tcW w:w="0" w:type="auto"/>
            <w:noWrap/>
            <w:hideMark/>
          </w:tcPr>
          <w:p w14:paraId="6E83578F" w14:textId="66D62436" w:rsidR="00A91584" w:rsidRPr="006E317E" w:rsidRDefault="00A91584" w:rsidP="00A91584">
            <w:pPr>
              <w:jc w:val="center"/>
            </w:pPr>
            <w:r w:rsidRPr="001C4261">
              <w:t>…*%</w:t>
            </w:r>
          </w:p>
        </w:tc>
      </w:tr>
      <w:tr w:rsidR="00A91584" w:rsidRPr="006E317E" w14:paraId="6C00A427" w14:textId="77777777" w:rsidTr="008A085A">
        <w:trPr>
          <w:trHeight w:val="371"/>
        </w:trPr>
        <w:tc>
          <w:tcPr>
            <w:tcW w:w="0" w:type="auto"/>
            <w:noWrap/>
            <w:hideMark/>
          </w:tcPr>
          <w:p w14:paraId="3699820E" w14:textId="77777777" w:rsidR="00A91584" w:rsidRPr="006E317E" w:rsidRDefault="00A91584" w:rsidP="00A91584">
            <w:pPr>
              <w:jc w:val="both"/>
            </w:pPr>
            <w:r w:rsidRPr="006E317E">
              <w:t>STV</w:t>
            </w:r>
          </w:p>
        </w:tc>
        <w:tc>
          <w:tcPr>
            <w:tcW w:w="0" w:type="auto"/>
            <w:noWrap/>
            <w:hideMark/>
          </w:tcPr>
          <w:p w14:paraId="3A1F2F8C" w14:textId="2184E6E1" w:rsidR="00A91584" w:rsidRPr="006E317E" w:rsidRDefault="00A91584" w:rsidP="00A91584">
            <w:pPr>
              <w:jc w:val="center"/>
            </w:pPr>
            <w:r w:rsidRPr="001C4261">
              <w:t>…*%</w:t>
            </w:r>
          </w:p>
        </w:tc>
        <w:tc>
          <w:tcPr>
            <w:tcW w:w="0" w:type="auto"/>
            <w:noWrap/>
            <w:hideMark/>
          </w:tcPr>
          <w:p w14:paraId="596FED3E" w14:textId="7418452B" w:rsidR="00A91584" w:rsidRPr="006E317E" w:rsidRDefault="00A91584" w:rsidP="00A91584">
            <w:pPr>
              <w:jc w:val="center"/>
            </w:pPr>
            <w:r w:rsidRPr="001C4261">
              <w:t>…*%</w:t>
            </w:r>
          </w:p>
        </w:tc>
        <w:tc>
          <w:tcPr>
            <w:tcW w:w="0" w:type="auto"/>
            <w:noWrap/>
            <w:hideMark/>
          </w:tcPr>
          <w:p w14:paraId="35ED4621" w14:textId="5C94D6E6" w:rsidR="00A91584" w:rsidRPr="006E317E" w:rsidRDefault="00A91584" w:rsidP="00A91584">
            <w:pPr>
              <w:jc w:val="center"/>
            </w:pPr>
            <w:r w:rsidRPr="001C4261">
              <w:t>…*%</w:t>
            </w:r>
          </w:p>
        </w:tc>
        <w:tc>
          <w:tcPr>
            <w:tcW w:w="0" w:type="auto"/>
            <w:noWrap/>
            <w:hideMark/>
          </w:tcPr>
          <w:p w14:paraId="6AA83B53" w14:textId="067A041C" w:rsidR="00A91584" w:rsidRPr="006E317E" w:rsidRDefault="00A91584" w:rsidP="00A91584">
            <w:pPr>
              <w:jc w:val="center"/>
            </w:pPr>
            <w:r w:rsidRPr="001C4261">
              <w:t>…*%</w:t>
            </w:r>
          </w:p>
        </w:tc>
        <w:tc>
          <w:tcPr>
            <w:tcW w:w="0" w:type="auto"/>
            <w:noWrap/>
            <w:hideMark/>
          </w:tcPr>
          <w:p w14:paraId="52F8C91A" w14:textId="7AC8CD9D" w:rsidR="00A91584" w:rsidRPr="006E317E" w:rsidRDefault="00A91584" w:rsidP="00A91584">
            <w:pPr>
              <w:jc w:val="center"/>
            </w:pPr>
            <w:r w:rsidRPr="001C4261">
              <w:t>…*%</w:t>
            </w:r>
          </w:p>
        </w:tc>
        <w:tc>
          <w:tcPr>
            <w:tcW w:w="0" w:type="auto"/>
            <w:noWrap/>
            <w:hideMark/>
          </w:tcPr>
          <w:p w14:paraId="2D47BE24" w14:textId="21F0D872" w:rsidR="00A91584" w:rsidRPr="006E317E" w:rsidRDefault="00A91584" w:rsidP="00A91584">
            <w:pPr>
              <w:jc w:val="center"/>
            </w:pPr>
            <w:r w:rsidRPr="001C4261">
              <w:t>…*%</w:t>
            </w:r>
          </w:p>
        </w:tc>
        <w:tc>
          <w:tcPr>
            <w:tcW w:w="0" w:type="auto"/>
            <w:noWrap/>
            <w:hideMark/>
          </w:tcPr>
          <w:p w14:paraId="345640CC" w14:textId="42C86D8F" w:rsidR="00A91584" w:rsidRPr="006E317E" w:rsidRDefault="00A91584" w:rsidP="00A91584">
            <w:pPr>
              <w:jc w:val="center"/>
            </w:pPr>
            <w:r w:rsidRPr="001C4261">
              <w:t>…*%</w:t>
            </w:r>
          </w:p>
        </w:tc>
      </w:tr>
      <w:tr w:rsidR="00A91584" w:rsidRPr="006E317E" w14:paraId="36B754FB" w14:textId="77777777" w:rsidTr="008A085A">
        <w:trPr>
          <w:trHeight w:val="371"/>
        </w:trPr>
        <w:tc>
          <w:tcPr>
            <w:tcW w:w="0" w:type="auto"/>
            <w:noWrap/>
            <w:hideMark/>
          </w:tcPr>
          <w:p w14:paraId="6FA66866" w14:textId="77777777" w:rsidR="00A91584" w:rsidRPr="006E317E" w:rsidRDefault="00A91584" w:rsidP="00A91584">
            <w:pPr>
              <w:jc w:val="both"/>
            </w:pPr>
            <w:r w:rsidRPr="006E317E">
              <w:t>Telset</w:t>
            </w:r>
          </w:p>
        </w:tc>
        <w:tc>
          <w:tcPr>
            <w:tcW w:w="0" w:type="auto"/>
            <w:noWrap/>
            <w:hideMark/>
          </w:tcPr>
          <w:p w14:paraId="5DFFF130" w14:textId="6D332883" w:rsidR="00A91584" w:rsidRPr="006E317E" w:rsidRDefault="00A91584" w:rsidP="00A91584">
            <w:pPr>
              <w:jc w:val="center"/>
            </w:pPr>
            <w:r w:rsidRPr="001C4261">
              <w:t>…*%</w:t>
            </w:r>
          </w:p>
        </w:tc>
        <w:tc>
          <w:tcPr>
            <w:tcW w:w="0" w:type="auto"/>
            <w:noWrap/>
            <w:hideMark/>
          </w:tcPr>
          <w:p w14:paraId="3ED49A13" w14:textId="5E1EEBB6" w:rsidR="00A91584" w:rsidRPr="006E317E" w:rsidRDefault="00A91584" w:rsidP="00A91584">
            <w:pPr>
              <w:jc w:val="center"/>
            </w:pPr>
            <w:r w:rsidRPr="001C4261">
              <w:t>…*%</w:t>
            </w:r>
          </w:p>
        </w:tc>
        <w:tc>
          <w:tcPr>
            <w:tcW w:w="0" w:type="auto"/>
            <w:noWrap/>
            <w:hideMark/>
          </w:tcPr>
          <w:p w14:paraId="7D27AA5C" w14:textId="3FF292EE" w:rsidR="00A91584" w:rsidRPr="006E317E" w:rsidRDefault="00A91584" w:rsidP="00A91584">
            <w:pPr>
              <w:jc w:val="center"/>
            </w:pPr>
            <w:r w:rsidRPr="001C4261">
              <w:t>…*%</w:t>
            </w:r>
          </w:p>
        </w:tc>
        <w:tc>
          <w:tcPr>
            <w:tcW w:w="0" w:type="auto"/>
            <w:noWrap/>
            <w:hideMark/>
          </w:tcPr>
          <w:p w14:paraId="75BF74FE" w14:textId="1B5DEC14" w:rsidR="00A91584" w:rsidRPr="006E317E" w:rsidRDefault="00A91584" w:rsidP="00A91584">
            <w:pPr>
              <w:jc w:val="center"/>
            </w:pPr>
            <w:r w:rsidRPr="001C4261">
              <w:t>…*%</w:t>
            </w:r>
          </w:p>
        </w:tc>
        <w:tc>
          <w:tcPr>
            <w:tcW w:w="0" w:type="auto"/>
            <w:noWrap/>
            <w:hideMark/>
          </w:tcPr>
          <w:p w14:paraId="4CF831ED" w14:textId="7B72CC68" w:rsidR="00A91584" w:rsidRPr="006E317E" w:rsidRDefault="00A91584" w:rsidP="00A91584">
            <w:pPr>
              <w:jc w:val="center"/>
            </w:pPr>
            <w:r w:rsidRPr="001C4261">
              <w:t>…*%</w:t>
            </w:r>
          </w:p>
        </w:tc>
        <w:tc>
          <w:tcPr>
            <w:tcW w:w="0" w:type="auto"/>
            <w:noWrap/>
            <w:hideMark/>
          </w:tcPr>
          <w:p w14:paraId="68A04276" w14:textId="01C8D3E5" w:rsidR="00A91584" w:rsidRPr="006E317E" w:rsidRDefault="00A91584" w:rsidP="00A91584">
            <w:pPr>
              <w:jc w:val="center"/>
            </w:pPr>
            <w:r w:rsidRPr="001C4261">
              <w:t>…*%</w:t>
            </w:r>
          </w:p>
        </w:tc>
        <w:tc>
          <w:tcPr>
            <w:tcW w:w="0" w:type="auto"/>
            <w:noWrap/>
            <w:hideMark/>
          </w:tcPr>
          <w:p w14:paraId="6722A240" w14:textId="4A3B7D52" w:rsidR="00A91584" w:rsidRPr="006E317E" w:rsidRDefault="00A91584" w:rsidP="00A91584">
            <w:pPr>
              <w:jc w:val="center"/>
            </w:pPr>
            <w:r w:rsidRPr="001C4261">
              <w:t>…*%</w:t>
            </w:r>
          </w:p>
        </w:tc>
      </w:tr>
      <w:tr w:rsidR="0019768D" w:rsidRPr="006E317E" w14:paraId="61C615A9" w14:textId="77777777" w:rsidTr="008A085A">
        <w:trPr>
          <w:trHeight w:val="384"/>
        </w:trPr>
        <w:tc>
          <w:tcPr>
            <w:tcW w:w="0" w:type="auto"/>
            <w:noWrap/>
            <w:hideMark/>
          </w:tcPr>
          <w:p w14:paraId="3243F1F5" w14:textId="77777777" w:rsidR="0019768D" w:rsidRPr="006E317E" w:rsidRDefault="0019768D" w:rsidP="00AA241E">
            <w:pPr>
              <w:jc w:val="both"/>
            </w:pPr>
            <w:r w:rsidRPr="006E317E">
              <w:t>Kokku</w:t>
            </w:r>
          </w:p>
        </w:tc>
        <w:tc>
          <w:tcPr>
            <w:tcW w:w="0" w:type="auto"/>
            <w:noWrap/>
            <w:hideMark/>
          </w:tcPr>
          <w:p w14:paraId="73A6167F" w14:textId="77777777" w:rsidR="0019768D" w:rsidRPr="006E317E" w:rsidRDefault="0019768D" w:rsidP="00403A74">
            <w:pPr>
              <w:jc w:val="center"/>
            </w:pPr>
            <w:r w:rsidRPr="006E317E">
              <w:t>100%</w:t>
            </w:r>
          </w:p>
        </w:tc>
        <w:tc>
          <w:tcPr>
            <w:tcW w:w="0" w:type="auto"/>
            <w:noWrap/>
            <w:hideMark/>
          </w:tcPr>
          <w:p w14:paraId="45BA05D1" w14:textId="77777777" w:rsidR="0019768D" w:rsidRPr="006E317E" w:rsidRDefault="0019768D" w:rsidP="00403A74">
            <w:pPr>
              <w:jc w:val="center"/>
            </w:pPr>
            <w:r w:rsidRPr="006E317E">
              <w:t>100%</w:t>
            </w:r>
          </w:p>
        </w:tc>
        <w:tc>
          <w:tcPr>
            <w:tcW w:w="0" w:type="auto"/>
            <w:noWrap/>
            <w:hideMark/>
          </w:tcPr>
          <w:p w14:paraId="0C7DEA30" w14:textId="77777777" w:rsidR="0019768D" w:rsidRPr="006E317E" w:rsidRDefault="0019768D" w:rsidP="00403A74">
            <w:pPr>
              <w:jc w:val="center"/>
            </w:pPr>
            <w:r w:rsidRPr="006E317E">
              <w:t>100%</w:t>
            </w:r>
          </w:p>
        </w:tc>
        <w:tc>
          <w:tcPr>
            <w:tcW w:w="0" w:type="auto"/>
            <w:noWrap/>
            <w:hideMark/>
          </w:tcPr>
          <w:p w14:paraId="558DDCF2" w14:textId="77777777" w:rsidR="0019768D" w:rsidRPr="006E317E" w:rsidRDefault="0019768D" w:rsidP="00403A74">
            <w:pPr>
              <w:jc w:val="center"/>
            </w:pPr>
            <w:r w:rsidRPr="006E317E">
              <w:t>100%</w:t>
            </w:r>
          </w:p>
        </w:tc>
        <w:tc>
          <w:tcPr>
            <w:tcW w:w="0" w:type="auto"/>
            <w:noWrap/>
            <w:hideMark/>
          </w:tcPr>
          <w:p w14:paraId="3E6221E1" w14:textId="77777777" w:rsidR="0019768D" w:rsidRPr="006E317E" w:rsidRDefault="0019768D" w:rsidP="00403A74">
            <w:pPr>
              <w:jc w:val="center"/>
            </w:pPr>
            <w:r w:rsidRPr="006E317E">
              <w:t>100%</w:t>
            </w:r>
          </w:p>
        </w:tc>
        <w:tc>
          <w:tcPr>
            <w:tcW w:w="0" w:type="auto"/>
            <w:noWrap/>
            <w:hideMark/>
          </w:tcPr>
          <w:p w14:paraId="55BA9924" w14:textId="77777777" w:rsidR="0019768D" w:rsidRPr="006E317E" w:rsidRDefault="0019768D" w:rsidP="00403A74">
            <w:pPr>
              <w:jc w:val="center"/>
            </w:pPr>
            <w:r w:rsidRPr="006E317E">
              <w:t>100%</w:t>
            </w:r>
          </w:p>
        </w:tc>
        <w:tc>
          <w:tcPr>
            <w:tcW w:w="0" w:type="auto"/>
            <w:noWrap/>
            <w:hideMark/>
          </w:tcPr>
          <w:p w14:paraId="7291E333" w14:textId="77777777" w:rsidR="0019768D" w:rsidRPr="006E317E" w:rsidRDefault="0019768D" w:rsidP="00403A74">
            <w:pPr>
              <w:jc w:val="center"/>
            </w:pPr>
            <w:r w:rsidRPr="006E317E">
              <w:t>100%</w:t>
            </w:r>
          </w:p>
        </w:tc>
      </w:tr>
    </w:tbl>
    <w:bookmarkEnd w:id="650"/>
    <w:p w14:paraId="16C7C9D0" w14:textId="7464695C" w:rsidR="0019768D" w:rsidRPr="006E317E" w:rsidRDefault="008A085A" w:rsidP="00AA241E">
      <w:pPr>
        <w:pStyle w:val="Pealdis"/>
        <w:jc w:val="both"/>
      </w:pPr>
      <w:r>
        <w:t xml:space="preserve">Tabel </w:t>
      </w:r>
      <w:r>
        <w:fldChar w:fldCharType="begin"/>
      </w:r>
      <w:r>
        <w:instrText xml:space="preserve"> SEQ Tabel \* ARABIC </w:instrText>
      </w:r>
      <w:r>
        <w:fldChar w:fldCharType="separate"/>
      </w:r>
      <w:r w:rsidR="00247D84">
        <w:rPr>
          <w:noProof/>
        </w:rPr>
        <w:t>20</w:t>
      </w:r>
      <w:r>
        <w:fldChar w:fldCharType="end"/>
      </w:r>
      <w:r>
        <w:t xml:space="preserve"> </w:t>
      </w:r>
      <w:r w:rsidR="00183BEB">
        <w:t>Vaskkaabli</w:t>
      </w:r>
      <w:r w:rsidR="0005539C" w:rsidRPr="0005539C">
        <w:t xml:space="preserve">- ja </w:t>
      </w:r>
      <w:r w:rsidR="00183BEB">
        <w:t>mobiilsidevõr</w:t>
      </w:r>
      <w:r w:rsidR="0005539C" w:rsidRPr="0005539C">
        <w:t xml:space="preserve">gu internetiühenduste </w:t>
      </w:r>
      <w:r w:rsidR="00417AD7">
        <w:t>jaeturu</w:t>
      </w:r>
      <w:r w:rsidR="0005539C" w:rsidRPr="0005539C">
        <w:t xml:space="preserve"> </w:t>
      </w:r>
      <w:r w:rsidR="0019768D" w:rsidRPr="006E317E">
        <w:t>turuosade dünaamika interneti jaeteenuse osutamises, Eesti kokku</w:t>
      </w:r>
    </w:p>
    <w:p w14:paraId="0995F281" w14:textId="0F41D7E8" w:rsidR="0019768D" w:rsidRPr="006E317E" w:rsidRDefault="0019768D" w:rsidP="00AA241E">
      <w:pPr>
        <w:jc w:val="both"/>
      </w:pPr>
      <w:r w:rsidRPr="006E317E">
        <w:t xml:space="preserve"> Võttes arvesse, et </w:t>
      </w:r>
      <w:r w:rsidR="009016A2">
        <w:t>hulgi</w:t>
      </w:r>
      <w:r w:rsidR="009016A2" w:rsidRPr="006E317E">
        <w:t xml:space="preserve">turu </w:t>
      </w:r>
      <w:r w:rsidRPr="006E317E">
        <w:t xml:space="preserve">1. teenuste hulgimüük vaskpaar juurdepääsuvõrgus toimub väikestes mahtudes, põhineb arvutatud turuosa peamiselt Eesti olemasoleval infrastruktuurikonkurentsil. Eestis on </w:t>
      </w:r>
      <w:r w:rsidR="007D4E16" w:rsidRPr="00350B98">
        <w:t>mobiilsidevõrgu baasil</w:t>
      </w:r>
      <w:r w:rsidR="007D4E16">
        <w:t xml:space="preserve"> osutatavad</w:t>
      </w:r>
      <w:r w:rsidR="007D4E16" w:rsidRPr="00350B98">
        <w:t xml:space="preserve"> </w:t>
      </w:r>
      <w:r w:rsidR="00350B98" w:rsidRPr="00350B98">
        <w:t xml:space="preserve">püsiasukohas tarbimiseks </w:t>
      </w:r>
      <w:r w:rsidR="007D4E16">
        <w:t>mõeldud</w:t>
      </w:r>
      <w:r w:rsidR="00350B98" w:rsidRPr="00350B98">
        <w:t xml:space="preserve"> piiramatu mahuga internetiühendus</w:t>
      </w:r>
      <w:r w:rsidR="007D4E16">
        <w:t>t tarbivate</w:t>
      </w:r>
      <w:r w:rsidR="00350B98" w:rsidRPr="00350B98">
        <w:t xml:space="preserve"> </w:t>
      </w:r>
      <w:r w:rsidRPr="006E317E">
        <w:t>lõppkasutajate arv kiiresti kasvanud, mille tulemusena on Tel</w:t>
      </w:r>
      <w:r w:rsidR="00004EB0">
        <w:t>ia</w:t>
      </w:r>
      <w:r w:rsidRPr="006E317E">
        <w:t xml:space="preserve"> turuosad </w:t>
      </w:r>
      <w:r w:rsidR="007D4E16">
        <w:t>jaeturul</w:t>
      </w:r>
      <w:r w:rsidR="007D4E16" w:rsidRPr="006E317E">
        <w:t xml:space="preserve"> </w:t>
      </w:r>
      <w:r w:rsidRPr="006E317E">
        <w:t xml:space="preserve">oluliselt vähenenud. </w:t>
      </w:r>
      <w:r w:rsidR="002A1662">
        <w:t>TTJA</w:t>
      </w:r>
      <w:r w:rsidRPr="006E317E">
        <w:t xml:space="preserve"> järeldab, et Telia turuosa, mis oli 1. jaanuaril 2024 </w:t>
      </w:r>
      <w:r w:rsidR="00A91584" w:rsidRPr="001C4261">
        <w:t>…*</w:t>
      </w:r>
      <w:r w:rsidRPr="006E317E">
        <w:t xml:space="preserve">%, on vaadeldava  kuue aastase perioodi jooksul vähenenud </w:t>
      </w:r>
      <w:r w:rsidR="00A91584" w:rsidRPr="001C4261">
        <w:t>…*</w:t>
      </w:r>
      <w:r w:rsidRPr="006E317E">
        <w:t>% võrra. Peamiselt on see olnud tingitud vaskpaar juurdepääsuvõrgu vahendusel teenuseosutamise mahu vähenemi</w:t>
      </w:r>
      <w:r w:rsidR="00004EB0">
        <w:t>sest</w:t>
      </w:r>
      <w:r w:rsidRPr="006E317E">
        <w:t xml:space="preserve"> ja piiramatu mobiilise interneti tarbijate</w:t>
      </w:r>
      <w:r w:rsidR="00004EB0">
        <w:t xml:space="preserve"> arvu</w:t>
      </w:r>
      <w:r w:rsidRPr="006E317E">
        <w:t xml:space="preserve"> kiire</w:t>
      </w:r>
      <w:r w:rsidR="00004EB0">
        <w:t>st</w:t>
      </w:r>
      <w:r w:rsidRPr="006E317E">
        <w:t xml:space="preserve"> kasv</w:t>
      </w:r>
      <w:r w:rsidR="00004EB0">
        <w:t>ust</w:t>
      </w:r>
      <w:r w:rsidRPr="006E317E">
        <w:t xml:space="preserve"> viimasel kahe-kolmel aastal. Eelkõige osutavad analüüsitud turuosad tõhusale konkurentsile </w:t>
      </w:r>
      <w:r w:rsidR="00183BEB">
        <w:t>vaskkaabli</w:t>
      </w:r>
      <w:r w:rsidR="00CD6DFD">
        <w:t xml:space="preserve">- ja </w:t>
      </w:r>
      <w:r w:rsidR="00183BEB">
        <w:t>mobiilsidevõr</w:t>
      </w:r>
      <w:r w:rsidR="00CD6DFD">
        <w:t xml:space="preserve">gu internetiühenduste </w:t>
      </w:r>
      <w:r w:rsidR="00A422AA">
        <w:t>jaeturul</w:t>
      </w:r>
      <w:r w:rsidRPr="006E317E">
        <w:t>.</w:t>
      </w:r>
    </w:p>
    <w:p w14:paraId="5884EC58" w14:textId="41213CD6" w:rsidR="0019768D" w:rsidRPr="00BE0FB7" w:rsidRDefault="0019768D" w:rsidP="00AA241E">
      <w:pPr>
        <w:jc w:val="both"/>
        <w:rPr>
          <w:b/>
          <w:bCs/>
        </w:rPr>
      </w:pPr>
      <w:r w:rsidRPr="00BE0FB7">
        <w:rPr>
          <w:b/>
          <w:bCs/>
        </w:rPr>
        <w:t>Ee</w:t>
      </w:r>
      <w:r w:rsidR="002A1662" w:rsidRPr="00BE0FB7">
        <w:rPr>
          <w:b/>
          <w:bCs/>
        </w:rPr>
        <w:t>l</w:t>
      </w:r>
      <w:r w:rsidRPr="00BE0FB7">
        <w:rPr>
          <w:b/>
          <w:bCs/>
        </w:rPr>
        <w:t xml:space="preserve">pool öeldut silmas pidades järeldab </w:t>
      </w:r>
      <w:r w:rsidR="002A1662" w:rsidRPr="00BE0FB7">
        <w:rPr>
          <w:b/>
          <w:bCs/>
        </w:rPr>
        <w:t>TTJA</w:t>
      </w:r>
      <w:r w:rsidRPr="00BE0FB7">
        <w:rPr>
          <w:b/>
          <w:bCs/>
        </w:rPr>
        <w:t xml:space="preserve">, et turuosade üldine struktuur ei viita sellele, et </w:t>
      </w:r>
      <w:r w:rsidR="00183BEB">
        <w:rPr>
          <w:b/>
        </w:rPr>
        <w:t>vaskkaabli</w:t>
      </w:r>
      <w:r w:rsidR="0005539C" w:rsidRPr="00BE0FB7">
        <w:rPr>
          <w:b/>
          <w:bCs/>
        </w:rPr>
        <w:t xml:space="preserve">- ja </w:t>
      </w:r>
      <w:r w:rsidR="00183BEB">
        <w:rPr>
          <w:b/>
        </w:rPr>
        <w:t>mobiilsidevõr</w:t>
      </w:r>
      <w:r w:rsidR="0005539C" w:rsidRPr="00BE0FB7">
        <w:rPr>
          <w:b/>
        </w:rPr>
        <w:t>gu</w:t>
      </w:r>
      <w:r w:rsidR="0005539C" w:rsidRPr="00BE0FB7">
        <w:rPr>
          <w:b/>
          <w:bCs/>
        </w:rPr>
        <w:t xml:space="preserve"> internetiühenduste</w:t>
      </w:r>
      <w:r w:rsidR="00EE6DD3">
        <w:rPr>
          <w:b/>
          <w:bCs/>
        </w:rPr>
        <w:t xml:space="preserve"> </w:t>
      </w:r>
      <w:r w:rsidR="002D7E91">
        <w:rPr>
          <w:b/>
          <w:bCs/>
        </w:rPr>
        <w:t>üleriigilisel</w:t>
      </w:r>
      <w:r w:rsidR="0005539C" w:rsidRPr="00BE0FB7">
        <w:rPr>
          <w:b/>
          <w:bCs/>
        </w:rPr>
        <w:t xml:space="preserve"> </w:t>
      </w:r>
      <w:r w:rsidR="00A422AA" w:rsidRPr="00BE0FB7">
        <w:rPr>
          <w:b/>
          <w:bCs/>
        </w:rPr>
        <w:t>jaeturul</w:t>
      </w:r>
      <w:r w:rsidR="0005539C" w:rsidRPr="00BE0FB7">
        <w:rPr>
          <w:b/>
          <w:bCs/>
        </w:rPr>
        <w:t xml:space="preserve"> </w:t>
      </w:r>
      <w:r w:rsidRPr="00BE0FB7">
        <w:rPr>
          <w:b/>
          <w:bCs/>
        </w:rPr>
        <w:t xml:space="preserve">oleks mõni ettevõtja, kelle majanduslik võim oleks samaväärne turgu valitseva seisundiga. Turuosad osutavad tõhusale konkurentsile </w:t>
      </w:r>
      <w:r w:rsidR="00183BEB">
        <w:rPr>
          <w:b/>
        </w:rPr>
        <w:t>vaskkaabli</w:t>
      </w:r>
      <w:r w:rsidR="00CD6DFD" w:rsidRPr="00BE0FB7">
        <w:rPr>
          <w:b/>
          <w:bCs/>
        </w:rPr>
        <w:t xml:space="preserve">- ja </w:t>
      </w:r>
      <w:r w:rsidR="00183BEB">
        <w:rPr>
          <w:b/>
        </w:rPr>
        <w:t>mobiilsidevõr</w:t>
      </w:r>
      <w:r w:rsidR="00CD6DFD" w:rsidRPr="00BE0FB7">
        <w:rPr>
          <w:b/>
        </w:rPr>
        <w:t>gu</w:t>
      </w:r>
      <w:r w:rsidR="00CD6DFD" w:rsidRPr="00BE0FB7">
        <w:rPr>
          <w:b/>
          <w:bCs/>
        </w:rPr>
        <w:t xml:space="preserve"> internetiühenduste</w:t>
      </w:r>
      <w:r w:rsidR="002D7E91">
        <w:rPr>
          <w:b/>
          <w:bCs/>
        </w:rPr>
        <w:t xml:space="preserve"> üleriigilise</w:t>
      </w:r>
      <w:r w:rsidR="00ED4546">
        <w:rPr>
          <w:b/>
          <w:bCs/>
        </w:rPr>
        <w:t>l</w:t>
      </w:r>
      <w:r w:rsidR="00CD6DFD" w:rsidRPr="00BE0FB7">
        <w:rPr>
          <w:b/>
          <w:bCs/>
        </w:rPr>
        <w:t xml:space="preserve"> </w:t>
      </w:r>
      <w:r w:rsidR="00A422AA" w:rsidRPr="00BE0FB7">
        <w:rPr>
          <w:b/>
          <w:bCs/>
        </w:rPr>
        <w:t>jaeturu</w:t>
      </w:r>
      <w:r w:rsidR="00ED4546">
        <w:rPr>
          <w:b/>
          <w:bCs/>
        </w:rPr>
        <w:t>l</w:t>
      </w:r>
      <w:r w:rsidRPr="00BE0FB7">
        <w:rPr>
          <w:b/>
          <w:bCs/>
        </w:rPr>
        <w:t xml:space="preserve">, kuigi </w:t>
      </w:r>
      <w:r w:rsidR="006A0432" w:rsidRPr="00BE0FB7">
        <w:rPr>
          <w:b/>
          <w:bCs/>
        </w:rPr>
        <w:t>katvuse laiendamine</w:t>
      </w:r>
      <w:r w:rsidRPr="00BE0FB7">
        <w:rPr>
          <w:b/>
          <w:bCs/>
        </w:rPr>
        <w:t xml:space="preserve"> on endiselt asjakohane, eriti maapiirkondades.</w:t>
      </w:r>
    </w:p>
    <w:p w14:paraId="7E6BCF9F" w14:textId="3EEE7EA5" w:rsidR="0019768D" w:rsidRPr="006E317E" w:rsidRDefault="0019768D" w:rsidP="00AA241E">
      <w:pPr>
        <w:jc w:val="both"/>
      </w:pPr>
      <w:r w:rsidRPr="006E317E">
        <w:t xml:space="preserve">Kuigi turuosad viitavad tõhusale konkurentsile </w:t>
      </w:r>
      <w:r w:rsidR="00183BEB">
        <w:t>vaskkaabli</w:t>
      </w:r>
      <w:r w:rsidR="00CD6DFD">
        <w:t xml:space="preserve">- ja </w:t>
      </w:r>
      <w:r w:rsidR="00183BEB">
        <w:t>mobiilsidevõr</w:t>
      </w:r>
      <w:r w:rsidR="00CD6DFD">
        <w:t xml:space="preserve">gu internetiühenduste </w:t>
      </w:r>
      <w:r w:rsidR="00ED4546">
        <w:t xml:space="preserve">üleriigilisel </w:t>
      </w:r>
      <w:r w:rsidR="00A422AA">
        <w:t>jaeturul</w:t>
      </w:r>
      <w:r w:rsidRPr="006E317E">
        <w:t xml:space="preserve">, analüüsib </w:t>
      </w:r>
      <w:r w:rsidR="006A0432">
        <w:t>TTJA</w:t>
      </w:r>
      <w:r w:rsidRPr="006E317E">
        <w:t xml:space="preserve"> lisaks turuosadele ka muid kriteeriume;</w:t>
      </w:r>
    </w:p>
    <w:p w14:paraId="57217871" w14:textId="37712A27" w:rsidR="0019768D" w:rsidRPr="006E317E" w:rsidRDefault="0019768D" w:rsidP="00AA241E">
      <w:pPr>
        <w:pStyle w:val="Loendilik"/>
        <w:numPr>
          <w:ilvl w:val="0"/>
          <w:numId w:val="26"/>
        </w:numPr>
        <w:jc w:val="both"/>
      </w:pPr>
      <w:r w:rsidRPr="006E317E">
        <w:t xml:space="preserve">tõkkeid turule sisenemisel või elektroonilise side võrgu </w:t>
      </w:r>
      <w:r w:rsidR="006A0432">
        <w:t>katvuse</w:t>
      </w:r>
      <w:r w:rsidRPr="006E317E">
        <w:t xml:space="preserve"> laiendamis</w:t>
      </w:r>
      <w:r w:rsidR="006A0432">
        <w:t xml:space="preserve">e </w:t>
      </w:r>
      <w:r w:rsidRPr="006E317E">
        <w:t>tõkked;</w:t>
      </w:r>
    </w:p>
    <w:p w14:paraId="3A1666E2" w14:textId="19729A91" w:rsidR="0019768D" w:rsidRPr="006E317E" w:rsidRDefault="0019768D" w:rsidP="00AA241E">
      <w:pPr>
        <w:pStyle w:val="Loendilik"/>
        <w:numPr>
          <w:ilvl w:val="0"/>
          <w:numId w:val="26"/>
        </w:numPr>
        <w:jc w:val="both"/>
      </w:pPr>
      <w:r w:rsidRPr="006E317E">
        <w:t xml:space="preserve">kontrolli </w:t>
      </w:r>
      <w:r w:rsidR="006A0432">
        <w:t>raskesti dubleeritava</w:t>
      </w:r>
      <w:r w:rsidRPr="006E317E">
        <w:t xml:space="preserve"> taristu üle</w:t>
      </w:r>
      <w:r w:rsidR="006A0432">
        <w:t>;</w:t>
      </w:r>
    </w:p>
    <w:p w14:paraId="0875D228" w14:textId="77777777" w:rsidR="0019768D" w:rsidRPr="006E317E" w:rsidRDefault="0019768D" w:rsidP="00AA241E">
      <w:pPr>
        <w:pStyle w:val="Loendilik"/>
        <w:numPr>
          <w:ilvl w:val="0"/>
          <w:numId w:val="26"/>
        </w:numPr>
        <w:jc w:val="both"/>
      </w:pPr>
      <w:r w:rsidRPr="006E317E">
        <w:t>tehnoloogilised ja kaubanduslikud eelised või üleolek,</w:t>
      </w:r>
    </w:p>
    <w:p w14:paraId="2B0C0B25" w14:textId="2D0DD8E8" w:rsidR="0019768D" w:rsidRPr="006E317E" w:rsidRDefault="0019768D" w:rsidP="00AA241E">
      <w:pPr>
        <w:pStyle w:val="Loendilik"/>
        <w:numPr>
          <w:ilvl w:val="0"/>
          <w:numId w:val="26"/>
        </w:numPr>
        <w:jc w:val="both"/>
      </w:pPr>
      <w:r w:rsidRPr="006E317E">
        <w:t xml:space="preserve">tasakaalustava </w:t>
      </w:r>
      <w:r w:rsidR="00EE71F9">
        <w:t>ostjaj</w:t>
      </w:r>
      <w:r w:rsidRPr="006E317E">
        <w:t xml:space="preserve">õu puudumine või vähene tasakaalustav jõud, </w:t>
      </w:r>
    </w:p>
    <w:p w14:paraId="08145047" w14:textId="77777777" w:rsidR="0019768D" w:rsidRPr="006E317E" w:rsidRDefault="0019768D" w:rsidP="00AA241E">
      <w:pPr>
        <w:pStyle w:val="Loendilik"/>
        <w:numPr>
          <w:ilvl w:val="0"/>
          <w:numId w:val="26"/>
        </w:numPr>
        <w:jc w:val="both"/>
      </w:pPr>
      <w:r w:rsidRPr="006E317E">
        <w:t>lihtne või eelisjuurdepääs kapitaliturgudele/finantsressurssidele;</w:t>
      </w:r>
    </w:p>
    <w:p w14:paraId="0E58725D" w14:textId="77777777" w:rsidR="0019768D" w:rsidRPr="006E317E" w:rsidRDefault="0019768D" w:rsidP="00AA241E">
      <w:pPr>
        <w:pStyle w:val="Loendilik"/>
        <w:numPr>
          <w:ilvl w:val="0"/>
          <w:numId w:val="26"/>
        </w:numPr>
        <w:jc w:val="both"/>
      </w:pPr>
      <w:r w:rsidRPr="006E317E">
        <w:t>toodete/teenuste mitmekesistamine (näiteks komplekteeritud tooted või teenused);</w:t>
      </w:r>
    </w:p>
    <w:p w14:paraId="72280098" w14:textId="77777777" w:rsidR="0019768D" w:rsidRPr="006E317E" w:rsidRDefault="0019768D" w:rsidP="00AA241E">
      <w:pPr>
        <w:pStyle w:val="Loendilik"/>
        <w:numPr>
          <w:ilvl w:val="0"/>
          <w:numId w:val="26"/>
        </w:numPr>
        <w:jc w:val="both"/>
      </w:pPr>
      <w:r w:rsidRPr="006E317E">
        <w:t>mastaabi- ja mitmekülgsussäästu eelised;</w:t>
      </w:r>
    </w:p>
    <w:p w14:paraId="03ABCADF" w14:textId="77777777" w:rsidR="0019768D" w:rsidRPr="006E317E" w:rsidRDefault="0019768D" w:rsidP="00AA241E">
      <w:pPr>
        <w:pStyle w:val="Loendilik"/>
        <w:numPr>
          <w:ilvl w:val="0"/>
          <w:numId w:val="26"/>
        </w:numPr>
        <w:jc w:val="both"/>
      </w:pPr>
      <w:r w:rsidRPr="006E317E">
        <w:t xml:space="preserve">vertikaalne integratsioon. </w:t>
      </w:r>
    </w:p>
    <w:p w14:paraId="309FC076" w14:textId="21391FDE" w:rsidR="0019768D" w:rsidRPr="006E317E" w:rsidRDefault="0019768D" w:rsidP="00AA241E">
      <w:pPr>
        <w:pStyle w:val="Heading49"/>
        <w:numPr>
          <w:ilvl w:val="3"/>
          <w:numId w:val="66"/>
        </w:numPr>
      </w:pPr>
      <w:r w:rsidRPr="006E317E">
        <w:lastRenderedPageBreak/>
        <w:t>Takistused turule sisenemisel või elektroonilise side võrgu</w:t>
      </w:r>
      <w:r w:rsidR="00DD5EA4">
        <w:t xml:space="preserve"> katvuse</w:t>
      </w:r>
      <w:r w:rsidRPr="006E317E">
        <w:t xml:space="preserve"> laiendamisel</w:t>
      </w:r>
    </w:p>
    <w:p w14:paraId="7BA74615" w14:textId="749986AA" w:rsidR="0019768D" w:rsidRPr="006E317E" w:rsidRDefault="0019768D" w:rsidP="00AA241E">
      <w:pPr>
        <w:jc w:val="both"/>
      </w:pPr>
      <w:r w:rsidRPr="006E317E">
        <w:t>Üks peamisi konkurentsiprobleeme, mis on seotud turu</w:t>
      </w:r>
      <w:r w:rsidR="003A1C14">
        <w:t>jõuga</w:t>
      </w:r>
      <w:r w:rsidRPr="006E317E">
        <w:t xml:space="preserve"> elektroonilise side turgudel, on turule sisenemise tõkked või elektroonilise side võrgu </w:t>
      </w:r>
      <w:r w:rsidR="00DD5EA4">
        <w:t>katvuse</w:t>
      </w:r>
      <w:r w:rsidRPr="006E317E">
        <w:t xml:space="preserve"> laienemise tõkked. Nende analüüs on hinnang sellele, kui lihtne on antud turule siseneda või kui lihtne on elektroonilise side võrgu katvust laiendada.</w:t>
      </w:r>
    </w:p>
    <w:p w14:paraId="5B387DF3" w14:textId="58368F3B" w:rsidR="0019768D" w:rsidRPr="006E317E" w:rsidRDefault="0019768D" w:rsidP="00AA241E">
      <w:pPr>
        <w:jc w:val="both"/>
      </w:pPr>
      <w:r w:rsidRPr="006E317E">
        <w:t>Elektroonilise side sektorisse sisenemisel võivad takistused olla struktuursed, õiguslikud või regulatiivsed. Struktuursed takistused turule sisenemisel tulenevad vajadusest teha suuri investeeringuid uue infrastruktuuri ehitamiseks. Ajalooliste asjaolude tõttu on riigis reeglina esialgu üks turgu valitsev operaator, kes katab elektroonilise side võrgu ulatuslikult. Pidades silmas suuri taastumatuid</w:t>
      </w:r>
      <w:r w:rsidRPr="005D266E">
        <w:rPr>
          <w:vertAlign w:val="superscript"/>
        </w:rPr>
        <w:footnoteReference w:id="79"/>
      </w:r>
      <w:r w:rsidRPr="006E317E">
        <w:t xml:space="preserve"> kulusid ja suuri investeeringuid kasumi saamiseks vajaliku elektroonilise side võrgu infrastruktuuri kasutuselevõttu, tekivad turgu valitseva operaatori ja alternatiivsete operaatorite vahel tavaliselt asümmeetrilised tingimused, mis nõuavad konkurentsi tagamiseks ajalooliselt suurima operaatori elektroonilise side võrgu dubleerimist, sealhulgas juurdepääsuvõrgu täielikku dubleerimist. Üldjuhul kuulub turgu valitsevale operaatorile ka füüsiline taristu, mis on suur konkurentsieelis alternatiivsete operaatorite ees, kellel ei ole oma füüsilist infrastruktuuri või kelle infrastruktuur on piiratud ulatusega. Maa-aluste kaabelkanalisatsiooni ehitamine ja kättesaadavus on oluline asjaolu, kuna </w:t>
      </w:r>
      <w:r w:rsidR="006152CD">
        <w:t xml:space="preserve">kaabelkanalisatsiooni </w:t>
      </w:r>
      <w:r w:rsidR="006152CD" w:rsidRPr="006E317E">
        <w:t>ehituis</w:t>
      </w:r>
      <w:r w:rsidRPr="006E317E">
        <w:t>kulud moodustavad kuni 80%</w:t>
      </w:r>
      <w:r w:rsidRPr="005D266E">
        <w:rPr>
          <w:vertAlign w:val="superscript"/>
        </w:rPr>
        <w:footnoteReference w:id="80"/>
      </w:r>
      <w:r w:rsidRPr="006E317E">
        <w:t xml:space="preserve"> elektrooniliste sidevõrkude paigaldamise kuludest.</w:t>
      </w:r>
    </w:p>
    <w:p w14:paraId="2144C9E4" w14:textId="77777777" w:rsidR="0019768D" w:rsidRPr="006E317E" w:rsidRDefault="0019768D" w:rsidP="00AA241E">
      <w:pPr>
        <w:jc w:val="both"/>
      </w:pPr>
      <w:r w:rsidRPr="006E317E">
        <w:t>Selle tulemusena on tõkked turule sisenemisel elektroonilise side sektoris või leviala laiendamisel suured, eriti väikese rahvastikutihedusega maapiirkondades. Elektroonilise side võrgu kasutuselevõtmisel sõltub kulu lõppkasutaja kohta suurel määral rahvastikutihedusest. Mida suurem on rahvastikutihedus, seda rohkemate leibkondadeni on võimalik jõuda sama investeeringuga. Sellest tulenevalt on kõige tihedamalt asustatud piirkondades elektroonilise side võrkude ehitamise kulud madalamad kui hõredamalt asustatud piirkondades.</w:t>
      </w:r>
    </w:p>
    <w:p w14:paraId="6701F7E8" w14:textId="77777777" w:rsidR="0019768D" w:rsidRPr="006E317E" w:rsidRDefault="0019768D" w:rsidP="00AA241E">
      <w:pPr>
        <w:jc w:val="both"/>
      </w:pPr>
      <w:r w:rsidRPr="006E317E">
        <w:t>Kui turule sisenemise tõkked on suured ja jaeteenuse nõudluse kulu struktuur on selline, et see toetab ainult piiratud arvu ettevõtjaid, võib turul tegutseval operaatoril olla märkimisväärne turujõud, mille tulemuseks on liiga kõrged hinnad lõppkasutajatele, teenuse madal kvaliteet jne.</w:t>
      </w:r>
    </w:p>
    <w:p w14:paraId="51907571" w14:textId="77777777" w:rsidR="0019768D" w:rsidRPr="002E251B" w:rsidRDefault="0019768D" w:rsidP="00AA241E">
      <w:pPr>
        <w:jc w:val="both"/>
      </w:pPr>
      <w:r w:rsidRPr="006E317E">
        <w:t>Tehnoloogia areng võib viia uute ja uuenduslike teenuste tekkimiseni, uuenduste rakendamise  teenuse osutamisel avaldavad turgu valitsevale ettevõtjale konkurentsisurvet. Kui uute teenuseosutajate turule sisenemine on toimunud, peab reguleeriv asutus hindama, kas turule sisenemine on olnud edukas ja püsiv, et tekitada püsiv konkurentsisurve.</w:t>
      </w:r>
    </w:p>
    <w:p w14:paraId="2DF65B0D" w14:textId="77777777" w:rsidR="0019768D" w:rsidRPr="006E317E" w:rsidRDefault="0019768D" w:rsidP="00AA241E">
      <w:pPr>
        <w:jc w:val="both"/>
      </w:pPr>
      <w:r w:rsidRPr="006E317E">
        <w:t xml:space="preserve">Õiguslikud või regulatiivsed tõkked ei põhine majanduslikul olukorral, vaid tulenevad õigus- ja haldusnormidest või muudest meetmetest, mis mõjutavad otseselt turuosaliste sisenemistingimusi </w:t>
      </w:r>
      <w:r w:rsidRPr="006E317E">
        <w:lastRenderedPageBreak/>
        <w:t>ja/või turuosaliste seisundit asjaomasel turul. Elektroonilise side sektoris võivad need hõlmata lubade andmise menetlusi, territoriaalseid piiranguid, ohutus- ja turvastandardeid ning muid õiguslikke nõudeid, mis võivad turule sisenemist pärssida või edasi lükata. Õiguslike ja regulatiivsete tõkete tähtsus elektroonilise side turgudel on aga palju vähem oluline kui struktuursed tõkked.</w:t>
      </w:r>
    </w:p>
    <w:p w14:paraId="5F0FC3E2" w14:textId="77777777" w:rsidR="0019768D" w:rsidRPr="006E317E" w:rsidRDefault="0019768D" w:rsidP="00AA241E">
      <w:pPr>
        <w:jc w:val="both"/>
      </w:pPr>
      <w:r w:rsidRPr="006E317E">
        <w:t>Esialgu oli Eestis ainult üks püsivõrgu infrastruktuur (Telia), mis oli terviklik kogu riigis. Aja jooksul sisenesid paljud püsivõrgu Interneti-teenuse pakkujad elektroonilise side turule ning tehnoloogia arengu tulemusena arenes mobiilne internet, tekitades konkurentsisurve Teliale.</w:t>
      </w:r>
    </w:p>
    <w:p w14:paraId="388AB36A" w14:textId="73A26182" w:rsidR="006152CD" w:rsidRDefault="0019768D" w:rsidP="00AA241E">
      <w:pPr>
        <w:jc w:val="both"/>
      </w:pPr>
      <w:r w:rsidRPr="006E317E">
        <w:t xml:space="preserve">DSL on vananev madalama jõudlusega tehnoloogia, mille kasutamist on aja jooksul vähenenud minimaalseks ja Telia kavatseb DSL võrgud asendada </w:t>
      </w:r>
      <w:r w:rsidR="008F69E4">
        <w:t xml:space="preserve">valguskaabel või mobiilside 5G </w:t>
      </w:r>
      <w:r w:rsidRPr="006E317E">
        <w:t xml:space="preserve">võrgu tehnoloogiatega </w:t>
      </w:r>
      <w:r w:rsidR="00A91584">
        <w:t>…*</w:t>
      </w:r>
      <w:r w:rsidRPr="006E317E">
        <w:t xml:space="preserve"> aasta lõpuks. Siiski eeldatakse VDSL ja VDSL2 </w:t>
      </w:r>
      <w:proofErr w:type="spellStart"/>
      <w:r w:rsidR="00BD5C2A">
        <w:t>v</w:t>
      </w:r>
      <w:r w:rsidRPr="00AD2A3F">
        <w:rPr>
          <w:i/>
          <w:iCs/>
        </w:rPr>
        <w:t>ectoring</w:t>
      </w:r>
      <w:proofErr w:type="spellEnd"/>
      <w:r w:rsidRPr="006E317E">
        <w:t xml:space="preserve"> tehnoloogiad mängivad mõnda aega rolli, eriti väiksema rahvastikutihedusega piirkondades. Telia hinnangu</w:t>
      </w:r>
      <w:r w:rsidR="003453C8">
        <w:t>l</w:t>
      </w:r>
      <w:r w:rsidRPr="006E317E">
        <w:t xml:space="preserve"> jääb VDSL2 </w:t>
      </w:r>
      <w:proofErr w:type="spellStart"/>
      <w:r w:rsidR="00BD5C2A">
        <w:t>v</w:t>
      </w:r>
      <w:r w:rsidR="006152CD" w:rsidRPr="00AD2A3F">
        <w:rPr>
          <w:i/>
          <w:iCs/>
        </w:rPr>
        <w:t>ectoring</w:t>
      </w:r>
      <w:proofErr w:type="spellEnd"/>
      <w:r w:rsidRPr="006E317E">
        <w:t xml:space="preserve"> tehnoloogia Eestis kasutusele vähemalt </w:t>
      </w:r>
      <w:r w:rsidR="00A91584">
        <w:t>…*</w:t>
      </w:r>
      <w:r w:rsidRPr="006E317E">
        <w:t xml:space="preserve"> aastani, selle tehnoloogia kasutajad viiakse järk järgul üle kas valguskaabel</w:t>
      </w:r>
      <w:r w:rsidR="00361CFA">
        <w:t>-</w:t>
      </w:r>
      <w:r w:rsidRPr="006E317E">
        <w:t xml:space="preserve"> või mobiil</w:t>
      </w:r>
      <w:r w:rsidR="00361CFA">
        <w:t>side</w:t>
      </w:r>
      <w:r w:rsidRPr="006E317E">
        <w:t>tehnoloogi</w:t>
      </w:r>
      <w:r w:rsidR="002F46A4">
        <w:t>listele</w:t>
      </w:r>
      <w:r w:rsidRPr="006E317E">
        <w:t xml:space="preserve"> lahendustele.  Väljuvateks tehnoloogiateks võib pidada DOCSIS 3.0 tehnoloogiat, kuna selle tehnoloogia kasutamine on viimastel aastatel hakanud vähene</w:t>
      </w:r>
      <w:r w:rsidR="00361CFA">
        <w:t>ma</w:t>
      </w:r>
      <w:r w:rsidRPr="006E317E">
        <w:t xml:space="preserve"> ja eeldatavasti viiakse selle tehnoloogia kasutajad üle valguskaabel tehnoloogiale. Seetõttu ei näe reguleeriv asutus mingit väljavaadet, et uued turule sisenejad siseneksid konkreetsele </w:t>
      </w:r>
      <w:r w:rsidR="00183BEB">
        <w:t>vaskkaabli</w:t>
      </w:r>
      <w:r w:rsidR="0005539C" w:rsidRPr="0005539C">
        <w:t>- ja mobiil</w:t>
      </w:r>
      <w:r w:rsidR="00C9153A">
        <w:t>side</w:t>
      </w:r>
      <w:r w:rsidR="0005539C" w:rsidRPr="0005539C">
        <w:t xml:space="preserve">võrgu internetiühenduste </w:t>
      </w:r>
      <w:r w:rsidR="005C5DF2">
        <w:t>jaeturule</w:t>
      </w:r>
      <w:r w:rsidRPr="006E317E">
        <w:t>, pakkudes leviala laiendamiseks DSL- ja DOCSIS 3.0 kohtvõrgu tehnoloogiaid. Püsioperaatorid investeeriksid pigem suurema jõudlusega tehnoloogiatesse kui eespool nimetatud tehnoloogiatesse.</w:t>
      </w:r>
    </w:p>
    <w:p w14:paraId="2FE68B7D" w14:textId="77777777" w:rsidR="0019768D" w:rsidRPr="006E317E" w:rsidRDefault="0019768D" w:rsidP="00AA241E">
      <w:pPr>
        <w:jc w:val="both"/>
      </w:pPr>
      <w:r w:rsidRPr="006E317E">
        <w:t xml:space="preserve">Mobiilsideoperaatorid on arendanud oma elektroonilisi sidevõrke järk-järgult kogu Eesti territooriumil ja nende leviala on palju laiem kui väiksema jõudlusega interneti püsivõrkude tehnoloogiate puhul, samuti on mobiilsideoperaatoritel suhteliselt lihtsam laiendada mobiilsidevõrgu leviala kui püsivõrgu operaatoritel. Kuigi mobiilsideoperaatorite leviala on kogu Eesti territooriumil ulatuslik, võib olla hõredamalt asustatud piirkondi, </w:t>
      </w:r>
      <w:r w:rsidRPr="00C80DAD">
        <w:t>kus mobiililevi ei ole kättesaadav või see on piirtaud.</w:t>
      </w:r>
    </w:p>
    <w:p w14:paraId="3A82056A" w14:textId="3A004BAF" w:rsidR="0019768D" w:rsidRPr="006E317E" w:rsidRDefault="00A83B36" w:rsidP="00AA241E">
      <w:pPr>
        <w:jc w:val="both"/>
      </w:pPr>
      <w:r w:rsidRPr="00A83B36">
        <w:t>Püsiasukohas tarbimiseks suunatud piiramatu mahuga internetiühendu</w:t>
      </w:r>
      <w:r w:rsidR="00CD58E4">
        <w:t>ste</w:t>
      </w:r>
      <w:r w:rsidRPr="00A83B36">
        <w:t xml:space="preserve"> mobiilsidevõrgu baasil </w:t>
      </w:r>
      <w:r w:rsidR="0019768D" w:rsidRPr="006E317E">
        <w:t xml:space="preserve">tehnoloogia arengu mõjul on </w:t>
      </w:r>
      <w:r w:rsidR="00183BEB">
        <w:t>vaskkaabli</w:t>
      </w:r>
      <w:r w:rsidR="002754CA">
        <w:t xml:space="preserve">- ja </w:t>
      </w:r>
      <w:r w:rsidR="00183BEB">
        <w:t>mobiilsidevõr</w:t>
      </w:r>
      <w:r w:rsidR="002754CA">
        <w:t xml:space="preserve">gu internetiühenduste </w:t>
      </w:r>
      <w:r w:rsidR="00C358FA">
        <w:t xml:space="preserve">jaeturule </w:t>
      </w:r>
      <w:r w:rsidR="0019768D" w:rsidRPr="006E317E">
        <w:t xml:space="preserve">sisenemise tõkked nüüd teataval määral ületatud. </w:t>
      </w:r>
      <w:r w:rsidR="00DD5EA4">
        <w:t>TTJA</w:t>
      </w:r>
      <w:r w:rsidR="0019768D" w:rsidRPr="006E317E">
        <w:t xml:space="preserve"> järeldab, et mobiilsideoperaatorite turule sisenemine, pakkudes </w:t>
      </w:r>
      <w:r>
        <w:t>püsiasukohas tarbimiseks suunatud piiramatu mahuga internetiühendus</w:t>
      </w:r>
      <w:r w:rsidR="00C73C81">
        <w:t>i</w:t>
      </w:r>
      <w:r>
        <w:t xml:space="preserve"> mobiilsidevõrgu baasil</w:t>
      </w:r>
      <w:r w:rsidR="0019768D" w:rsidRPr="006E317E">
        <w:t xml:space="preserve">, on olnud edukas ja püsiv, mis tekitab pideva konkurentsisurve DSL-tehnoloogiale ja muudele Telia poolt pakutavatele madala jõudlusega tehnoloogiatele. Võttes aga arvesse suuri investeeringuid mobiilsidevõrkude ehitamisse ja mobiilside jaoks vajalike piiratud mahus sagedusvahemike (õiguslikud ja regulatiivsed tõkked) piiratust, oleks juhul, kui uus mobiilsideoperaator sooviks siseneda </w:t>
      </w:r>
      <w:r w:rsidR="00183BEB">
        <w:t>vaskkaabli</w:t>
      </w:r>
      <w:r w:rsidR="0005539C" w:rsidRPr="0005539C">
        <w:t xml:space="preserve">- ja </w:t>
      </w:r>
      <w:r w:rsidR="00183BEB">
        <w:t>mobiilsidevõr</w:t>
      </w:r>
      <w:r w:rsidR="0005539C" w:rsidRPr="0005539C">
        <w:t xml:space="preserve">gu internetiühenduste </w:t>
      </w:r>
      <w:r w:rsidR="003F0E6B" w:rsidRPr="003F0E6B">
        <w:t>jaeturu</w:t>
      </w:r>
      <w:r w:rsidR="003F0E6B">
        <w:t>le</w:t>
      </w:r>
      <w:r w:rsidR="0019768D" w:rsidRPr="006E317E">
        <w:t>, kõrged ja asjakohased turule sisenemise tõkked, eriti väikese rahvastikutihedusega maapiirkondades.</w:t>
      </w:r>
    </w:p>
    <w:p w14:paraId="29168688" w14:textId="4C144DE3" w:rsidR="0019768D" w:rsidRPr="006E317E" w:rsidRDefault="0019768D" w:rsidP="00AA241E">
      <w:pPr>
        <w:jc w:val="both"/>
      </w:pPr>
      <w:r w:rsidRPr="006E317E">
        <w:lastRenderedPageBreak/>
        <w:t xml:space="preserve">Tõkkeid turule sisenemisel või elektroonilise side võrgu </w:t>
      </w:r>
      <w:r w:rsidR="00DD5EA4">
        <w:t>katvuse</w:t>
      </w:r>
      <w:r w:rsidRPr="006E317E">
        <w:t xml:space="preserve"> laiendamisel hõlbustavad kaabelkanalisatsiooni sümmeetriline reguleerimine, märkimisväärse turujõuga  ettevõtja kaabelkanalisatsiooni ja -postide reguleerimine. </w:t>
      </w:r>
      <w:r w:rsidR="00DD5EA4">
        <w:t>TTJA</w:t>
      </w:r>
      <w:r w:rsidRPr="006E317E">
        <w:t xml:space="preserve"> arvates on sideettevõtja omandis oleval füüsilisel infrastruktuuril (kaablikanalisatsiooni ja postid) sellele juurdepääsu ees siiski palju suurem konkurentsieelis. Eelkõige toimub elektroonilise sidevõrgu paigaldamine oma püsiinfrastruktuuri tavaliselt suuremates mahtudes, kiiremini ja tõhusamalt.</w:t>
      </w:r>
    </w:p>
    <w:p w14:paraId="6033CCC5" w14:textId="6E88EF71" w:rsidR="0019768D" w:rsidRPr="006E317E" w:rsidRDefault="006152CD" w:rsidP="00AA241E">
      <w:pPr>
        <w:jc w:val="both"/>
      </w:pPr>
      <w:r>
        <w:t xml:space="preserve">Ehitusseaduslikuga </w:t>
      </w:r>
      <w:r w:rsidR="0019768D" w:rsidRPr="006E317E">
        <w:t>pannakse nii passiivse elektroonilise side taristu omanikele kui ka muude sektorite (näiteks energia, gaas jne) taristu omanikele kohustus anda sidevõrgu operaatoritele juurdepääs oma taristule, kui on olemas põhjendatud taotlus paigutada sinna valguskaabel kiud lõppkasutajatele teenuste osutamiseks. Praegu on taristu kasutamine muudes sektorites käimas, kuid piiratud ulatuses ja põhivõrgu või rahvusvaheliste ühenduste vajadustele vastavalt. Järgnevalt on toodud näited, mis võivad takistada taristu jagamist:</w:t>
      </w:r>
    </w:p>
    <w:p w14:paraId="1CCC1499" w14:textId="35768E2F" w:rsidR="0019768D" w:rsidRPr="006E317E" w:rsidRDefault="0019768D" w:rsidP="00AA241E">
      <w:pPr>
        <w:jc w:val="both"/>
      </w:pPr>
      <w:bookmarkStart w:id="651" w:name="_Hlk138589495"/>
      <w:r w:rsidRPr="006E317E">
        <w:t xml:space="preserve">Ettevõtjatel (eelkõige alternatiivsetel operaatoritel) ei ole piisavalt teadmisi ja kogemusi teiste sektorite võrkude ülesehituse ja struktuuri ning praktiliste aspektide kohta. </w:t>
      </w:r>
      <w:r w:rsidR="006F450E">
        <w:t>Valguskaabel võrkude</w:t>
      </w:r>
      <w:r w:rsidRPr="006E317E">
        <w:t xml:space="preserve"> kasutuselevõtt teiste sektorite taristutes peab olema kooskõlas rahvusvaheliste ja riiklike standarditega;</w:t>
      </w:r>
    </w:p>
    <w:p w14:paraId="5C3EFF5B" w14:textId="4182052E" w:rsidR="0019768D" w:rsidRPr="006E317E" w:rsidRDefault="0019768D" w:rsidP="00AA241E">
      <w:pPr>
        <w:jc w:val="both"/>
      </w:pPr>
      <w:r w:rsidRPr="006E317E">
        <w:t xml:space="preserve">Teiste </w:t>
      </w:r>
      <w:r w:rsidR="006F450E">
        <w:t>sektorite</w:t>
      </w:r>
      <w:r w:rsidRPr="006E317E">
        <w:t xml:space="preserve"> infrastruktuuri arhitektuur võib aja jooksul muutuda.</w:t>
      </w:r>
    </w:p>
    <w:p w14:paraId="130FF4C8" w14:textId="0712485B" w:rsidR="0019768D" w:rsidRPr="006E317E" w:rsidRDefault="006F450E" w:rsidP="00AA241E">
      <w:pPr>
        <w:jc w:val="both"/>
      </w:pPr>
      <w:r>
        <w:t>T</w:t>
      </w:r>
      <w:r w:rsidR="0019768D" w:rsidRPr="006E317E">
        <w:t>ehnilised piirangud, nt kui muude sektorite taristu on ehitatud viisil, kus taristu jagamine ei ole võimalik, st kui kaablid kaevatakse otse maasse jne.</w:t>
      </w:r>
    </w:p>
    <w:bookmarkEnd w:id="651"/>
    <w:p w14:paraId="662E63E9" w14:textId="52447BB9" w:rsidR="0019768D" w:rsidRPr="00BE0FB7" w:rsidRDefault="0019768D" w:rsidP="00AA241E">
      <w:pPr>
        <w:spacing w:after="240"/>
        <w:jc w:val="both"/>
        <w:rPr>
          <w:b/>
          <w:bCs/>
        </w:rPr>
      </w:pPr>
      <w:r w:rsidRPr="00BE0FB7">
        <w:rPr>
          <w:b/>
          <w:bCs/>
        </w:rPr>
        <w:t>Ee</w:t>
      </w:r>
      <w:r w:rsidR="00DD5EA4" w:rsidRPr="00BE0FB7">
        <w:rPr>
          <w:b/>
          <w:bCs/>
        </w:rPr>
        <w:t>l</w:t>
      </w:r>
      <w:r w:rsidRPr="00BE0FB7">
        <w:rPr>
          <w:b/>
          <w:bCs/>
        </w:rPr>
        <w:t xml:space="preserve">pool öeldut silmas pidades on põhimõtteliselt olemas tõkked, mis takistavad uue operaatori sisenemist </w:t>
      </w:r>
      <w:r w:rsidR="00183BEB">
        <w:rPr>
          <w:b/>
        </w:rPr>
        <w:t>vaskkaabli</w:t>
      </w:r>
      <w:r w:rsidR="002754CA" w:rsidRPr="00BE0FB7">
        <w:rPr>
          <w:b/>
          <w:bCs/>
        </w:rPr>
        <w:t xml:space="preserve">- ja </w:t>
      </w:r>
      <w:r w:rsidR="00183BEB">
        <w:rPr>
          <w:b/>
        </w:rPr>
        <w:t>mobiilsidevõr</w:t>
      </w:r>
      <w:r w:rsidR="002754CA" w:rsidRPr="00BE0FB7">
        <w:rPr>
          <w:b/>
        </w:rPr>
        <w:t xml:space="preserve">gu </w:t>
      </w:r>
      <w:r w:rsidR="002754CA" w:rsidRPr="00BE0FB7">
        <w:rPr>
          <w:b/>
          <w:bCs/>
        </w:rPr>
        <w:t xml:space="preserve">internetiühenduste </w:t>
      </w:r>
      <w:r w:rsidR="0020557B">
        <w:rPr>
          <w:b/>
          <w:bCs/>
        </w:rPr>
        <w:t xml:space="preserve">üleriigilisele </w:t>
      </w:r>
      <w:r w:rsidR="00037585" w:rsidRPr="00BE0FB7">
        <w:rPr>
          <w:b/>
          <w:bCs/>
        </w:rPr>
        <w:t>jaeturule</w:t>
      </w:r>
      <w:r w:rsidRPr="00BE0FB7">
        <w:rPr>
          <w:b/>
          <w:bCs/>
        </w:rPr>
        <w:t xml:space="preserve"> või elektroonilise side</w:t>
      </w:r>
      <w:r w:rsidR="00BB4601" w:rsidRPr="00BE0FB7">
        <w:rPr>
          <w:b/>
          <w:bCs/>
        </w:rPr>
        <w:t xml:space="preserve"> võrgu</w:t>
      </w:r>
      <w:r w:rsidRPr="00BE0FB7">
        <w:rPr>
          <w:b/>
          <w:bCs/>
        </w:rPr>
        <w:t xml:space="preserve"> </w:t>
      </w:r>
      <w:r w:rsidR="00DD5EA4" w:rsidRPr="00BE0FB7">
        <w:rPr>
          <w:b/>
          <w:bCs/>
        </w:rPr>
        <w:t>katvuse</w:t>
      </w:r>
      <w:r w:rsidRPr="00BE0FB7">
        <w:rPr>
          <w:b/>
          <w:bCs/>
        </w:rPr>
        <w:t xml:space="preserve"> laienemist. Võttes arvesse madalama jõudlusega tehnoloogiate tähtsuse vähenemist ning mobiilsideoperaatorite edukat ja pidevat turule sisenemist, </w:t>
      </w:r>
      <w:r w:rsidR="00A83B36" w:rsidRPr="00BE0FB7">
        <w:rPr>
          <w:b/>
          <w:bCs/>
        </w:rPr>
        <w:t>püsiasukohas tarbimiseks suunatud piiramatu mahuga internetiühendus</w:t>
      </w:r>
      <w:r w:rsidR="00C73C81" w:rsidRPr="00BE0FB7">
        <w:rPr>
          <w:b/>
          <w:bCs/>
        </w:rPr>
        <w:t>te</w:t>
      </w:r>
      <w:r w:rsidR="00A83B36" w:rsidRPr="00BE0FB7">
        <w:rPr>
          <w:b/>
          <w:bCs/>
        </w:rPr>
        <w:t xml:space="preserve"> mobiilsidevõrgu baasil</w:t>
      </w:r>
      <w:r w:rsidR="00962DAC" w:rsidRPr="00BE0FB7">
        <w:rPr>
          <w:b/>
          <w:bCs/>
        </w:rPr>
        <w:t xml:space="preserve"> teenustega</w:t>
      </w:r>
      <w:r w:rsidRPr="00BE0FB7">
        <w:rPr>
          <w:b/>
          <w:bCs/>
        </w:rPr>
        <w:t>, on need nüüd teatud määral ületatud ja neil on madalam tähtsus.</w:t>
      </w:r>
    </w:p>
    <w:p w14:paraId="6D55C4B4" w14:textId="5679BCD6" w:rsidR="0019768D" w:rsidRPr="006E317E" w:rsidRDefault="0019768D" w:rsidP="00AA241E">
      <w:pPr>
        <w:pStyle w:val="Heading49"/>
        <w:numPr>
          <w:ilvl w:val="3"/>
          <w:numId w:val="66"/>
        </w:numPr>
      </w:pPr>
      <w:r w:rsidRPr="006E317E">
        <w:t xml:space="preserve">Kontroll </w:t>
      </w:r>
      <w:r w:rsidR="000B1938">
        <w:t>raskesti dubleeritava infrastruktuuri üle</w:t>
      </w:r>
    </w:p>
    <w:p w14:paraId="0E6811CC" w14:textId="2B12C788" w:rsidR="0019768D" w:rsidRPr="006E317E" w:rsidRDefault="0019768D" w:rsidP="00AA241E">
      <w:pPr>
        <w:jc w:val="both"/>
      </w:pPr>
      <w:r w:rsidRPr="006E317E">
        <w:t xml:space="preserve">Oluline infrastruktuur on elektroonilise side võrgu osa mitmesuguste elektrooniliste sideteenuste osutamiseks ja seda ei ole võimalik kiiresti dubleerida, näiteks elektroonilise side võrk, millel on ulatuslik leviala kogu riigi territooriumil, samuti inseneri- (füüsiline) infrastruktuur jne. Kontroll </w:t>
      </w:r>
      <w:r w:rsidR="002449BE">
        <w:t>raskesti dubleeritava</w:t>
      </w:r>
      <w:r w:rsidRPr="006E317E">
        <w:t xml:space="preserve"> infrastruktuuri üle, annab selle omanikule konkurentsieelise teiste turuosaliste ees.</w:t>
      </w:r>
    </w:p>
    <w:p w14:paraId="497F81DF" w14:textId="77777777" w:rsidR="0019768D" w:rsidRPr="006E317E" w:rsidRDefault="0019768D" w:rsidP="00AA241E">
      <w:pPr>
        <w:jc w:val="both"/>
      </w:pPr>
      <w:r w:rsidRPr="006E317E">
        <w:t>Tehnoloogilise iseloomu eelis või paremus seisneb võimes kasutada arenenumaid tehnoloogiaid ja osutada teenuseid tõhusamalt, samuti pakkuda suuremat andmeedastuskiirust või paremaid muid teenuste omadusi. See tähendab tavaliselt ülekande- ja juurdepääsuvõrgu suurt läbilaskevõimet, elektroonilise side võrgu täiustamist ja muid kvaliteedinäitajaid.</w:t>
      </w:r>
    </w:p>
    <w:p w14:paraId="3BA61BC8" w14:textId="77777777" w:rsidR="0019768D" w:rsidRPr="006E317E" w:rsidRDefault="0019768D" w:rsidP="00AA241E">
      <w:pPr>
        <w:jc w:val="both"/>
      </w:pPr>
      <w:r w:rsidRPr="006E317E">
        <w:lastRenderedPageBreak/>
        <w:t>Selleks et hinnata MTE ja alternatiivsete operaatorite kontrolli olulise taristu üle, peaks reguleeriv asutus analüüsima operaatoritele kuuluva taristu mahtu ja kasutatavat tehnoloogiat.</w:t>
      </w:r>
    </w:p>
    <w:p w14:paraId="6E84A457" w14:textId="7B14804D" w:rsidR="0019768D" w:rsidRPr="006E317E" w:rsidRDefault="0019768D" w:rsidP="00AA241E">
      <w:pPr>
        <w:jc w:val="both"/>
      </w:pPr>
      <w:bookmarkStart w:id="652" w:name="_Toc164846273"/>
      <w:r w:rsidRPr="006E317E">
        <w:t>2023. aastal oli Eestis 17 operaatorit (paikse</w:t>
      </w:r>
      <w:r w:rsidR="00BB22EA">
        <w:t>t</w:t>
      </w:r>
      <w:r w:rsidRPr="006E317E">
        <w:t xml:space="preserve"> ja mobiil</w:t>
      </w:r>
      <w:r w:rsidR="008E3FAC">
        <w:t>side</w:t>
      </w:r>
      <w:r w:rsidRPr="006E317E">
        <w:t xml:space="preserve">), kes omasid </w:t>
      </w:r>
      <w:bookmarkStart w:id="653" w:name="_Hlk171691394"/>
      <w:r w:rsidRPr="006E317E">
        <w:t>kaabelkanalisatsiooni</w:t>
      </w:r>
      <w:bookmarkEnd w:id="653"/>
      <w:r w:rsidRPr="006E317E">
        <w:t xml:space="preserve">. Suurimate taristuomanike kaabelkanalisatsiooni mahu pikkuse kilomeetrites vt tabel </w:t>
      </w:r>
      <w:r w:rsidR="00C772B8">
        <w:t>2</w:t>
      </w:r>
      <w:r w:rsidR="00346D5D">
        <w:t>1</w:t>
      </w:r>
      <w:r w:rsidR="00C772B8">
        <w:t>.</w:t>
      </w:r>
    </w:p>
    <w:tbl>
      <w:tblPr>
        <w:tblStyle w:val="Kontuurtabel1"/>
        <w:tblW w:w="9098" w:type="dxa"/>
        <w:tblLook w:val="04A0" w:firstRow="1" w:lastRow="0" w:firstColumn="1" w:lastColumn="0" w:noHBand="0" w:noVBand="1"/>
      </w:tblPr>
      <w:tblGrid>
        <w:gridCol w:w="2972"/>
        <w:gridCol w:w="6126"/>
      </w:tblGrid>
      <w:tr w:rsidR="0019768D" w:rsidRPr="006E317E" w14:paraId="26C5AA16" w14:textId="77777777" w:rsidTr="000A6B37">
        <w:trPr>
          <w:trHeight w:val="275"/>
        </w:trPr>
        <w:tc>
          <w:tcPr>
            <w:tcW w:w="2972" w:type="dxa"/>
            <w:shd w:val="clear" w:color="auto" w:fill="92D050"/>
            <w:noWrap/>
          </w:tcPr>
          <w:p w14:paraId="351A4FBE" w14:textId="77777777" w:rsidR="0019768D" w:rsidRPr="006E317E" w:rsidRDefault="0019768D" w:rsidP="00AA241E">
            <w:pPr>
              <w:jc w:val="both"/>
            </w:pPr>
            <w:r w:rsidRPr="006E317E">
              <w:t>km</w:t>
            </w:r>
          </w:p>
        </w:tc>
        <w:tc>
          <w:tcPr>
            <w:tcW w:w="6126" w:type="dxa"/>
            <w:shd w:val="clear" w:color="auto" w:fill="92D050"/>
            <w:noWrap/>
            <w:vAlign w:val="center"/>
          </w:tcPr>
          <w:p w14:paraId="4D71EE09" w14:textId="77777777" w:rsidR="0019768D" w:rsidRPr="000A6B37" w:rsidRDefault="0019768D" w:rsidP="00ED1E9F">
            <w:pPr>
              <w:jc w:val="center"/>
              <w:rPr>
                <w:b/>
                <w:bCs/>
              </w:rPr>
            </w:pPr>
            <w:r w:rsidRPr="000A6B37">
              <w:rPr>
                <w:b/>
                <w:bCs/>
              </w:rPr>
              <w:t>2023</w:t>
            </w:r>
          </w:p>
        </w:tc>
      </w:tr>
      <w:tr w:rsidR="0019768D" w:rsidRPr="006E317E" w14:paraId="611B7BC8" w14:textId="77777777" w:rsidTr="000A6B37">
        <w:trPr>
          <w:trHeight w:val="275"/>
        </w:trPr>
        <w:tc>
          <w:tcPr>
            <w:tcW w:w="2972" w:type="dxa"/>
            <w:noWrap/>
          </w:tcPr>
          <w:p w14:paraId="081AC72B" w14:textId="77777777" w:rsidR="0019768D" w:rsidRPr="006E317E" w:rsidRDefault="0019768D" w:rsidP="00AA241E">
            <w:pPr>
              <w:jc w:val="both"/>
            </w:pPr>
            <w:r w:rsidRPr="006E317E">
              <w:t>Telia</w:t>
            </w:r>
          </w:p>
        </w:tc>
        <w:tc>
          <w:tcPr>
            <w:tcW w:w="6126" w:type="dxa"/>
            <w:noWrap/>
            <w:vAlign w:val="center"/>
          </w:tcPr>
          <w:p w14:paraId="06576071" w14:textId="53BE5387" w:rsidR="0019768D" w:rsidRPr="006E317E" w:rsidRDefault="00A91584" w:rsidP="00ED1E9F">
            <w:pPr>
              <w:jc w:val="center"/>
            </w:pPr>
            <w:r>
              <w:t>…*</w:t>
            </w:r>
          </w:p>
        </w:tc>
      </w:tr>
      <w:tr w:rsidR="007F7A07" w:rsidRPr="006E317E" w14:paraId="7A210E0F" w14:textId="77777777" w:rsidTr="00136950">
        <w:trPr>
          <w:trHeight w:val="275"/>
        </w:trPr>
        <w:tc>
          <w:tcPr>
            <w:tcW w:w="2972" w:type="dxa"/>
            <w:noWrap/>
          </w:tcPr>
          <w:p w14:paraId="7668925A" w14:textId="77777777" w:rsidR="007F7A07" w:rsidRPr="006E317E" w:rsidRDefault="007F7A07" w:rsidP="007F7A07">
            <w:pPr>
              <w:jc w:val="both"/>
            </w:pPr>
            <w:r w:rsidRPr="006E317E">
              <w:t>ELA SA</w:t>
            </w:r>
          </w:p>
        </w:tc>
        <w:tc>
          <w:tcPr>
            <w:tcW w:w="6126" w:type="dxa"/>
            <w:noWrap/>
          </w:tcPr>
          <w:p w14:paraId="24C379B6" w14:textId="1292128F" w:rsidR="007F7A07" w:rsidRPr="006E317E" w:rsidRDefault="007F7A07" w:rsidP="007F7A07">
            <w:pPr>
              <w:jc w:val="center"/>
            </w:pPr>
            <w:r w:rsidRPr="00C701D0">
              <w:t>…*</w:t>
            </w:r>
          </w:p>
        </w:tc>
      </w:tr>
      <w:tr w:rsidR="007F7A07" w:rsidRPr="006E317E" w14:paraId="23B9F979" w14:textId="77777777" w:rsidTr="00136950">
        <w:trPr>
          <w:trHeight w:val="275"/>
        </w:trPr>
        <w:tc>
          <w:tcPr>
            <w:tcW w:w="2972" w:type="dxa"/>
            <w:noWrap/>
          </w:tcPr>
          <w:p w14:paraId="61255892" w14:textId="22264196" w:rsidR="007F7A07" w:rsidRPr="006E317E" w:rsidRDefault="007F7A07" w:rsidP="007F7A07">
            <w:pPr>
              <w:jc w:val="both"/>
            </w:pPr>
            <w:r w:rsidRPr="006E317E">
              <w:t>Eesti Andmesidevõrk MTÜ</w:t>
            </w:r>
          </w:p>
        </w:tc>
        <w:tc>
          <w:tcPr>
            <w:tcW w:w="6126" w:type="dxa"/>
            <w:noWrap/>
          </w:tcPr>
          <w:p w14:paraId="70C3D471" w14:textId="62D8F575" w:rsidR="007F7A07" w:rsidRPr="006E317E" w:rsidRDefault="007F7A07" w:rsidP="007F7A07">
            <w:pPr>
              <w:jc w:val="center"/>
            </w:pPr>
            <w:r w:rsidRPr="00C701D0">
              <w:t>…*</w:t>
            </w:r>
          </w:p>
        </w:tc>
      </w:tr>
      <w:tr w:rsidR="007F7A07" w:rsidRPr="006E317E" w14:paraId="47B7987B" w14:textId="77777777" w:rsidTr="00136950">
        <w:trPr>
          <w:trHeight w:val="275"/>
        </w:trPr>
        <w:tc>
          <w:tcPr>
            <w:tcW w:w="2972" w:type="dxa"/>
            <w:noWrap/>
          </w:tcPr>
          <w:p w14:paraId="30A46BB4" w14:textId="77777777" w:rsidR="007F7A07" w:rsidRPr="006E317E" w:rsidRDefault="007F7A07" w:rsidP="007F7A07">
            <w:pPr>
              <w:jc w:val="both"/>
            </w:pPr>
            <w:r w:rsidRPr="006E317E">
              <w:t>Telset</w:t>
            </w:r>
          </w:p>
        </w:tc>
        <w:tc>
          <w:tcPr>
            <w:tcW w:w="6126" w:type="dxa"/>
            <w:noWrap/>
          </w:tcPr>
          <w:p w14:paraId="2EC49C94" w14:textId="0C0B7718" w:rsidR="007F7A07" w:rsidRPr="006E317E" w:rsidRDefault="007F7A07" w:rsidP="007F7A07">
            <w:pPr>
              <w:jc w:val="center"/>
            </w:pPr>
            <w:r w:rsidRPr="00C701D0">
              <w:t>…*</w:t>
            </w:r>
          </w:p>
        </w:tc>
      </w:tr>
      <w:tr w:rsidR="007F7A07" w:rsidRPr="006E317E" w14:paraId="63EC6C39" w14:textId="77777777" w:rsidTr="00136950">
        <w:trPr>
          <w:trHeight w:val="275"/>
        </w:trPr>
        <w:tc>
          <w:tcPr>
            <w:tcW w:w="2972" w:type="dxa"/>
            <w:noWrap/>
          </w:tcPr>
          <w:p w14:paraId="696181CB" w14:textId="77777777" w:rsidR="007F7A07" w:rsidRPr="006E317E" w:rsidRDefault="007F7A07" w:rsidP="007F7A07">
            <w:pPr>
              <w:jc w:val="both"/>
            </w:pPr>
            <w:r w:rsidRPr="006E317E">
              <w:t>Tele2</w:t>
            </w:r>
          </w:p>
        </w:tc>
        <w:tc>
          <w:tcPr>
            <w:tcW w:w="6126" w:type="dxa"/>
            <w:noWrap/>
          </w:tcPr>
          <w:p w14:paraId="5CBD4427" w14:textId="0E68AEC1" w:rsidR="007F7A07" w:rsidRPr="006E317E" w:rsidRDefault="007F7A07" w:rsidP="007F7A07">
            <w:pPr>
              <w:jc w:val="center"/>
            </w:pPr>
            <w:r w:rsidRPr="00C701D0">
              <w:t>…*</w:t>
            </w:r>
          </w:p>
        </w:tc>
      </w:tr>
      <w:tr w:rsidR="007F7A07" w:rsidRPr="006E317E" w14:paraId="36E0CA79" w14:textId="77777777" w:rsidTr="00136950">
        <w:trPr>
          <w:trHeight w:val="275"/>
        </w:trPr>
        <w:tc>
          <w:tcPr>
            <w:tcW w:w="2972" w:type="dxa"/>
            <w:noWrap/>
          </w:tcPr>
          <w:p w14:paraId="0000C1AB" w14:textId="77777777" w:rsidR="007F7A07" w:rsidRPr="006E317E" w:rsidRDefault="007F7A07" w:rsidP="007F7A07">
            <w:pPr>
              <w:jc w:val="both"/>
            </w:pPr>
            <w:r w:rsidRPr="006E317E">
              <w:t>Elisa</w:t>
            </w:r>
          </w:p>
        </w:tc>
        <w:tc>
          <w:tcPr>
            <w:tcW w:w="6126" w:type="dxa"/>
            <w:noWrap/>
          </w:tcPr>
          <w:p w14:paraId="3812735F" w14:textId="1490B05B" w:rsidR="007F7A07" w:rsidRPr="006E317E" w:rsidRDefault="007F7A07" w:rsidP="007F7A07">
            <w:pPr>
              <w:jc w:val="center"/>
            </w:pPr>
            <w:r w:rsidRPr="00C701D0">
              <w:t>…*</w:t>
            </w:r>
          </w:p>
        </w:tc>
      </w:tr>
      <w:tr w:rsidR="007F7A07" w:rsidRPr="006E317E" w14:paraId="422B0725" w14:textId="77777777" w:rsidTr="00136950">
        <w:trPr>
          <w:trHeight w:val="275"/>
        </w:trPr>
        <w:tc>
          <w:tcPr>
            <w:tcW w:w="2972" w:type="dxa"/>
            <w:noWrap/>
          </w:tcPr>
          <w:p w14:paraId="68C445BE" w14:textId="77777777" w:rsidR="007F7A07" w:rsidRPr="006E317E" w:rsidRDefault="007F7A07" w:rsidP="007F7A07">
            <w:pPr>
              <w:jc w:val="both"/>
            </w:pPr>
            <w:r w:rsidRPr="006E317E">
              <w:t xml:space="preserve">Enefit </w:t>
            </w:r>
          </w:p>
        </w:tc>
        <w:tc>
          <w:tcPr>
            <w:tcW w:w="6126" w:type="dxa"/>
            <w:noWrap/>
          </w:tcPr>
          <w:p w14:paraId="4CB4764B" w14:textId="22AD96B4" w:rsidR="007F7A07" w:rsidRPr="006E317E" w:rsidRDefault="007F7A07" w:rsidP="007F7A07">
            <w:pPr>
              <w:jc w:val="center"/>
            </w:pPr>
            <w:r w:rsidRPr="00C701D0">
              <w:t>…*</w:t>
            </w:r>
          </w:p>
        </w:tc>
      </w:tr>
      <w:tr w:rsidR="007F7A07" w:rsidRPr="006E317E" w14:paraId="5476B5E5" w14:textId="77777777" w:rsidTr="00136950">
        <w:trPr>
          <w:trHeight w:val="275"/>
        </w:trPr>
        <w:tc>
          <w:tcPr>
            <w:tcW w:w="2972" w:type="dxa"/>
            <w:noWrap/>
          </w:tcPr>
          <w:p w14:paraId="07BDDF80" w14:textId="77777777" w:rsidR="007F7A07" w:rsidRPr="006E317E" w:rsidRDefault="007F7A07" w:rsidP="007F7A07">
            <w:pPr>
              <w:jc w:val="both"/>
            </w:pPr>
            <w:r w:rsidRPr="006E317E">
              <w:t>Corle</w:t>
            </w:r>
          </w:p>
        </w:tc>
        <w:tc>
          <w:tcPr>
            <w:tcW w:w="6126" w:type="dxa"/>
            <w:noWrap/>
          </w:tcPr>
          <w:p w14:paraId="1A33E8CD" w14:textId="2BF9AC5A" w:rsidR="007F7A07" w:rsidRPr="006E317E" w:rsidRDefault="007F7A07" w:rsidP="007F7A07">
            <w:pPr>
              <w:jc w:val="center"/>
            </w:pPr>
            <w:r w:rsidRPr="00C701D0">
              <w:t>…*</w:t>
            </w:r>
          </w:p>
        </w:tc>
      </w:tr>
      <w:tr w:rsidR="007F7A07" w:rsidRPr="006E317E" w14:paraId="441DBC9E" w14:textId="77777777" w:rsidTr="00136950">
        <w:trPr>
          <w:trHeight w:val="275"/>
        </w:trPr>
        <w:tc>
          <w:tcPr>
            <w:tcW w:w="2972" w:type="dxa"/>
            <w:noWrap/>
          </w:tcPr>
          <w:p w14:paraId="692CFF96" w14:textId="77777777" w:rsidR="007F7A07" w:rsidRPr="006E317E" w:rsidRDefault="007F7A07" w:rsidP="007F7A07">
            <w:pPr>
              <w:jc w:val="both"/>
            </w:pPr>
            <w:r w:rsidRPr="006E317E">
              <w:t>Teised</w:t>
            </w:r>
          </w:p>
        </w:tc>
        <w:tc>
          <w:tcPr>
            <w:tcW w:w="6126" w:type="dxa"/>
            <w:noWrap/>
          </w:tcPr>
          <w:p w14:paraId="7E55FED2" w14:textId="086CC69F" w:rsidR="007F7A07" w:rsidRPr="006E317E" w:rsidRDefault="007F7A07" w:rsidP="007F7A07">
            <w:pPr>
              <w:jc w:val="center"/>
            </w:pPr>
            <w:r w:rsidRPr="00C701D0">
              <w:t>…*</w:t>
            </w:r>
          </w:p>
        </w:tc>
      </w:tr>
      <w:tr w:rsidR="0019768D" w:rsidRPr="006E317E" w14:paraId="5B8762C6" w14:textId="77777777" w:rsidTr="000A6B37">
        <w:trPr>
          <w:trHeight w:val="285"/>
        </w:trPr>
        <w:tc>
          <w:tcPr>
            <w:tcW w:w="2972" w:type="dxa"/>
            <w:noWrap/>
          </w:tcPr>
          <w:p w14:paraId="43D9DCD4" w14:textId="77777777" w:rsidR="0019768D" w:rsidRPr="006E317E" w:rsidRDefault="0019768D" w:rsidP="00AA241E">
            <w:pPr>
              <w:jc w:val="both"/>
            </w:pPr>
            <w:r w:rsidRPr="006E317E">
              <w:t>Kokku</w:t>
            </w:r>
          </w:p>
        </w:tc>
        <w:tc>
          <w:tcPr>
            <w:tcW w:w="6126" w:type="dxa"/>
            <w:noWrap/>
            <w:vAlign w:val="center"/>
          </w:tcPr>
          <w:p w14:paraId="17F98C48" w14:textId="77777777" w:rsidR="0019768D" w:rsidRPr="006E317E" w:rsidRDefault="0019768D" w:rsidP="00ED1E9F">
            <w:pPr>
              <w:jc w:val="center"/>
            </w:pPr>
            <w:r w:rsidRPr="006E317E">
              <w:t>12 930</w:t>
            </w:r>
          </w:p>
        </w:tc>
      </w:tr>
    </w:tbl>
    <w:bookmarkEnd w:id="652"/>
    <w:p w14:paraId="7ADC9A4C" w14:textId="3009C858" w:rsidR="0019768D" w:rsidRPr="006E317E" w:rsidRDefault="000A6B37" w:rsidP="00AA241E">
      <w:pPr>
        <w:pStyle w:val="Pealdis"/>
        <w:jc w:val="both"/>
      </w:pPr>
      <w:r>
        <w:t xml:space="preserve">Tabel </w:t>
      </w:r>
      <w:r>
        <w:fldChar w:fldCharType="begin"/>
      </w:r>
      <w:r>
        <w:instrText xml:space="preserve"> SEQ Tabel \* ARABIC </w:instrText>
      </w:r>
      <w:r>
        <w:fldChar w:fldCharType="separate"/>
      </w:r>
      <w:r w:rsidR="00247D84">
        <w:rPr>
          <w:noProof/>
        </w:rPr>
        <w:t>21</w:t>
      </w:r>
      <w:r>
        <w:fldChar w:fldCharType="end"/>
      </w:r>
      <w:r>
        <w:t xml:space="preserve"> </w:t>
      </w:r>
      <w:r w:rsidR="0019768D" w:rsidRPr="006E317E">
        <w:t>Kaabelkanalisatsiooni pikkus kilomeetrites suurimate infrastruktuuriomanike jaoks km</w:t>
      </w:r>
    </w:p>
    <w:p w14:paraId="7C183E48" w14:textId="77777777" w:rsidR="0019768D" w:rsidRPr="006E317E" w:rsidRDefault="0019768D" w:rsidP="00AA241E">
      <w:pPr>
        <w:jc w:val="both"/>
      </w:pPr>
      <w:r w:rsidRPr="006E317E">
        <w:t xml:space="preserve">ELA SA on suurim kaablikanalisatsioonivõrk Eestis, kuid see ei ole ühtne võrgustik. ELA SA võrk on peamiselt ülekande või baas võrk, mis on rajatud suuremas osas riigiabiga ja ta osutab teenisid ainult hulgiturul ja ei konkureeri jaeteenuse osutajatega. ELA </w:t>
      </w:r>
      <w:proofErr w:type="spellStart"/>
      <w:r w:rsidRPr="006E317E">
        <w:t>SA-ga</w:t>
      </w:r>
      <w:proofErr w:type="spellEnd"/>
      <w:r w:rsidRPr="006E317E">
        <w:t xml:space="preserve"> samadel alustel on baasvõrgu ehitanud Eesti Andmesidevõrgu AS, kes omab võrke peamisel lõuna Eestis ja osutab teenisid ainult hulgiturul. </w:t>
      </w:r>
    </w:p>
    <w:p w14:paraId="491A46EB" w14:textId="3D40D63D" w:rsidR="0019768D" w:rsidRPr="006E317E" w:rsidRDefault="0019768D" w:rsidP="00AA241E">
      <w:pPr>
        <w:jc w:val="both"/>
      </w:pPr>
      <w:r w:rsidRPr="006E317E">
        <w:t xml:space="preserve">Telia kaablikanalisatsiooni või postide võrk on Eestis suuruselt teine, Teliale kuulub kõige suurema ulatusega ja läbivalt ühendatud (väheste katkestustega) sidekaablitaristu juurdepääsuvõrgus (peamiselt linnade ja asulate sisene sidevõrk), kokku </w:t>
      </w:r>
      <w:r w:rsidR="00A91584">
        <w:t xml:space="preserve">…* </w:t>
      </w:r>
      <w:r w:rsidRPr="006E317E">
        <w:t xml:space="preserve">trassi kilomeetrit. Selle kaudu on võimalik paigaldada kaablit ca </w:t>
      </w:r>
      <w:r w:rsidR="00A91584">
        <w:t xml:space="preserve">…* </w:t>
      </w:r>
      <w:r w:rsidRPr="006E317E">
        <w:t xml:space="preserve">elu- või mitteelukondliku (äri) hoone kinnistu lähistele (hoone sisene ja hoonet ümbritsev kinnistu sidekaablitaristu kuulub üldjuhul kinnistu omanikule), mis loob võimaluse ühendada sidekaabliga ca </w:t>
      </w:r>
      <w:r w:rsidR="00A91584">
        <w:t>…*</w:t>
      </w:r>
      <w:r w:rsidRPr="006E317E">
        <w:t xml:space="preserve"> eluruumi või mitteeluruumi (äriruumi), kui selles on piisavalt vaba mahtu ja ka kinnistu omanik on huvitatud oma sidekaablitaristule juurdepääsu pakkumast. Telia sidekaablitaristu paikneb kõigis 48-s internetiühenduse jaeturu konkurentsi analüüsis piiritletud geograafilises üksuses. Sellest tulenevalt kontrollib Telia endiselt kaablikanalite osas olulist infrastruktuuri.</w:t>
      </w:r>
    </w:p>
    <w:p w14:paraId="101F7B78" w14:textId="367FCDE8" w:rsidR="0019768D" w:rsidRPr="006E317E" w:rsidRDefault="0019768D" w:rsidP="00AA241E">
      <w:pPr>
        <w:jc w:val="both"/>
      </w:pPr>
      <w:r w:rsidRPr="006E317E">
        <w:t xml:space="preserve">Kuigi endiselt on piisavalt palju hooneid, milleni ei ole kaabelkanalisatsiooni ehitatud, viitavad ülaltoodud aadresside arvu näitajad ja hooned, milleni kaabelkanalisatsiooni on ehitatud, et Eesti linnades on piisavalt suur kaabelkanalisatsiooni infrastruktuur. Kui riigis on laialdane kaablikanalisatsiooni, siis tähendab see, et operaator saab valguskaabel juurdepääsuvõrke kasutada palju madalamate kuludega, kiiremini ja vähem keskkonda kahjustades, võrreldes olukorraga, kui </w:t>
      </w:r>
      <w:r w:rsidRPr="006E317E">
        <w:lastRenderedPageBreak/>
        <w:t>ainus võimalus on kaevata valguskaabel otse maasse</w:t>
      </w:r>
      <w:r w:rsidRPr="005D266E">
        <w:rPr>
          <w:vertAlign w:val="superscript"/>
        </w:rPr>
        <w:footnoteReference w:id="81"/>
      </w:r>
      <w:r w:rsidRPr="006E317E">
        <w:t xml:space="preserve">. </w:t>
      </w:r>
      <w:r w:rsidR="00A73A86">
        <w:t>TTJA</w:t>
      </w:r>
      <w:r w:rsidRPr="006E317E">
        <w:t xml:space="preserve"> järeldab, et kaablikanalite olemasolu mängib elektroonilise side arendamisel väga olulist rolli ning selle kuulumine (antud juhul Telial) on märkimisväärne konkurentsieelis.</w:t>
      </w:r>
    </w:p>
    <w:p w14:paraId="22D052C2" w14:textId="538C9A13" w:rsidR="0019768D" w:rsidRPr="006E317E" w:rsidRDefault="0019768D" w:rsidP="00AA241E">
      <w:pPr>
        <w:jc w:val="both"/>
      </w:pPr>
      <w:bookmarkStart w:id="654" w:name="_Toc164846274"/>
      <w:r w:rsidRPr="006E317E">
        <w:t xml:space="preserve">Telia omab postide infrastruktuuri, mille maht on aja jooksul vähenenud. Postide infrastruktuuri kasutatakse endiselt kõigis Eesti piirkondades. Postide infrastruktuuri kasutatakse peamiselt eramu piirkondades linnades ja asula piirkondades maa piirkondades.  Telia teostab järk-järgult vaskpaar </w:t>
      </w:r>
      <w:r w:rsidR="0007135D">
        <w:t>kliendiliin</w:t>
      </w:r>
      <w:r w:rsidRPr="006E317E">
        <w:t xml:space="preserve">ide asendamist </w:t>
      </w:r>
      <w:r w:rsidR="000214D5">
        <w:t>valgus</w:t>
      </w:r>
      <w:r w:rsidRPr="006E317E">
        <w:t xml:space="preserve">kaablitega, kus see on majanduslikult põhjendatud. Üle minek </w:t>
      </w:r>
      <w:proofErr w:type="spellStart"/>
      <w:r w:rsidR="00BD5C2A">
        <w:t>v</w:t>
      </w:r>
      <w:r w:rsidR="006F450E" w:rsidRPr="00AD2A3F">
        <w:rPr>
          <w:i/>
          <w:iCs/>
        </w:rPr>
        <w:t>ectoring</w:t>
      </w:r>
      <w:proofErr w:type="spellEnd"/>
      <w:r w:rsidRPr="006E317E">
        <w:t xml:space="preserve"> tehnoloogiale on oluliselt vähendanud vaskpaar kliendiliinide pikkust, mis keskmiselt kliendiliini kohta Telia võrgus oli </w:t>
      </w:r>
      <w:r w:rsidR="00A91584">
        <w:t>…*</w:t>
      </w:r>
      <w:r w:rsidRPr="006E317E">
        <w:t xml:space="preserve">km, siis </w:t>
      </w:r>
      <w:proofErr w:type="spellStart"/>
      <w:r w:rsidR="00BD5C2A">
        <w:t>v</w:t>
      </w:r>
      <w:r w:rsidR="006F450E" w:rsidRPr="00AD2A3F">
        <w:rPr>
          <w:i/>
          <w:iCs/>
        </w:rPr>
        <w:t>ectoring</w:t>
      </w:r>
      <w:proofErr w:type="spellEnd"/>
      <w:r w:rsidRPr="006E317E">
        <w:t xml:space="preserve"> </w:t>
      </w:r>
      <w:r w:rsidR="0007135D">
        <w:t>kliendiliin</w:t>
      </w:r>
      <w:r w:rsidRPr="006E317E">
        <w:t xml:space="preserve">ide puhul on vaskpaar </w:t>
      </w:r>
      <w:r w:rsidR="0007135D">
        <w:t>kliendiliin</w:t>
      </w:r>
      <w:r w:rsidRPr="006E317E">
        <w:t xml:space="preserve">i pikkus on vähem kui </w:t>
      </w:r>
      <w:r w:rsidR="00A91584">
        <w:t>…*</w:t>
      </w:r>
      <w:r w:rsidRPr="006E317E">
        <w:t>m. Seega on raske anda hinnangu täpse vaskpaar juurdepääsu võrgu mahu kohta Telia juurdepääsu võrgus</w:t>
      </w:r>
    </w:p>
    <w:bookmarkEnd w:id="654"/>
    <w:p w14:paraId="2D039DBE" w14:textId="5D99A5C8" w:rsidR="00DC3EEF" w:rsidRDefault="0019768D" w:rsidP="00AA241E">
      <w:pPr>
        <w:jc w:val="both"/>
      </w:pPr>
      <w:r w:rsidRPr="006E317E">
        <w:t xml:space="preserve">Kuigi Telia demonteerib järk-järgult kasutamata vaskpaarkaableid, demonteerides kaabelkanalisatsioonis olevad vaskpaarkaablid, mis ei ole enam teenuste osutamiseks vajalikud, kontrollib Telia endiselt olulist vasele juurdepääsu infrastruktuuri. Vaata Telia ja teiste turul tegutsevate ettevõtjate </w:t>
      </w:r>
      <w:r w:rsidR="002D69F7">
        <w:t>vaskpaar</w:t>
      </w:r>
      <w:r w:rsidR="00A73A86">
        <w:t xml:space="preserve">- ja </w:t>
      </w:r>
      <w:proofErr w:type="spellStart"/>
      <w:r w:rsidR="00A73A86">
        <w:t>docsis</w:t>
      </w:r>
      <w:proofErr w:type="spellEnd"/>
      <w:r w:rsidRPr="006E317E">
        <w:t xml:space="preserve"> võrkude katvust tabelis </w:t>
      </w:r>
      <w:r w:rsidR="00A73A86">
        <w:t>2</w:t>
      </w:r>
      <w:r w:rsidR="00346D5D">
        <w:t>2</w:t>
      </w:r>
      <w:r w:rsidR="00A73A86">
        <w:t>.</w:t>
      </w:r>
    </w:p>
    <w:p w14:paraId="7F0CEF64" w14:textId="77777777" w:rsidR="00DC3EEF" w:rsidRDefault="00DC3EEF" w:rsidP="00AA241E">
      <w:pPr>
        <w:jc w:val="both"/>
      </w:pPr>
      <w:r>
        <w:br w:type="page"/>
      </w:r>
    </w:p>
    <w:tbl>
      <w:tblPr>
        <w:tblStyle w:val="Kontuurtabel1"/>
        <w:tblW w:w="9778" w:type="dxa"/>
        <w:tblLook w:val="0480" w:firstRow="0" w:lastRow="0" w:firstColumn="1" w:lastColumn="0" w:noHBand="0" w:noVBand="1"/>
      </w:tblPr>
      <w:tblGrid>
        <w:gridCol w:w="545"/>
        <w:gridCol w:w="3661"/>
        <w:gridCol w:w="2907"/>
        <w:gridCol w:w="1420"/>
        <w:gridCol w:w="1245"/>
      </w:tblGrid>
      <w:tr w:rsidR="00A9607C" w:rsidRPr="00DC3EEF" w14:paraId="5C6F32BB" w14:textId="77777777" w:rsidTr="00A9607C">
        <w:trPr>
          <w:cantSplit/>
          <w:trHeight w:val="280"/>
        </w:trPr>
        <w:tc>
          <w:tcPr>
            <w:tcW w:w="545" w:type="dxa"/>
            <w:shd w:val="clear" w:color="auto" w:fill="92D050"/>
            <w:noWrap/>
            <w:hideMark/>
          </w:tcPr>
          <w:p w14:paraId="2FCCC5AF" w14:textId="77777777" w:rsidR="0019768D" w:rsidRPr="00A9607C" w:rsidRDefault="0019768D" w:rsidP="00AA241E">
            <w:pPr>
              <w:contextualSpacing/>
              <w:jc w:val="both"/>
              <w:rPr>
                <w:b/>
                <w:bCs/>
                <w:sz w:val="20"/>
                <w:szCs w:val="20"/>
              </w:rPr>
            </w:pPr>
            <w:r w:rsidRPr="00A9607C">
              <w:rPr>
                <w:b/>
                <w:bCs/>
                <w:sz w:val="20"/>
                <w:szCs w:val="20"/>
              </w:rPr>
              <w:lastRenderedPageBreak/>
              <w:t> </w:t>
            </w:r>
          </w:p>
        </w:tc>
        <w:tc>
          <w:tcPr>
            <w:tcW w:w="3661" w:type="dxa"/>
            <w:shd w:val="clear" w:color="auto" w:fill="92D050"/>
            <w:noWrap/>
            <w:hideMark/>
          </w:tcPr>
          <w:p w14:paraId="5DC8998C" w14:textId="5A60B50A" w:rsidR="0019768D" w:rsidRPr="00A9607C" w:rsidRDefault="0086317F" w:rsidP="00AA241E">
            <w:pPr>
              <w:contextualSpacing/>
              <w:jc w:val="both"/>
              <w:rPr>
                <w:b/>
                <w:bCs/>
                <w:sz w:val="20"/>
                <w:szCs w:val="20"/>
              </w:rPr>
            </w:pPr>
            <w:r>
              <w:rPr>
                <w:b/>
                <w:bCs/>
                <w:sz w:val="20"/>
                <w:szCs w:val="20"/>
              </w:rPr>
              <w:t>Maakond</w:t>
            </w:r>
          </w:p>
        </w:tc>
        <w:tc>
          <w:tcPr>
            <w:tcW w:w="2907" w:type="dxa"/>
            <w:shd w:val="clear" w:color="auto" w:fill="92D050"/>
            <w:hideMark/>
          </w:tcPr>
          <w:p w14:paraId="73B77AEE" w14:textId="77777777" w:rsidR="0019768D" w:rsidRPr="00A9607C" w:rsidRDefault="0019768D" w:rsidP="00403A74">
            <w:pPr>
              <w:contextualSpacing/>
              <w:jc w:val="center"/>
              <w:rPr>
                <w:b/>
                <w:bCs/>
                <w:sz w:val="20"/>
                <w:szCs w:val="20"/>
              </w:rPr>
            </w:pPr>
            <w:r w:rsidRPr="00A9607C">
              <w:rPr>
                <w:b/>
                <w:bCs/>
                <w:sz w:val="20"/>
                <w:szCs w:val="20"/>
              </w:rPr>
              <w:t>Elu- ja äriruume kokku</w:t>
            </w:r>
          </w:p>
        </w:tc>
        <w:tc>
          <w:tcPr>
            <w:tcW w:w="1420" w:type="dxa"/>
            <w:shd w:val="clear" w:color="auto" w:fill="92D050"/>
            <w:hideMark/>
          </w:tcPr>
          <w:p w14:paraId="60F3EBF4" w14:textId="77777777" w:rsidR="0019768D" w:rsidRPr="00A9607C" w:rsidRDefault="0019768D" w:rsidP="00403A74">
            <w:pPr>
              <w:contextualSpacing/>
              <w:jc w:val="center"/>
              <w:rPr>
                <w:b/>
                <w:bCs/>
                <w:sz w:val="20"/>
                <w:szCs w:val="20"/>
              </w:rPr>
            </w:pPr>
            <w:r w:rsidRPr="00A9607C">
              <w:rPr>
                <w:b/>
                <w:bCs/>
                <w:sz w:val="20"/>
                <w:szCs w:val="20"/>
              </w:rPr>
              <w:t>Telia</w:t>
            </w:r>
          </w:p>
        </w:tc>
        <w:tc>
          <w:tcPr>
            <w:tcW w:w="1245" w:type="dxa"/>
            <w:shd w:val="clear" w:color="auto" w:fill="92D050"/>
            <w:hideMark/>
          </w:tcPr>
          <w:p w14:paraId="08AFD446" w14:textId="77777777" w:rsidR="0019768D" w:rsidRPr="00A9607C" w:rsidRDefault="0019768D" w:rsidP="00403A74">
            <w:pPr>
              <w:contextualSpacing/>
              <w:jc w:val="center"/>
              <w:rPr>
                <w:b/>
                <w:bCs/>
                <w:sz w:val="20"/>
                <w:szCs w:val="20"/>
              </w:rPr>
            </w:pPr>
            <w:r w:rsidRPr="00A9607C">
              <w:rPr>
                <w:b/>
                <w:bCs/>
                <w:sz w:val="20"/>
                <w:szCs w:val="20"/>
              </w:rPr>
              <w:t>Teised</w:t>
            </w:r>
          </w:p>
        </w:tc>
      </w:tr>
      <w:tr w:rsidR="00A91584" w:rsidRPr="00DC3EEF" w14:paraId="78D9EE6B" w14:textId="77777777" w:rsidTr="00DC3EEF">
        <w:trPr>
          <w:cantSplit/>
          <w:trHeight w:val="145"/>
        </w:trPr>
        <w:tc>
          <w:tcPr>
            <w:tcW w:w="545" w:type="dxa"/>
            <w:noWrap/>
            <w:hideMark/>
          </w:tcPr>
          <w:p w14:paraId="30FA1DB4" w14:textId="77777777" w:rsidR="00A91584" w:rsidRPr="00DC3EEF" w:rsidRDefault="00A91584" w:rsidP="00A91584">
            <w:pPr>
              <w:contextualSpacing/>
              <w:jc w:val="both"/>
              <w:rPr>
                <w:sz w:val="20"/>
                <w:szCs w:val="20"/>
              </w:rPr>
            </w:pPr>
            <w:r w:rsidRPr="00DC3EEF">
              <w:rPr>
                <w:sz w:val="20"/>
                <w:szCs w:val="20"/>
              </w:rPr>
              <w:t> </w:t>
            </w:r>
          </w:p>
        </w:tc>
        <w:tc>
          <w:tcPr>
            <w:tcW w:w="3661" w:type="dxa"/>
            <w:noWrap/>
            <w:hideMark/>
          </w:tcPr>
          <w:p w14:paraId="06526034" w14:textId="77777777" w:rsidR="00A91584" w:rsidRPr="00DC3EEF" w:rsidRDefault="00A91584" w:rsidP="00A91584">
            <w:pPr>
              <w:contextualSpacing/>
              <w:jc w:val="both"/>
              <w:rPr>
                <w:sz w:val="20"/>
                <w:szCs w:val="20"/>
              </w:rPr>
            </w:pPr>
            <w:r w:rsidRPr="00DC3EEF">
              <w:rPr>
                <w:sz w:val="20"/>
                <w:szCs w:val="20"/>
              </w:rPr>
              <w:t>KOKKU</w:t>
            </w:r>
          </w:p>
        </w:tc>
        <w:tc>
          <w:tcPr>
            <w:tcW w:w="2907" w:type="dxa"/>
            <w:noWrap/>
            <w:hideMark/>
          </w:tcPr>
          <w:p w14:paraId="21416E41" w14:textId="77777777" w:rsidR="00A91584" w:rsidRPr="00DC3EEF" w:rsidRDefault="00A91584" w:rsidP="00A91584">
            <w:pPr>
              <w:contextualSpacing/>
              <w:jc w:val="center"/>
              <w:rPr>
                <w:sz w:val="20"/>
                <w:szCs w:val="20"/>
              </w:rPr>
            </w:pPr>
            <w:r w:rsidRPr="00DC3EEF">
              <w:rPr>
                <w:sz w:val="20"/>
                <w:szCs w:val="20"/>
              </w:rPr>
              <w:t>852 069</w:t>
            </w:r>
          </w:p>
        </w:tc>
        <w:tc>
          <w:tcPr>
            <w:tcW w:w="1420" w:type="dxa"/>
            <w:noWrap/>
            <w:hideMark/>
          </w:tcPr>
          <w:p w14:paraId="662F7267" w14:textId="0A46D965"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4544BB80" w14:textId="65D4CBA4" w:rsidR="00A91584" w:rsidRPr="007F7A07" w:rsidRDefault="00A91584" w:rsidP="00A91584">
            <w:pPr>
              <w:contextualSpacing/>
              <w:jc w:val="center"/>
              <w:rPr>
                <w:sz w:val="20"/>
                <w:szCs w:val="20"/>
              </w:rPr>
            </w:pPr>
            <w:r w:rsidRPr="00CF30AC">
              <w:rPr>
                <w:sz w:val="20"/>
                <w:szCs w:val="20"/>
              </w:rPr>
              <w:t>…*%</w:t>
            </w:r>
          </w:p>
        </w:tc>
      </w:tr>
      <w:tr w:rsidR="00A91584" w:rsidRPr="00DC3EEF" w14:paraId="364164BB" w14:textId="77777777" w:rsidTr="00DC3EEF">
        <w:trPr>
          <w:cantSplit/>
          <w:trHeight w:val="145"/>
        </w:trPr>
        <w:tc>
          <w:tcPr>
            <w:tcW w:w="545" w:type="dxa"/>
            <w:noWrap/>
            <w:hideMark/>
          </w:tcPr>
          <w:p w14:paraId="5B9C85AA" w14:textId="77777777" w:rsidR="00A91584" w:rsidRPr="00DC3EEF" w:rsidRDefault="00A91584" w:rsidP="00A91584">
            <w:pPr>
              <w:contextualSpacing/>
              <w:jc w:val="both"/>
              <w:rPr>
                <w:sz w:val="20"/>
                <w:szCs w:val="20"/>
              </w:rPr>
            </w:pPr>
            <w:r w:rsidRPr="00DC3EEF">
              <w:rPr>
                <w:sz w:val="20"/>
                <w:szCs w:val="20"/>
              </w:rPr>
              <w:t>1</w:t>
            </w:r>
          </w:p>
        </w:tc>
        <w:tc>
          <w:tcPr>
            <w:tcW w:w="3661" w:type="dxa"/>
            <w:noWrap/>
            <w:hideMark/>
          </w:tcPr>
          <w:p w14:paraId="1EC0C245" w14:textId="77777777" w:rsidR="00A91584" w:rsidRPr="00DC3EEF" w:rsidRDefault="00A91584" w:rsidP="00A91584">
            <w:pPr>
              <w:contextualSpacing/>
              <w:jc w:val="both"/>
              <w:rPr>
                <w:sz w:val="20"/>
                <w:szCs w:val="20"/>
              </w:rPr>
            </w:pPr>
            <w:r w:rsidRPr="00DC3EEF">
              <w:rPr>
                <w:sz w:val="20"/>
                <w:szCs w:val="20"/>
              </w:rPr>
              <w:t>Harju maakond v.a linnad</w:t>
            </w:r>
          </w:p>
        </w:tc>
        <w:tc>
          <w:tcPr>
            <w:tcW w:w="2907" w:type="dxa"/>
            <w:noWrap/>
            <w:hideMark/>
          </w:tcPr>
          <w:p w14:paraId="63E9A00A" w14:textId="77777777" w:rsidR="00A91584" w:rsidRPr="00DC3EEF" w:rsidRDefault="00A91584" w:rsidP="00A91584">
            <w:pPr>
              <w:contextualSpacing/>
              <w:jc w:val="center"/>
              <w:rPr>
                <w:sz w:val="20"/>
                <w:szCs w:val="20"/>
              </w:rPr>
            </w:pPr>
            <w:r w:rsidRPr="00DC3EEF">
              <w:rPr>
                <w:sz w:val="20"/>
                <w:szCs w:val="20"/>
              </w:rPr>
              <w:t>91 127</w:t>
            </w:r>
          </w:p>
        </w:tc>
        <w:tc>
          <w:tcPr>
            <w:tcW w:w="1420" w:type="dxa"/>
            <w:noWrap/>
            <w:hideMark/>
          </w:tcPr>
          <w:p w14:paraId="14AD8AB5" w14:textId="5B9E6FBE"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60AF0AE2" w14:textId="096E2FB1" w:rsidR="00A91584" w:rsidRPr="007F7A07" w:rsidRDefault="00A91584" w:rsidP="00A91584">
            <w:pPr>
              <w:contextualSpacing/>
              <w:jc w:val="center"/>
              <w:rPr>
                <w:sz w:val="20"/>
                <w:szCs w:val="20"/>
              </w:rPr>
            </w:pPr>
            <w:r w:rsidRPr="00CF30AC">
              <w:rPr>
                <w:sz w:val="20"/>
                <w:szCs w:val="20"/>
              </w:rPr>
              <w:t>…*%</w:t>
            </w:r>
          </w:p>
        </w:tc>
      </w:tr>
      <w:tr w:rsidR="00A91584" w:rsidRPr="00DC3EEF" w14:paraId="1329B707" w14:textId="77777777" w:rsidTr="00DC3EEF">
        <w:trPr>
          <w:cantSplit/>
          <w:trHeight w:val="145"/>
        </w:trPr>
        <w:tc>
          <w:tcPr>
            <w:tcW w:w="545" w:type="dxa"/>
            <w:noWrap/>
            <w:hideMark/>
          </w:tcPr>
          <w:p w14:paraId="05C2319B" w14:textId="77777777" w:rsidR="00A91584" w:rsidRPr="00DC3EEF" w:rsidRDefault="00A91584" w:rsidP="00A91584">
            <w:pPr>
              <w:contextualSpacing/>
              <w:jc w:val="both"/>
              <w:rPr>
                <w:sz w:val="20"/>
                <w:szCs w:val="20"/>
              </w:rPr>
            </w:pPr>
            <w:r w:rsidRPr="00DC3EEF">
              <w:rPr>
                <w:sz w:val="20"/>
                <w:szCs w:val="20"/>
              </w:rPr>
              <w:t>2</w:t>
            </w:r>
          </w:p>
        </w:tc>
        <w:tc>
          <w:tcPr>
            <w:tcW w:w="3661" w:type="dxa"/>
            <w:noWrap/>
            <w:hideMark/>
          </w:tcPr>
          <w:p w14:paraId="05F5A85B" w14:textId="77777777" w:rsidR="00A91584" w:rsidRPr="00DC3EEF" w:rsidRDefault="00A91584" w:rsidP="00A91584">
            <w:pPr>
              <w:contextualSpacing/>
              <w:jc w:val="both"/>
              <w:rPr>
                <w:sz w:val="20"/>
                <w:szCs w:val="20"/>
              </w:rPr>
            </w:pPr>
            <w:r w:rsidRPr="00DC3EEF">
              <w:rPr>
                <w:sz w:val="20"/>
                <w:szCs w:val="20"/>
              </w:rPr>
              <w:t xml:space="preserve">Keila linn </w:t>
            </w:r>
          </w:p>
        </w:tc>
        <w:tc>
          <w:tcPr>
            <w:tcW w:w="2907" w:type="dxa"/>
            <w:noWrap/>
            <w:hideMark/>
          </w:tcPr>
          <w:p w14:paraId="3C486282" w14:textId="77777777" w:rsidR="00A91584" w:rsidRPr="00DC3EEF" w:rsidRDefault="00A91584" w:rsidP="00A91584">
            <w:pPr>
              <w:contextualSpacing/>
              <w:jc w:val="center"/>
              <w:rPr>
                <w:sz w:val="20"/>
                <w:szCs w:val="20"/>
              </w:rPr>
            </w:pPr>
            <w:r w:rsidRPr="00DC3EEF">
              <w:rPr>
                <w:sz w:val="20"/>
                <w:szCs w:val="20"/>
              </w:rPr>
              <w:t>5 387</w:t>
            </w:r>
          </w:p>
        </w:tc>
        <w:tc>
          <w:tcPr>
            <w:tcW w:w="1420" w:type="dxa"/>
            <w:noWrap/>
            <w:hideMark/>
          </w:tcPr>
          <w:p w14:paraId="3FF7D896" w14:textId="54A0965A"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223CD7A6" w14:textId="1DC84C70" w:rsidR="00A91584" w:rsidRPr="007F7A07" w:rsidRDefault="00A91584" w:rsidP="00A91584">
            <w:pPr>
              <w:contextualSpacing/>
              <w:jc w:val="center"/>
              <w:rPr>
                <w:sz w:val="20"/>
                <w:szCs w:val="20"/>
              </w:rPr>
            </w:pPr>
            <w:r w:rsidRPr="00CF30AC">
              <w:rPr>
                <w:sz w:val="20"/>
                <w:szCs w:val="20"/>
              </w:rPr>
              <w:t>…*%</w:t>
            </w:r>
          </w:p>
        </w:tc>
      </w:tr>
      <w:tr w:rsidR="00A91584" w:rsidRPr="00DC3EEF" w14:paraId="79BA2AC4" w14:textId="77777777" w:rsidTr="00DC3EEF">
        <w:trPr>
          <w:cantSplit/>
          <w:trHeight w:val="145"/>
        </w:trPr>
        <w:tc>
          <w:tcPr>
            <w:tcW w:w="545" w:type="dxa"/>
            <w:noWrap/>
            <w:hideMark/>
          </w:tcPr>
          <w:p w14:paraId="425F321A" w14:textId="77777777" w:rsidR="00A91584" w:rsidRPr="00DC3EEF" w:rsidRDefault="00A91584" w:rsidP="00A91584">
            <w:pPr>
              <w:contextualSpacing/>
              <w:jc w:val="both"/>
              <w:rPr>
                <w:sz w:val="20"/>
                <w:szCs w:val="20"/>
              </w:rPr>
            </w:pPr>
            <w:r w:rsidRPr="00DC3EEF">
              <w:rPr>
                <w:sz w:val="20"/>
                <w:szCs w:val="20"/>
              </w:rPr>
              <w:t>3</w:t>
            </w:r>
          </w:p>
        </w:tc>
        <w:tc>
          <w:tcPr>
            <w:tcW w:w="3661" w:type="dxa"/>
            <w:noWrap/>
            <w:hideMark/>
          </w:tcPr>
          <w:p w14:paraId="5911EFE0" w14:textId="77777777" w:rsidR="00A91584" w:rsidRPr="00DC3EEF" w:rsidRDefault="00A91584" w:rsidP="00A91584">
            <w:pPr>
              <w:contextualSpacing/>
              <w:jc w:val="both"/>
              <w:rPr>
                <w:sz w:val="20"/>
                <w:szCs w:val="20"/>
              </w:rPr>
            </w:pPr>
            <w:r w:rsidRPr="00DC3EEF">
              <w:rPr>
                <w:sz w:val="20"/>
                <w:szCs w:val="20"/>
              </w:rPr>
              <w:t xml:space="preserve">Maardu linn </w:t>
            </w:r>
          </w:p>
        </w:tc>
        <w:tc>
          <w:tcPr>
            <w:tcW w:w="2907" w:type="dxa"/>
            <w:noWrap/>
            <w:hideMark/>
          </w:tcPr>
          <w:p w14:paraId="202C5BD0" w14:textId="77777777" w:rsidR="00A91584" w:rsidRPr="00DC3EEF" w:rsidRDefault="00A91584" w:rsidP="00A91584">
            <w:pPr>
              <w:contextualSpacing/>
              <w:jc w:val="center"/>
              <w:rPr>
                <w:sz w:val="20"/>
                <w:szCs w:val="20"/>
              </w:rPr>
            </w:pPr>
            <w:r w:rsidRPr="00DC3EEF">
              <w:rPr>
                <w:sz w:val="20"/>
                <w:szCs w:val="20"/>
              </w:rPr>
              <w:t>10 475</w:t>
            </w:r>
          </w:p>
        </w:tc>
        <w:tc>
          <w:tcPr>
            <w:tcW w:w="1420" w:type="dxa"/>
            <w:noWrap/>
            <w:hideMark/>
          </w:tcPr>
          <w:p w14:paraId="60CB0291" w14:textId="4852D18B"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672E63DE" w14:textId="4FFA821B" w:rsidR="00A91584" w:rsidRPr="007F7A07" w:rsidRDefault="00A91584" w:rsidP="00A91584">
            <w:pPr>
              <w:contextualSpacing/>
              <w:jc w:val="center"/>
              <w:rPr>
                <w:sz w:val="20"/>
                <w:szCs w:val="20"/>
              </w:rPr>
            </w:pPr>
            <w:r w:rsidRPr="00CF30AC">
              <w:rPr>
                <w:sz w:val="20"/>
                <w:szCs w:val="20"/>
              </w:rPr>
              <w:t>…*%</w:t>
            </w:r>
          </w:p>
        </w:tc>
      </w:tr>
      <w:tr w:rsidR="00A91584" w:rsidRPr="00DC3EEF" w14:paraId="21F8DC43" w14:textId="77777777" w:rsidTr="00DC3EEF">
        <w:trPr>
          <w:cantSplit/>
          <w:trHeight w:val="145"/>
        </w:trPr>
        <w:tc>
          <w:tcPr>
            <w:tcW w:w="545" w:type="dxa"/>
            <w:noWrap/>
            <w:hideMark/>
          </w:tcPr>
          <w:p w14:paraId="7607895A" w14:textId="77777777" w:rsidR="00A91584" w:rsidRPr="00DC3EEF" w:rsidRDefault="00A91584" w:rsidP="00A91584">
            <w:pPr>
              <w:contextualSpacing/>
              <w:jc w:val="both"/>
              <w:rPr>
                <w:sz w:val="20"/>
                <w:szCs w:val="20"/>
              </w:rPr>
            </w:pPr>
            <w:r w:rsidRPr="00DC3EEF">
              <w:rPr>
                <w:sz w:val="20"/>
                <w:szCs w:val="20"/>
              </w:rPr>
              <w:t>4</w:t>
            </w:r>
          </w:p>
        </w:tc>
        <w:tc>
          <w:tcPr>
            <w:tcW w:w="3661" w:type="dxa"/>
            <w:noWrap/>
            <w:hideMark/>
          </w:tcPr>
          <w:p w14:paraId="1A2D2E1F" w14:textId="77777777" w:rsidR="00A91584" w:rsidRPr="00DC3EEF" w:rsidRDefault="00A91584" w:rsidP="00A91584">
            <w:pPr>
              <w:contextualSpacing/>
              <w:jc w:val="both"/>
              <w:rPr>
                <w:sz w:val="20"/>
                <w:szCs w:val="20"/>
              </w:rPr>
            </w:pPr>
            <w:r w:rsidRPr="00DC3EEF">
              <w:rPr>
                <w:sz w:val="20"/>
                <w:szCs w:val="20"/>
              </w:rPr>
              <w:t>Saue linn</w:t>
            </w:r>
          </w:p>
        </w:tc>
        <w:tc>
          <w:tcPr>
            <w:tcW w:w="2907" w:type="dxa"/>
            <w:noWrap/>
            <w:hideMark/>
          </w:tcPr>
          <w:p w14:paraId="524F0871" w14:textId="77777777" w:rsidR="00A91584" w:rsidRPr="00DC3EEF" w:rsidRDefault="00A91584" w:rsidP="00A91584">
            <w:pPr>
              <w:contextualSpacing/>
              <w:jc w:val="center"/>
              <w:rPr>
                <w:sz w:val="20"/>
                <w:szCs w:val="20"/>
              </w:rPr>
            </w:pPr>
            <w:r w:rsidRPr="00DC3EEF">
              <w:rPr>
                <w:sz w:val="20"/>
                <w:szCs w:val="20"/>
              </w:rPr>
              <w:t>2 746</w:t>
            </w:r>
          </w:p>
        </w:tc>
        <w:tc>
          <w:tcPr>
            <w:tcW w:w="1420" w:type="dxa"/>
            <w:noWrap/>
            <w:hideMark/>
          </w:tcPr>
          <w:p w14:paraId="3D03C532" w14:textId="53183CEE"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54B0E974" w14:textId="2CA0A41C" w:rsidR="00A91584" w:rsidRPr="007F7A07" w:rsidRDefault="00A91584" w:rsidP="00A91584">
            <w:pPr>
              <w:contextualSpacing/>
              <w:jc w:val="center"/>
              <w:rPr>
                <w:sz w:val="20"/>
                <w:szCs w:val="20"/>
              </w:rPr>
            </w:pPr>
            <w:r w:rsidRPr="00CF30AC">
              <w:rPr>
                <w:sz w:val="20"/>
                <w:szCs w:val="20"/>
              </w:rPr>
              <w:t>…*%</w:t>
            </w:r>
          </w:p>
        </w:tc>
      </w:tr>
      <w:tr w:rsidR="00A91584" w:rsidRPr="00DC3EEF" w14:paraId="5038A707" w14:textId="77777777" w:rsidTr="00DC3EEF">
        <w:trPr>
          <w:cantSplit/>
          <w:trHeight w:val="145"/>
        </w:trPr>
        <w:tc>
          <w:tcPr>
            <w:tcW w:w="545" w:type="dxa"/>
            <w:noWrap/>
            <w:hideMark/>
          </w:tcPr>
          <w:p w14:paraId="6326B700" w14:textId="77777777" w:rsidR="00A91584" w:rsidRPr="00DC3EEF" w:rsidRDefault="00A91584" w:rsidP="00A91584">
            <w:pPr>
              <w:contextualSpacing/>
              <w:jc w:val="both"/>
              <w:rPr>
                <w:sz w:val="20"/>
                <w:szCs w:val="20"/>
              </w:rPr>
            </w:pPr>
            <w:r w:rsidRPr="00DC3EEF">
              <w:rPr>
                <w:sz w:val="20"/>
                <w:szCs w:val="20"/>
              </w:rPr>
              <w:t>5</w:t>
            </w:r>
          </w:p>
        </w:tc>
        <w:tc>
          <w:tcPr>
            <w:tcW w:w="3661" w:type="dxa"/>
            <w:noWrap/>
            <w:hideMark/>
          </w:tcPr>
          <w:p w14:paraId="5F4771D6" w14:textId="77777777" w:rsidR="00A91584" w:rsidRPr="00DC3EEF" w:rsidRDefault="00A91584" w:rsidP="00A91584">
            <w:pPr>
              <w:contextualSpacing/>
              <w:jc w:val="both"/>
              <w:rPr>
                <w:sz w:val="20"/>
                <w:szCs w:val="20"/>
              </w:rPr>
            </w:pPr>
            <w:r w:rsidRPr="00DC3EEF">
              <w:rPr>
                <w:sz w:val="20"/>
                <w:szCs w:val="20"/>
              </w:rPr>
              <w:t>Tallinna Haabersti linnaosa</w:t>
            </w:r>
          </w:p>
        </w:tc>
        <w:tc>
          <w:tcPr>
            <w:tcW w:w="2907" w:type="dxa"/>
            <w:noWrap/>
            <w:hideMark/>
          </w:tcPr>
          <w:p w14:paraId="52E6FBBA" w14:textId="77777777" w:rsidR="00A91584" w:rsidRPr="00DC3EEF" w:rsidRDefault="00A91584" w:rsidP="00A91584">
            <w:pPr>
              <w:contextualSpacing/>
              <w:jc w:val="center"/>
              <w:rPr>
                <w:sz w:val="20"/>
                <w:szCs w:val="20"/>
              </w:rPr>
            </w:pPr>
            <w:r w:rsidRPr="00DC3EEF">
              <w:rPr>
                <w:sz w:val="20"/>
                <w:szCs w:val="20"/>
              </w:rPr>
              <w:t>22 644</w:t>
            </w:r>
          </w:p>
        </w:tc>
        <w:tc>
          <w:tcPr>
            <w:tcW w:w="1420" w:type="dxa"/>
            <w:noWrap/>
            <w:hideMark/>
          </w:tcPr>
          <w:p w14:paraId="0253F860" w14:textId="16B75F3B"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6A6C1A45" w14:textId="74AEE21E" w:rsidR="00A91584" w:rsidRPr="007F7A07" w:rsidRDefault="00A91584" w:rsidP="00A91584">
            <w:pPr>
              <w:contextualSpacing/>
              <w:jc w:val="center"/>
              <w:rPr>
                <w:sz w:val="20"/>
                <w:szCs w:val="20"/>
              </w:rPr>
            </w:pPr>
            <w:r w:rsidRPr="00CF30AC">
              <w:rPr>
                <w:sz w:val="20"/>
                <w:szCs w:val="20"/>
              </w:rPr>
              <w:t>…*%</w:t>
            </w:r>
          </w:p>
        </w:tc>
      </w:tr>
      <w:tr w:rsidR="00A91584" w:rsidRPr="00DC3EEF" w14:paraId="4C56F5AD" w14:textId="77777777" w:rsidTr="00DC3EEF">
        <w:trPr>
          <w:cantSplit/>
          <w:trHeight w:val="145"/>
        </w:trPr>
        <w:tc>
          <w:tcPr>
            <w:tcW w:w="545" w:type="dxa"/>
            <w:noWrap/>
            <w:hideMark/>
          </w:tcPr>
          <w:p w14:paraId="286C9FD8" w14:textId="77777777" w:rsidR="00A91584" w:rsidRPr="00DC3EEF" w:rsidRDefault="00A91584" w:rsidP="00A91584">
            <w:pPr>
              <w:contextualSpacing/>
              <w:jc w:val="both"/>
              <w:rPr>
                <w:sz w:val="20"/>
                <w:szCs w:val="20"/>
              </w:rPr>
            </w:pPr>
            <w:r w:rsidRPr="00DC3EEF">
              <w:rPr>
                <w:sz w:val="20"/>
                <w:szCs w:val="20"/>
              </w:rPr>
              <w:t>6</w:t>
            </w:r>
          </w:p>
        </w:tc>
        <w:tc>
          <w:tcPr>
            <w:tcW w:w="3661" w:type="dxa"/>
            <w:noWrap/>
            <w:hideMark/>
          </w:tcPr>
          <w:p w14:paraId="6A3CF550" w14:textId="77777777" w:rsidR="00A91584" w:rsidRPr="00DC3EEF" w:rsidRDefault="00A91584" w:rsidP="00A91584">
            <w:pPr>
              <w:contextualSpacing/>
              <w:jc w:val="both"/>
              <w:rPr>
                <w:sz w:val="20"/>
                <w:szCs w:val="20"/>
              </w:rPr>
            </w:pPr>
            <w:r w:rsidRPr="00DC3EEF">
              <w:rPr>
                <w:sz w:val="20"/>
                <w:szCs w:val="20"/>
              </w:rPr>
              <w:t xml:space="preserve">Tallinna Kesklinna linnaosa </w:t>
            </w:r>
          </w:p>
        </w:tc>
        <w:tc>
          <w:tcPr>
            <w:tcW w:w="2907" w:type="dxa"/>
            <w:noWrap/>
            <w:hideMark/>
          </w:tcPr>
          <w:p w14:paraId="3F9BE1B8" w14:textId="77777777" w:rsidR="00A91584" w:rsidRPr="00DC3EEF" w:rsidRDefault="00A91584" w:rsidP="00A91584">
            <w:pPr>
              <w:contextualSpacing/>
              <w:jc w:val="center"/>
              <w:rPr>
                <w:sz w:val="20"/>
                <w:szCs w:val="20"/>
              </w:rPr>
            </w:pPr>
            <w:r w:rsidRPr="00DC3EEF">
              <w:rPr>
                <w:sz w:val="20"/>
                <w:szCs w:val="20"/>
              </w:rPr>
              <w:t>44 615</w:t>
            </w:r>
          </w:p>
        </w:tc>
        <w:tc>
          <w:tcPr>
            <w:tcW w:w="1420" w:type="dxa"/>
            <w:noWrap/>
            <w:hideMark/>
          </w:tcPr>
          <w:p w14:paraId="5A2F19A6" w14:textId="407E0892"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5BF7CBEC" w14:textId="5DD495C7" w:rsidR="00A91584" w:rsidRPr="007F7A07" w:rsidRDefault="00A91584" w:rsidP="00A91584">
            <w:pPr>
              <w:contextualSpacing/>
              <w:jc w:val="center"/>
              <w:rPr>
                <w:sz w:val="20"/>
                <w:szCs w:val="20"/>
              </w:rPr>
            </w:pPr>
            <w:r w:rsidRPr="00CF30AC">
              <w:rPr>
                <w:sz w:val="20"/>
                <w:szCs w:val="20"/>
              </w:rPr>
              <w:t>…*%</w:t>
            </w:r>
          </w:p>
        </w:tc>
      </w:tr>
      <w:tr w:rsidR="00A91584" w:rsidRPr="00DC3EEF" w14:paraId="420E8ABF" w14:textId="77777777" w:rsidTr="00DC3EEF">
        <w:trPr>
          <w:cantSplit/>
          <w:trHeight w:val="145"/>
        </w:trPr>
        <w:tc>
          <w:tcPr>
            <w:tcW w:w="545" w:type="dxa"/>
            <w:noWrap/>
            <w:hideMark/>
          </w:tcPr>
          <w:p w14:paraId="3F1BB8A0" w14:textId="77777777" w:rsidR="00A91584" w:rsidRPr="00DC3EEF" w:rsidRDefault="00A91584" w:rsidP="00A91584">
            <w:pPr>
              <w:contextualSpacing/>
              <w:jc w:val="both"/>
              <w:rPr>
                <w:sz w:val="20"/>
                <w:szCs w:val="20"/>
              </w:rPr>
            </w:pPr>
            <w:r w:rsidRPr="00DC3EEF">
              <w:rPr>
                <w:sz w:val="20"/>
                <w:szCs w:val="20"/>
              </w:rPr>
              <w:t>7</w:t>
            </w:r>
          </w:p>
        </w:tc>
        <w:tc>
          <w:tcPr>
            <w:tcW w:w="3661" w:type="dxa"/>
            <w:noWrap/>
            <w:hideMark/>
          </w:tcPr>
          <w:p w14:paraId="2586B69B" w14:textId="77777777" w:rsidR="00A91584" w:rsidRPr="00DC3EEF" w:rsidRDefault="00A91584" w:rsidP="00A91584">
            <w:pPr>
              <w:contextualSpacing/>
              <w:jc w:val="both"/>
              <w:rPr>
                <w:sz w:val="20"/>
                <w:szCs w:val="20"/>
              </w:rPr>
            </w:pPr>
            <w:r w:rsidRPr="00DC3EEF">
              <w:rPr>
                <w:sz w:val="20"/>
                <w:szCs w:val="20"/>
              </w:rPr>
              <w:t xml:space="preserve">Tallinna Kristiine linnaosa </w:t>
            </w:r>
          </w:p>
        </w:tc>
        <w:tc>
          <w:tcPr>
            <w:tcW w:w="2907" w:type="dxa"/>
            <w:noWrap/>
            <w:hideMark/>
          </w:tcPr>
          <w:p w14:paraId="3C18220A" w14:textId="77777777" w:rsidR="00A91584" w:rsidRPr="00DC3EEF" w:rsidRDefault="00A91584" w:rsidP="00A91584">
            <w:pPr>
              <w:contextualSpacing/>
              <w:jc w:val="center"/>
              <w:rPr>
                <w:sz w:val="20"/>
                <w:szCs w:val="20"/>
              </w:rPr>
            </w:pPr>
            <w:r w:rsidRPr="00DC3EEF">
              <w:rPr>
                <w:sz w:val="20"/>
                <w:szCs w:val="20"/>
              </w:rPr>
              <w:t>20 325</w:t>
            </w:r>
          </w:p>
        </w:tc>
        <w:tc>
          <w:tcPr>
            <w:tcW w:w="1420" w:type="dxa"/>
            <w:noWrap/>
            <w:hideMark/>
          </w:tcPr>
          <w:p w14:paraId="04DEA949" w14:textId="443BEF4F"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6D110C37" w14:textId="1CD2ABAD" w:rsidR="00A91584" w:rsidRPr="007F7A07" w:rsidRDefault="00A91584" w:rsidP="00A91584">
            <w:pPr>
              <w:contextualSpacing/>
              <w:jc w:val="center"/>
              <w:rPr>
                <w:sz w:val="20"/>
                <w:szCs w:val="20"/>
              </w:rPr>
            </w:pPr>
            <w:r w:rsidRPr="00CF30AC">
              <w:rPr>
                <w:sz w:val="20"/>
                <w:szCs w:val="20"/>
              </w:rPr>
              <w:t>…*%</w:t>
            </w:r>
          </w:p>
        </w:tc>
      </w:tr>
      <w:tr w:rsidR="00A91584" w:rsidRPr="00DC3EEF" w14:paraId="48A4E9EC" w14:textId="77777777" w:rsidTr="00DC3EEF">
        <w:trPr>
          <w:cantSplit/>
          <w:trHeight w:val="145"/>
        </w:trPr>
        <w:tc>
          <w:tcPr>
            <w:tcW w:w="545" w:type="dxa"/>
            <w:noWrap/>
            <w:hideMark/>
          </w:tcPr>
          <w:p w14:paraId="42EDA976" w14:textId="77777777" w:rsidR="00A91584" w:rsidRPr="00DC3EEF" w:rsidRDefault="00A91584" w:rsidP="00A91584">
            <w:pPr>
              <w:contextualSpacing/>
              <w:jc w:val="both"/>
              <w:rPr>
                <w:sz w:val="20"/>
                <w:szCs w:val="20"/>
              </w:rPr>
            </w:pPr>
            <w:r w:rsidRPr="00DC3EEF">
              <w:rPr>
                <w:sz w:val="20"/>
                <w:szCs w:val="20"/>
              </w:rPr>
              <w:t>8</w:t>
            </w:r>
          </w:p>
        </w:tc>
        <w:tc>
          <w:tcPr>
            <w:tcW w:w="3661" w:type="dxa"/>
            <w:noWrap/>
            <w:hideMark/>
          </w:tcPr>
          <w:p w14:paraId="328AF92C" w14:textId="77777777" w:rsidR="00A91584" w:rsidRPr="00DC3EEF" w:rsidRDefault="00A91584" w:rsidP="00A91584">
            <w:pPr>
              <w:contextualSpacing/>
              <w:jc w:val="both"/>
              <w:rPr>
                <w:sz w:val="20"/>
                <w:szCs w:val="20"/>
              </w:rPr>
            </w:pPr>
            <w:r w:rsidRPr="00DC3EEF">
              <w:rPr>
                <w:sz w:val="20"/>
                <w:szCs w:val="20"/>
              </w:rPr>
              <w:t xml:space="preserve">Tallinna Lasnamäe linnaosa </w:t>
            </w:r>
          </w:p>
        </w:tc>
        <w:tc>
          <w:tcPr>
            <w:tcW w:w="2907" w:type="dxa"/>
            <w:noWrap/>
            <w:hideMark/>
          </w:tcPr>
          <w:p w14:paraId="1885D6A4" w14:textId="77777777" w:rsidR="00A91584" w:rsidRPr="00DC3EEF" w:rsidRDefault="00A91584" w:rsidP="00A91584">
            <w:pPr>
              <w:contextualSpacing/>
              <w:jc w:val="center"/>
              <w:rPr>
                <w:sz w:val="20"/>
                <w:szCs w:val="20"/>
              </w:rPr>
            </w:pPr>
            <w:r w:rsidRPr="00DC3EEF">
              <w:rPr>
                <w:sz w:val="20"/>
                <w:szCs w:val="20"/>
              </w:rPr>
              <w:t>57 005</w:t>
            </w:r>
          </w:p>
        </w:tc>
        <w:tc>
          <w:tcPr>
            <w:tcW w:w="1420" w:type="dxa"/>
            <w:noWrap/>
            <w:hideMark/>
          </w:tcPr>
          <w:p w14:paraId="61881A42" w14:textId="3FFD5F57"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3D643729" w14:textId="7299E40C" w:rsidR="00A91584" w:rsidRPr="007F7A07" w:rsidRDefault="00A91584" w:rsidP="00A91584">
            <w:pPr>
              <w:contextualSpacing/>
              <w:jc w:val="center"/>
              <w:rPr>
                <w:sz w:val="20"/>
                <w:szCs w:val="20"/>
              </w:rPr>
            </w:pPr>
            <w:r w:rsidRPr="00CF30AC">
              <w:rPr>
                <w:sz w:val="20"/>
                <w:szCs w:val="20"/>
              </w:rPr>
              <w:t>…*%</w:t>
            </w:r>
          </w:p>
        </w:tc>
      </w:tr>
      <w:tr w:rsidR="00A91584" w:rsidRPr="00DC3EEF" w14:paraId="72026B6B" w14:textId="77777777" w:rsidTr="00DC3EEF">
        <w:trPr>
          <w:cantSplit/>
          <w:trHeight w:val="145"/>
        </w:trPr>
        <w:tc>
          <w:tcPr>
            <w:tcW w:w="545" w:type="dxa"/>
            <w:noWrap/>
            <w:hideMark/>
          </w:tcPr>
          <w:p w14:paraId="79AEEE41" w14:textId="77777777" w:rsidR="00A91584" w:rsidRPr="00DC3EEF" w:rsidRDefault="00A91584" w:rsidP="00A91584">
            <w:pPr>
              <w:contextualSpacing/>
              <w:jc w:val="both"/>
              <w:rPr>
                <w:sz w:val="20"/>
                <w:szCs w:val="20"/>
              </w:rPr>
            </w:pPr>
            <w:r w:rsidRPr="00DC3EEF">
              <w:rPr>
                <w:sz w:val="20"/>
                <w:szCs w:val="20"/>
              </w:rPr>
              <w:t>9</w:t>
            </w:r>
          </w:p>
        </w:tc>
        <w:tc>
          <w:tcPr>
            <w:tcW w:w="3661" w:type="dxa"/>
            <w:noWrap/>
            <w:hideMark/>
          </w:tcPr>
          <w:p w14:paraId="46F7268E" w14:textId="77777777" w:rsidR="00A91584" w:rsidRPr="00DC3EEF" w:rsidRDefault="00A91584" w:rsidP="00A91584">
            <w:pPr>
              <w:contextualSpacing/>
              <w:jc w:val="both"/>
              <w:rPr>
                <w:sz w:val="20"/>
                <w:szCs w:val="20"/>
              </w:rPr>
            </w:pPr>
            <w:r w:rsidRPr="00DC3EEF">
              <w:rPr>
                <w:sz w:val="20"/>
                <w:szCs w:val="20"/>
              </w:rPr>
              <w:t xml:space="preserve">Tallinna Mustamäe linnaosa </w:t>
            </w:r>
          </w:p>
        </w:tc>
        <w:tc>
          <w:tcPr>
            <w:tcW w:w="2907" w:type="dxa"/>
            <w:noWrap/>
            <w:hideMark/>
          </w:tcPr>
          <w:p w14:paraId="128EE1A4" w14:textId="77777777" w:rsidR="00A91584" w:rsidRPr="00DC3EEF" w:rsidRDefault="00A91584" w:rsidP="00A91584">
            <w:pPr>
              <w:contextualSpacing/>
              <w:jc w:val="center"/>
              <w:rPr>
                <w:sz w:val="20"/>
                <w:szCs w:val="20"/>
              </w:rPr>
            </w:pPr>
            <w:r w:rsidRPr="00DC3EEF">
              <w:rPr>
                <w:sz w:val="20"/>
                <w:szCs w:val="20"/>
              </w:rPr>
              <w:t>37 035</w:t>
            </w:r>
          </w:p>
        </w:tc>
        <w:tc>
          <w:tcPr>
            <w:tcW w:w="1420" w:type="dxa"/>
            <w:noWrap/>
            <w:hideMark/>
          </w:tcPr>
          <w:p w14:paraId="0E731212" w14:textId="79BCEFE9"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6F88E692" w14:textId="522CB183" w:rsidR="00A91584" w:rsidRPr="007F7A07" w:rsidRDefault="00A91584" w:rsidP="00A91584">
            <w:pPr>
              <w:contextualSpacing/>
              <w:jc w:val="center"/>
              <w:rPr>
                <w:sz w:val="20"/>
                <w:szCs w:val="20"/>
              </w:rPr>
            </w:pPr>
            <w:r w:rsidRPr="00CF30AC">
              <w:rPr>
                <w:sz w:val="20"/>
                <w:szCs w:val="20"/>
              </w:rPr>
              <w:t>…*%</w:t>
            </w:r>
          </w:p>
        </w:tc>
      </w:tr>
      <w:tr w:rsidR="00A91584" w:rsidRPr="00DC3EEF" w14:paraId="7D26D4CA" w14:textId="77777777" w:rsidTr="00DC3EEF">
        <w:trPr>
          <w:cantSplit/>
          <w:trHeight w:val="145"/>
        </w:trPr>
        <w:tc>
          <w:tcPr>
            <w:tcW w:w="545" w:type="dxa"/>
            <w:noWrap/>
            <w:hideMark/>
          </w:tcPr>
          <w:p w14:paraId="61DFD5CA" w14:textId="77777777" w:rsidR="00A91584" w:rsidRPr="00DC3EEF" w:rsidRDefault="00A91584" w:rsidP="00A91584">
            <w:pPr>
              <w:contextualSpacing/>
              <w:jc w:val="both"/>
              <w:rPr>
                <w:sz w:val="20"/>
                <w:szCs w:val="20"/>
              </w:rPr>
            </w:pPr>
            <w:r w:rsidRPr="00DC3EEF">
              <w:rPr>
                <w:sz w:val="20"/>
                <w:szCs w:val="20"/>
              </w:rPr>
              <w:t>10</w:t>
            </w:r>
          </w:p>
        </w:tc>
        <w:tc>
          <w:tcPr>
            <w:tcW w:w="3661" w:type="dxa"/>
            <w:noWrap/>
            <w:hideMark/>
          </w:tcPr>
          <w:p w14:paraId="63199234" w14:textId="77777777" w:rsidR="00A91584" w:rsidRPr="00DC3EEF" w:rsidRDefault="00A91584" w:rsidP="00A91584">
            <w:pPr>
              <w:contextualSpacing/>
              <w:jc w:val="both"/>
              <w:rPr>
                <w:sz w:val="20"/>
                <w:szCs w:val="20"/>
              </w:rPr>
            </w:pPr>
            <w:r w:rsidRPr="00DC3EEF">
              <w:rPr>
                <w:sz w:val="20"/>
                <w:szCs w:val="20"/>
              </w:rPr>
              <w:t>Tallinna Nõmme linnaosa</w:t>
            </w:r>
          </w:p>
        </w:tc>
        <w:tc>
          <w:tcPr>
            <w:tcW w:w="2907" w:type="dxa"/>
            <w:noWrap/>
            <w:hideMark/>
          </w:tcPr>
          <w:p w14:paraId="670ABD57" w14:textId="77777777" w:rsidR="00A91584" w:rsidRPr="00DC3EEF" w:rsidRDefault="00A91584" w:rsidP="00A91584">
            <w:pPr>
              <w:contextualSpacing/>
              <w:jc w:val="center"/>
              <w:rPr>
                <w:sz w:val="20"/>
                <w:szCs w:val="20"/>
              </w:rPr>
            </w:pPr>
            <w:r w:rsidRPr="00DC3EEF">
              <w:rPr>
                <w:sz w:val="20"/>
                <w:szCs w:val="20"/>
              </w:rPr>
              <w:t>16 812</w:t>
            </w:r>
          </w:p>
        </w:tc>
        <w:tc>
          <w:tcPr>
            <w:tcW w:w="1420" w:type="dxa"/>
            <w:noWrap/>
            <w:hideMark/>
          </w:tcPr>
          <w:p w14:paraId="220E9464" w14:textId="795B93C0"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245F7561" w14:textId="5C74042C" w:rsidR="00A91584" w:rsidRPr="007F7A07" w:rsidRDefault="00A91584" w:rsidP="00A91584">
            <w:pPr>
              <w:contextualSpacing/>
              <w:jc w:val="center"/>
              <w:rPr>
                <w:sz w:val="20"/>
                <w:szCs w:val="20"/>
              </w:rPr>
            </w:pPr>
            <w:r w:rsidRPr="00CF30AC">
              <w:rPr>
                <w:sz w:val="20"/>
                <w:szCs w:val="20"/>
              </w:rPr>
              <w:t>…*%</w:t>
            </w:r>
          </w:p>
        </w:tc>
      </w:tr>
      <w:tr w:rsidR="00A91584" w:rsidRPr="00DC3EEF" w14:paraId="419BD128" w14:textId="77777777" w:rsidTr="00DC3EEF">
        <w:trPr>
          <w:cantSplit/>
          <w:trHeight w:val="145"/>
        </w:trPr>
        <w:tc>
          <w:tcPr>
            <w:tcW w:w="545" w:type="dxa"/>
            <w:noWrap/>
            <w:hideMark/>
          </w:tcPr>
          <w:p w14:paraId="55BE3F52" w14:textId="77777777" w:rsidR="00A91584" w:rsidRPr="00DC3EEF" w:rsidRDefault="00A91584" w:rsidP="00A91584">
            <w:pPr>
              <w:contextualSpacing/>
              <w:jc w:val="both"/>
              <w:rPr>
                <w:sz w:val="20"/>
                <w:szCs w:val="20"/>
              </w:rPr>
            </w:pPr>
            <w:r w:rsidRPr="00DC3EEF">
              <w:rPr>
                <w:sz w:val="20"/>
                <w:szCs w:val="20"/>
              </w:rPr>
              <w:t>11</w:t>
            </w:r>
          </w:p>
        </w:tc>
        <w:tc>
          <w:tcPr>
            <w:tcW w:w="3661" w:type="dxa"/>
            <w:noWrap/>
            <w:hideMark/>
          </w:tcPr>
          <w:p w14:paraId="7E900307" w14:textId="77777777" w:rsidR="00A91584" w:rsidRPr="00DC3EEF" w:rsidRDefault="00A91584" w:rsidP="00A91584">
            <w:pPr>
              <w:contextualSpacing/>
              <w:jc w:val="both"/>
              <w:rPr>
                <w:sz w:val="20"/>
                <w:szCs w:val="20"/>
              </w:rPr>
            </w:pPr>
            <w:r w:rsidRPr="00DC3EEF">
              <w:rPr>
                <w:sz w:val="20"/>
                <w:szCs w:val="20"/>
              </w:rPr>
              <w:t xml:space="preserve">Tallinna Pirita linnaosa </w:t>
            </w:r>
          </w:p>
        </w:tc>
        <w:tc>
          <w:tcPr>
            <w:tcW w:w="2907" w:type="dxa"/>
            <w:noWrap/>
            <w:hideMark/>
          </w:tcPr>
          <w:p w14:paraId="75D1265D" w14:textId="77777777" w:rsidR="00A91584" w:rsidRPr="00DC3EEF" w:rsidRDefault="00A91584" w:rsidP="00A91584">
            <w:pPr>
              <w:contextualSpacing/>
              <w:jc w:val="center"/>
              <w:rPr>
                <w:sz w:val="20"/>
                <w:szCs w:val="20"/>
              </w:rPr>
            </w:pPr>
            <w:r w:rsidRPr="00DC3EEF">
              <w:rPr>
                <w:sz w:val="20"/>
                <w:szCs w:val="20"/>
              </w:rPr>
              <w:t>7 536</w:t>
            </w:r>
          </w:p>
        </w:tc>
        <w:tc>
          <w:tcPr>
            <w:tcW w:w="1420" w:type="dxa"/>
            <w:noWrap/>
            <w:hideMark/>
          </w:tcPr>
          <w:p w14:paraId="73B9C3AE" w14:textId="3D9F033F"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3894DAD4" w14:textId="10D96120" w:rsidR="00A91584" w:rsidRPr="007F7A07" w:rsidRDefault="00A91584" w:rsidP="00A91584">
            <w:pPr>
              <w:contextualSpacing/>
              <w:jc w:val="center"/>
              <w:rPr>
                <w:sz w:val="20"/>
                <w:szCs w:val="20"/>
              </w:rPr>
            </w:pPr>
            <w:r w:rsidRPr="00CF30AC">
              <w:rPr>
                <w:sz w:val="20"/>
                <w:szCs w:val="20"/>
              </w:rPr>
              <w:t>…*%</w:t>
            </w:r>
          </w:p>
        </w:tc>
      </w:tr>
      <w:tr w:rsidR="00A91584" w:rsidRPr="00DC3EEF" w14:paraId="1FD65E41" w14:textId="77777777" w:rsidTr="00DC3EEF">
        <w:trPr>
          <w:cantSplit/>
          <w:trHeight w:val="145"/>
        </w:trPr>
        <w:tc>
          <w:tcPr>
            <w:tcW w:w="545" w:type="dxa"/>
            <w:noWrap/>
            <w:hideMark/>
          </w:tcPr>
          <w:p w14:paraId="11B3B2B7" w14:textId="77777777" w:rsidR="00A91584" w:rsidRPr="00DC3EEF" w:rsidRDefault="00A91584" w:rsidP="00A91584">
            <w:pPr>
              <w:contextualSpacing/>
              <w:jc w:val="both"/>
              <w:rPr>
                <w:sz w:val="20"/>
                <w:szCs w:val="20"/>
              </w:rPr>
            </w:pPr>
            <w:r w:rsidRPr="00DC3EEF">
              <w:rPr>
                <w:sz w:val="20"/>
                <w:szCs w:val="20"/>
              </w:rPr>
              <w:t>12</w:t>
            </w:r>
          </w:p>
        </w:tc>
        <w:tc>
          <w:tcPr>
            <w:tcW w:w="3661" w:type="dxa"/>
            <w:noWrap/>
            <w:hideMark/>
          </w:tcPr>
          <w:p w14:paraId="35DBDF63" w14:textId="77777777" w:rsidR="00A91584" w:rsidRPr="00DC3EEF" w:rsidRDefault="00A91584" w:rsidP="00A91584">
            <w:pPr>
              <w:contextualSpacing/>
              <w:jc w:val="both"/>
              <w:rPr>
                <w:sz w:val="20"/>
                <w:szCs w:val="20"/>
              </w:rPr>
            </w:pPr>
            <w:r w:rsidRPr="00DC3EEF">
              <w:rPr>
                <w:sz w:val="20"/>
                <w:szCs w:val="20"/>
              </w:rPr>
              <w:t xml:space="preserve"> Põhja-Tallinna linnaosa</w:t>
            </w:r>
          </w:p>
        </w:tc>
        <w:tc>
          <w:tcPr>
            <w:tcW w:w="2907" w:type="dxa"/>
            <w:noWrap/>
            <w:hideMark/>
          </w:tcPr>
          <w:p w14:paraId="4F15A8B0" w14:textId="77777777" w:rsidR="00A91584" w:rsidRPr="00DC3EEF" w:rsidRDefault="00A91584" w:rsidP="00A91584">
            <w:pPr>
              <w:contextualSpacing/>
              <w:jc w:val="center"/>
              <w:rPr>
                <w:sz w:val="20"/>
                <w:szCs w:val="20"/>
              </w:rPr>
            </w:pPr>
            <w:r w:rsidRPr="00DC3EEF">
              <w:rPr>
                <w:sz w:val="20"/>
                <w:szCs w:val="20"/>
              </w:rPr>
              <w:t>35 565</w:t>
            </w:r>
          </w:p>
        </w:tc>
        <w:tc>
          <w:tcPr>
            <w:tcW w:w="1420" w:type="dxa"/>
            <w:noWrap/>
            <w:hideMark/>
          </w:tcPr>
          <w:p w14:paraId="0CF54BF8" w14:textId="472DF8A5"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39702F61" w14:textId="20F19336" w:rsidR="00A91584" w:rsidRPr="007F7A07" w:rsidRDefault="00A91584" w:rsidP="00A91584">
            <w:pPr>
              <w:contextualSpacing/>
              <w:jc w:val="center"/>
              <w:rPr>
                <w:sz w:val="20"/>
                <w:szCs w:val="20"/>
              </w:rPr>
            </w:pPr>
            <w:r w:rsidRPr="00CF30AC">
              <w:rPr>
                <w:sz w:val="20"/>
                <w:szCs w:val="20"/>
              </w:rPr>
              <w:t>…*%</w:t>
            </w:r>
          </w:p>
        </w:tc>
      </w:tr>
      <w:tr w:rsidR="00A91584" w:rsidRPr="00DC3EEF" w14:paraId="6F9E6F48" w14:textId="77777777" w:rsidTr="00DC3EEF">
        <w:trPr>
          <w:cantSplit/>
          <w:trHeight w:val="145"/>
        </w:trPr>
        <w:tc>
          <w:tcPr>
            <w:tcW w:w="545" w:type="dxa"/>
            <w:noWrap/>
            <w:hideMark/>
          </w:tcPr>
          <w:p w14:paraId="7DEA980F" w14:textId="77777777" w:rsidR="00A91584" w:rsidRPr="00DC3EEF" w:rsidRDefault="00A91584" w:rsidP="00A91584">
            <w:pPr>
              <w:contextualSpacing/>
              <w:jc w:val="both"/>
              <w:rPr>
                <w:sz w:val="20"/>
                <w:szCs w:val="20"/>
              </w:rPr>
            </w:pPr>
            <w:r w:rsidRPr="00DC3EEF">
              <w:rPr>
                <w:sz w:val="20"/>
                <w:szCs w:val="20"/>
              </w:rPr>
              <w:t>13</w:t>
            </w:r>
          </w:p>
        </w:tc>
        <w:tc>
          <w:tcPr>
            <w:tcW w:w="3661" w:type="dxa"/>
            <w:noWrap/>
            <w:hideMark/>
          </w:tcPr>
          <w:p w14:paraId="2BD87D59" w14:textId="77777777" w:rsidR="00A91584" w:rsidRPr="00DC3EEF" w:rsidRDefault="00A91584" w:rsidP="00A91584">
            <w:pPr>
              <w:contextualSpacing/>
              <w:jc w:val="both"/>
              <w:rPr>
                <w:sz w:val="20"/>
                <w:szCs w:val="20"/>
              </w:rPr>
            </w:pPr>
            <w:r w:rsidRPr="00DC3EEF">
              <w:rPr>
                <w:sz w:val="20"/>
                <w:szCs w:val="20"/>
              </w:rPr>
              <w:t xml:space="preserve">Viimsi vald </w:t>
            </w:r>
          </w:p>
        </w:tc>
        <w:tc>
          <w:tcPr>
            <w:tcW w:w="2907" w:type="dxa"/>
            <w:noWrap/>
            <w:hideMark/>
          </w:tcPr>
          <w:p w14:paraId="2B4D8996" w14:textId="77777777" w:rsidR="00A91584" w:rsidRPr="00DC3EEF" w:rsidRDefault="00A91584" w:rsidP="00A91584">
            <w:pPr>
              <w:contextualSpacing/>
              <w:jc w:val="center"/>
              <w:rPr>
                <w:sz w:val="20"/>
                <w:szCs w:val="20"/>
              </w:rPr>
            </w:pPr>
            <w:r w:rsidRPr="00DC3EEF">
              <w:rPr>
                <w:sz w:val="20"/>
                <w:szCs w:val="20"/>
              </w:rPr>
              <w:t>11 128</w:t>
            </w:r>
          </w:p>
        </w:tc>
        <w:tc>
          <w:tcPr>
            <w:tcW w:w="1420" w:type="dxa"/>
            <w:noWrap/>
            <w:hideMark/>
          </w:tcPr>
          <w:p w14:paraId="58A4198E" w14:textId="671AC618"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2A75432A" w14:textId="706BA0EB" w:rsidR="00A91584" w:rsidRPr="007F7A07" w:rsidRDefault="00A91584" w:rsidP="00A91584">
            <w:pPr>
              <w:contextualSpacing/>
              <w:jc w:val="center"/>
              <w:rPr>
                <w:sz w:val="20"/>
                <w:szCs w:val="20"/>
              </w:rPr>
            </w:pPr>
            <w:r w:rsidRPr="00CF30AC">
              <w:rPr>
                <w:sz w:val="20"/>
                <w:szCs w:val="20"/>
              </w:rPr>
              <w:t>…*%</w:t>
            </w:r>
          </w:p>
        </w:tc>
      </w:tr>
      <w:tr w:rsidR="00A91584" w:rsidRPr="00DC3EEF" w14:paraId="0BE2F3A6" w14:textId="77777777" w:rsidTr="00DC3EEF">
        <w:trPr>
          <w:cantSplit/>
          <w:trHeight w:val="145"/>
        </w:trPr>
        <w:tc>
          <w:tcPr>
            <w:tcW w:w="545" w:type="dxa"/>
            <w:noWrap/>
            <w:hideMark/>
          </w:tcPr>
          <w:p w14:paraId="2C2012DF" w14:textId="77777777" w:rsidR="00A91584" w:rsidRPr="00DC3EEF" w:rsidRDefault="00A91584" w:rsidP="00A91584">
            <w:pPr>
              <w:contextualSpacing/>
              <w:jc w:val="both"/>
              <w:rPr>
                <w:sz w:val="20"/>
                <w:szCs w:val="20"/>
              </w:rPr>
            </w:pPr>
            <w:r w:rsidRPr="00DC3EEF">
              <w:rPr>
                <w:sz w:val="20"/>
                <w:szCs w:val="20"/>
              </w:rPr>
              <w:t>14</w:t>
            </w:r>
          </w:p>
        </w:tc>
        <w:tc>
          <w:tcPr>
            <w:tcW w:w="3661" w:type="dxa"/>
            <w:noWrap/>
            <w:hideMark/>
          </w:tcPr>
          <w:p w14:paraId="6580B646" w14:textId="77777777" w:rsidR="00A91584" w:rsidRPr="00DC3EEF" w:rsidRDefault="00A91584" w:rsidP="00A91584">
            <w:pPr>
              <w:contextualSpacing/>
              <w:jc w:val="both"/>
              <w:rPr>
                <w:sz w:val="20"/>
                <w:szCs w:val="20"/>
              </w:rPr>
            </w:pPr>
            <w:r w:rsidRPr="00DC3EEF">
              <w:rPr>
                <w:sz w:val="20"/>
                <w:szCs w:val="20"/>
              </w:rPr>
              <w:t>Hiiu maakond v.a linnad</w:t>
            </w:r>
          </w:p>
        </w:tc>
        <w:tc>
          <w:tcPr>
            <w:tcW w:w="2907" w:type="dxa"/>
            <w:noWrap/>
            <w:hideMark/>
          </w:tcPr>
          <w:p w14:paraId="15DD7D4A" w14:textId="77777777" w:rsidR="00A91584" w:rsidRPr="00DC3EEF" w:rsidRDefault="00A91584" w:rsidP="00A91584">
            <w:pPr>
              <w:contextualSpacing/>
              <w:jc w:val="center"/>
              <w:rPr>
                <w:sz w:val="20"/>
                <w:szCs w:val="20"/>
              </w:rPr>
            </w:pPr>
            <w:r w:rsidRPr="00DC3EEF">
              <w:rPr>
                <w:sz w:val="20"/>
                <w:szCs w:val="20"/>
              </w:rPr>
              <w:t>4 432</w:t>
            </w:r>
          </w:p>
        </w:tc>
        <w:tc>
          <w:tcPr>
            <w:tcW w:w="1420" w:type="dxa"/>
            <w:noWrap/>
            <w:hideMark/>
          </w:tcPr>
          <w:p w14:paraId="6D1C3BE6" w14:textId="54F8AB93"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6F32D359" w14:textId="390AA6D8" w:rsidR="00A91584" w:rsidRPr="007F7A07" w:rsidRDefault="00A91584" w:rsidP="00A91584">
            <w:pPr>
              <w:contextualSpacing/>
              <w:jc w:val="center"/>
              <w:rPr>
                <w:sz w:val="20"/>
                <w:szCs w:val="20"/>
              </w:rPr>
            </w:pPr>
            <w:r w:rsidRPr="00CF30AC">
              <w:rPr>
                <w:sz w:val="20"/>
                <w:szCs w:val="20"/>
              </w:rPr>
              <w:t>…*%</w:t>
            </w:r>
          </w:p>
        </w:tc>
      </w:tr>
      <w:tr w:rsidR="00A91584" w:rsidRPr="00DC3EEF" w14:paraId="78DD4924" w14:textId="77777777" w:rsidTr="00DC3EEF">
        <w:trPr>
          <w:cantSplit/>
          <w:trHeight w:val="145"/>
        </w:trPr>
        <w:tc>
          <w:tcPr>
            <w:tcW w:w="545" w:type="dxa"/>
            <w:noWrap/>
            <w:hideMark/>
          </w:tcPr>
          <w:p w14:paraId="1CA9D397" w14:textId="77777777" w:rsidR="00A91584" w:rsidRPr="00DC3EEF" w:rsidRDefault="00A91584" w:rsidP="00A91584">
            <w:pPr>
              <w:contextualSpacing/>
              <w:jc w:val="both"/>
              <w:rPr>
                <w:sz w:val="20"/>
                <w:szCs w:val="20"/>
              </w:rPr>
            </w:pPr>
            <w:r w:rsidRPr="00DC3EEF">
              <w:rPr>
                <w:sz w:val="20"/>
                <w:szCs w:val="20"/>
              </w:rPr>
              <w:t>15</w:t>
            </w:r>
          </w:p>
        </w:tc>
        <w:tc>
          <w:tcPr>
            <w:tcW w:w="3661" w:type="dxa"/>
            <w:noWrap/>
            <w:hideMark/>
          </w:tcPr>
          <w:p w14:paraId="3A2708BE" w14:textId="77777777" w:rsidR="00A91584" w:rsidRPr="00DC3EEF" w:rsidRDefault="00A91584" w:rsidP="00A91584">
            <w:pPr>
              <w:contextualSpacing/>
              <w:jc w:val="both"/>
              <w:rPr>
                <w:sz w:val="20"/>
                <w:szCs w:val="20"/>
              </w:rPr>
            </w:pPr>
            <w:r w:rsidRPr="00DC3EEF">
              <w:rPr>
                <w:sz w:val="20"/>
                <w:szCs w:val="20"/>
              </w:rPr>
              <w:t>Kärdla linn</w:t>
            </w:r>
          </w:p>
        </w:tc>
        <w:tc>
          <w:tcPr>
            <w:tcW w:w="2907" w:type="dxa"/>
            <w:noWrap/>
            <w:hideMark/>
          </w:tcPr>
          <w:p w14:paraId="06874668" w14:textId="77777777" w:rsidR="00A91584" w:rsidRPr="00DC3EEF" w:rsidRDefault="00A91584" w:rsidP="00A91584">
            <w:pPr>
              <w:contextualSpacing/>
              <w:jc w:val="center"/>
              <w:rPr>
                <w:sz w:val="20"/>
                <w:szCs w:val="20"/>
              </w:rPr>
            </w:pPr>
            <w:r w:rsidRPr="00DC3EEF">
              <w:rPr>
                <w:sz w:val="20"/>
                <w:szCs w:val="20"/>
              </w:rPr>
              <w:t>1 902</w:t>
            </w:r>
          </w:p>
        </w:tc>
        <w:tc>
          <w:tcPr>
            <w:tcW w:w="1420" w:type="dxa"/>
            <w:noWrap/>
            <w:hideMark/>
          </w:tcPr>
          <w:p w14:paraId="0EA4AE0B" w14:textId="089665D3"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5EB5A08E" w14:textId="325E43C0" w:rsidR="00A91584" w:rsidRPr="007F7A07" w:rsidRDefault="00A91584" w:rsidP="00A91584">
            <w:pPr>
              <w:contextualSpacing/>
              <w:jc w:val="center"/>
              <w:rPr>
                <w:sz w:val="20"/>
                <w:szCs w:val="20"/>
              </w:rPr>
            </w:pPr>
            <w:r w:rsidRPr="00CF30AC">
              <w:rPr>
                <w:sz w:val="20"/>
                <w:szCs w:val="20"/>
              </w:rPr>
              <w:t>…*%</w:t>
            </w:r>
          </w:p>
        </w:tc>
      </w:tr>
      <w:tr w:rsidR="00A91584" w:rsidRPr="00DC3EEF" w14:paraId="2432232C" w14:textId="77777777" w:rsidTr="00DC3EEF">
        <w:trPr>
          <w:cantSplit/>
          <w:trHeight w:val="145"/>
        </w:trPr>
        <w:tc>
          <w:tcPr>
            <w:tcW w:w="545" w:type="dxa"/>
            <w:noWrap/>
            <w:hideMark/>
          </w:tcPr>
          <w:p w14:paraId="5C4BD6F3" w14:textId="77777777" w:rsidR="00A91584" w:rsidRPr="00DC3EEF" w:rsidRDefault="00A91584" w:rsidP="00A91584">
            <w:pPr>
              <w:contextualSpacing/>
              <w:jc w:val="both"/>
              <w:rPr>
                <w:sz w:val="20"/>
                <w:szCs w:val="20"/>
              </w:rPr>
            </w:pPr>
            <w:r w:rsidRPr="00DC3EEF">
              <w:rPr>
                <w:sz w:val="20"/>
                <w:szCs w:val="20"/>
              </w:rPr>
              <w:t>16</w:t>
            </w:r>
          </w:p>
        </w:tc>
        <w:tc>
          <w:tcPr>
            <w:tcW w:w="3661" w:type="dxa"/>
            <w:noWrap/>
            <w:hideMark/>
          </w:tcPr>
          <w:p w14:paraId="6481FF44" w14:textId="0128B9C8" w:rsidR="00A91584" w:rsidRPr="00DC3EEF" w:rsidRDefault="00A91584" w:rsidP="00A91584">
            <w:pPr>
              <w:contextualSpacing/>
              <w:jc w:val="both"/>
              <w:rPr>
                <w:sz w:val="20"/>
                <w:szCs w:val="20"/>
              </w:rPr>
            </w:pPr>
            <w:r w:rsidRPr="00DC3EEF">
              <w:rPr>
                <w:sz w:val="20"/>
                <w:szCs w:val="20"/>
              </w:rPr>
              <w:t>Ida-Viru maakond v.a linnad</w:t>
            </w:r>
          </w:p>
        </w:tc>
        <w:tc>
          <w:tcPr>
            <w:tcW w:w="2907" w:type="dxa"/>
            <w:noWrap/>
            <w:hideMark/>
          </w:tcPr>
          <w:p w14:paraId="6A2ACF7B" w14:textId="77777777" w:rsidR="00A91584" w:rsidRPr="00DC3EEF" w:rsidRDefault="00A91584" w:rsidP="00A91584">
            <w:pPr>
              <w:contextualSpacing/>
              <w:jc w:val="center"/>
              <w:rPr>
                <w:sz w:val="20"/>
                <w:szCs w:val="20"/>
              </w:rPr>
            </w:pPr>
            <w:r w:rsidRPr="00DC3EEF">
              <w:rPr>
                <w:sz w:val="20"/>
                <w:szCs w:val="20"/>
              </w:rPr>
              <w:t>23 421</w:t>
            </w:r>
          </w:p>
        </w:tc>
        <w:tc>
          <w:tcPr>
            <w:tcW w:w="1420" w:type="dxa"/>
            <w:noWrap/>
            <w:hideMark/>
          </w:tcPr>
          <w:p w14:paraId="0766A496" w14:textId="3250DFE4"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07C4CE7C" w14:textId="4492B057" w:rsidR="00A91584" w:rsidRPr="007F7A07" w:rsidRDefault="00A91584" w:rsidP="00A91584">
            <w:pPr>
              <w:contextualSpacing/>
              <w:jc w:val="center"/>
              <w:rPr>
                <w:sz w:val="20"/>
                <w:szCs w:val="20"/>
              </w:rPr>
            </w:pPr>
            <w:r w:rsidRPr="00CF30AC">
              <w:rPr>
                <w:sz w:val="20"/>
                <w:szCs w:val="20"/>
              </w:rPr>
              <w:t>…*%</w:t>
            </w:r>
          </w:p>
        </w:tc>
      </w:tr>
      <w:tr w:rsidR="00A91584" w:rsidRPr="00DC3EEF" w14:paraId="602C4CC7" w14:textId="77777777" w:rsidTr="00DC3EEF">
        <w:trPr>
          <w:cantSplit/>
          <w:trHeight w:val="145"/>
        </w:trPr>
        <w:tc>
          <w:tcPr>
            <w:tcW w:w="545" w:type="dxa"/>
            <w:noWrap/>
            <w:hideMark/>
          </w:tcPr>
          <w:p w14:paraId="327C0456" w14:textId="77777777" w:rsidR="00A91584" w:rsidRPr="00DC3EEF" w:rsidRDefault="00A91584" w:rsidP="00A91584">
            <w:pPr>
              <w:contextualSpacing/>
              <w:jc w:val="both"/>
              <w:rPr>
                <w:sz w:val="20"/>
                <w:szCs w:val="20"/>
              </w:rPr>
            </w:pPr>
            <w:r w:rsidRPr="00DC3EEF">
              <w:rPr>
                <w:sz w:val="20"/>
                <w:szCs w:val="20"/>
              </w:rPr>
              <w:t>17</w:t>
            </w:r>
          </w:p>
        </w:tc>
        <w:tc>
          <w:tcPr>
            <w:tcW w:w="3661" w:type="dxa"/>
            <w:noWrap/>
            <w:hideMark/>
          </w:tcPr>
          <w:p w14:paraId="5ABF174E" w14:textId="77777777" w:rsidR="00A91584" w:rsidRPr="00DC3EEF" w:rsidRDefault="00A91584" w:rsidP="00A91584">
            <w:pPr>
              <w:contextualSpacing/>
              <w:jc w:val="both"/>
              <w:rPr>
                <w:sz w:val="20"/>
                <w:szCs w:val="20"/>
              </w:rPr>
            </w:pPr>
            <w:r w:rsidRPr="00DC3EEF">
              <w:rPr>
                <w:sz w:val="20"/>
                <w:szCs w:val="20"/>
              </w:rPr>
              <w:t xml:space="preserve">Jõhvi linn </w:t>
            </w:r>
          </w:p>
        </w:tc>
        <w:tc>
          <w:tcPr>
            <w:tcW w:w="2907" w:type="dxa"/>
            <w:noWrap/>
            <w:hideMark/>
          </w:tcPr>
          <w:p w14:paraId="6FEDF0C9" w14:textId="77777777" w:rsidR="00A91584" w:rsidRPr="00DC3EEF" w:rsidRDefault="00A91584" w:rsidP="00A91584">
            <w:pPr>
              <w:contextualSpacing/>
              <w:jc w:val="center"/>
              <w:rPr>
                <w:sz w:val="20"/>
                <w:szCs w:val="20"/>
              </w:rPr>
            </w:pPr>
            <w:r w:rsidRPr="00DC3EEF">
              <w:rPr>
                <w:sz w:val="20"/>
                <w:szCs w:val="20"/>
              </w:rPr>
              <w:t>7 328</w:t>
            </w:r>
          </w:p>
        </w:tc>
        <w:tc>
          <w:tcPr>
            <w:tcW w:w="1420" w:type="dxa"/>
            <w:noWrap/>
            <w:hideMark/>
          </w:tcPr>
          <w:p w14:paraId="163B4CFA" w14:textId="0B87ED39"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7C04D355" w14:textId="40B4F2AB" w:rsidR="00A91584" w:rsidRPr="007F7A07" w:rsidRDefault="00A91584" w:rsidP="00A91584">
            <w:pPr>
              <w:contextualSpacing/>
              <w:jc w:val="center"/>
              <w:rPr>
                <w:sz w:val="20"/>
                <w:szCs w:val="20"/>
              </w:rPr>
            </w:pPr>
            <w:r w:rsidRPr="00CF30AC">
              <w:rPr>
                <w:sz w:val="20"/>
                <w:szCs w:val="20"/>
              </w:rPr>
              <w:t>…*%</w:t>
            </w:r>
          </w:p>
        </w:tc>
      </w:tr>
      <w:tr w:rsidR="00A91584" w:rsidRPr="00DC3EEF" w14:paraId="562D6E56" w14:textId="77777777" w:rsidTr="00DC3EEF">
        <w:trPr>
          <w:cantSplit/>
          <w:trHeight w:val="145"/>
        </w:trPr>
        <w:tc>
          <w:tcPr>
            <w:tcW w:w="545" w:type="dxa"/>
            <w:noWrap/>
            <w:hideMark/>
          </w:tcPr>
          <w:p w14:paraId="1E8A5386" w14:textId="77777777" w:rsidR="00A91584" w:rsidRPr="00DC3EEF" w:rsidRDefault="00A91584" w:rsidP="00A91584">
            <w:pPr>
              <w:contextualSpacing/>
              <w:jc w:val="both"/>
              <w:rPr>
                <w:sz w:val="20"/>
                <w:szCs w:val="20"/>
              </w:rPr>
            </w:pPr>
            <w:r w:rsidRPr="00DC3EEF">
              <w:rPr>
                <w:sz w:val="20"/>
                <w:szCs w:val="20"/>
              </w:rPr>
              <w:t>18</w:t>
            </w:r>
          </w:p>
        </w:tc>
        <w:tc>
          <w:tcPr>
            <w:tcW w:w="3661" w:type="dxa"/>
            <w:noWrap/>
            <w:hideMark/>
          </w:tcPr>
          <w:p w14:paraId="3BB2FE5E" w14:textId="77777777" w:rsidR="00A91584" w:rsidRPr="00DC3EEF" w:rsidRDefault="00A91584" w:rsidP="00A91584">
            <w:pPr>
              <w:contextualSpacing/>
              <w:jc w:val="both"/>
              <w:rPr>
                <w:sz w:val="20"/>
                <w:szCs w:val="20"/>
              </w:rPr>
            </w:pPr>
            <w:r w:rsidRPr="00DC3EEF">
              <w:rPr>
                <w:sz w:val="20"/>
                <w:szCs w:val="20"/>
              </w:rPr>
              <w:t>Kohtla-Järve Ahtme linnaosa</w:t>
            </w:r>
          </w:p>
        </w:tc>
        <w:tc>
          <w:tcPr>
            <w:tcW w:w="2907" w:type="dxa"/>
            <w:noWrap/>
            <w:hideMark/>
          </w:tcPr>
          <w:p w14:paraId="5CD528F3" w14:textId="77777777" w:rsidR="00A91584" w:rsidRPr="00DC3EEF" w:rsidRDefault="00A91584" w:rsidP="00A91584">
            <w:pPr>
              <w:contextualSpacing/>
              <w:jc w:val="center"/>
              <w:rPr>
                <w:sz w:val="20"/>
                <w:szCs w:val="20"/>
              </w:rPr>
            </w:pPr>
            <w:r w:rsidRPr="00DC3EEF">
              <w:rPr>
                <w:sz w:val="20"/>
                <w:szCs w:val="20"/>
              </w:rPr>
              <w:t>11 303</w:t>
            </w:r>
          </w:p>
        </w:tc>
        <w:tc>
          <w:tcPr>
            <w:tcW w:w="1420" w:type="dxa"/>
            <w:noWrap/>
            <w:hideMark/>
          </w:tcPr>
          <w:p w14:paraId="7890D315" w14:textId="51923030"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66FEC08A" w14:textId="2219D7D1" w:rsidR="00A91584" w:rsidRPr="007F7A07" w:rsidRDefault="00A91584" w:rsidP="00A91584">
            <w:pPr>
              <w:contextualSpacing/>
              <w:jc w:val="center"/>
              <w:rPr>
                <w:sz w:val="20"/>
                <w:szCs w:val="20"/>
              </w:rPr>
            </w:pPr>
            <w:r w:rsidRPr="00CF30AC">
              <w:rPr>
                <w:sz w:val="20"/>
                <w:szCs w:val="20"/>
              </w:rPr>
              <w:t>…*%</w:t>
            </w:r>
          </w:p>
        </w:tc>
      </w:tr>
      <w:tr w:rsidR="00A91584" w:rsidRPr="00DC3EEF" w14:paraId="5A998E83" w14:textId="77777777" w:rsidTr="00DC3EEF">
        <w:trPr>
          <w:cantSplit/>
          <w:trHeight w:val="145"/>
        </w:trPr>
        <w:tc>
          <w:tcPr>
            <w:tcW w:w="545" w:type="dxa"/>
            <w:noWrap/>
            <w:hideMark/>
          </w:tcPr>
          <w:p w14:paraId="27EEAAEA" w14:textId="77777777" w:rsidR="00A91584" w:rsidRPr="00DC3EEF" w:rsidRDefault="00A91584" w:rsidP="00A91584">
            <w:pPr>
              <w:contextualSpacing/>
              <w:jc w:val="both"/>
              <w:rPr>
                <w:sz w:val="20"/>
                <w:szCs w:val="20"/>
              </w:rPr>
            </w:pPr>
            <w:r w:rsidRPr="00DC3EEF">
              <w:rPr>
                <w:sz w:val="20"/>
                <w:szCs w:val="20"/>
              </w:rPr>
              <w:t>19</w:t>
            </w:r>
          </w:p>
        </w:tc>
        <w:tc>
          <w:tcPr>
            <w:tcW w:w="3661" w:type="dxa"/>
            <w:noWrap/>
            <w:hideMark/>
          </w:tcPr>
          <w:p w14:paraId="0A1FAC67" w14:textId="77777777" w:rsidR="00A91584" w:rsidRPr="00DC3EEF" w:rsidRDefault="00A91584" w:rsidP="00A91584">
            <w:pPr>
              <w:contextualSpacing/>
              <w:jc w:val="both"/>
              <w:rPr>
                <w:sz w:val="20"/>
                <w:szCs w:val="20"/>
              </w:rPr>
            </w:pPr>
            <w:r w:rsidRPr="00DC3EEF">
              <w:rPr>
                <w:sz w:val="20"/>
                <w:szCs w:val="20"/>
              </w:rPr>
              <w:t>Kohtla-Järve Järve linnosa</w:t>
            </w:r>
          </w:p>
        </w:tc>
        <w:tc>
          <w:tcPr>
            <w:tcW w:w="2907" w:type="dxa"/>
            <w:noWrap/>
            <w:hideMark/>
          </w:tcPr>
          <w:p w14:paraId="7C259347" w14:textId="77777777" w:rsidR="00A91584" w:rsidRPr="00DC3EEF" w:rsidRDefault="00A91584" w:rsidP="00A91584">
            <w:pPr>
              <w:contextualSpacing/>
              <w:jc w:val="center"/>
              <w:rPr>
                <w:sz w:val="20"/>
                <w:szCs w:val="20"/>
              </w:rPr>
            </w:pPr>
            <w:r w:rsidRPr="00DC3EEF">
              <w:rPr>
                <w:sz w:val="20"/>
                <w:szCs w:val="20"/>
              </w:rPr>
              <w:t>12 796</w:t>
            </w:r>
          </w:p>
        </w:tc>
        <w:tc>
          <w:tcPr>
            <w:tcW w:w="1420" w:type="dxa"/>
            <w:noWrap/>
            <w:hideMark/>
          </w:tcPr>
          <w:p w14:paraId="488FFCE9" w14:textId="35E85111"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56E642B2" w14:textId="46D9D5B6" w:rsidR="00A91584" w:rsidRPr="007F7A07" w:rsidRDefault="00A91584" w:rsidP="00A91584">
            <w:pPr>
              <w:contextualSpacing/>
              <w:jc w:val="center"/>
              <w:rPr>
                <w:sz w:val="20"/>
                <w:szCs w:val="20"/>
              </w:rPr>
            </w:pPr>
            <w:r w:rsidRPr="00CF30AC">
              <w:rPr>
                <w:sz w:val="20"/>
                <w:szCs w:val="20"/>
              </w:rPr>
              <w:t>…*%</w:t>
            </w:r>
          </w:p>
        </w:tc>
      </w:tr>
      <w:tr w:rsidR="00A91584" w:rsidRPr="00DC3EEF" w14:paraId="3466C1BA" w14:textId="77777777" w:rsidTr="00DC3EEF">
        <w:trPr>
          <w:cantSplit/>
          <w:trHeight w:val="145"/>
        </w:trPr>
        <w:tc>
          <w:tcPr>
            <w:tcW w:w="545" w:type="dxa"/>
            <w:noWrap/>
            <w:hideMark/>
          </w:tcPr>
          <w:p w14:paraId="4FFD2E5A" w14:textId="77777777" w:rsidR="00A91584" w:rsidRPr="00DC3EEF" w:rsidRDefault="00A91584" w:rsidP="00A91584">
            <w:pPr>
              <w:contextualSpacing/>
              <w:jc w:val="both"/>
              <w:rPr>
                <w:sz w:val="20"/>
                <w:szCs w:val="20"/>
              </w:rPr>
            </w:pPr>
            <w:r w:rsidRPr="00DC3EEF">
              <w:rPr>
                <w:sz w:val="20"/>
                <w:szCs w:val="20"/>
              </w:rPr>
              <w:t>20</w:t>
            </w:r>
          </w:p>
        </w:tc>
        <w:tc>
          <w:tcPr>
            <w:tcW w:w="3661" w:type="dxa"/>
            <w:noWrap/>
            <w:hideMark/>
          </w:tcPr>
          <w:p w14:paraId="3EE808B7" w14:textId="77777777" w:rsidR="00A91584" w:rsidRPr="00DC3EEF" w:rsidRDefault="00A91584" w:rsidP="00A91584">
            <w:pPr>
              <w:contextualSpacing/>
              <w:jc w:val="both"/>
              <w:rPr>
                <w:sz w:val="20"/>
                <w:szCs w:val="20"/>
              </w:rPr>
            </w:pPr>
            <w:r w:rsidRPr="00DC3EEF">
              <w:rPr>
                <w:sz w:val="20"/>
                <w:szCs w:val="20"/>
              </w:rPr>
              <w:t xml:space="preserve">Narva linn </w:t>
            </w:r>
          </w:p>
        </w:tc>
        <w:tc>
          <w:tcPr>
            <w:tcW w:w="2907" w:type="dxa"/>
            <w:noWrap/>
            <w:hideMark/>
          </w:tcPr>
          <w:p w14:paraId="66A31C09" w14:textId="77777777" w:rsidR="00A91584" w:rsidRPr="00DC3EEF" w:rsidRDefault="00A91584" w:rsidP="00A91584">
            <w:pPr>
              <w:contextualSpacing/>
              <w:jc w:val="center"/>
              <w:rPr>
                <w:sz w:val="20"/>
                <w:szCs w:val="20"/>
              </w:rPr>
            </w:pPr>
            <w:r w:rsidRPr="00DC3EEF">
              <w:rPr>
                <w:sz w:val="20"/>
                <w:szCs w:val="20"/>
              </w:rPr>
              <w:t>37 487</w:t>
            </w:r>
          </w:p>
        </w:tc>
        <w:tc>
          <w:tcPr>
            <w:tcW w:w="1420" w:type="dxa"/>
            <w:noWrap/>
            <w:hideMark/>
          </w:tcPr>
          <w:p w14:paraId="1A777105" w14:textId="7E461A66"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733787EF" w14:textId="48FBE775" w:rsidR="00A91584" w:rsidRPr="007F7A07" w:rsidRDefault="00A91584" w:rsidP="00A91584">
            <w:pPr>
              <w:contextualSpacing/>
              <w:jc w:val="center"/>
              <w:rPr>
                <w:sz w:val="20"/>
                <w:szCs w:val="20"/>
              </w:rPr>
            </w:pPr>
            <w:r w:rsidRPr="00CF30AC">
              <w:rPr>
                <w:sz w:val="20"/>
                <w:szCs w:val="20"/>
              </w:rPr>
              <w:t>…*%</w:t>
            </w:r>
          </w:p>
        </w:tc>
      </w:tr>
      <w:tr w:rsidR="00A91584" w:rsidRPr="00DC3EEF" w14:paraId="7ED3BEB6" w14:textId="77777777" w:rsidTr="00DC3EEF">
        <w:trPr>
          <w:cantSplit/>
          <w:trHeight w:val="145"/>
        </w:trPr>
        <w:tc>
          <w:tcPr>
            <w:tcW w:w="545" w:type="dxa"/>
            <w:noWrap/>
            <w:hideMark/>
          </w:tcPr>
          <w:p w14:paraId="6522D79B" w14:textId="77777777" w:rsidR="00A91584" w:rsidRPr="00DC3EEF" w:rsidRDefault="00A91584" w:rsidP="00A91584">
            <w:pPr>
              <w:contextualSpacing/>
              <w:jc w:val="both"/>
              <w:rPr>
                <w:sz w:val="20"/>
                <w:szCs w:val="20"/>
              </w:rPr>
            </w:pPr>
            <w:r w:rsidRPr="00DC3EEF">
              <w:rPr>
                <w:sz w:val="20"/>
                <w:szCs w:val="20"/>
              </w:rPr>
              <w:t>21</w:t>
            </w:r>
          </w:p>
        </w:tc>
        <w:tc>
          <w:tcPr>
            <w:tcW w:w="3661" w:type="dxa"/>
            <w:noWrap/>
            <w:hideMark/>
          </w:tcPr>
          <w:p w14:paraId="04B649C0" w14:textId="77777777" w:rsidR="00A91584" w:rsidRPr="00DC3EEF" w:rsidRDefault="00A91584" w:rsidP="00A91584">
            <w:pPr>
              <w:contextualSpacing/>
              <w:jc w:val="both"/>
              <w:rPr>
                <w:sz w:val="20"/>
                <w:szCs w:val="20"/>
              </w:rPr>
            </w:pPr>
            <w:r w:rsidRPr="00DC3EEF">
              <w:rPr>
                <w:sz w:val="20"/>
                <w:szCs w:val="20"/>
              </w:rPr>
              <w:t xml:space="preserve">Sillamäe linn </w:t>
            </w:r>
          </w:p>
        </w:tc>
        <w:tc>
          <w:tcPr>
            <w:tcW w:w="2907" w:type="dxa"/>
            <w:noWrap/>
            <w:hideMark/>
          </w:tcPr>
          <w:p w14:paraId="60380890" w14:textId="77777777" w:rsidR="00A91584" w:rsidRPr="00DC3EEF" w:rsidRDefault="00A91584" w:rsidP="00A91584">
            <w:pPr>
              <w:contextualSpacing/>
              <w:jc w:val="center"/>
              <w:rPr>
                <w:sz w:val="20"/>
                <w:szCs w:val="20"/>
              </w:rPr>
            </w:pPr>
            <w:r w:rsidRPr="00DC3EEF">
              <w:rPr>
                <w:sz w:val="20"/>
                <w:szCs w:val="20"/>
              </w:rPr>
              <w:t>9 191</w:t>
            </w:r>
          </w:p>
        </w:tc>
        <w:tc>
          <w:tcPr>
            <w:tcW w:w="1420" w:type="dxa"/>
            <w:noWrap/>
            <w:hideMark/>
          </w:tcPr>
          <w:p w14:paraId="60AD76E5" w14:textId="72A66DC6"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79B70F52" w14:textId="15739821" w:rsidR="00A91584" w:rsidRPr="007F7A07" w:rsidRDefault="00A91584" w:rsidP="00A91584">
            <w:pPr>
              <w:contextualSpacing/>
              <w:jc w:val="center"/>
              <w:rPr>
                <w:sz w:val="20"/>
                <w:szCs w:val="20"/>
              </w:rPr>
            </w:pPr>
            <w:r w:rsidRPr="00CF30AC">
              <w:rPr>
                <w:sz w:val="20"/>
                <w:szCs w:val="20"/>
              </w:rPr>
              <w:t>…*%</w:t>
            </w:r>
          </w:p>
        </w:tc>
      </w:tr>
      <w:tr w:rsidR="00A91584" w:rsidRPr="00DC3EEF" w14:paraId="564F7DC9" w14:textId="77777777" w:rsidTr="00DC3EEF">
        <w:trPr>
          <w:cantSplit/>
          <w:trHeight w:val="145"/>
        </w:trPr>
        <w:tc>
          <w:tcPr>
            <w:tcW w:w="545" w:type="dxa"/>
            <w:noWrap/>
            <w:hideMark/>
          </w:tcPr>
          <w:p w14:paraId="1C484B20" w14:textId="77777777" w:rsidR="00A91584" w:rsidRPr="00DC3EEF" w:rsidRDefault="00A91584" w:rsidP="00A91584">
            <w:pPr>
              <w:contextualSpacing/>
              <w:jc w:val="both"/>
              <w:rPr>
                <w:sz w:val="20"/>
                <w:szCs w:val="20"/>
              </w:rPr>
            </w:pPr>
            <w:r w:rsidRPr="00DC3EEF">
              <w:rPr>
                <w:sz w:val="20"/>
                <w:szCs w:val="20"/>
              </w:rPr>
              <w:t>22</w:t>
            </w:r>
          </w:p>
        </w:tc>
        <w:tc>
          <w:tcPr>
            <w:tcW w:w="3661" w:type="dxa"/>
            <w:noWrap/>
            <w:hideMark/>
          </w:tcPr>
          <w:p w14:paraId="1C76B99C" w14:textId="4EA5F2AA" w:rsidR="00A91584" w:rsidRPr="00DC3EEF" w:rsidRDefault="00A91584" w:rsidP="00A91584">
            <w:pPr>
              <w:contextualSpacing/>
              <w:jc w:val="both"/>
              <w:rPr>
                <w:sz w:val="20"/>
                <w:szCs w:val="20"/>
              </w:rPr>
            </w:pPr>
            <w:r w:rsidRPr="00DC3EEF">
              <w:rPr>
                <w:sz w:val="20"/>
                <w:szCs w:val="20"/>
              </w:rPr>
              <w:t>Jõgeva maakond v.a linnad</w:t>
            </w:r>
          </w:p>
        </w:tc>
        <w:tc>
          <w:tcPr>
            <w:tcW w:w="2907" w:type="dxa"/>
            <w:noWrap/>
            <w:hideMark/>
          </w:tcPr>
          <w:p w14:paraId="11BB44E1" w14:textId="77777777" w:rsidR="00A91584" w:rsidRPr="00DC3EEF" w:rsidRDefault="00A91584" w:rsidP="00A91584">
            <w:pPr>
              <w:contextualSpacing/>
              <w:jc w:val="center"/>
              <w:rPr>
                <w:sz w:val="20"/>
                <w:szCs w:val="20"/>
              </w:rPr>
            </w:pPr>
            <w:r w:rsidRPr="00DC3EEF">
              <w:rPr>
                <w:sz w:val="20"/>
                <w:szCs w:val="20"/>
              </w:rPr>
              <w:t>16 030</w:t>
            </w:r>
          </w:p>
        </w:tc>
        <w:tc>
          <w:tcPr>
            <w:tcW w:w="1420" w:type="dxa"/>
            <w:noWrap/>
            <w:hideMark/>
          </w:tcPr>
          <w:p w14:paraId="584E2FD9" w14:textId="0375EF97"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4A8E75F1" w14:textId="28C32718" w:rsidR="00A91584" w:rsidRPr="007F7A07" w:rsidRDefault="00A91584" w:rsidP="00A91584">
            <w:pPr>
              <w:contextualSpacing/>
              <w:jc w:val="center"/>
              <w:rPr>
                <w:sz w:val="20"/>
                <w:szCs w:val="20"/>
              </w:rPr>
            </w:pPr>
            <w:r w:rsidRPr="00CF30AC">
              <w:rPr>
                <w:sz w:val="20"/>
                <w:szCs w:val="20"/>
              </w:rPr>
              <w:t>…*%</w:t>
            </w:r>
          </w:p>
        </w:tc>
      </w:tr>
      <w:tr w:rsidR="00A91584" w:rsidRPr="00DC3EEF" w14:paraId="0533F502" w14:textId="77777777" w:rsidTr="00DC3EEF">
        <w:trPr>
          <w:cantSplit/>
          <w:trHeight w:val="145"/>
        </w:trPr>
        <w:tc>
          <w:tcPr>
            <w:tcW w:w="545" w:type="dxa"/>
            <w:noWrap/>
            <w:hideMark/>
          </w:tcPr>
          <w:p w14:paraId="42995CB0" w14:textId="77777777" w:rsidR="00A91584" w:rsidRPr="00DC3EEF" w:rsidRDefault="00A91584" w:rsidP="00A91584">
            <w:pPr>
              <w:contextualSpacing/>
              <w:jc w:val="both"/>
              <w:rPr>
                <w:sz w:val="20"/>
                <w:szCs w:val="20"/>
              </w:rPr>
            </w:pPr>
            <w:r w:rsidRPr="00DC3EEF">
              <w:rPr>
                <w:sz w:val="20"/>
                <w:szCs w:val="20"/>
              </w:rPr>
              <w:t>23</w:t>
            </w:r>
          </w:p>
        </w:tc>
        <w:tc>
          <w:tcPr>
            <w:tcW w:w="3661" w:type="dxa"/>
            <w:noWrap/>
            <w:hideMark/>
          </w:tcPr>
          <w:p w14:paraId="1085AF85" w14:textId="77777777" w:rsidR="00A91584" w:rsidRPr="00DC3EEF" w:rsidRDefault="00A91584" w:rsidP="00A91584">
            <w:pPr>
              <w:contextualSpacing/>
              <w:jc w:val="both"/>
              <w:rPr>
                <w:sz w:val="20"/>
                <w:szCs w:val="20"/>
              </w:rPr>
            </w:pPr>
            <w:r w:rsidRPr="00DC3EEF">
              <w:rPr>
                <w:sz w:val="20"/>
                <w:szCs w:val="20"/>
              </w:rPr>
              <w:t xml:space="preserve">Jõgeva linn </w:t>
            </w:r>
          </w:p>
        </w:tc>
        <w:tc>
          <w:tcPr>
            <w:tcW w:w="2907" w:type="dxa"/>
            <w:noWrap/>
            <w:hideMark/>
          </w:tcPr>
          <w:p w14:paraId="73AB4426" w14:textId="77777777" w:rsidR="00A91584" w:rsidRPr="00DC3EEF" w:rsidRDefault="00A91584" w:rsidP="00A91584">
            <w:pPr>
              <w:contextualSpacing/>
              <w:jc w:val="center"/>
              <w:rPr>
                <w:sz w:val="20"/>
                <w:szCs w:val="20"/>
              </w:rPr>
            </w:pPr>
            <w:r w:rsidRPr="00DC3EEF">
              <w:rPr>
                <w:sz w:val="20"/>
                <w:szCs w:val="20"/>
              </w:rPr>
              <w:t>3 207</w:t>
            </w:r>
          </w:p>
        </w:tc>
        <w:tc>
          <w:tcPr>
            <w:tcW w:w="1420" w:type="dxa"/>
            <w:noWrap/>
            <w:hideMark/>
          </w:tcPr>
          <w:p w14:paraId="0C6266E9" w14:textId="4FDA34E5"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3612AAEC" w14:textId="0B2C953E" w:rsidR="00A91584" w:rsidRPr="007F7A07" w:rsidRDefault="00A91584" w:rsidP="00A91584">
            <w:pPr>
              <w:contextualSpacing/>
              <w:jc w:val="center"/>
              <w:rPr>
                <w:sz w:val="20"/>
                <w:szCs w:val="20"/>
              </w:rPr>
            </w:pPr>
            <w:r w:rsidRPr="00CF30AC">
              <w:rPr>
                <w:sz w:val="20"/>
                <w:szCs w:val="20"/>
              </w:rPr>
              <w:t>…*%</w:t>
            </w:r>
          </w:p>
        </w:tc>
      </w:tr>
      <w:tr w:rsidR="00A91584" w:rsidRPr="00DC3EEF" w14:paraId="621B0E41" w14:textId="77777777" w:rsidTr="00DC3EEF">
        <w:trPr>
          <w:cantSplit/>
          <w:trHeight w:val="145"/>
        </w:trPr>
        <w:tc>
          <w:tcPr>
            <w:tcW w:w="545" w:type="dxa"/>
            <w:noWrap/>
            <w:hideMark/>
          </w:tcPr>
          <w:p w14:paraId="354AF5F7" w14:textId="77777777" w:rsidR="00A91584" w:rsidRPr="00DC3EEF" w:rsidRDefault="00A91584" w:rsidP="00A91584">
            <w:pPr>
              <w:contextualSpacing/>
              <w:jc w:val="both"/>
              <w:rPr>
                <w:sz w:val="20"/>
                <w:szCs w:val="20"/>
              </w:rPr>
            </w:pPr>
            <w:r w:rsidRPr="00DC3EEF">
              <w:rPr>
                <w:sz w:val="20"/>
                <w:szCs w:val="20"/>
              </w:rPr>
              <w:t>24</w:t>
            </w:r>
          </w:p>
        </w:tc>
        <w:tc>
          <w:tcPr>
            <w:tcW w:w="3661" w:type="dxa"/>
            <w:noWrap/>
            <w:hideMark/>
          </w:tcPr>
          <w:p w14:paraId="17CACCF7" w14:textId="77777777" w:rsidR="00A91584" w:rsidRPr="00DC3EEF" w:rsidRDefault="00A91584" w:rsidP="00A91584">
            <w:pPr>
              <w:contextualSpacing/>
              <w:jc w:val="both"/>
              <w:rPr>
                <w:sz w:val="20"/>
                <w:szCs w:val="20"/>
              </w:rPr>
            </w:pPr>
            <w:r w:rsidRPr="00DC3EEF">
              <w:rPr>
                <w:sz w:val="20"/>
                <w:szCs w:val="20"/>
              </w:rPr>
              <w:t>Järva maakond v.a linnad</w:t>
            </w:r>
          </w:p>
        </w:tc>
        <w:tc>
          <w:tcPr>
            <w:tcW w:w="2907" w:type="dxa"/>
            <w:noWrap/>
            <w:hideMark/>
          </w:tcPr>
          <w:p w14:paraId="5A25D71A" w14:textId="77777777" w:rsidR="00A91584" w:rsidRPr="00DC3EEF" w:rsidRDefault="00A91584" w:rsidP="00A91584">
            <w:pPr>
              <w:contextualSpacing/>
              <w:jc w:val="center"/>
              <w:rPr>
                <w:sz w:val="20"/>
                <w:szCs w:val="20"/>
              </w:rPr>
            </w:pPr>
            <w:r w:rsidRPr="00DC3EEF">
              <w:rPr>
                <w:sz w:val="20"/>
                <w:szCs w:val="20"/>
              </w:rPr>
              <w:t>12 210</w:t>
            </w:r>
          </w:p>
        </w:tc>
        <w:tc>
          <w:tcPr>
            <w:tcW w:w="1420" w:type="dxa"/>
            <w:noWrap/>
            <w:hideMark/>
          </w:tcPr>
          <w:p w14:paraId="78B9E333" w14:textId="12FBAF90"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0E4E04CE" w14:textId="1107F171" w:rsidR="00A91584" w:rsidRPr="007F7A07" w:rsidRDefault="00A91584" w:rsidP="00A91584">
            <w:pPr>
              <w:contextualSpacing/>
              <w:jc w:val="center"/>
              <w:rPr>
                <w:sz w:val="20"/>
                <w:szCs w:val="20"/>
              </w:rPr>
            </w:pPr>
            <w:r w:rsidRPr="00CF30AC">
              <w:rPr>
                <w:sz w:val="20"/>
                <w:szCs w:val="20"/>
              </w:rPr>
              <w:t>…*%</w:t>
            </w:r>
          </w:p>
        </w:tc>
      </w:tr>
      <w:tr w:rsidR="00A91584" w:rsidRPr="00DC3EEF" w14:paraId="33BF366E" w14:textId="77777777" w:rsidTr="00DC3EEF">
        <w:trPr>
          <w:cantSplit/>
          <w:trHeight w:val="145"/>
        </w:trPr>
        <w:tc>
          <w:tcPr>
            <w:tcW w:w="545" w:type="dxa"/>
            <w:noWrap/>
            <w:hideMark/>
          </w:tcPr>
          <w:p w14:paraId="42FEAF07" w14:textId="77777777" w:rsidR="00A91584" w:rsidRPr="00DC3EEF" w:rsidRDefault="00A91584" w:rsidP="00A91584">
            <w:pPr>
              <w:contextualSpacing/>
              <w:jc w:val="both"/>
              <w:rPr>
                <w:sz w:val="20"/>
                <w:szCs w:val="20"/>
              </w:rPr>
            </w:pPr>
            <w:r w:rsidRPr="00DC3EEF">
              <w:rPr>
                <w:sz w:val="20"/>
                <w:szCs w:val="20"/>
              </w:rPr>
              <w:t>25</w:t>
            </w:r>
          </w:p>
        </w:tc>
        <w:tc>
          <w:tcPr>
            <w:tcW w:w="3661" w:type="dxa"/>
            <w:noWrap/>
            <w:hideMark/>
          </w:tcPr>
          <w:p w14:paraId="3F8D6A19" w14:textId="77777777" w:rsidR="00A91584" w:rsidRPr="00DC3EEF" w:rsidRDefault="00A91584" w:rsidP="00A91584">
            <w:pPr>
              <w:contextualSpacing/>
              <w:jc w:val="both"/>
              <w:rPr>
                <w:sz w:val="20"/>
                <w:szCs w:val="20"/>
              </w:rPr>
            </w:pPr>
            <w:r w:rsidRPr="00DC3EEF">
              <w:rPr>
                <w:sz w:val="20"/>
                <w:szCs w:val="20"/>
              </w:rPr>
              <w:t xml:space="preserve">Paide linn </w:t>
            </w:r>
          </w:p>
        </w:tc>
        <w:tc>
          <w:tcPr>
            <w:tcW w:w="2907" w:type="dxa"/>
            <w:noWrap/>
            <w:hideMark/>
          </w:tcPr>
          <w:p w14:paraId="2F2C10A8" w14:textId="77777777" w:rsidR="00A91584" w:rsidRPr="00DC3EEF" w:rsidRDefault="00A91584" w:rsidP="00A91584">
            <w:pPr>
              <w:contextualSpacing/>
              <w:jc w:val="center"/>
              <w:rPr>
                <w:sz w:val="20"/>
                <w:szCs w:val="20"/>
              </w:rPr>
            </w:pPr>
            <w:r w:rsidRPr="00DC3EEF">
              <w:rPr>
                <w:sz w:val="20"/>
                <w:szCs w:val="20"/>
              </w:rPr>
              <w:t>5 027</w:t>
            </w:r>
          </w:p>
        </w:tc>
        <w:tc>
          <w:tcPr>
            <w:tcW w:w="1420" w:type="dxa"/>
            <w:noWrap/>
            <w:hideMark/>
          </w:tcPr>
          <w:p w14:paraId="4887D320" w14:textId="57DB3ED4"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1DBB4127" w14:textId="67D7ABAB" w:rsidR="00A91584" w:rsidRPr="007F7A07" w:rsidRDefault="00A91584" w:rsidP="00A91584">
            <w:pPr>
              <w:contextualSpacing/>
              <w:jc w:val="center"/>
              <w:rPr>
                <w:sz w:val="20"/>
                <w:szCs w:val="20"/>
              </w:rPr>
            </w:pPr>
            <w:r w:rsidRPr="00CF30AC">
              <w:rPr>
                <w:sz w:val="20"/>
                <w:szCs w:val="20"/>
              </w:rPr>
              <w:t>…*%</w:t>
            </w:r>
          </w:p>
        </w:tc>
      </w:tr>
      <w:tr w:rsidR="00A91584" w:rsidRPr="00DC3EEF" w14:paraId="1B272CEE" w14:textId="77777777" w:rsidTr="00DC3EEF">
        <w:trPr>
          <w:cantSplit/>
          <w:trHeight w:val="145"/>
        </w:trPr>
        <w:tc>
          <w:tcPr>
            <w:tcW w:w="545" w:type="dxa"/>
            <w:noWrap/>
            <w:hideMark/>
          </w:tcPr>
          <w:p w14:paraId="4997FBD1" w14:textId="77777777" w:rsidR="00A91584" w:rsidRPr="00DC3EEF" w:rsidRDefault="00A91584" w:rsidP="00A91584">
            <w:pPr>
              <w:contextualSpacing/>
              <w:jc w:val="both"/>
              <w:rPr>
                <w:sz w:val="20"/>
                <w:szCs w:val="20"/>
              </w:rPr>
            </w:pPr>
            <w:r w:rsidRPr="00DC3EEF">
              <w:rPr>
                <w:sz w:val="20"/>
                <w:szCs w:val="20"/>
              </w:rPr>
              <w:t>26</w:t>
            </w:r>
          </w:p>
        </w:tc>
        <w:tc>
          <w:tcPr>
            <w:tcW w:w="3661" w:type="dxa"/>
            <w:noWrap/>
            <w:hideMark/>
          </w:tcPr>
          <w:p w14:paraId="66A4634E" w14:textId="77777777" w:rsidR="00A91584" w:rsidRPr="00DC3EEF" w:rsidRDefault="00A91584" w:rsidP="00A91584">
            <w:pPr>
              <w:contextualSpacing/>
              <w:jc w:val="both"/>
              <w:rPr>
                <w:sz w:val="20"/>
                <w:szCs w:val="20"/>
              </w:rPr>
            </w:pPr>
            <w:r w:rsidRPr="00DC3EEF">
              <w:rPr>
                <w:sz w:val="20"/>
                <w:szCs w:val="20"/>
              </w:rPr>
              <w:t xml:space="preserve">Türi linn </w:t>
            </w:r>
          </w:p>
        </w:tc>
        <w:tc>
          <w:tcPr>
            <w:tcW w:w="2907" w:type="dxa"/>
            <w:noWrap/>
            <w:hideMark/>
          </w:tcPr>
          <w:p w14:paraId="4B829422" w14:textId="77777777" w:rsidR="00A91584" w:rsidRPr="00DC3EEF" w:rsidRDefault="00A91584" w:rsidP="00A91584">
            <w:pPr>
              <w:contextualSpacing/>
              <w:jc w:val="center"/>
              <w:rPr>
                <w:sz w:val="20"/>
                <w:szCs w:val="20"/>
              </w:rPr>
            </w:pPr>
            <w:r w:rsidRPr="00DC3EEF">
              <w:rPr>
                <w:sz w:val="20"/>
                <w:szCs w:val="20"/>
              </w:rPr>
              <w:t>3 467</w:t>
            </w:r>
          </w:p>
        </w:tc>
        <w:tc>
          <w:tcPr>
            <w:tcW w:w="1420" w:type="dxa"/>
            <w:noWrap/>
            <w:hideMark/>
          </w:tcPr>
          <w:p w14:paraId="6B79AC4C" w14:textId="359B01E5"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35D3D88B" w14:textId="06AA108A" w:rsidR="00A91584" w:rsidRPr="007F7A07" w:rsidRDefault="00A91584" w:rsidP="00A91584">
            <w:pPr>
              <w:contextualSpacing/>
              <w:jc w:val="center"/>
              <w:rPr>
                <w:sz w:val="20"/>
                <w:szCs w:val="20"/>
              </w:rPr>
            </w:pPr>
            <w:r w:rsidRPr="00CF30AC">
              <w:rPr>
                <w:sz w:val="20"/>
                <w:szCs w:val="20"/>
              </w:rPr>
              <w:t>…*%</w:t>
            </w:r>
          </w:p>
        </w:tc>
      </w:tr>
      <w:tr w:rsidR="00A91584" w:rsidRPr="00DC3EEF" w14:paraId="639BB43C" w14:textId="77777777" w:rsidTr="00DC3EEF">
        <w:trPr>
          <w:cantSplit/>
          <w:trHeight w:val="145"/>
        </w:trPr>
        <w:tc>
          <w:tcPr>
            <w:tcW w:w="545" w:type="dxa"/>
            <w:noWrap/>
            <w:hideMark/>
          </w:tcPr>
          <w:p w14:paraId="48F37788" w14:textId="77777777" w:rsidR="00A91584" w:rsidRPr="00DC3EEF" w:rsidRDefault="00A91584" w:rsidP="00A91584">
            <w:pPr>
              <w:contextualSpacing/>
              <w:jc w:val="both"/>
              <w:rPr>
                <w:sz w:val="20"/>
                <w:szCs w:val="20"/>
              </w:rPr>
            </w:pPr>
            <w:r w:rsidRPr="00DC3EEF">
              <w:rPr>
                <w:sz w:val="20"/>
                <w:szCs w:val="20"/>
              </w:rPr>
              <w:t>27</w:t>
            </w:r>
          </w:p>
        </w:tc>
        <w:tc>
          <w:tcPr>
            <w:tcW w:w="3661" w:type="dxa"/>
            <w:noWrap/>
            <w:hideMark/>
          </w:tcPr>
          <w:p w14:paraId="3F3D8AC7" w14:textId="77777777" w:rsidR="00A91584" w:rsidRPr="00DC3EEF" w:rsidRDefault="00A91584" w:rsidP="00A91584">
            <w:pPr>
              <w:contextualSpacing/>
              <w:jc w:val="both"/>
              <w:rPr>
                <w:sz w:val="20"/>
                <w:szCs w:val="20"/>
              </w:rPr>
            </w:pPr>
            <w:r w:rsidRPr="00DC3EEF">
              <w:rPr>
                <w:sz w:val="20"/>
                <w:szCs w:val="20"/>
              </w:rPr>
              <w:t>Lääne maakond v.a linnad</w:t>
            </w:r>
          </w:p>
        </w:tc>
        <w:tc>
          <w:tcPr>
            <w:tcW w:w="2907" w:type="dxa"/>
            <w:noWrap/>
            <w:hideMark/>
          </w:tcPr>
          <w:p w14:paraId="3701BD20" w14:textId="77777777" w:rsidR="00A91584" w:rsidRPr="00DC3EEF" w:rsidRDefault="00A91584" w:rsidP="00A91584">
            <w:pPr>
              <w:contextualSpacing/>
              <w:jc w:val="center"/>
              <w:rPr>
                <w:sz w:val="20"/>
                <w:szCs w:val="20"/>
              </w:rPr>
            </w:pPr>
            <w:r w:rsidRPr="00DC3EEF">
              <w:rPr>
                <w:sz w:val="20"/>
                <w:szCs w:val="20"/>
              </w:rPr>
              <w:t>8 914</w:t>
            </w:r>
          </w:p>
        </w:tc>
        <w:tc>
          <w:tcPr>
            <w:tcW w:w="1420" w:type="dxa"/>
            <w:noWrap/>
            <w:hideMark/>
          </w:tcPr>
          <w:p w14:paraId="58C13D61" w14:textId="3CC7BD56"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085C9A64" w14:textId="25B5EBB0" w:rsidR="00A91584" w:rsidRPr="007F7A07" w:rsidRDefault="00A91584" w:rsidP="00A91584">
            <w:pPr>
              <w:contextualSpacing/>
              <w:jc w:val="center"/>
              <w:rPr>
                <w:sz w:val="20"/>
                <w:szCs w:val="20"/>
              </w:rPr>
            </w:pPr>
            <w:r w:rsidRPr="00CF30AC">
              <w:rPr>
                <w:sz w:val="20"/>
                <w:szCs w:val="20"/>
              </w:rPr>
              <w:t>…*%</w:t>
            </w:r>
          </w:p>
        </w:tc>
      </w:tr>
      <w:tr w:rsidR="00A91584" w:rsidRPr="00DC3EEF" w14:paraId="5773DB5C" w14:textId="77777777" w:rsidTr="00DC3EEF">
        <w:trPr>
          <w:cantSplit/>
          <w:trHeight w:val="145"/>
        </w:trPr>
        <w:tc>
          <w:tcPr>
            <w:tcW w:w="545" w:type="dxa"/>
            <w:noWrap/>
            <w:hideMark/>
          </w:tcPr>
          <w:p w14:paraId="675E4DB1" w14:textId="77777777" w:rsidR="00A91584" w:rsidRPr="00DC3EEF" w:rsidRDefault="00A91584" w:rsidP="00A91584">
            <w:pPr>
              <w:contextualSpacing/>
              <w:jc w:val="both"/>
              <w:rPr>
                <w:sz w:val="20"/>
                <w:szCs w:val="20"/>
              </w:rPr>
            </w:pPr>
            <w:r w:rsidRPr="00DC3EEF">
              <w:rPr>
                <w:sz w:val="20"/>
                <w:szCs w:val="20"/>
              </w:rPr>
              <w:t>28</w:t>
            </w:r>
          </w:p>
        </w:tc>
        <w:tc>
          <w:tcPr>
            <w:tcW w:w="3661" w:type="dxa"/>
            <w:noWrap/>
            <w:hideMark/>
          </w:tcPr>
          <w:p w14:paraId="27D76EB9" w14:textId="77777777" w:rsidR="00A91584" w:rsidRPr="00DC3EEF" w:rsidRDefault="00A91584" w:rsidP="00A91584">
            <w:pPr>
              <w:contextualSpacing/>
              <w:jc w:val="both"/>
              <w:rPr>
                <w:sz w:val="20"/>
                <w:szCs w:val="20"/>
              </w:rPr>
            </w:pPr>
            <w:r w:rsidRPr="00DC3EEF">
              <w:rPr>
                <w:sz w:val="20"/>
                <w:szCs w:val="20"/>
              </w:rPr>
              <w:t xml:space="preserve">Haapsalu linn </w:t>
            </w:r>
          </w:p>
        </w:tc>
        <w:tc>
          <w:tcPr>
            <w:tcW w:w="2907" w:type="dxa"/>
            <w:noWrap/>
            <w:hideMark/>
          </w:tcPr>
          <w:p w14:paraId="0EBF6682" w14:textId="77777777" w:rsidR="00A91584" w:rsidRPr="00DC3EEF" w:rsidRDefault="00A91584" w:rsidP="00A91584">
            <w:pPr>
              <w:contextualSpacing/>
              <w:jc w:val="center"/>
              <w:rPr>
                <w:sz w:val="20"/>
                <w:szCs w:val="20"/>
              </w:rPr>
            </w:pPr>
            <w:r w:rsidRPr="00DC3EEF">
              <w:rPr>
                <w:sz w:val="20"/>
                <w:szCs w:val="20"/>
              </w:rPr>
              <w:t>7 354</w:t>
            </w:r>
          </w:p>
        </w:tc>
        <w:tc>
          <w:tcPr>
            <w:tcW w:w="1420" w:type="dxa"/>
            <w:noWrap/>
            <w:hideMark/>
          </w:tcPr>
          <w:p w14:paraId="5FCC3EA6" w14:textId="74E0074F"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398C53B3" w14:textId="0840B279" w:rsidR="00A91584" w:rsidRPr="007F7A07" w:rsidRDefault="00A91584" w:rsidP="00A91584">
            <w:pPr>
              <w:contextualSpacing/>
              <w:jc w:val="center"/>
              <w:rPr>
                <w:sz w:val="20"/>
                <w:szCs w:val="20"/>
              </w:rPr>
            </w:pPr>
            <w:r w:rsidRPr="00CF30AC">
              <w:rPr>
                <w:sz w:val="20"/>
                <w:szCs w:val="20"/>
              </w:rPr>
              <w:t>…*%</w:t>
            </w:r>
          </w:p>
        </w:tc>
      </w:tr>
      <w:tr w:rsidR="00A91584" w:rsidRPr="00DC3EEF" w14:paraId="60B82885" w14:textId="77777777" w:rsidTr="00DC3EEF">
        <w:trPr>
          <w:cantSplit/>
          <w:trHeight w:val="145"/>
        </w:trPr>
        <w:tc>
          <w:tcPr>
            <w:tcW w:w="545" w:type="dxa"/>
            <w:noWrap/>
            <w:hideMark/>
          </w:tcPr>
          <w:p w14:paraId="12B33064" w14:textId="77777777" w:rsidR="00A91584" w:rsidRPr="00DC3EEF" w:rsidRDefault="00A91584" w:rsidP="00A91584">
            <w:pPr>
              <w:contextualSpacing/>
              <w:jc w:val="both"/>
              <w:rPr>
                <w:sz w:val="20"/>
                <w:szCs w:val="20"/>
              </w:rPr>
            </w:pPr>
            <w:r w:rsidRPr="00DC3EEF">
              <w:rPr>
                <w:sz w:val="20"/>
                <w:szCs w:val="20"/>
              </w:rPr>
              <w:t>29</w:t>
            </w:r>
          </w:p>
        </w:tc>
        <w:tc>
          <w:tcPr>
            <w:tcW w:w="3661" w:type="dxa"/>
            <w:noWrap/>
            <w:hideMark/>
          </w:tcPr>
          <w:p w14:paraId="7F54293E" w14:textId="7A163B33" w:rsidR="00A91584" w:rsidRPr="00DC3EEF" w:rsidRDefault="00A91584" w:rsidP="00A91584">
            <w:pPr>
              <w:contextualSpacing/>
              <w:jc w:val="both"/>
              <w:rPr>
                <w:sz w:val="20"/>
                <w:szCs w:val="20"/>
              </w:rPr>
            </w:pPr>
            <w:r w:rsidRPr="00DC3EEF">
              <w:rPr>
                <w:sz w:val="20"/>
                <w:szCs w:val="20"/>
              </w:rPr>
              <w:t>Lääne-Viru maakond v.a linnad</w:t>
            </w:r>
          </w:p>
        </w:tc>
        <w:tc>
          <w:tcPr>
            <w:tcW w:w="2907" w:type="dxa"/>
            <w:noWrap/>
            <w:hideMark/>
          </w:tcPr>
          <w:p w14:paraId="5ABF2336" w14:textId="77777777" w:rsidR="00A91584" w:rsidRPr="00DC3EEF" w:rsidRDefault="00A91584" w:rsidP="00A91584">
            <w:pPr>
              <w:contextualSpacing/>
              <w:jc w:val="center"/>
              <w:rPr>
                <w:sz w:val="20"/>
                <w:szCs w:val="20"/>
              </w:rPr>
            </w:pPr>
            <w:r w:rsidRPr="00DC3EEF">
              <w:rPr>
                <w:sz w:val="20"/>
                <w:szCs w:val="20"/>
              </w:rPr>
              <w:t>29 455</w:t>
            </w:r>
          </w:p>
        </w:tc>
        <w:tc>
          <w:tcPr>
            <w:tcW w:w="1420" w:type="dxa"/>
            <w:noWrap/>
            <w:hideMark/>
          </w:tcPr>
          <w:p w14:paraId="71B6B9D6" w14:textId="066B3CD6"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0A04442D" w14:textId="134D2C35" w:rsidR="00A91584" w:rsidRPr="007F7A07" w:rsidRDefault="00A91584" w:rsidP="00A91584">
            <w:pPr>
              <w:contextualSpacing/>
              <w:jc w:val="center"/>
              <w:rPr>
                <w:sz w:val="20"/>
                <w:szCs w:val="20"/>
              </w:rPr>
            </w:pPr>
            <w:r w:rsidRPr="00CF30AC">
              <w:rPr>
                <w:sz w:val="20"/>
                <w:szCs w:val="20"/>
              </w:rPr>
              <w:t>…*%</w:t>
            </w:r>
          </w:p>
        </w:tc>
      </w:tr>
      <w:tr w:rsidR="00A91584" w:rsidRPr="00DC3EEF" w14:paraId="56142F69" w14:textId="77777777" w:rsidTr="00DC3EEF">
        <w:trPr>
          <w:cantSplit/>
          <w:trHeight w:val="145"/>
        </w:trPr>
        <w:tc>
          <w:tcPr>
            <w:tcW w:w="545" w:type="dxa"/>
            <w:noWrap/>
            <w:hideMark/>
          </w:tcPr>
          <w:p w14:paraId="13F75CAC" w14:textId="77777777" w:rsidR="00A91584" w:rsidRPr="00DC3EEF" w:rsidRDefault="00A91584" w:rsidP="00A91584">
            <w:pPr>
              <w:contextualSpacing/>
              <w:jc w:val="both"/>
              <w:rPr>
                <w:sz w:val="20"/>
                <w:szCs w:val="20"/>
              </w:rPr>
            </w:pPr>
            <w:r w:rsidRPr="00DC3EEF">
              <w:rPr>
                <w:sz w:val="20"/>
                <w:szCs w:val="20"/>
              </w:rPr>
              <w:t>30</w:t>
            </w:r>
          </w:p>
        </w:tc>
        <w:tc>
          <w:tcPr>
            <w:tcW w:w="3661" w:type="dxa"/>
            <w:noWrap/>
            <w:hideMark/>
          </w:tcPr>
          <w:p w14:paraId="13AAEA9C" w14:textId="77777777" w:rsidR="00A91584" w:rsidRPr="00DC3EEF" w:rsidRDefault="00A91584" w:rsidP="00A91584">
            <w:pPr>
              <w:contextualSpacing/>
              <w:jc w:val="both"/>
              <w:rPr>
                <w:sz w:val="20"/>
                <w:szCs w:val="20"/>
              </w:rPr>
            </w:pPr>
            <w:r w:rsidRPr="00DC3EEF">
              <w:rPr>
                <w:sz w:val="20"/>
                <w:szCs w:val="20"/>
              </w:rPr>
              <w:t xml:space="preserve">Rakvere linn </w:t>
            </w:r>
          </w:p>
        </w:tc>
        <w:tc>
          <w:tcPr>
            <w:tcW w:w="2907" w:type="dxa"/>
            <w:noWrap/>
            <w:hideMark/>
          </w:tcPr>
          <w:p w14:paraId="1EF71806" w14:textId="77777777" w:rsidR="00A91584" w:rsidRPr="00DC3EEF" w:rsidRDefault="00A91584" w:rsidP="00A91584">
            <w:pPr>
              <w:contextualSpacing/>
              <w:jc w:val="center"/>
              <w:rPr>
                <w:sz w:val="20"/>
                <w:szCs w:val="20"/>
              </w:rPr>
            </w:pPr>
            <w:r w:rsidRPr="00DC3EEF">
              <w:rPr>
                <w:sz w:val="20"/>
                <w:szCs w:val="20"/>
              </w:rPr>
              <w:t>9 807</w:t>
            </w:r>
          </w:p>
        </w:tc>
        <w:tc>
          <w:tcPr>
            <w:tcW w:w="1420" w:type="dxa"/>
            <w:noWrap/>
            <w:hideMark/>
          </w:tcPr>
          <w:p w14:paraId="08615E3F" w14:textId="19E0F9D6"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1A6955FB" w14:textId="7A8F0F83" w:rsidR="00A91584" w:rsidRPr="007F7A07" w:rsidRDefault="00A91584" w:rsidP="00A91584">
            <w:pPr>
              <w:contextualSpacing/>
              <w:jc w:val="center"/>
              <w:rPr>
                <w:sz w:val="20"/>
                <w:szCs w:val="20"/>
              </w:rPr>
            </w:pPr>
            <w:r w:rsidRPr="00CF30AC">
              <w:rPr>
                <w:sz w:val="20"/>
                <w:szCs w:val="20"/>
              </w:rPr>
              <w:t>…*%</w:t>
            </w:r>
          </w:p>
        </w:tc>
      </w:tr>
      <w:tr w:rsidR="00A91584" w:rsidRPr="00DC3EEF" w14:paraId="0883AD1F" w14:textId="77777777" w:rsidTr="00DC3EEF">
        <w:trPr>
          <w:cantSplit/>
          <w:trHeight w:val="145"/>
        </w:trPr>
        <w:tc>
          <w:tcPr>
            <w:tcW w:w="545" w:type="dxa"/>
            <w:noWrap/>
            <w:hideMark/>
          </w:tcPr>
          <w:p w14:paraId="5F6BB5F2" w14:textId="77777777" w:rsidR="00A91584" w:rsidRPr="00DC3EEF" w:rsidRDefault="00A91584" w:rsidP="00A91584">
            <w:pPr>
              <w:contextualSpacing/>
              <w:jc w:val="both"/>
              <w:rPr>
                <w:sz w:val="20"/>
                <w:szCs w:val="20"/>
              </w:rPr>
            </w:pPr>
            <w:r w:rsidRPr="00DC3EEF">
              <w:rPr>
                <w:sz w:val="20"/>
                <w:szCs w:val="20"/>
              </w:rPr>
              <w:t>31</w:t>
            </w:r>
          </w:p>
        </w:tc>
        <w:tc>
          <w:tcPr>
            <w:tcW w:w="3661" w:type="dxa"/>
            <w:noWrap/>
            <w:hideMark/>
          </w:tcPr>
          <w:p w14:paraId="422FE6D8" w14:textId="77777777" w:rsidR="00A91584" w:rsidRPr="00DC3EEF" w:rsidRDefault="00A91584" w:rsidP="00A91584">
            <w:pPr>
              <w:contextualSpacing/>
              <w:jc w:val="both"/>
              <w:rPr>
                <w:sz w:val="20"/>
                <w:szCs w:val="20"/>
              </w:rPr>
            </w:pPr>
            <w:r w:rsidRPr="00DC3EEF">
              <w:rPr>
                <w:sz w:val="20"/>
                <w:szCs w:val="20"/>
              </w:rPr>
              <w:t xml:space="preserve">Tapa linn </w:t>
            </w:r>
          </w:p>
        </w:tc>
        <w:tc>
          <w:tcPr>
            <w:tcW w:w="2907" w:type="dxa"/>
            <w:noWrap/>
            <w:hideMark/>
          </w:tcPr>
          <w:p w14:paraId="42B7D5D1" w14:textId="77777777" w:rsidR="00A91584" w:rsidRPr="00DC3EEF" w:rsidRDefault="00A91584" w:rsidP="00A91584">
            <w:pPr>
              <w:contextualSpacing/>
              <w:jc w:val="center"/>
              <w:rPr>
                <w:sz w:val="20"/>
                <w:szCs w:val="20"/>
              </w:rPr>
            </w:pPr>
            <w:r w:rsidRPr="00DC3EEF">
              <w:rPr>
                <w:sz w:val="20"/>
                <w:szCs w:val="20"/>
              </w:rPr>
              <w:t>3 763</w:t>
            </w:r>
          </w:p>
        </w:tc>
        <w:tc>
          <w:tcPr>
            <w:tcW w:w="1420" w:type="dxa"/>
            <w:noWrap/>
            <w:hideMark/>
          </w:tcPr>
          <w:p w14:paraId="21929B9A" w14:textId="52231017"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10683346" w14:textId="5585962F" w:rsidR="00A91584" w:rsidRPr="007F7A07" w:rsidRDefault="00A91584" w:rsidP="00A91584">
            <w:pPr>
              <w:contextualSpacing/>
              <w:jc w:val="center"/>
              <w:rPr>
                <w:sz w:val="20"/>
                <w:szCs w:val="20"/>
              </w:rPr>
            </w:pPr>
            <w:r w:rsidRPr="00CF30AC">
              <w:rPr>
                <w:sz w:val="20"/>
                <w:szCs w:val="20"/>
              </w:rPr>
              <w:t>…*%</w:t>
            </w:r>
          </w:p>
        </w:tc>
      </w:tr>
      <w:tr w:rsidR="00A91584" w:rsidRPr="00DC3EEF" w14:paraId="35F87EA8" w14:textId="77777777" w:rsidTr="00DC3EEF">
        <w:trPr>
          <w:cantSplit/>
          <w:trHeight w:val="145"/>
        </w:trPr>
        <w:tc>
          <w:tcPr>
            <w:tcW w:w="545" w:type="dxa"/>
            <w:noWrap/>
            <w:hideMark/>
          </w:tcPr>
          <w:p w14:paraId="3E952394" w14:textId="77777777" w:rsidR="00A91584" w:rsidRPr="00DC3EEF" w:rsidRDefault="00A91584" w:rsidP="00A91584">
            <w:pPr>
              <w:contextualSpacing/>
              <w:jc w:val="both"/>
              <w:rPr>
                <w:sz w:val="20"/>
                <w:szCs w:val="20"/>
              </w:rPr>
            </w:pPr>
            <w:r w:rsidRPr="00DC3EEF">
              <w:rPr>
                <w:sz w:val="20"/>
                <w:szCs w:val="20"/>
              </w:rPr>
              <w:t>32</w:t>
            </w:r>
          </w:p>
        </w:tc>
        <w:tc>
          <w:tcPr>
            <w:tcW w:w="3661" w:type="dxa"/>
            <w:noWrap/>
            <w:hideMark/>
          </w:tcPr>
          <w:p w14:paraId="7A82A9C5" w14:textId="491E200C" w:rsidR="00A91584" w:rsidRPr="00DC3EEF" w:rsidRDefault="00A91584" w:rsidP="00A91584">
            <w:pPr>
              <w:contextualSpacing/>
              <w:jc w:val="both"/>
              <w:rPr>
                <w:sz w:val="20"/>
                <w:szCs w:val="20"/>
              </w:rPr>
            </w:pPr>
            <w:r w:rsidRPr="00DC3EEF">
              <w:rPr>
                <w:sz w:val="20"/>
                <w:szCs w:val="20"/>
              </w:rPr>
              <w:t>Põlva maakond v.a linnad</w:t>
            </w:r>
          </w:p>
        </w:tc>
        <w:tc>
          <w:tcPr>
            <w:tcW w:w="2907" w:type="dxa"/>
            <w:noWrap/>
            <w:hideMark/>
          </w:tcPr>
          <w:p w14:paraId="01B7F5F0" w14:textId="77777777" w:rsidR="00A91584" w:rsidRPr="00DC3EEF" w:rsidRDefault="00A91584" w:rsidP="00A91584">
            <w:pPr>
              <w:contextualSpacing/>
              <w:jc w:val="center"/>
              <w:rPr>
                <w:sz w:val="20"/>
                <w:szCs w:val="20"/>
              </w:rPr>
            </w:pPr>
            <w:r w:rsidRPr="00DC3EEF">
              <w:rPr>
                <w:sz w:val="20"/>
                <w:szCs w:val="20"/>
              </w:rPr>
              <w:t>12 645</w:t>
            </w:r>
          </w:p>
        </w:tc>
        <w:tc>
          <w:tcPr>
            <w:tcW w:w="1420" w:type="dxa"/>
            <w:noWrap/>
            <w:hideMark/>
          </w:tcPr>
          <w:p w14:paraId="0962A5F9" w14:textId="2C491435"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2885F443" w14:textId="16F08504" w:rsidR="00A91584" w:rsidRPr="007F7A07" w:rsidRDefault="00A91584" w:rsidP="00A91584">
            <w:pPr>
              <w:contextualSpacing/>
              <w:jc w:val="center"/>
              <w:rPr>
                <w:sz w:val="20"/>
                <w:szCs w:val="20"/>
              </w:rPr>
            </w:pPr>
            <w:r w:rsidRPr="00CF30AC">
              <w:rPr>
                <w:sz w:val="20"/>
                <w:szCs w:val="20"/>
              </w:rPr>
              <w:t>…*%</w:t>
            </w:r>
          </w:p>
        </w:tc>
      </w:tr>
      <w:tr w:rsidR="00A91584" w:rsidRPr="00DC3EEF" w14:paraId="7CF88FAB" w14:textId="77777777" w:rsidTr="00DC3EEF">
        <w:trPr>
          <w:cantSplit/>
          <w:trHeight w:val="145"/>
        </w:trPr>
        <w:tc>
          <w:tcPr>
            <w:tcW w:w="545" w:type="dxa"/>
            <w:noWrap/>
            <w:hideMark/>
          </w:tcPr>
          <w:p w14:paraId="191FB2D6" w14:textId="77777777" w:rsidR="00A91584" w:rsidRPr="00DC3EEF" w:rsidRDefault="00A91584" w:rsidP="00A91584">
            <w:pPr>
              <w:contextualSpacing/>
              <w:jc w:val="both"/>
              <w:rPr>
                <w:sz w:val="20"/>
                <w:szCs w:val="20"/>
              </w:rPr>
            </w:pPr>
            <w:r w:rsidRPr="00DC3EEF">
              <w:rPr>
                <w:sz w:val="20"/>
                <w:szCs w:val="20"/>
              </w:rPr>
              <w:t>33</w:t>
            </w:r>
          </w:p>
        </w:tc>
        <w:tc>
          <w:tcPr>
            <w:tcW w:w="3661" w:type="dxa"/>
            <w:noWrap/>
            <w:hideMark/>
          </w:tcPr>
          <w:p w14:paraId="701C7596" w14:textId="77777777" w:rsidR="00A91584" w:rsidRPr="00DC3EEF" w:rsidRDefault="00A91584" w:rsidP="00A91584">
            <w:pPr>
              <w:contextualSpacing/>
              <w:jc w:val="both"/>
              <w:rPr>
                <w:sz w:val="20"/>
                <w:szCs w:val="20"/>
              </w:rPr>
            </w:pPr>
            <w:r w:rsidRPr="00DC3EEF">
              <w:rPr>
                <w:sz w:val="20"/>
                <w:szCs w:val="20"/>
              </w:rPr>
              <w:t xml:space="preserve">Põlva linn </w:t>
            </w:r>
          </w:p>
        </w:tc>
        <w:tc>
          <w:tcPr>
            <w:tcW w:w="2907" w:type="dxa"/>
            <w:noWrap/>
            <w:hideMark/>
          </w:tcPr>
          <w:p w14:paraId="0ED7DE07" w14:textId="77777777" w:rsidR="00A91584" w:rsidRPr="00DC3EEF" w:rsidRDefault="00A91584" w:rsidP="00A91584">
            <w:pPr>
              <w:contextualSpacing/>
              <w:jc w:val="center"/>
              <w:rPr>
                <w:sz w:val="20"/>
                <w:szCs w:val="20"/>
              </w:rPr>
            </w:pPr>
            <w:r w:rsidRPr="00DC3EEF">
              <w:rPr>
                <w:sz w:val="20"/>
                <w:szCs w:val="20"/>
              </w:rPr>
              <w:t>3 184</w:t>
            </w:r>
          </w:p>
        </w:tc>
        <w:tc>
          <w:tcPr>
            <w:tcW w:w="1420" w:type="dxa"/>
            <w:noWrap/>
            <w:hideMark/>
          </w:tcPr>
          <w:p w14:paraId="0A6D60A1" w14:textId="2AE2548B"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2120A8CD" w14:textId="3A3C5AC7" w:rsidR="00A91584" w:rsidRPr="007F7A07" w:rsidRDefault="00A91584" w:rsidP="00A91584">
            <w:pPr>
              <w:contextualSpacing/>
              <w:jc w:val="center"/>
              <w:rPr>
                <w:sz w:val="20"/>
                <w:szCs w:val="20"/>
              </w:rPr>
            </w:pPr>
            <w:r w:rsidRPr="00CF30AC">
              <w:rPr>
                <w:sz w:val="20"/>
                <w:szCs w:val="20"/>
              </w:rPr>
              <w:t>…*%</w:t>
            </w:r>
          </w:p>
        </w:tc>
      </w:tr>
      <w:tr w:rsidR="00A91584" w:rsidRPr="00DC3EEF" w14:paraId="03888421" w14:textId="77777777" w:rsidTr="00DC3EEF">
        <w:trPr>
          <w:cantSplit/>
          <w:trHeight w:val="145"/>
        </w:trPr>
        <w:tc>
          <w:tcPr>
            <w:tcW w:w="545" w:type="dxa"/>
            <w:noWrap/>
            <w:hideMark/>
          </w:tcPr>
          <w:p w14:paraId="66AC9319" w14:textId="77777777" w:rsidR="00A91584" w:rsidRPr="00DC3EEF" w:rsidRDefault="00A91584" w:rsidP="00A91584">
            <w:pPr>
              <w:contextualSpacing/>
              <w:jc w:val="both"/>
              <w:rPr>
                <w:sz w:val="20"/>
                <w:szCs w:val="20"/>
              </w:rPr>
            </w:pPr>
            <w:r w:rsidRPr="00DC3EEF">
              <w:rPr>
                <w:sz w:val="20"/>
                <w:szCs w:val="20"/>
              </w:rPr>
              <w:t>34</w:t>
            </w:r>
          </w:p>
        </w:tc>
        <w:tc>
          <w:tcPr>
            <w:tcW w:w="3661" w:type="dxa"/>
            <w:noWrap/>
            <w:hideMark/>
          </w:tcPr>
          <w:p w14:paraId="05940937" w14:textId="77777777" w:rsidR="00A91584" w:rsidRPr="00DC3EEF" w:rsidRDefault="00A91584" w:rsidP="00A91584">
            <w:pPr>
              <w:contextualSpacing/>
              <w:jc w:val="both"/>
              <w:rPr>
                <w:sz w:val="20"/>
                <w:szCs w:val="20"/>
              </w:rPr>
            </w:pPr>
            <w:r w:rsidRPr="00DC3EEF">
              <w:rPr>
                <w:sz w:val="20"/>
                <w:szCs w:val="20"/>
              </w:rPr>
              <w:t>Pärnu maakond v.a linnad</w:t>
            </w:r>
          </w:p>
        </w:tc>
        <w:tc>
          <w:tcPr>
            <w:tcW w:w="2907" w:type="dxa"/>
            <w:noWrap/>
            <w:hideMark/>
          </w:tcPr>
          <w:p w14:paraId="1B32425F" w14:textId="77777777" w:rsidR="00A91584" w:rsidRPr="00DC3EEF" w:rsidRDefault="00A91584" w:rsidP="00A91584">
            <w:pPr>
              <w:contextualSpacing/>
              <w:jc w:val="center"/>
              <w:rPr>
                <w:sz w:val="20"/>
                <w:szCs w:val="20"/>
              </w:rPr>
            </w:pPr>
            <w:r w:rsidRPr="00DC3EEF">
              <w:rPr>
                <w:sz w:val="20"/>
                <w:szCs w:val="20"/>
              </w:rPr>
              <w:t>30 672</w:t>
            </w:r>
          </w:p>
        </w:tc>
        <w:tc>
          <w:tcPr>
            <w:tcW w:w="1420" w:type="dxa"/>
            <w:noWrap/>
            <w:hideMark/>
          </w:tcPr>
          <w:p w14:paraId="7229039C" w14:textId="616132C6"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2A7C745B" w14:textId="3E2CB1B2" w:rsidR="00A91584" w:rsidRPr="007F7A07" w:rsidRDefault="00A91584" w:rsidP="00A91584">
            <w:pPr>
              <w:contextualSpacing/>
              <w:jc w:val="center"/>
              <w:rPr>
                <w:sz w:val="20"/>
                <w:szCs w:val="20"/>
              </w:rPr>
            </w:pPr>
            <w:r w:rsidRPr="00CF30AC">
              <w:rPr>
                <w:sz w:val="20"/>
                <w:szCs w:val="20"/>
              </w:rPr>
              <w:t>…*%</w:t>
            </w:r>
          </w:p>
        </w:tc>
      </w:tr>
      <w:tr w:rsidR="00A91584" w:rsidRPr="00DC3EEF" w14:paraId="47436365" w14:textId="77777777" w:rsidTr="00DC3EEF">
        <w:trPr>
          <w:cantSplit/>
          <w:trHeight w:val="145"/>
        </w:trPr>
        <w:tc>
          <w:tcPr>
            <w:tcW w:w="545" w:type="dxa"/>
            <w:noWrap/>
            <w:hideMark/>
          </w:tcPr>
          <w:p w14:paraId="27419AE4" w14:textId="77777777" w:rsidR="00A91584" w:rsidRPr="00DC3EEF" w:rsidRDefault="00A91584" w:rsidP="00A91584">
            <w:pPr>
              <w:contextualSpacing/>
              <w:jc w:val="both"/>
              <w:rPr>
                <w:sz w:val="20"/>
                <w:szCs w:val="20"/>
              </w:rPr>
            </w:pPr>
            <w:r w:rsidRPr="00DC3EEF">
              <w:rPr>
                <w:sz w:val="20"/>
                <w:szCs w:val="20"/>
              </w:rPr>
              <w:t>35</w:t>
            </w:r>
          </w:p>
        </w:tc>
        <w:tc>
          <w:tcPr>
            <w:tcW w:w="3661" w:type="dxa"/>
            <w:noWrap/>
            <w:hideMark/>
          </w:tcPr>
          <w:p w14:paraId="1ADFD973" w14:textId="77777777" w:rsidR="00A91584" w:rsidRPr="00DC3EEF" w:rsidRDefault="00A91584" w:rsidP="00A91584">
            <w:pPr>
              <w:contextualSpacing/>
              <w:jc w:val="both"/>
              <w:rPr>
                <w:sz w:val="20"/>
                <w:szCs w:val="20"/>
              </w:rPr>
            </w:pPr>
            <w:r w:rsidRPr="00DC3EEF">
              <w:rPr>
                <w:sz w:val="20"/>
                <w:szCs w:val="20"/>
              </w:rPr>
              <w:t>Pärnu linn</w:t>
            </w:r>
          </w:p>
        </w:tc>
        <w:tc>
          <w:tcPr>
            <w:tcW w:w="2907" w:type="dxa"/>
            <w:noWrap/>
            <w:hideMark/>
          </w:tcPr>
          <w:p w14:paraId="18A5C23C" w14:textId="77777777" w:rsidR="00A91584" w:rsidRPr="00DC3EEF" w:rsidRDefault="00A91584" w:rsidP="00A91584">
            <w:pPr>
              <w:contextualSpacing/>
              <w:jc w:val="center"/>
              <w:rPr>
                <w:sz w:val="20"/>
                <w:szCs w:val="20"/>
              </w:rPr>
            </w:pPr>
            <w:r w:rsidRPr="00DC3EEF">
              <w:rPr>
                <w:sz w:val="20"/>
                <w:szCs w:val="20"/>
              </w:rPr>
              <w:t>24 904</w:t>
            </w:r>
          </w:p>
        </w:tc>
        <w:tc>
          <w:tcPr>
            <w:tcW w:w="1420" w:type="dxa"/>
            <w:noWrap/>
            <w:hideMark/>
          </w:tcPr>
          <w:p w14:paraId="2A1926C7" w14:textId="4EF3C5F8"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21F175DD" w14:textId="354C0BBA" w:rsidR="00A91584" w:rsidRPr="007F7A07" w:rsidRDefault="00A91584" w:rsidP="00A91584">
            <w:pPr>
              <w:contextualSpacing/>
              <w:jc w:val="center"/>
              <w:rPr>
                <w:sz w:val="20"/>
                <w:szCs w:val="20"/>
              </w:rPr>
            </w:pPr>
            <w:r w:rsidRPr="00CF30AC">
              <w:rPr>
                <w:sz w:val="20"/>
                <w:szCs w:val="20"/>
              </w:rPr>
              <w:t>…*%</w:t>
            </w:r>
          </w:p>
        </w:tc>
      </w:tr>
      <w:tr w:rsidR="00A91584" w:rsidRPr="00DC3EEF" w14:paraId="773E7FC7" w14:textId="77777777" w:rsidTr="00DC3EEF">
        <w:trPr>
          <w:cantSplit/>
          <w:trHeight w:val="145"/>
        </w:trPr>
        <w:tc>
          <w:tcPr>
            <w:tcW w:w="545" w:type="dxa"/>
            <w:noWrap/>
            <w:hideMark/>
          </w:tcPr>
          <w:p w14:paraId="7F48F7CC" w14:textId="77777777" w:rsidR="00A91584" w:rsidRPr="00DC3EEF" w:rsidRDefault="00A91584" w:rsidP="00A91584">
            <w:pPr>
              <w:contextualSpacing/>
              <w:jc w:val="both"/>
              <w:rPr>
                <w:sz w:val="20"/>
                <w:szCs w:val="20"/>
              </w:rPr>
            </w:pPr>
            <w:r w:rsidRPr="00DC3EEF">
              <w:rPr>
                <w:sz w:val="20"/>
                <w:szCs w:val="20"/>
              </w:rPr>
              <w:t>36</w:t>
            </w:r>
          </w:p>
        </w:tc>
        <w:tc>
          <w:tcPr>
            <w:tcW w:w="3661" w:type="dxa"/>
            <w:noWrap/>
            <w:hideMark/>
          </w:tcPr>
          <w:p w14:paraId="2D5752B5" w14:textId="77777777" w:rsidR="00A91584" w:rsidRPr="00DC3EEF" w:rsidRDefault="00A91584" w:rsidP="00A91584">
            <w:pPr>
              <w:contextualSpacing/>
              <w:jc w:val="both"/>
              <w:rPr>
                <w:sz w:val="20"/>
                <w:szCs w:val="20"/>
              </w:rPr>
            </w:pPr>
            <w:r w:rsidRPr="00DC3EEF">
              <w:rPr>
                <w:sz w:val="20"/>
                <w:szCs w:val="20"/>
              </w:rPr>
              <w:t>Rapla maakond v.a linnad</w:t>
            </w:r>
          </w:p>
        </w:tc>
        <w:tc>
          <w:tcPr>
            <w:tcW w:w="2907" w:type="dxa"/>
            <w:noWrap/>
            <w:hideMark/>
          </w:tcPr>
          <w:p w14:paraId="0A0CBE80" w14:textId="77777777" w:rsidR="00A91584" w:rsidRPr="00DC3EEF" w:rsidRDefault="00A91584" w:rsidP="00A91584">
            <w:pPr>
              <w:contextualSpacing/>
              <w:jc w:val="center"/>
              <w:rPr>
                <w:sz w:val="20"/>
                <w:szCs w:val="20"/>
              </w:rPr>
            </w:pPr>
            <w:r w:rsidRPr="00DC3EEF">
              <w:rPr>
                <w:sz w:val="20"/>
                <w:szCs w:val="20"/>
              </w:rPr>
              <w:t>20 249</w:t>
            </w:r>
          </w:p>
        </w:tc>
        <w:tc>
          <w:tcPr>
            <w:tcW w:w="1420" w:type="dxa"/>
            <w:noWrap/>
            <w:hideMark/>
          </w:tcPr>
          <w:p w14:paraId="25F4F8B0" w14:textId="5C30E923"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41F536A7" w14:textId="333A87F6" w:rsidR="00A91584" w:rsidRPr="007F7A07" w:rsidRDefault="00A91584" w:rsidP="00A91584">
            <w:pPr>
              <w:contextualSpacing/>
              <w:jc w:val="center"/>
              <w:rPr>
                <w:sz w:val="20"/>
                <w:szCs w:val="20"/>
              </w:rPr>
            </w:pPr>
            <w:r w:rsidRPr="00CF30AC">
              <w:rPr>
                <w:sz w:val="20"/>
                <w:szCs w:val="20"/>
              </w:rPr>
              <w:t>…*%</w:t>
            </w:r>
          </w:p>
        </w:tc>
      </w:tr>
      <w:tr w:rsidR="00A91584" w:rsidRPr="00DC3EEF" w14:paraId="1C429CF0" w14:textId="77777777" w:rsidTr="00DC3EEF">
        <w:trPr>
          <w:cantSplit/>
          <w:trHeight w:val="145"/>
        </w:trPr>
        <w:tc>
          <w:tcPr>
            <w:tcW w:w="545" w:type="dxa"/>
            <w:noWrap/>
            <w:hideMark/>
          </w:tcPr>
          <w:p w14:paraId="33B8F0B3" w14:textId="77777777" w:rsidR="00A91584" w:rsidRPr="00DC3EEF" w:rsidRDefault="00A91584" w:rsidP="00A91584">
            <w:pPr>
              <w:contextualSpacing/>
              <w:jc w:val="both"/>
              <w:rPr>
                <w:sz w:val="20"/>
                <w:szCs w:val="20"/>
              </w:rPr>
            </w:pPr>
            <w:r w:rsidRPr="00DC3EEF">
              <w:rPr>
                <w:sz w:val="20"/>
                <w:szCs w:val="20"/>
              </w:rPr>
              <w:t>37</w:t>
            </w:r>
          </w:p>
        </w:tc>
        <w:tc>
          <w:tcPr>
            <w:tcW w:w="3661" w:type="dxa"/>
            <w:noWrap/>
            <w:hideMark/>
          </w:tcPr>
          <w:p w14:paraId="58F6E329" w14:textId="77777777" w:rsidR="00A91584" w:rsidRPr="00DC3EEF" w:rsidRDefault="00A91584" w:rsidP="00A91584">
            <w:pPr>
              <w:contextualSpacing/>
              <w:jc w:val="both"/>
              <w:rPr>
                <w:sz w:val="20"/>
                <w:szCs w:val="20"/>
              </w:rPr>
            </w:pPr>
            <w:r w:rsidRPr="00DC3EEF">
              <w:rPr>
                <w:sz w:val="20"/>
                <w:szCs w:val="20"/>
              </w:rPr>
              <w:t xml:space="preserve">Rapla linn </w:t>
            </w:r>
          </w:p>
        </w:tc>
        <w:tc>
          <w:tcPr>
            <w:tcW w:w="2907" w:type="dxa"/>
            <w:noWrap/>
            <w:hideMark/>
          </w:tcPr>
          <w:p w14:paraId="12757776" w14:textId="77777777" w:rsidR="00A91584" w:rsidRPr="00DC3EEF" w:rsidRDefault="00A91584" w:rsidP="00A91584">
            <w:pPr>
              <w:contextualSpacing/>
              <w:jc w:val="center"/>
              <w:rPr>
                <w:sz w:val="20"/>
                <w:szCs w:val="20"/>
              </w:rPr>
            </w:pPr>
            <w:r w:rsidRPr="00DC3EEF">
              <w:rPr>
                <w:sz w:val="20"/>
                <w:szCs w:val="20"/>
              </w:rPr>
              <w:t>3 021</w:t>
            </w:r>
          </w:p>
        </w:tc>
        <w:tc>
          <w:tcPr>
            <w:tcW w:w="1420" w:type="dxa"/>
            <w:noWrap/>
            <w:hideMark/>
          </w:tcPr>
          <w:p w14:paraId="3F749BFF" w14:textId="792BDA2A"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77914CF7" w14:textId="012D2820" w:rsidR="00A91584" w:rsidRPr="007F7A07" w:rsidRDefault="00A91584" w:rsidP="00A91584">
            <w:pPr>
              <w:contextualSpacing/>
              <w:jc w:val="center"/>
              <w:rPr>
                <w:sz w:val="20"/>
                <w:szCs w:val="20"/>
              </w:rPr>
            </w:pPr>
            <w:r w:rsidRPr="00CF30AC">
              <w:rPr>
                <w:sz w:val="20"/>
                <w:szCs w:val="20"/>
              </w:rPr>
              <w:t>…*%</w:t>
            </w:r>
          </w:p>
        </w:tc>
      </w:tr>
      <w:tr w:rsidR="00A91584" w:rsidRPr="00DC3EEF" w14:paraId="16E07D35" w14:textId="77777777" w:rsidTr="00DC3EEF">
        <w:trPr>
          <w:cantSplit/>
          <w:trHeight w:val="145"/>
        </w:trPr>
        <w:tc>
          <w:tcPr>
            <w:tcW w:w="545" w:type="dxa"/>
            <w:noWrap/>
            <w:hideMark/>
          </w:tcPr>
          <w:p w14:paraId="428B6ABF" w14:textId="77777777" w:rsidR="00A91584" w:rsidRPr="00DC3EEF" w:rsidRDefault="00A91584" w:rsidP="00A91584">
            <w:pPr>
              <w:contextualSpacing/>
              <w:jc w:val="both"/>
              <w:rPr>
                <w:sz w:val="20"/>
                <w:szCs w:val="20"/>
              </w:rPr>
            </w:pPr>
            <w:r w:rsidRPr="00DC3EEF">
              <w:rPr>
                <w:sz w:val="20"/>
                <w:szCs w:val="20"/>
              </w:rPr>
              <w:t>38</w:t>
            </w:r>
          </w:p>
        </w:tc>
        <w:tc>
          <w:tcPr>
            <w:tcW w:w="3661" w:type="dxa"/>
            <w:noWrap/>
            <w:hideMark/>
          </w:tcPr>
          <w:p w14:paraId="798AE6C4" w14:textId="77777777" w:rsidR="00A91584" w:rsidRPr="00DC3EEF" w:rsidRDefault="00A91584" w:rsidP="00A91584">
            <w:pPr>
              <w:contextualSpacing/>
              <w:jc w:val="both"/>
              <w:rPr>
                <w:sz w:val="20"/>
                <w:szCs w:val="20"/>
              </w:rPr>
            </w:pPr>
            <w:r w:rsidRPr="00DC3EEF">
              <w:rPr>
                <w:sz w:val="20"/>
                <w:szCs w:val="20"/>
              </w:rPr>
              <w:t>Saare maakond v.a linnad</w:t>
            </w:r>
          </w:p>
        </w:tc>
        <w:tc>
          <w:tcPr>
            <w:tcW w:w="2907" w:type="dxa"/>
            <w:noWrap/>
            <w:hideMark/>
          </w:tcPr>
          <w:p w14:paraId="60C3F50C" w14:textId="77777777" w:rsidR="00A91584" w:rsidRPr="00DC3EEF" w:rsidRDefault="00A91584" w:rsidP="00A91584">
            <w:pPr>
              <w:contextualSpacing/>
              <w:jc w:val="center"/>
              <w:rPr>
                <w:sz w:val="20"/>
                <w:szCs w:val="20"/>
              </w:rPr>
            </w:pPr>
            <w:r w:rsidRPr="00DC3EEF">
              <w:rPr>
                <w:sz w:val="20"/>
                <w:szCs w:val="20"/>
              </w:rPr>
              <w:t>13 643</w:t>
            </w:r>
          </w:p>
        </w:tc>
        <w:tc>
          <w:tcPr>
            <w:tcW w:w="1420" w:type="dxa"/>
            <w:noWrap/>
            <w:hideMark/>
          </w:tcPr>
          <w:p w14:paraId="589CB356" w14:textId="75D6FE4E"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0E98CC40" w14:textId="237ECAEA" w:rsidR="00A91584" w:rsidRPr="007F7A07" w:rsidRDefault="00A91584" w:rsidP="00A91584">
            <w:pPr>
              <w:contextualSpacing/>
              <w:jc w:val="center"/>
              <w:rPr>
                <w:sz w:val="20"/>
                <w:szCs w:val="20"/>
              </w:rPr>
            </w:pPr>
            <w:r w:rsidRPr="00CF30AC">
              <w:rPr>
                <w:sz w:val="20"/>
                <w:szCs w:val="20"/>
              </w:rPr>
              <w:t>…*%</w:t>
            </w:r>
          </w:p>
        </w:tc>
      </w:tr>
      <w:tr w:rsidR="00A91584" w:rsidRPr="00DC3EEF" w14:paraId="0E275EE6" w14:textId="77777777" w:rsidTr="00DC3EEF">
        <w:trPr>
          <w:cantSplit/>
          <w:trHeight w:val="145"/>
        </w:trPr>
        <w:tc>
          <w:tcPr>
            <w:tcW w:w="545" w:type="dxa"/>
            <w:noWrap/>
            <w:hideMark/>
          </w:tcPr>
          <w:p w14:paraId="3D301872" w14:textId="77777777" w:rsidR="00A91584" w:rsidRPr="00DC3EEF" w:rsidRDefault="00A91584" w:rsidP="00A91584">
            <w:pPr>
              <w:contextualSpacing/>
              <w:jc w:val="both"/>
              <w:rPr>
                <w:sz w:val="20"/>
                <w:szCs w:val="20"/>
              </w:rPr>
            </w:pPr>
            <w:r w:rsidRPr="00DC3EEF">
              <w:rPr>
                <w:sz w:val="20"/>
                <w:szCs w:val="20"/>
              </w:rPr>
              <w:t>39</w:t>
            </w:r>
          </w:p>
        </w:tc>
        <w:tc>
          <w:tcPr>
            <w:tcW w:w="3661" w:type="dxa"/>
            <w:noWrap/>
            <w:hideMark/>
          </w:tcPr>
          <w:p w14:paraId="79269E1C" w14:textId="77777777" w:rsidR="00A91584" w:rsidRPr="00DC3EEF" w:rsidRDefault="00A91584" w:rsidP="00A91584">
            <w:pPr>
              <w:contextualSpacing/>
              <w:jc w:val="both"/>
              <w:rPr>
                <w:sz w:val="20"/>
                <w:szCs w:val="20"/>
              </w:rPr>
            </w:pPr>
            <w:r w:rsidRPr="00DC3EEF">
              <w:rPr>
                <w:sz w:val="20"/>
                <w:szCs w:val="20"/>
              </w:rPr>
              <w:t xml:space="preserve">Kuressaare linn </w:t>
            </w:r>
          </w:p>
        </w:tc>
        <w:tc>
          <w:tcPr>
            <w:tcW w:w="2907" w:type="dxa"/>
            <w:noWrap/>
            <w:hideMark/>
          </w:tcPr>
          <w:p w14:paraId="598C8A10" w14:textId="77777777" w:rsidR="00A91584" w:rsidRPr="00DC3EEF" w:rsidRDefault="00A91584" w:rsidP="00A91584">
            <w:pPr>
              <w:contextualSpacing/>
              <w:jc w:val="center"/>
              <w:rPr>
                <w:sz w:val="20"/>
                <w:szCs w:val="20"/>
              </w:rPr>
            </w:pPr>
            <w:r w:rsidRPr="00DC3EEF">
              <w:rPr>
                <w:sz w:val="20"/>
                <w:szCs w:val="20"/>
              </w:rPr>
              <w:t>7 545</w:t>
            </w:r>
          </w:p>
        </w:tc>
        <w:tc>
          <w:tcPr>
            <w:tcW w:w="1420" w:type="dxa"/>
            <w:noWrap/>
            <w:hideMark/>
          </w:tcPr>
          <w:p w14:paraId="7F99653F" w14:textId="5ADB2880"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3ACE0F22" w14:textId="45A72D88" w:rsidR="00A91584" w:rsidRPr="007F7A07" w:rsidRDefault="00A91584" w:rsidP="00A91584">
            <w:pPr>
              <w:contextualSpacing/>
              <w:jc w:val="center"/>
              <w:rPr>
                <w:sz w:val="20"/>
                <w:szCs w:val="20"/>
              </w:rPr>
            </w:pPr>
            <w:r w:rsidRPr="00CF30AC">
              <w:rPr>
                <w:sz w:val="20"/>
                <w:szCs w:val="20"/>
              </w:rPr>
              <w:t>…*%</w:t>
            </w:r>
          </w:p>
        </w:tc>
      </w:tr>
      <w:tr w:rsidR="00A91584" w:rsidRPr="00DC3EEF" w14:paraId="4B89C40F" w14:textId="77777777" w:rsidTr="00DC3EEF">
        <w:trPr>
          <w:cantSplit/>
          <w:trHeight w:val="145"/>
        </w:trPr>
        <w:tc>
          <w:tcPr>
            <w:tcW w:w="545" w:type="dxa"/>
            <w:noWrap/>
            <w:hideMark/>
          </w:tcPr>
          <w:p w14:paraId="17706557" w14:textId="77777777" w:rsidR="00A91584" w:rsidRPr="00DC3EEF" w:rsidRDefault="00A91584" w:rsidP="00A91584">
            <w:pPr>
              <w:contextualSpacing/>
              <w:jc w:val="both"/>
              <w:rPr>
                <w:sz w:val="20"/>
                <w:szCs w:val="20"/>
              </w:rPr>
            </w:pPr>
            <w:r w:rsidRPr="00DC3EEF">
              <w:rPr>
                <w:sz w:val="20"/>
                <w:szCs w:val="20"/>
              </w:rPr>
              <w:t>40</w:t>
            </w:r>
          </w:p>
        </w:tc>
        <w:tc>
          <w:tcPr>
            <w:tcW w:w="3661" w:type="dxa"/>
            <w:noWrap/>
            <w:hideMark/>
          </w:tcPr>
          <w:p w14:paraId="4DEC6E88" w14:textId="5071EA5E" w:rsidR="00A91584" w:rsidRPr="00DC3EEF" w:rsidRDefault="00A91584" w:rsidP="00A91584">
            <w:pPr>
              <w:contextualSpacing/>
              <w:jc w:val="both"/>
              <w:rPr>
                <w:sz w:val="20"/>
                <w:szCs w:val="20"/>
              </w:rPr>
            </w:pPr>
            <w:r w:rsidRPr="00DC3EEF">
              <w:rPr>
                <w:sz w:val="20"/>
                <w:szCs w:val="20"/>
              </w:rPr>
              <w:t>Tartu maakond v.a linnad</w:t>
            </w:r>
          </w:p>
        </w:tc>
        <w:tc>
          <w:tcPr>
            <w:tcW w:w="2907" w:type="dxa"/>
            <w:noWrap/>
            <w:hideMark/>
          </w:tcPr>
          <w:p w14:paraId="02592C87" w14:textId="77777777" w:rsidR="00A91584" w:rsidRPr="00DC3EEF" w:rsidRDefault="00A91584" w:rsidP="00A91584">
            <w:pPr>
              <w:contextualSpacing/>
              <w:jc w:val="center"/>
              <w:rPr>
                <w:sz w:val="20"/>
                <w:szCs w:val="20"/>
              </w:rPr>
            </w:pPr>
            <w:r w:rsidRPr="00DC3EEF">
              <w:rPr>
                <w:sz w:val="20"/>
                <w:szCs w:val="20"/>
              </w:rPr>
              <w:t>35 688</w:t>
            </w:r>
          </w:p>
        </w:tc>
        <w:tc>
          <w:tcPr>
            <w:tcW w:w="1420" w:type="dxa"/>
            <w:noWrap/>
            <w:hideMark/>
          </w:tcPr>
          <w:p w14:paraId="320DF7B5" w14:textId="35839D5E"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5CE4AB3A" w14:textId="16ECC977" w:rsidR="00A91584" w:rsidRPr="007F7A07" w:rsidRDefault="00A91584" w:rsidP="00A91584">
            <w:pPr>
              <w:contextualSpacing/>
              <w:jc w:val="center"/>
              <w:rPr>
                <w:sz w:val="20"/>
                <w:szCs w:val="20"/>
              </w:rPr>
            </w:pPr>
            <w:r w:rsidRPr="00CF30AC">
              <w:rPr>
                <w:sz w:val="20"/>
                <w:szCs w:val="20"/>
              </w:rPr>
              <w:t>…*%</w:t>
            </w:r>
          </w:p>
        </w:tc>
      </w:tr>
      <w:tr w:rsidR="00A91584" w:rsidRPr="00DC3EEF" w14:paraId="1887F034" w14:textId="77777777" w:rsidTr="00DC3EEF">
        <w:trPr>
          <w:cantSplit/>
          <w:trHeight w:val="145"/>
        </w:trPr>
        <w:tc>
          <w:tcPr>
            <w:tcW w:w="545" w:type="dxa"/>
            <w:noWrap/>
            <w:hideMark/>
          </w:tcPr>
          <w:p w14:paraId="7F33542E" w14:textId="77777777" w:rsidR="00A91584" w:rsidRPr="00DC3EEF" w:rsidRDefault="00A91584" w:rsidP="00A91584">
            <w:pPr>
              <w:contextualSpacing/>
              <w:jc w:val="both"/>
              <w:rPr>
                <w:sz w:val="20"/>
                <w:szCs w:val="20"/>
              </w:rPr>
            </w:pPr>
            <w:r w:rsidRPr="00DC3EEF">
              <w:rPr>
                <w:sz w:val="20"/>
                <w:szCs w:val="20"/>
              </w:rPr>
              <w:t>41</w:t>
            </w:r>
          </w:p>
        </w:tc>
        <w:tc>
          <w:tcPr>
            <w:tcW w:w="3661" w:type="dxa"/>
            <w:noWrap/>
            <w:hideMark/>
          </w:tcPr>
          <w:p w14:paraId="6F3155A7" w14:textId="77777777" w:rsidR="00A91584" w:rsidRPr="00DC3EEF" w:rsidRDefault="00A91584" w:rsidP="00A91584">
            <w:pPr>
              <w:contextualSpacing/>
              <w:jc w:val="both"/>
              <w:rPr>
                <w:sz w:val="20"/>
                <w:szCs w:val="20"/>
              </w:rPr>
            </w:pPr>
            <w:r w:rsidRPr="00DC3EEF">
              <w:rPr>
                <w:sz w:val="20"/>
                <w:szCs w:val="20"/>
              </w:rPr>
              <w:t xml:space="preserve">Tartu linn </w:t>
            </w:r>
          </w:p>
        </w:tc>
        <w:tc>
          <w:tcPr>
            <w:tcW w:w="2907" w:type="dxa"/>
            <w:noWrap/>
            <w:hideMark/>
          </w:tcPr>
          <w:p w14:paraId="52AFEC11" w14:textId="77777777" w:rsidR="00A91584" w:rsidRPr="00DC3EEF" w:rsidRDefault="00A91584" w:rsidP="00A91584">
            <w:pPr>
              <w:contextualSpacing/>
              <w:jc w:val="center"/>
              <w:rPr>
                <w:sz w:val="20"/>
                <w:szCs w:val="20"/>
              </w:rPr>
            </w:pPr>
            <w:r w:rsidRPr="00DC3EEF">
              <w:rPr>
                <w:sz w:val="20"/>
                <w:szCs w:val="20"/>
              </w:rPr>
              <w:t>55 267</w:t>
            </w:r>
          </w:p>
        </w:tc>
        <w:tc>
          <w:tcPr>
            <w:tcW w:w="1420" w:type="dxa"/>
            <w:noWrap/>
            <w:hideMark/>
          </w:tcPr>
          <w:p w14:paraId="42002084" w14:textId="44DD3D48"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19EC47B7" w14:textId="43B2D674" w:rsidR="00A91584" w:rsidRPr="007F7A07" w:rsidRDefault="00A91584" w:rsidP="00A91584">
            <w:pPr>
              <w:contextualSpacing/>
              <w:jc w:val="center"/>
              <w:rPr>
                <w:sz w:val="20"/>
                <w:szCs w:val="20"/>
              </w:rPr>
            </w:pPr>
            <w:r w:rsidRPr="00CF30AC">
              <w:rPr>
                <w:sz w:val="20"/>
                <w:szCs w:val="20"/>
              </w:rPr>
              <w:t>…*%</w:t>
            </w:r>
          </w:p>
        </w:tc>
      </w:tr>
      <w:tr w:rsidR="00A91584" w:rsidRPr="00DC3EEF" w14:paraId="74F594FB" w14:textId="77777777" w:rsidTr="00DC3EEF">
        <w:trPr>
          <w:cantSplit/>
          <w:trHeight w:val="145"/>
        </w:trPr>
        <w:tc>
          <w:tcPr>
            <w:tcW w:w="545" w:type="dxa"/>
            <w:noWrap/>
            <w:hideMark/>
          </w:tcPr>
          <w:p w14:paraId="3216C1A0" w14:textId="77777777" w:rsidR="00A91584" w:rsidRPr="00DC3EEF" w:rsidRDefault="00A91584" w:rsidP="00A91584">
            <w:pPr>
              <w:contextualSpacing/>
              <w:jc w:val="both"/>
              <w:rPr>
                <w:sz w:val="20"/>
                <w:szCs w:val="20"/>
              </w:rPr>
            </w:pPr>
            <w:r w:rsidRPr="00DC3EEF">
              <w:rPr>
                <w:sz w:val="20"/>
                <w:szCs w:val="20"/>
              </w:rPr>
              <w:t>42</w:t>
            </w:r>
          </w:p>
        </w:tc>
        <w:tc>
          <w:tcPr>
            <w:tcW w:w="3661" w:type="dxa"/>
            <w:noWrap/>
            <w:hideMark/>
          </w:tcPr>
          <w:p w14:paraId="2E0EDC96" w14:textId="77777777" w:rsidR="00A91584" w:rsidRPr="00DC3EEF" w:rsidRDefault="00A91584" w:rsidP="00A91584">
            <w:pPr>
              <w:contextualSpacing/>
              <w:jc w:val="both"/>
              <w:rPr>
                <w:sz w:val="20"/>
                <w:szCs w:val="20"/>
              </w:rPr>
            </w:pPr>
            <w:r w:rsidRPr="00DC3EEF">
              <w:rPr>
                <w:sz w:val="20"/>
                <w:szCs w:val="20"/>
              </w:rPr>
              <w:t xml:space="preserve">Elva linn </w:t>
            </w:r>
          </w:p>
        </w:tc>
        <w:tc>
          <w:tcPr>
            <w:tcW w:w="2907" w:type="dxa"/>
            <w:noWrap/>
            <w:hideMark/>
          </w:tcPr>
          <w:p w14:paraId="0B312895" w14:textId="77777777" w:rsidR="00A91584" w:rsidRPr="00DC3EEF" w:rsidRDefault="00A91584" w:rsidP="00A91584">
            <w:pPr>
              <w:contextualSpacing/>
              <w:jc w:val="center"/>
              <w:rPr>
                <w:sz w:val="20"/>
                <w:szCs w:val="20"/>
              </w:rPr>
            </w:pPr>
            <w:r w:rsidRPr="00DC3EEF">
              <w:rPr>
                <w:sz w:val="20"/>
                <w:szCs w:val="20"/>
              </w:rPr>
              <w:t>3 039</w:t>
            </w:r>
          </w:p>
        </w:tc>
        <w:tc>
          <w:tcPr>
            <w:tcW w:w="1420" w:type="dxa"/>
            <w:noWrap/>
            <w:hideMark/>
          </w:tcPr>
          <w:p w14:paraId="77EE978B" w14:textId="5FFB4155"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1738B146" w14:textId="4B384547" w:rsidR="00A91584" w:rsidRPr="007F7A07" w:rsidRDefault="00A91584" w:rsidP="00A91584">
            <w:pPr>
              <w:contextualSpacing/>
              <w:jc w:val="center"/>
              <w:rPr>
                <w:sz w:val="20"/>
                <w:szCs w:val="20"/>
              </w:rPr>
            </w:pPr>
            <w:r w:rsidRPr="00CF30AC">
              <w:rPr>
                <w:sz w:val="20"/>
                <w:szCs w:val="20"/>
              </w:rPr>
              <w:t>…*%</w:t>
            </w:r>
          </w:p>
        </w:tc>
      </w:tr>
      <w:tr w:rsidR="00A91584" w:rsidRPr="00DC3EEF" w14:paraId="79D9B236" w14:textId="77777777" w:rsidTr="00DC3EEF">
        <w:trPr>
          <w:cantSplit/>
          <w:trHeight w:val="145"/>
        </w:trPr>
        <w:tc>
          <w:tcPr>
            <w:tcW w:w="545" w:type="dxa"/>
            <w:noWrap/>
            <w:hideMark/>
          </w:tcPr>
          <w:p w14:paraId="0C615720" w14:textId="77777777" w:rsidR="00A91584" w:rsidRPr="00DC3EEF" w:rsidRDefault="00A91584" w:rsidP="00A91584">
            <w:pPr>
              <w:contextualSpacing/>
              <w:jc w:val="both"/>
              <w:rPr>
                <w:sz w:val="20"/>
                <w:szCs w:val="20"/>
              </w:rPr>
            </w:pPr>
            <w:r w:rsidRPr="00DC3EEF">
              <w:rPr>
                <w:sz w:val="20"/>
                <w:szCs w:val="20"/>
              </w:rPr>
              <w:t>43</w:t>
            </w:r>
          </w:p>
        </w:tc>
        <w:tc>
          <w:tcPr>
            <w:tcW w:w="3661" w:type="dxa"/>
            <w:noWrap/>
            <w:hideMark/>
          </w:tcPr>
          <w:p w14:paraId="0D581682" w14:textId="77777777" w:rsidR="00A91584" w:rsidRPr="00DC3EEF" w:rsidRDefault="00A91584" w:rsidP="00A91584">
            <w:pPr>
              <w:contextualSpacing/>
              <w:jc w:val="both"/>
              <w:rPr>
                <w:sz w:val="20"/>
                <w:szCs w:val="20"/>
              </w:rPr>
            </w:pPr>
            <w:r w:rsidRPr="00DC3EEF">
              <w:rPr>
                <w:sz w:val="20"/>
                <w:szCs w:val="20"/>
              </w:rPr>
              <w:t>Valga maakond v.a linnad</w:t>
            </w:r>
          </w:p>
        </w:tc>
        <w:tc>
          <w:tcPr>
            <w:tcW w:w="2907" w:type="dxa"/>
            <w:noWrap/>
            <w:hideMark/>
          </w:tcPr>
          <w:p w14:paraId="07642F54" w14:textId="77777777" w:rsidR="00A91584" w:rsidRPr="00DC3EEF" w:rsidRDefault="00A91584" w:rsidP="00A91584">
            <w:pPr>
              <w:contextualSpacing/>
              <w:jc w:val="center"/>
              <w:rPr>
                <w:sz w:val="20"/>
                <w:szCs w:val="20"/>
              </w:rPr>
            </w:pPr>
            <w:r w:rsidRPr="00DC3EEF">
              <w:rPr>
                <w:sz w:val="20"/>
                <w:szCs w:val="20"/>
              </w:rPr>
              <w:t>11 172</w:t>
            </w:r>
          </w:p>
        </w:tc>
        <w:tc>
          <w:tcPr>
            <w:tcW w:w="1420" w:type="dxa"/>
            <w:noWrap/>
            <w:hideMark/>
          </w:tcPr>
          <w:p w14:paraId="2978628A" w14:textId="1CF7891E"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0A690461" w14:textId="0554C347" w:rsidR="00A91584" w:rsidRPr="007F7A07" w:rsidRDefault="00A91584" w:rsidP="00A91584">
            <w:pPr>
              <w:contextualSpacing/>
              <w:jc w:val="center"/>
              <w:rPr>
                <w:sz w:val="20"/>
                <w:szCs w:val="20"/>
              </w:rPr>
            </w:pPr>
            <w:r w:rsidRPr="00CF30AC">
              <w:rPr>
                <w:sz w:val="20"/>
                <w:szCs w:val="20"/>
              </w:rPr>
              <w:t>…*%</w:t>
            </w:r>
          </w:p>
        </w:tc>
      </w:tr>
      <w:tr w:rsidR="00A91584" w:rsidRPr="00DC3EEF" w14:paraId="3F9DABF2" w14:textId="77777777" w:rsidTr="00DC3EEF">
        <w:trPr>
          <w:cantSplit/>
          <w:trHeight w:val="145"/>
        </w:trPr>
        <w:tc>
          <w:tcPr>
            <w:tcW w:w="545" w:type="dxa"/>
            <w:noWrap/>
            <w:hideMark/>
          </w:tcPr>
          <w:p w14:paraId="2F96AB91" w14:textId="77777777" w:rsidR="00A91584" w:rsidRPr="00DC3EEF" w:rsidRDefault="00A91584" w:rsidP="00A91584">
            <w:pPr>
              <w:contextualSpacing/>
              <w:jc w:val="both"/>
              <w:rPr>
                <w:sz w:val="20"/>
                <w:szCs w:val="20"/>
              </w:rPr>
            </w:pPr>
            <w:r w:rsidRPr="00DC3EEF">
              <w:rPr>
                <w:sz w:val="20"/>
                <w:szCs w:val="20"/>
              </w:rPr>
              <w:t>44</w:t>
            </w:r>
          </w:p>
        </w:tc>
        <w:tc>
          <w:tcPr>
            <w:tcW w:w="3661" w:type="dxa"/>
            <w:noWrap/>
            <w:hideMark/>
          </w:tcPr>
          <w:p w14:paraId="4240AD85" w14:textId="77777777" w:rsidR="00A91584" w:rsidRPr="00DC3EEF" w:rsidRDefault="00A91584" w:rsidP="00A91584">
            <w:pPr>
              <w:contextualSpacing/>
              <w:jc w:val="both"/>
              <w:rPr>
                <w:sz w:val="20"/>
                <w:szCs w:val="20"/>
              </w:rPr>
            </w:pPr>
            <w:r w:rsidRPr="00DC3EEF">
              <w:rPr>
                <w:sz w:val="20"/>
                <w:szCs w:val="20"/>
              </w:rPr>
              <w:t xml:space="preserve">Valga linn </w:t>
            </w:r>
          </w:p>
        </w:tc>
        <w:tc>
          <w:tcPr>
            <w:tcW w:w="2907" w:type="dxa"/>
            <w:noWrap/>
            <w:hideMark/>
          </w:tcPr>
          <w:p w14:paraId="464DAAF9" w14:textId="77777777" w:rsidR="00A91584" w:rsidRPr="00DC3EEF" w:rsidRDefault="00A91584" w:rsidP="00A91584">
            <w:pPr>
              <w:contextualSpacing/>
              <w:jc w:val="center"/>
              <w:rPr>
                <w:sz w:val="20"/>
                <w:szCs w:val="20"/>
              </w:rPr>
            </w:pPr>
            <w:r w:rsidRPr="00DC3EEF">
              <w:rPr>
                <w:sz w:val="20"/>
                <w:szCs w:val="20"/>
              </w:rPr>
              <w:t>7 584</w:t>
            </w:r>
          </w:p>
        </w:tc>
        <w:tc>
          <w:tcPr>
            <w:tcW w:w="1420" w:type="dxa"/>
            <w:noWrap/>
            <w:hideMark/>
          </w:tcPr>
          <w:p w14:paraId="2CA4DC43" w14:textId="35A75421"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4BA2CCF5" w14:textId="27F1D668" w:rsidR="00A91584" w:rsidRPr="007F7A07" w:rsidRDefault="00A91584" w:rsidP="00A91584">
            <w:pPr>
              <w:contextualSpacing/>
              <w:jc w:val="center"/>
              <w:rPr>
                <w:sz w:val="20"/>
                <w:szCs w:val="20"/>
              </w:rPr>
            </w:pPr>
            <w:r w:rsidRPr="00CF30AC">
              <w:rPr>
                <w:sz w:val="20"/>
                <w:szCs w:val="20"/>
              </w:rPr>
              <w:t>…*%</w:t>
            </w:r>
          </w:p>
        </w:tc>
      </w:tr>
      <w:tr w:rsidR="00A91584" w:rsidRPr="00DC3EEF" w14:paraId="25E767A3" w14:textId="77777777" w:rsidTr="00DC3EEF">
        <w:trPr>
          <w:cantSplit/>
          <w:trHeight w:val="145"/>
        </w:trPr>
        <w:tc>
          <w:tcPr>
            <w:tcW w:w="545" w:type="dxa"/>
            <w:noWrap/>
            <w:hideMark/>
          </w:tcPr>
          <w:p w14:paraId="1EDA2DB2" w14:textId="77777777" w:rsidR="00A91584" w:rsidRPr="00DC3EEF" w:rsidRDefault="00A91584" w:rsidP="00A91584">
            <w:pPr>
              <w:contextualSpacing/>
              <w:jc w:val="both"/>
              <w:rPr>
                <w:sz w:val="20"/>
                <w:szCs w:val="20"/>
              </w:rPr>
            </w:pPr>
            <w:r w:rsidRPr="00DC3EEF">
              <w:rPr>
                <w:sz w:val="20"/>
                <w:szCs w:val="20"/>
              </w:rPr>
              <w:t>45</w:t>
            </w:r>
          </w:p>
        </w:tc>
        <w:tc>
          <w:tcPr>
            <w:tcW w:w="3661" w:type="dxa"/>
            <w:noWrap/>
            <w:hideMark/>
          </w:tcPr>
          <w:p w14:paraId="3317C3C8" w14:textId="77777777" w:rsidR="00A91584" w:rsidRPr="00DC3EEF" w:rsidRDefault="00A91584" w:rsidP="00A91584">
            <w:pPr>
              <w:contextualSpacing/>
              <w:jc w:val="both"/>
              <w:rPr>
                <w:sz w:val="20"/>
                <w:szCs w:val="20"/>
              </w:rPr>
            </w:pPr>
            <w:r w:rsidRPr="00DC3EEF">
              <w:rPr>
                <w:sz w:val="20"/>
                <w:szCs w:val="20"/>
              </w:rPr>
              <w:t>Viljandi maakond v.a linnad</w:t>
            </w:r>
          </w:p>
        </w:tc>
        <w:tc>
          <w:tcPr>
            <w:tcW w:w="2907" w:type="dxa"/>
            <w:noWrap/>
            <w:hideMark/>
          </w:tcPr>
          <w:p w14:paraId="31BE9963" w14:textId="77777777" w:rsidR="00A91584" w:rsidRPr="00DC3EEF" w:rsidRDefault="00A91584" w:rsidP="00A91584">
            <w:pPr>
              <w:contextualSpacing/>
              <w:jc w:val="center"/>
              <w:rPr>
                <w:sz w:val="20"/>
                <w:szCs w:val="20"/>
              </w:rPr>
            </w:pPr>
            <w:r w:rsidRPr="00DC3EEF">
              <w:rPr>
                <w:sz w:val="20"/>
                <w:szCs w:val="20"/>
              </w:rPr>
              <w:t>18 665</w:t>
            </w:r>
          </w:p>
        </w:tc>
        <w:tc>
          <w:tcPr>
            <w:tcW w:w="1420" w:type="dxa"/>
            <w:noWrap/>
            <w:hideMark/>
          </w:tcPr>
          <w:p w14:paraId="780F3A9C" w14:textId="6B667B76"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7B487618" w14:textId="3CC9B5D8" w:rsidR="00A91584" w:rsidRPr="007F7A07" w:rsidRDefault="00A91584" w:rsidP="00A91584">
            <w:pPr>
              <w:contextualSpacing/>
              <w:jc w:val="center"/>
              <w:rPr>
                <w:sz w:val="20"/>
                <w:szCs w:val="20"/>
              </w:rPr>
            </w:pPr>
            <w:r w:rsidRPr="00CF30AC">
              <w:rPr>
                <w:sz w:val="20"/>
                <w:szCs w:val="20"/>
              </w:rPr>
              <w:t>…*%</w:t>
            </w:r>
          </w:p>
        </w:tc>
      </w:tr>
      <w:tr w:rsidR="00A91584" w:rsidRPr="00DC3EEF" w14:paraId="6ACCF294" w14:textId="77777777" w:rsidTr="00DC3EEF">
        <w:trPr>
          <w:cantSplit/>
          <w:trHeight w:val="145"/>
        </w:trPr>
        <w:tc>
          <w:tcPr>
            <w:tcW w:w="545" w:type="dxa"/>
            <w:noWrap/>
            <w:hideMark/>
          </w:tcPr>
          <w:p w14:paraId="397FA7DD" w14:textId="77777777" w:rsidR="00A91584" w:rsidRPr="00DC3EEF" w:rsidRDefault="00A91584" w:rsidP="00A91584">
            <w:pPr>
              <w:contextualSpacing/>
              <w:jc w:val="both"/>
              <w:rPr>
                <w:sz w:val="20"/>
                <w:szCs w:val="20"/>
              </w:rPr>
            </w:pPr>
            <w:r w:rsidRPr="00DC3EEF">
              <w:rPr>
                <w:sz w:val="20"/>
                <w:szCs w:val="20"/>
              </w:rPr>
              <w:t>46</w:t>
            </w:r>
          </w:p>
        </w:tc>
        <w:tc>
          <w:tcPr>
            <w:tcW w:w="3661" w:type="dxa"/>
            <w:noWrap/>
            <w:hideMark/>
          </w:tcPr>
          <w:p w14:paraId="7157A658" w14:textId="77777777" w:rsidR="00A91584" w:rsidRPr="00DC3EEF" w:rsidRDefault="00A91584" w:rsidP="00A91584">
            <w:pPr>
              <w:contextualSpacing/>
              <w:jc w:val="both"/>
              <w:rPr>
                <w:sz w:val="20"/>
                <w:szCs w:val="20"/>
              </w:rPr>
            </w:pPr>
            <w:r w:rsidRPr="00DC3EEF">
              <w:rPr>
                <w:sz w:val="20"/>
                <w:szCs w:val="20"/>
              </w:rPr>
              <w:t xml:space="preserve">Viljandi linn </w:t>
            </w:r>
          </w:p>
        </w:tc>
        <w:tc>
          <w:tcPr>
            <w:tcW w:w="2907" w:type="dxa"/>
            <w:noWrap/>
            <w:hideMark/>
          </w:tcPr>
          <w:p w14:paraId="4A956EBC" w14:textId="77777777" w:rsidR="00A91584" w:rsidRPr="00DC3EEF" w:rsidRDefault="00A91584" w:rsidP="00A91584">
            <w:pPr>
              <w:contextualSpacing/>
              <w:jc w:val="center"/>
              <w:rPr>
                <w:sz w:val="20"/>
                <w:szCs w:val="20"/>
              </w:rPr>
            </w:pPr>
            <w:r w:rsidRPr="00DC3EEF">
              <w:rPr>
                <w:sz w:val="20"/>
                <w:szCs w:val="20"/>
              </w:rPr>
              <w:t>10 285</w:t>
            </w:r>
          </w:p>
        </w:tc>
        <w:tc>
          <w:tcPr>
            <w:tcW w:w="1420" w:type="dxa"/>
            <w:noWrap/>
            <w:hideMark/>
          </w:tcPr>
          <w:p w14:paraId="61C60A5F" w14:textId="3FB1E11F"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0588C3D2" w14:textId="5D91A301" w:rsidR="00A91584" w:rsidRPr="007F7A07" w:rsidRDefault="00A91584" w:rsidP="00A91584">
            <w:pPr>
              <w:contextualSpacing/>
              <w:jc w:val="center"/>
              <w:rPr>
                <w:sz w:val="20"/>
                <w:szCs w:val="20"/>
              </w:rPr>
            </w:pPr>
            <w:r w:rsidRPr="00CF30AC">
              <w:rPr>
                <w:sz w:val="20"/>
                <w:szCs w:val="20"/>
              </w:rPr>
              <w:t>…*%</w:t>
            </w:r>
          </w:p>
        </w:tc>
      </w:tr>
      <w:tr w:rsidR="00A91584" w:rsidRPr="00DC3EEF" w14:paraId="7FAB1AC2" w14:textId="77777777" w:rsidTr="00DC3EEF">
        <w:trPr>
          <w:cantSplit/>
          <w:trHeight w:val="145"/>
        </w:trPr>
        <w:tc>
          <w:tcPr>
            <w:tcW w:w="545" w:type="dxa"/>
            <w:noWrap/>
            <w:hideMark/>
          </w:tcPr>
          <w:p w14:paraId="538306CF" w14:textId="77777777" w:rsidR="00A91584" w:rsidRPr="00DC3EEF" w:rsidRDefault="00A91584" w:rsidP="00A91584">
            <w:pPr>
              <w:contextualSpacing/>
              <w:jc w:val="both"/>
              <w:rPr>
                <w:sz w:val="20"/>
                <w:szCs w:val="20"/>
              </w:rPr>
            </w:pPr>
            <w:r w:rsidRPr="00DC3EEF">
              <w:rPr>
                <w:sz w:val="20"/>
                <w:szCs w:val="20"/>
              </w:rPr>
              <w:t>47</w:t>
            </w:r>
          </w:p>
        </w:tc>
        <w:tc>
          <w:tcPr>
            <w:tcW w:w="3661" w:type="dxa"/>
            <w:noWrap/>
            <w:hideMark/>
          </w:tcPr>
          <w:p w14:paraId="64A91487" w14:textId="77777777" w:rsidR="00A91584" w:rsidRPr="00DC3EEF" w:rsidRDefault="00A91584" w:rsidP="00A91584">
            <w:pPr>
              <w:contextualSpacing/>
              <w:jc w:val="both"/>
              <w:rPr>
                <w:sz w:val="20"/>
                <w:szCs w:val="20"/>
              </w:rPr>
            </w:pPr>
            <w:r w:rsidRPr="00DC3EEF">
              <w:rPr>
                <w:sz w:val="20"/>
                <w:szCs w:val="20"/>
              </w:rPr>
              <w:t>Võru maakond v.a linnad</w:t>
            </w:r>
          </w:p>
        </w:tc>
        <w:tc>
          <w:tcPr>
            <w:tcW w:w="2907" w:type="dxa"/>
            <w:noWrap/>
            <w:hideMark/>
          </w:tcPr>
          <w:p w14:paraId="45857D5F" w14:textId="77777777" w:rsidR="00A91584" w:rsidRPr="00DC3EEF" w:rsidRDefault="00A91584" w:rsidP="00A91584">
            <w:pPr>
              <w:contextualSpacing/>
              <w:jc w:val="center"/>
              <w:rPr>
                <w:sz w:val="20"/>
                <w:szCs w:val="20"/>
              </w:rPr>
            </w:pPr>
            <w:r w:rsidRPr="00DC3EEF">
              <w:rPr>
                <w:sz w:val="20"/>
                <w:szCs w:val="20"/>
              </w:rPr>
              <w:t>16 289</w:t>
            </w:r>
          </w:p>
        </w:tc>
        <w:tc>
          <w:tcPr>
            <w:tcW w:w="1420" w:type="dxa"/>
            <w:noWrap/>
            <w:hideMark/>
          </w:tcPr>
          <w:p w14:paraId="2D2788CB" w14:textId="3C6BB5DF"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60B7A112" w14:textId="77EAA723" w:rsidR="00A91584" w:rsidRPr="007F7A07" w:rsidRDefault="00A91584" w:rsidP="00A91584">
            <w:pPr>
              <w:contextualSpacing/>
              <w:jc w:val="center"/>
              <w:rPr>
                <w:sz w:val="20"/>
                <w:szCs w:val="20"/>
              </w:rPr>
            </w:pPr>
            <w:r w:rsidRPr="00CF30AC">
              <w:rPr>
                <w:sz w:val="20"/>
                <w:szCs w:val="20"/>
              </w:rPr>
              <w:t>…*%</w:t>
            </w:r>
          </w:p>
        </w:tc>
      </w:tr>
      <w:tr w:rsidR="00A91584" w:rsidRPr="00DC3EEF" w14:paraId="5E9A954A" w14:textId="77777777" w:rsidTr="00DC3EEF">
        <w:trPr>
          <w:cantSplit/>
          <w:trHeight w:val="149"/>
        </w:trPr>
        <w:tc>
          <w:tcPr>
            <w:tcW w:w="545" w:type="dxa"/>
            <w:noWrap/>
            <w:hideMark/>
          </w:tcPr>
          <w:p w14:paraId="622E81E8" w14:textId="77777777" w:rsidR="00A91584" w:rsidRPr="00DC3EEF" w:rsidRDefault="00A91584" w:rsidP="00A91584">
            <w:pPr>
              <w:contextualSpacing/>
              <w:jc w:val="both"/>
              <w:rPr>
                <w:sz w:val="20"/>
                <w:szCs w:val="20"/>
              </w:rPr>
            </w:pPr>
            <w:r w:rsidRPr="00DC3EEF">
              <w:rPr>
                <w:sz w:val="20"/>
                <w:szCs w:val="20"/>
              </w:rPr>
              <w:t>48</w:t>
            </w:r>
          </w:p>
        </w:tc>
        <w:tc>
          <w:tcPr>
            <w:tcW w:w="3661" w:type="dxa"/>
            <w:noWrap/>
            <w:hideMark/>
          </w:tcPr>
          <w:p w14:paraId="2D3A7DD2" w14:textId="77777777" w:rsidR="00A91584" w:rsidRPr="00DC3EEF" w:rsidRDefault="00A91584" w:rsidP="00A91584">
            <w:pPr>
              <w:contextualSpacing/>
              <w:jc w:val="both"/>
              <w:rPr>
                <w:sz w:val="20"/>
                <w:szCs w:val="20"/>
              </w:rPr>
            </w:pPr>
            <w:r w:rsidRPr="00DC3EEF">
              <w:rPr>
                <w:sz w:val="20"/>
                <w:szCs w:val="20"/>
              </w:rPr>
              <w:t xml:space="preserve">Võru linn </w:t>
            </w:r>
          </w:p>
        </w:tc>
        <w:tc>
          <w:tcPr>
            <w:tcW w:w="2907" w:type="dxa"/>
            <w:noWrap/>
            <w:hideMark/>
          </w:tcPr>
          <w:p w14:paraId="37F9A147" w14:textId="77777777" w:rsidR="00A91584" w:rsidRPr="00DC3EEF" w:rsidRDefault="00A91584" w:rsidP="00A91584">
            <w:pPr>
              <w:contextualSpacing/>
              <w:jc w:val="center"/>
              <w:rPr>
                <w:sz w:val="20"/>
                <w:szCs w:val="20"/>
              </w:rPr>
            </w:pPr>
            <w:r w:rsidRPr="00DC3EEF">
              <w:rPr>
                <w:sz w:val="20"/>
                <w:szCs w:val="20"/>
              </w:rPr>
              <w:t>8 723</w:t>
            </w:r>
          </w:p>
        </w:tc>
        <w:tc>
          <w:tcPr>
            <w:tcW w:w="1420" w:type="dxa"/>
            <w:noWrap/>
            <w:hideMark/>
          </w:tcPr>
          <w:p w14:paraId="7EACFF46" w14:textId="56C54AB5" w:rsidR="00A91584" w:rsidRPr="00DC3EEF" w:rsidRDefault="00A91584" w:rsidP="00A91584">
            <w:pPr>
              <w:contextualSpacing/>
              <w:jc w:val="center"/>
              <w:rPr>
                <w:sz w:val="20"/>
                <w:szCs w:val="20"/>
              </w:rPr>
            </w:pPr>
            <w:r w:rsidRPr="00CF30AC">
              <w:rPr>
                <w:sz w:val="20"/>
                <w:szCs w:val="20"/>
              </w:rPr>
              <w:t>…*%</w:t>
            </w:r>
          </w:p>
        </w:tc>
        <w:tc>
          <w:tcPr>
            <w:tcW w:w="1245" w:type="dxa"/>
            <w:noWrap/>
            <w:hideMark/>
          </w:tcPr>
          <w:p w14:paraId="4DCA2281" w14:textId="1FC9B95F" w:rsidR="00A91584" w:rsidRPr="007F7A07" w:rsidRDefault="00A91584" w:rsidP="00A91584">
            <w:pPr>
              <w:contextualSpacing/>
              <w:jc w:val="center"/>
              <w:rPr>
                <w:sz w:val="20"/>
                <w:szCs w:val="20"/>
              </w:rPr>
            </w:pPr>
            <w:r w:rsidRPr="00CF30AC">
              <w:rPr>
                <w:sz w:val="20"/>
                <w:szCs w:val="20"/>
              </w:rPr>
              <w:t>…*%</w:t>
            </w:r>
          </w:p>
        </w:tc>
      </w:tr>
    </w:tbl>
    <w:p w14:paraId="71FF5E56" w14:textId="62685F47" w:rsidR="0019768D" w:rsidRPr="006E317E" w:rsidRDefault="00DC3EEF" w:rsidP="00AA241E">
      <w:pPr>
        <w:pStyle w:val="Pealdis"/>
        <w:jc w:val="both"/>
      </w:pPr>
      <w:r>
        <w:t xml:space="preserve">Tabel </w:t>
      </w:r>
      <w:r>
        <w:fldChar w:fldCharType="begin"/>
      </w:r>
      <w:r>
        <w:instrText xml:space="preserve"> SEQ Tabel \* ARABIC </w:instrText>
      </w:r>
      <w:r>
        <w:fldChar w:fldCharType="separate"/>
      </w:r>
      <w:r w:rsidR="00247D84">
        <w:rPr>
          <w:noProof/>
        </w:rPr>
        <w:t>22</w:t>
      </w:r>
      <w:r>
        <w:fldChar w:fldCharType="end"/>
      </w:r>
      <w:r>
        <w:t xml:space="preserve"> </w:t>
      </w:r>
      <w:r w:rsidR="0019768D" w:rsidRPr="006E317E">
        <w:t>Elu- ja äriruumide kaetus Telia ja teiste turul tegutsevate side ettevõtjate vaskpaar ja D</w:t>
      </w:r>
      <w:r>
        <w:t>O</w:t>
      </w:r>
      <w:r w:rsidR="0019768D" w:rsidRPr="006E317E">
        <w:t>CSIS 3.0 võrguga 48 eesti geograafilises piirkonnas</w:t>
      </w:r>
      <w:r w:rsidR="00095A9B">
        <w:t xml:space="preserve"> </w:t>
      </w:r>
      <w:r w:rsidR="0019768D" w:rsidRPr="006E317E">
        <w:t>(protsentides)</w:t>
      </w:r>
    </w:p>
    <w:p w14:paraId="72F97BF4" w14:textId="3E825E08" w:rsidR="0019768D" w:rsidRPr="006E317E" w:rsidRDefault="00B90069" w:rsidP="00AA241E">
      <w:pPr>
        <w:jc w:val="both"/>
      </w:pPr>
      <w:r w:rsidRPr="006E317E">
        <w:lastRenderedPageBreak/>
        <w:t xml:space="preserve">Valguskaabel </w:t>
      </w:r>
      <w:r w:rsidR="0019768D" w:rsidRPr="006E317E">
        <w:t xml:space="preserve">võrkude ja mobiilse interneti arenguga on vaskpaar kliendiliinide tähtsus nende jõudluse tõttu interneti teenuse osas oluliselt vähenenud. </w:t>
      </w:r>
    </w:p>
    <w:p w14:paraId="68153F8B" w14:textId="52D52E04" w:rsidR="0019768D" w:rsidRPr="006E317E" w:rsidRDefault="0019768D" w:rsidP="00AA241E">
      <w:pPr>
        <w:jc w:val="both"/>
      </w:pPr>
      <w:r w:rsidRPr="006E317E">
        <w:t xml:space="preserve">Tehnoloogia areng ja mobiilsidevõrkude areng on olnud märkimisväärne. Aja jooksul </w:t>
      </w:r>
      <w:r w:rsidR="000205D4">
        <w:t>on pakutud</w:t>
      </w:r>
      <w:r w:rsidRPr="006E317E">
        <w:t xml:space="preserve"> üha rohkem uusi teenuseid ning </w:t>
      </w:r>
      <w:r w:rsidR="00B72326">
        <w:t>hinnapakkumistes</w:t>
      </w:r>
      <w:r w:rsidRPr="006E317E">
        <w:t xml:space="preserve"> sisalduv andmeedastuse maht </w:t>
      </w:r>
      <w:r w:rsidR="00DD15EF">
        <w:t>on suurenenud</w:t>
      </w:r>
      <w:r w:rsidRPr="006E317E">
        <w:t xml:space="preserve">. Kuigi mobiilse interneti kiire areng </w:t>
      </w:r>
      <w:r w:rsidR="00DD15EF">
        <w:t>on nõudnud</w:t>
      </w:r>
      <w:r w:rsidRPr="006E317E">
        <w:t xml:space="preserve"> väga suuri investeeringuid ja paralleelsete infrastruktuuride ehitamist kogu Eesti territooriumil, on nende teenuste kvaliteet tõusnud ja mobiilsidevõrkude leviala suurenenud, samuti võetakse praegu aktiivselt kasutusele </w:t>
      </w:r>
      <w:r w:rsidR="009D34AC">
        <w:t>m</w:t>
      </w:r>
      <w:r w:rsidR="009D34AC" w:rsidRPr="006E317E">
        <w:t>obiilside</w:t>
      </w:r>
      <w:r w:rsidR="009D34AC">
        <w:t xml:space="preserve">võrkudes </w:t>
      </w:r>
      <w:r w:rsidRPr="006E317E">
        <w:t>5G tehnoloogiat.</w:t>
      </w:r>
    </w:p>
    <w:p w14:paraId="123393BC" w14:textId="0277C8BE" w:rsidR="0019768D" w:rsidRPr="006E317E" w:rsidRDefault="0019768D" w:rsidP="00AA241E">
      <w:pPr>
        <w:jc w:val="both"/>
      </w:pPr>
      <w:r w:rsidRPr="006E317E">
        <w:t xml:space="preserve">Võttes arvesse, et </w:t>
      </w:r>
      <w:r w:rsidR="00183BEB">
        <w:t>vaskkaabli</w:t>
      </w:r>
      <w:r w:rsidR="0005539C" w:rsidRPr="0005539C">
        <w:t xml:space="preserve">- ja </w:t>
      </w:r>
      <w:r w:rsidR="00183BEB">
        <w:t>mobiilsidevõr</w:t>
      </w:r>
      <w:r w:rsidR="0005539C" w:rsidRPr="0005539C">
        <w:t>gu internetiühenduste</w:t>
      </w:r>
      <w:r w:rsidR="005A54D1">
        <w:t xml:space="preserve"> üleriigiline</w:t>
      </w:r>
      <w:r w:rsidR="0005539C" w:rsidRPr="0005539C">
        <w:t xml:space="preserve"> </w:t>
      </w:r>
      <w:r w:rsidR="004F18E6">
        <w:t>jaeturg</w:t>
      </w:r>
      <w:r w:rsidR="0005539C">
        <w:t xml:space="preserve"> </w:t>
      </w:r>
      <w:r w:rsidRPr="006E317E">
        <w:t xml:space="preserve">hõlmab </w:t>
      </w:r>
      <w:r w:rsidR="00A83B36">
        <w:t>püsiasukohas tarbimiseks suunatud piiramatu mahuga internetiühendus</w:t>
      </w:r>
      <w:r w:rsidR="00962DAC">
        <w:t>i</w:t>
      </w:r>
      <w:r w:rsidR="00A83B36">
        <w:t xml:space="preserve"> mobiilsidevõrgu baasil</w:t>
      </w:r>
      <w:r w:rsidRPr="006E317E">
        <w:t>, on olukord muutunud ja Eestis on lisaks Teliale kogu Eesti territooriumil veel kaks mobiilsideoperaatorit Elisa ja Tele2, kellel on ulatuslik mobiilsidevõrgu leviala. Nimelt ei ole Eestis enam ainult üks operaator (Telia), kes kontrollib olulist infrastruktuuri ja kellel oleks tehnoloogilised eelised kogu Eesti territooriumil. Mobiilsideoperaatoritel on kontroll ka olulise taristu üle.</w:t>
      </w:r>
    </w:p>
    <w:p w14:paraId="5FB75DC6" w14:textId="6E328A7E" w:rsidR="0019768D" w:rsidRPr="006E317E" w:rsidRDefault="00CC40CF" w:rsidP="00AA241E">
      <w:pPr>
        <w:jc w:val="both"/>
      </w:pPr>
      <w:r w:rsidRPr="006E317E">
        <w:t xml:space="preserve">Mobiilsidevõrkudel </w:t>
      </w:r>
      <w:r w:rsidR="0019768D" w:rsidRPr="006E317E">
        <w:t>on võrreldes püsivõrkudega eripärad. Mobiilsidevõrk koosneb:</w:t>
      </w:r>
    </w:p>
    <w:p w14:paraId="43B742C6" w14:textId="567B8940" w:rsidR="0019768D" w:rsidRPr="006E317E" w:rsidRDefault="0019768D" w:rsidP="00AA241E">
      <w:pPr>
        <w:pStyle w:val="Loendilik"/>
        <w:numPr>
          <w:ilvl w:val="0"/>
          <w:numId w:val="94"/>
        </w:numPr>
        <w:jc w:val="both"/>
      </w:pPr>
      <w:r w:rsidRPr="006E317E">
        <w:t xml:space="preserve">Raadiosidejuurdepääsuvõrk (lühidalt RAN- </w:t>
      </w:r>
      <w:proofErr w:type="spellStart"/>
      <w:r w:rsidRPr="00AD2A3F">
        <w:rPr>
          <w:i/>
          <w:iCs/>
        </w:rPr>
        <w:t>radio</w:t>
      </w:r>
      <w:proofErr w:type="spellEnd"/>
      <w:r w:rsidRPr="00AD2A3F">
        <w:rPr>
          <w:i/>
          <w:iCs/>
        </w:rPr>
        <w:t xml:space="preserve"> </w:t>
      </w:r>
      <w:proofErr w:type="spellStart"/>
      <w:r w:rsidRPr="00AD2A3F">
        <w:rPr>
          <w:i/>
          <w:iCs/>
        </w:rPr>
        <w:t>access</w:t>
      </w:r>
      <w:proofErr w:type="spellEnd"/>
      <w:r w:rsidRPr="00AD2A3F">
        <w:rPr>
          <w:i/>
          <w:iCs/>
        </w:rPr>
        <w:t xml:space="preserve"> </w:t>
      </w:r>
      <w:proofErr w:type="spellStart"/>
      <w:r w:rsidRPr="00AD2A3F">
        <w:rPr>
          <w:i/>
          <w:iCs/>
        </w:rPr>
        <w:t>network</w:t>
      </w:r>
      <w:proofErr w:type="spellEnd"/>
      <w:r w:rsidRPr="006E317E">
        <w:t xml:space="preserve">) , mis moodustab ühenduse lõppseadme ja ülekandevõrgu vahel. RAN koosneb lõppseadmetest, tornidest, mastidest või metallkonstruktsioonidest, tugijaamadest, </w:t>
      </w:r>
      <w:proofErr w:type="spellStart"/>
      <w:r w:rsidRPr="006E317E">
        <w:t>repiiteritest</w:t>
      </w:r>
      <w:proofErr w:type="spellEnd"/>
      <w:r w:rsidRPr="006E317E">
        <w:t>, antennidest, tugi-jaamakontrolleritest, raadiovõrgu kontrolleritest jne;</w:t>
      </w:r>
    </w:p>
    <w:p w14:paraId="68896E4F" w14:textId="77777777" w:rsidR="0019768D" w:rsidRPr="006E317E" w:rsidRDefault="0019768D" w:rsidP="00AA241E">
      <w:pPr>
        <w:pStyle w:val="Loendilik"/>
        <w:numPr>
          <w:ilvl w:val="0"/>
          <w:numId w:val="94"/>
        </w:numPr>
        <w:jc w:val="both"/>
      </w:pPr>
      <w:r w:rsidRPr="006E317E">
        <w:t>Ülekandevõrk: mobiilsidevõrgu taristu keskne element, milles määratletakse mobiilsidevõrgu teenused ja mobiilside elektroonilise side teenuste aspektid ning mis koosneb kommuteerimis-/marsruutimisseadmetest.</w:t>
      </w:r>
    </w:p>
    <w:p w14:paraId="7B59B85E" w14:textId="1132AF18" w:rsidR="0019768D" w:rsidRPr="006E317E" w:rsidRDefault="0019768D" w:rsidP="00AA241E">
      <w:pPr>
        <w:jc w:val="both"/>
      </w:pPr>
      <w:bookmarkStart w:id="655" w:name="_Toc164846251"/>
      <w:r w:rsidRPr="006E317E">
        <w:t>Mobiilsidevõrku saab iseloomustada erinevate kriteeriumidega, nagu katvus, mobiilsete saitide arv</w:t>
      </w:r>
      <w:r w:rsidRPr="005D266E">
        <w:rPr>
          <w:vertAlign w:val="superscript"/>
        </w:rPr>
        <w:footnoteReference w:id="82"/>
      </w:r>
      <w:r w:rsidRPr="006E317E">
        <w:t xml:space="preserve"> , transpordivõrk, </w:t>
      </w:r>
      <w:r w:rsidR="000214D5">
        <w:t>valguskaabel</w:t>
      </w:r>
      <w:r w:rsidRPr="006E317E">
        <w:t xml:space="preserve"> </w:t>
      </w:r>
      <w:r w:rsidR="0007135D">
        <w:t>kliendiliin</w:t>
      </w:r>
      <w:r w:rsidRPr="006E317E">
        <w:t>ide osakaal tugijaamadesse jne.</w:t>
      </w:r>
    </w:p>
    <w:p w14:paraId="411106A1" w14:textId="499FDC65" w:rsidR="0019768D" w:rsidRPr="006E317E" w:rsidRDefault="0019768D" w:rsidP="00AA241E">
      <w:pPr>
        <w:jc w:val="both"/>
      </w:pPr>
      <w:r w:rsidRPr="006E317E">
        <w:t>Kõigi kolme mobiilsideoperaatori (Telia, Tele2 ja Elisa) võrkude katvus on kogu Eesti territooriumil ulatuslik, mis on isegi laiem kui teistel madalama jõudlusega fikseeritud tehnoloogiatel. Mobiilsidevõrgu leviala analüüs</w:t>
      </w:r>
      <w:r w:rsidR="009D34AC">
        <w:t xml:space="preserve"> on teostatud</w:t>
      </w:r>
      <w:r w:rsidRPr="006E317E">
        <w:t xml:space="preserve"> </w:t>
      </w:r>
      <w:proofErr w:type="spellStart"/>
      <w:r w:rsidR="009D34AC">
        <w:t>jaeturuanalüüsis</w:t>
      </w:r>
      <w:proofErr w:type="spellEnd"/>
      <w:r w:rsidR="009D34AC">
        <w:t xml:space="preserve"> (</w:t>
      </w:r>
      <w:r w:rsidRPr="002E251B">
        <w:t xml:space="preserve">vt punkt </w:t>
      </w:r>
      <w:r w:rsidR="000D34AE" w:rsidRPr="002E251B">
        <w:t>2</w:t>
      </w:r>
      <w:r w:rsidR="00C76435" w:rsidRPr="002E251B">
        <w:t>.</w:t>
      </w:r>
      <w:r w:rsidR="00B80610" w:rsidRPr="002E251B">
        <w:t>2</w:t>
      </w:r>
      <w:r w:rsidR="0059562A" w:rsidRPr="002E251B">
        <w:t>.3.3</w:t>
      </w:r>
      <w:r w:rsidR="009D34AC">
        <w:t>)</w:t>
      </w:r>
      <w:r w:rsidR="00C76435">
        <w:t>.</w:t>
      </w:r>
    </w:p>
    <w:p w14:paraId="45381EBD" w14:textId="42961B64" w:rsidR="0019768D" w:rsidRPr="006E317E" w:rsidRDefault="0019768D" w:rsidP="00AA241E">
      <w:pPr>
        <w:jc w:val="both"/>
      </w:pPr>
      <w:r w:rsidRPr="006E317E">
        <w:t xml:space="preserve">Ülekandevõrk on osa mobiilsidevõrgust tugijaamadest põhivõrguni ning on jagatud </w:t>
      </w:r>
      <w:r w:rsidR="0007135D">
        <w:t>kliendiliin</w:t>
      </w:r>
      <w:r w:rsidRPr="006E317E">
        <w:t xml:space="preserve">ideks, tugijaamadeks ja ülekandeliinideks. Eestis pakutakse magistraalliine, kasutades ainult </w:t>
      </w:r>
      <w:r w:rsidR="000214D5">
        <w:t>valguskaabel</w:t>
      </w:r>
      <w:r w:rsidRPr="006E317E">
        <w:t xml:space="preserve"> kiudu, kuid </w:t>
      </w:r>
      <w:r w:rsidR="0007135D">
        <w:t>kliendiliin</w:t>
      </w:r>
      <w:r w:rsidRPr="006E317E">
        <w:t xml:space="preserve">e tugijaamadesse – nii </w:t>
      </w:r>
      <w:r w:rsidR="00306F9B">
        <w:t>valgus</w:t>
      </w:r>
      <w:r w:rsidR="00306F9B" w:rsidRPr="006E317E">
        <w:t xml:space="preserve">kaabel </w:t>
      </w:r>
      <w:r w:rsidRPr="006E317E">
        <w:t xml:space="preserve">kui ka juhtmevaba lahendust. Iga mobiilsideoperaator on välja töötanud oma valguskaabel võrgud vastavalt oma elektrooniliste sidevõrkude arendamise strateegiale, kas ise võrgu välja ehitades või teistelt operaatoritelt rentides. </w:t>
      </w:r>
      <w:bookmarkEnd w:id="655"/>
    </w:p>
    <w:p w14:paraId="150000BE" w14:textId="77777777" w:rsidR="0019768D" w:rsidRPr="006E317E" w:rsidRDefault="0019768D" w:rsidP="00AA241E">
      <w:pPr>
        <w:jc w:val="both"/>
      </w:pPr>
      <w:r w:rsidRPr="006E317E">
        <w:lastRenderedPageBreak/>
        <w:t xml:space="preserve">Kuigi mobiilsidevõrgu elementide arv on erinev, järeldab reguleeriv asutus, et kõigil kolmel mobiilsideoperaatoril on kontroll olulise taristu üle, kuid mitte sel määral, et nad eraldi oleksid turgu valitseva seisundiga samaväärse majandusliku võimsusega. </w:t>
      </w:r>
    </w:p>
    <w:p w14:paraId="3C2948D3" w14:textId="243788DB" w:rsidR="0019768D" w:rsidRPr="00BE0FB7" w:rsidRDefault="0019768D" w:rsidP="00AA241E">
      <w:pPr>
        <w:spacing w:after="240"/>
        <w:jc w:val="both"/>
        <w:rPr>
          <w:b/>
          <w:bCs/>
        </w:rPr>
      </w:pPr>
      <w:r w:rsidRPr="00BE0FB7">
        <w:rPr>
          <w:b/>
          <w:bCs/>
        </w:rPr>
        <w:t>Ee</w:t>
      </w:r>
      <w:r w:rsidR="00BE0FB7">
        <w:rPr>
          <w:b/>
          <w:bCs/>
        </w:rPr>
        <w:t>l</w:t>
      </w:r>
      <w:r w:rsidRPr="00BE0FB7">
        <w:rPr>
          <w:b/>
          <w:bCs/>
        </w:rPr>
        <w:t xml:space="preserve">pool öeldut silmas pidades järeldab </w:t>
      </w:r>
      <w:r w:rsidR="00C57278" w:rsidRPr="00BE0FB7">
        <w:rPr>
          <w:b/>
          <w:bCs/>
        </w:rPr>
        <w:t>TTJA</w:t>
      </w:r>
      <w:r w:rsidRPr="00BE0FB7">
        <w:rPr>
          <w:b/>
          <w:bCs/>
        </w:rPr>
        <w:t xml:space="preserve">, et nii Telia kui ka Tele2 ja Elisa omavad kontrolli olulise elektroonilise side infrastruktuuri üle ning neil on tehnoloogilised eelised </w:t>
      </w:r>
      <w:r w:rsidR="00183BEB">
        <w:rPr>
          <w:b/>
        </w:rPr>
        <w:t>vaskkaabli</w:t>
      </w:r>
      <w:r w:rsidR="0005539C" w:rsidRPr="00BE0FB7">
        <w:rPr>
          <w:b/>
          <w:bCs/>
        </w:rPr>
        <w:t xml:space="preserve">- ja </w:t>
      </w:r>
      <w:r w:rsidR="00183BEB">
        <w:rPr>
          <w:b/>
        </w:rPr>
        <w:t>mobiilsidevõr</w:t>
      </w:r>
      <w:r w:rsidR="0005539C" w:rsidRPr="00BE0FB7">
        <w:rPr>
          <w:b/>
        </w:rPr>
        <w:t>gu</w:t>
      </w:r>
      <w:r w:rsidR="0005539C" w:rsidRPr="00BE0FB7">
        <w:rPr>
          <w:b/>
          <w:bCs/>
        </w:rPr>
        <w:t xml:space="preserve"> internetiühenduste</w:t>
      </w:r>
      <w:r w:rsidR="000B201C">
        <w:rPr>
          <w:b/>
          <w:bCs/>
        </w:rPr>
        <w:t xml:space="preserve"> üleriigilis</w:t>
      </w:r>
      <w:r w:rsidR="00C1578B">
        <w:rPr>
          <w:b/>
          <w:bCs/>
        </w:rPr>
        <w:t>el</w:t>
      </w:r>
      <w:r w:rsidR="0005539C" w:rsidRPr="00BE0FB7">
        <w:rPr>
          <w:b/>
          <w:bCs/>
        </w:rPr>
        <w:t xml:space="preserve"> </w:t>
      </w:r>
      <w:r w:rsidR="004F18E6" w:rsidRPr="00BE0FB7">
        <w:rPr>
          <w:b/>
          <w:bCs/>
        </w:rPr>
        <w:t>jaeturul</w:t>
      </w:r>
      <w:r w:rsidRPr="00BE0FB7">
        <w:rPr>
          <w:b/>
          <w:bCs/>
        </w:rPr>
        <w:t>, kuid mitte sel määral, mis võimaldab neil eraldi või ühiselt olla turgu valitseva seisundiga samaväärses majandusliku võimu seisundis.</w:t>
      </w:r>
    </w:p>
    <w:p w14:paraId="39ED86BF" w14:textId="2326AA99" w:rsidR="0019768D" w:rsidRPr="006E317E" w:rsidRDefault="0019768D" w:rsidP="00AA241E">
      <w:pPr>
        <w:pStyle w:val="Heading49"/>
        <w:numPr>
          <w:ilvl w:val="3"/>
          <w:numId w:val="66"/>
        </w:numPr>
      </w:pPr>
      <w:r w:rsidRPr="006E317E">
        <w:t xml:space="preserve">Tasakaalustava </w:t>
      </w:r>
      <w:r w:rsidR="00EE71F9">
        <w:t>ostjaj</w:t>
      </w:r>
      <w:r w:rsidRPr="006E317E">
        <w:t>õu ebapiisavus või selle puudumine</w:t>
      </w:r>
    </w:p>
    <w:p w14:paraId="685724D3" w14:textId="359FAA46" w:rsidR="0019768D" w:rsidRPr="006E317E" w:rsidRDefault="0019768D" w:rsidP="00AA241E">
      <w:pPr>
        <w:jc w:val="both"/>
      </w:pPr>
      <w:r w:rsidRPr="006E317E">
        <w:t xml:space="preserve">Tasakaalustav ostja võim lõppkasutajate tasandil on olemas siis, kui lõppkasutajal on võimalus vahetada operaator teise ettevõtja vastu, piirates sellega turgu valitseva ettevõtja turuvõimu. Kui turgu valitseva operaatori võrku ei dubleerita, on tasakaalustava ostja võim </w:t>
      </w:r>
      <w:r w:rsidR="0045590B" w:rsidRPr="006E317E">
        <w:t>jae sektoris</w:t>
      </w:r>
      <w:r w:rsidRPr="006E317E">
        <w:t xml:space="preserve"> tõenäoliselt piiratud, sest ükski teine operaator ei saa olla piisavalt oluline, et mõjutada turgu valitseva ettevõtja käitumist.</w:t>
      </w:r>
    </w:p>
    <w:p w14:paraId="722CB1E1" w14:textId="77777777" w:rsidR="0019768D" w:rsidRPr="006E317E" w:rsidRDefault="0019768D" w:rsidP="00AA241E">
      <w:pPr>
        <w:jc w:val="both"/>
      </w:pPr>
      <w:r w:rsidRPr="006E317E">
        <w:t>Kui on olemas tasakaalustav ostja võim, on oluline, et teenusepakkuja vahetamisega seotud kulud ei oleks suured ja oleksid väiksemad kui võimalik kokkuhoid.</w:t>
      </w:r>
    </w:p>
    <w:p w14:paraId="37B0EEEA" w14:textId="05B93751" w:rsidR="0019768D" w:rsidRPr="006E317E" w:rsidRDefault="00004EB0" w:rsidP="00AA241E">
      <w:pPr>
        <w:jc w:val="both"/>
      </w:pPr>
      <w:r>
        <w:t>TTJA-</w:t>
      </w:r>
      <w:proofErr w:type="spellStart"/>
      <w:r>
        <w:t>le</w:t>
      </w:r>
      <w:proofErr w:type="spellEnd"/>
      <w:r w:rsidR="0019768D" w:rsidRPr="006E317E">
        <w:t xml:space="preserve"> kättesaadava teabe kohaselt pakkusid lisaks Teliale 1. jaanuaril 2024 veel kaks operaatorit DSL-tehnoloogiaid lõppkasutajatele väga väikeses koguses</w:t>
      </w:r>
      <w:r w:rsidR="00E64A93">
        <w:t>:</w:t>
      </w:r>
      <w:r w:rsidR="0019768D" w:rsidRPr="006E317E">
        <w:t xml:space="preserve"> Elisa ja Telset  (</w:t>
      </w:r>
      <w:r w:rsidR="007F7A07">
        <w:t>…*</w:t>
      </w:r>
      <w:r w:rsidR="0019768D" w:rsidRPr="006E317E">
        <w:t xml:space="preserve"> aktiivset </w:t>
      </w:r>
      <w:r w:rsidR="0007135D">
        <w:t>kliendiliin</w:t>
      </w:r>
      <w:r w:rsidR="0019768D" w:rsidRPr="006E317E">
        <w:t>i). 1. jaanuari 2024</w:t>
      </w:r>
      <w:r>
        <w:t xml:space="preserve"> seisuga</w:t>
      </w:r>
      <w:r w:rsidR="0019768D" w:rsidRPr="006E317E">
        <w:t xml:space="preserve"> pakkusid DOCSIS-tehnoloogiat kolm operaatorit Elisa</w:t>
      </w:r>
      <w:r w:rsidR="008E5856">
        <w:t>,</w:t>
      </w:r>
      <w:r w:rsidR="0019768D" w:rsidRPr="006E317E">
        <w:t xml:space="preserve"> STV ja Telset. Kuigi need operaatorid pakuvad peamiselt ka televisiooni- ja muid teenuseid, ei saa </w:t>
      </w:r>
      <w:r w:rsidR="001425F5">
        <w:t>TTJA</w:t>
      </w:r>
      <w:r w:rsidR="0019768D" w:rsidRPr="006E317E">
        <w:t xml:space="preserve"> järeldada, et lõppkasutajad sooviksid </w:t>
      </w:r>
      <w:r w:rsidR="0032453B">
        <w:t>eelistada neid operaatoreid</w:t>
      </w:r>
      <w:r w:rsidR="0019768D" w:rsidRPr="006E317E">
        <w:t xml:space="preserve">. </w:t>
      </w:r>
    </w:p>
    <w:p w14:paraId="19CA4952" w14:textId="5BE59989" w:rsidR="0019768D" w:rsidRPr="006E317E" w:rsidRDefault="00650A67" w:rsidP="00AA241E">
      <w:pPr>
        <w:jc w:val="both"/>
      </w:pPr>
      <w:r>
        <w:t>TTJA</w:t>
      </w:r>
      <w:r w:rsidR="0019768D" w:rsidRPr="006E317E">
        <w:t xml:space="preserve"> sõnul ei tulene kompenseeriv </w:t>
      </w:r>
      <w:r w:rsidR="00EE71F9">
        <w:t>ostjaj</w:t>
      </w:r>
      <w:r w:rsidR="0019768D" w:rsidRPr="006E317E">
        <w:t>õud Eestis mitte püsi</w:t>
      </w:r>
      <w:r w:rsidR="001521DF">
        <w:t>võrgu</w:t>
      </w:r>
      <w:r w:rsidR="0019768D" w:rsidRPr="006E317E">
        <w:t xml:space="preserve">operaatorite pakutavatest väiksema jõudlusega tehnoloogiatest, vaid piiramatust mobiilsest internetist, mida mobiilsideoperaatorid pakuvad </w:t>
      </w:r>
      <w:r w:rsidR="00747E54" w:rsidRPr="00A83B36">
        <w:t>mobiilsidevõrgu baasil</w:t>
      </w:r>
      <w:r w:rsidR="00747E54">
        <w:t xml:space="preserve"> </w:t>
      </w:r>
      <w:r w:rsidR="00962DAC">
        <w:t>t</w:t>
      </w:r>
      <w:r w:rsidR="00A83B36" w:rsidRPr="00A83B36">
        <w:t>arbimiseks suunatud piiramatu mahuga internetiühendus</w:t>
      </w:r>
      <w:r w:rsidR="00565CAD">
        <w:t>te</w:t>
      </w:r>
      <w:r w:rsidR="00A83B36" w:rsidRPr="00A83B36">
        <w:t xml:space="preserve"> </w:t>
      </w:r>
      <w:r w:rsidR="00B11503">
        <w:t>teenustest</w:t>
      </w:r>
      <w:r w:rsidR="0019768D" w:rsidRPr="006E317E">
        <w:t xml:space="preserve">, kus liikuvus on võimalik ja mille liitumistasu on võrreldav väiksema jõudlusega interneti püsivõrgu liitumistasuga. Mobiilne internet pakub ka liikuvust ja lisaks sellele saab pakkuda ka televisiooni, mis on lõppkasutajate jaoks kõige kõrgemalt hinnatud </w:t>
      </w:r>
      <w:proofErr w:type="spellStart"/>
      <w:r w:rsidR="0019768D" w:rsidRPr="006E317E">
        <w:t>paketteenus</w:t>
      </w:r>
      <w:proofErr w:type="spellEnd"/>
      <w:r w:rsidR="0019768D" w:rsidRPr="006E317E">
        <w:t xml:space="preserve">. </w:t>
      </w:r>
      <w:r w:rsidR="00950E09">
        <w:t xml:space="preserve">Tasakaalustava </w:t>
      </w:r>
      <w:r w:rsidR="00EE71F9">
        <w:t>ostjaj</w:t>
      </w:r>
      <w:r w:rsidR="00950E09">
        <w:t>õu</w:t>
      </w:r>
      <w:r w:rsidR="0019768D" w:rsidRPr="006E317E">
        <w:t xml:space="preserve"> hindamisel mängib rolli ka asjaolu, et mobiilsideoperaatorite kaetus on palju laiem kui kõnealustel madalama jõudlusega interneti tavatehnoloogiatel. Seega on </w:t>
      </w:r>
      <w:r w:rsidR="00183BEB">
        <w:t>vaskkaabli</w:t>
      </w:r>
      <w:r w:rsidR="0072228B" w:rsidRPr="0072228B">
        <w:t xml:space="preserve">- ja </w:t>
      </w:r>
      <w:r w:rsidR="00183BEB">
        <w:t>mobiilsidevõr</w:t>
      </w:r>
      <w:r w:rsidR="0072228B" w:rsidRPr="0072228B">
        <w:t xml:space="preserve">gu internetiühenduste </w:t>
      </w:r>
      <w:r w:rsidR="00A33F6C">
        <w:t>üle</w:t>
      </w:r>
      <w:r w:rsidR="00882496">
        <w:t xml:space="preserve">riigilise </w:t>
      </w:r>
      <w:r w:rsidR="0072228B" w:rsidRPr="0072228B">
        <w:t xml:space="preserve">jaeturu </w:t>
      </w:r>
      <w:r w:rsidR="0019768D" w:rsidRPr="006E317E">
        <w:t xml:space="preserve">lõppkasutajatel võimalus valida </w:t>
      </w:r>
      <w:r w:rsidR="003F25B3">
        <w:t>sobiv pakett</w:t>
      </w:r>
      <w:r w:rsidR="0019768D" w:rsidRPr="006E317E">
        <w:t xml:space="preserve">, mis vastab operaatori ja tema pakutavate lõppkasutajate vajadustele (ainult </w:t>
      </w:r>
      <w:r w:rsidR="00882496">
        <w:t>i</w:t>
      </w:r>
      <w:r w:rsidR="0019768D" w:rsidRPr="006E317E">
        <w:t>nternet</w:t>
      </w:r>
      <w:r w:rsidR="003F25B3">
        <w:t>-</w:t>
      </w:r>
      <w:r w:rsidR="0019768D" w:rsidRPr="006E317E">
        <w:t xml:space="preserve"> või </w:t>
      </w:r>
      <w:proofErr w:type="spellStart"/>
      <w:r w:rsidR="0019768D" w:rsidRPr="006E317E">
        <w:t>pakettteenus</w:t>
      </w:r>
      <w:proofErr w:type="spellEnd"/>
      <w:r w:rsidR="0019768D" w:rsidRPr="006E317E">
        <w:t xml:space="preserve">), kuna mobiilsidevõrke on Eesti territooriumil korduvalt põhjalikult dubleeritud. Turuanalüüsi viimasele voorule järgnenud etapis on täheldatud ka mobiilioperaatorite kampaaniaid, mis kutsuvad lõppkasutajaid üles minema fikseeritud </w:t>
      </w:r>
      <w:r w:rsidR="00BB5FCE">
        <w:t>teenustelt</w:t>
      </w:r>
      <w:r w:rsidR="0019768D" w:rsidRPr="006E317E">
        <w:t xml:space="preserve"> üle mobiilile ja pakuvad erinevaid allahindlusi.</w:t>
      </w:r>
    </w:p>
    <w:p w14:paraId="006B9F1E" w14:textId="196B253C" w:rsidR="0019768D" w:rsidRPr="006E317E" w:rsidRDefault="00A400F1" w:rsidP="00AA241E">
      <w:pPr>
        <w:jc w:val="both"/>
      </w:pPr>
      <w:r w:rsidRPr="00A400F1">
        <w:lastRenderedPageBreak/>
        <w:t>Püsiasukohas tarbimiseks suunatud piiramatu mahuga internetiühendus</w:t>
      </w:r>
      <w:r>
        <w:t>te</w:t>
      </w:r>
      <w:r w:rsidRPr="00A400F1">
        <w:t xml:space="preserve"> mobiilsidevõrgu baasil</w:t>
      </w:r>
      <w:r>
        <w:t xml:space="preserve"> teenus</w:t>
      </w:r>
      <w:r w:rsidR="00480632">
        <w:t>e tarbimise alustamiseks</w:t>
      </w:r>
      <w:r w:rsidRPr="00A400F1">
        <w:t xml:space="preserve"> </w:t>
      </w:r>
      <w:r w:rsidR="0019768D" w:rsidRPr="006E317E">
        <w:t xml:space="preserve">vajab lõppkasutaja võrguseadet, näiteks </w:t>
      </w:r>
      <w:proofErr w:type="spellStart"/>
      <w:r w:rsidR="0019768D" w:rsidRPr="006E317E">
        <w:t>ruuterit</w:t>
      </w:r>
      <w:proofErr w:type="spellEnd"/>
      <w:r w:rsidR="0019768D" w:rsidRPr="006E317E">
        <w:t>. Telia pakub 4G või 5G rendiks (3,66</w:t>
      </w:r>
      <w:r w:rsidR="001521DF" w:rsidRPr="006E317E">
        <w:t>–</w:t>
      </w:r>
      <w:r w:rsidR="001521DF">
        <w:t xml:space="preserve"> </w:t>
      </w:r>
      <w:r w:rsidR="0019768D" w:rsidRPr="006E317E">
        <w:t xml:space="preserve">12,20 EUR kuus). Sõltuvalt tariifiplaanist pakub Tele2 </w:t>
      </w:r>
      <w:proofErr w:type="spellStart"/>
      <w:r w:rsidR="0019768D" w:rsidRPr="006E317E">
        <w:t>ruuterit</w:t>
      </w:r>
      <w:proofErr w:type="spellEnd"/>
      <w:r w:rsidR="0019768D" w:rsidRPr="006E317E">
        <w:t xml:space="preserve"> rendiks osamaksetena (5–7 EUR kuus). Lõppkasutajal on ka võimalus kasutada oma </w:t>
      </w:r>
      <w:proofErr w:type="spellStart"/>
      <w:r w:rsidR="0019768D" w:rsidRPr="006E317E">
        <w:t>ruuterit</w:t>
      </w:r>
      <w:proofErr w:type="spellEnd"/>
      <w:r w:rsidR="0019768D" w:rsidRPr="006E317E">
        <w:t xml:space="preserve">. </w:t>
      </w:r>
      <w:proofErr w:type="spellStart"/>
      <w:r w:rsidR="0019768D" w:rsidRPr="006E317E">
        <w:t>Ruuter</w:t>
      </w:r>
      <w:proofErr w:type="spellEnd"/>
      <w:r w:rsidR="0019768D" w:rsidRPr="006E317E">
        <w:t xml:space="preserve"> on vajalik ka madalama jõudlusega fikseeritud </w:t>
      </w:r>
      <w:r w:rsidR="00647EF9">
        <w:t>i</w:t>
      </w:r>
      <w:r w:rsidR="0019768D" w:rsidRPr="006E317E">
        <w:t xml:space="preserve">nterneti jaoks. Eespool öeldut arvesse võttes järeldab </w:t>
      </w:r>
      <w:r w:rsidR="00A57A0D">
        <w:t>TTJA</w:t>
      </w:r>
      <w:r w:rsidR="0019768D" w:rsidRPr="006E317E">
        <w:t xml:space="preserve">, et </w:t>
      </w:r>
      <w:r w:rsidR="00C70DD9" w:rsidRPr="00C70DD9">
        <w:t xml:space="preserve">piiramatu mahuga internetiühendused mobiilsidevõrgu baasil </w:t>
      </w:r>
      <w:r w:rsidR="0019768D" w:rsidRPr="006E317E">
        <w:t>piiramatu  mobiilse interneti kasutamise</w:t>
      </w:r>
      <w:r w:rsidR="00671B15">
        <w:t>l</w:t>
      </w:r>
      <w:r w:rsidR="0019768D" w:rsidRPr="006E317E">
        <w:t xml:space="preserve"> ei kanna lõppkasutaja liigseid kulusid.</w:t>
      </w:r>
    </w:p>
    <w:p w14:paraId="3BC3EA96" w14:textId="3477A81D" w:rsidR="0019768D" w:rsidRPr="00BE0FB7" w:rsidRDefault="0019768D" w:rsidP="00AA241E">
      <w:pPr>
        <w:spacing w:after="240"/>
        <w:jc w:val="both"/>
        <w:rPr>
          <w:b/>
          <w:bCs/>
        </w:rPr>
      </w:pPr>
      <w:r w:rsidRPr="00BE0FB7">
        <w:rPr>
          <w:b/>
          <w:bCs/>
        </w:rPr>
        <w:t>Ee</w:t>
      </w:r>
      <w:r w:rsidR="00BE0FB7" w:rsidRPr="00BE0FB7">
        <w:rPr>
          <w:b/>
          <w:bCs/>
        </w:rPr>
        <w:t>l</w:t>
      </w:r>
      <w:r w:rsidRPr="00BE0FB7">
        <w:rPr>
          <w:b/>
          <w:bCs/>
        </w:rPr>
        <w:t xml:space="preserve">pool öeldut silmas pidades on </w:t>
      </w:r>
      <w:r w:rsidR="00183BEB">
        <w:rPr>
          <w:b/>
        </w:rPr>
        <w:t>vaskkaabli</w:t>
      </w:r>
      <w:r w:rsidR="00253470" w:rsidRPr="00BE0FB7">
        <w:rPr>
          <w:b/>
          <w:bCs/>
        </w:rPr>
        <w:t xml:space="preserve">- ja </w:t>
      </w:r>
      <w:r w:rsidR="00183BEB">
        <w:rPr>
          <w:b/>
        </w:rPr>
        <w:t>mobiilsidevõr</w:t>
      </w:r>
      <w:r w:rsidR="00253470" w:rsidRPr="00BE0FB7">
        <w:rPr>
          <w:b/>
        </w:rPr>
        <w:t>gu</w:t>
      </w:r>
      <w:r w:rsidR="00253470" w:rsidRPr="00BE0FB7">
        <w:rPr>
          <w:b/>
          <w:bCs/>
        </w:rPr>
        <w:t xml:space="preserve"> internetiühenduste </w:t>
      </w:r>
      <w:r w:rsidR="00C70DD9">
        <w:rPr>
          <w:b/>
          <w:bCs/>
        </w:rPr>
        <w:t xml:space="preserve">üleriigilisel </w:t>
      </w:r>
      <w:r w:rsidR="00253470" w:rsidRPr="00BE0FB7">
        <w:rPr>
          <w:b/>
          <w:bCs/>
        </w:rPr>
        <w:t>jaeturu</w:t>
      </w:r>
      <w:r w:rsidR="00895978" w:rsidRPr="00BE0FB7">
        <w:rPr>
          <w:b/>
          <w:bCs/>
        </w:rPr>
        <w:t>l</w:t>
      </w:r>
      <w:r w:rsidR="00253470" w:rsidRPr="00BE0FB7">
        <w:rPr>
          <w:b/>
          <w:bCs/>
        </w:rPr>
        <w:t xml:space="preserve"> </w:t>
      </w:r>
      <w:r w:rsidRPr="00BE0FB7">
        <w:rPr>
          <w:b/>
          <w:bCs/>
        </w:rPr>
        <w:t xml:space="preserve">olemas tasakaalustav </w:t>
      </w:r>
      <w:r w:rsidR="00EE71F9">
        <w:rPr>
          <w:b/>
          <w:bCs/>
        </w:rPr>
        <w:t>ostjaj</w:t>
      </w:r>
      <w:r w:rsidRPr="00BE0FB7">
        <w:rPr>
          <w:b/>
          <w:bCs/>
        </w:rPr>
        <w:t>õud, sest lõppkasutajad võivad vahetada operaatorit, olenemata sellest, kus nad Eestis asuvad.</w:t>
      </w:r>
    </w:p>
    <w:p w14:paraId="59DC9075" w14:textId="00941775" w:rsidR="0019768D" w:rsidRPr="006E317E" w:rsidRDefault="006C7D4A" w:rsidP="00AA241E">
      <w:pPr>
        <w:pStyle w:val="Heading49"/>
        <w:numPr>
          <w:ilvl w:val="3"/>
          <w:numId w:val="66"/>
        </w:numPr>
      </w:pPr>
      <w:r>
        <w:t>Komplekslahendusega teenused</w:t>
      </w:r>
    </w:p>
    <w:p w14:paraId="7D9EB57D" w14:textId="171987D6" w:rsidR="0019768D" w:rsidRPr="006E317E" w:rsidRDefault="0019768D" w:rsidP="00AA241E">
      <w:pPr>
        <w:jc w:val="both"/>
      </w:pPr>
      <w:r w:rsidRPr="006E317E">
        <w:t xml:space="preserve">Teenuste </w:t>
      </w:r>
      <w:r w:rsidR="005747A4">
        <w:t>kom</w:t>
      </w:r>
      <w:r w:rsidR="007C4C11">
        <w:t xml:space="preserve">plektis müük </w:t>
      </w:r>
      <w:r w:rsidR="009B473A">
        <w:t>(</w:t>
      </w:r>
      <w:proofErr w:type="spellStart"/>
      <w:r w:rsidR="001B604B">
        <w:t>e.</w:t>
      </w:r>
      <w:proofErr w:type="spellEnd"/>
      <w:r w:rsidR="001B604B">
        <w:t xml:space="preserve"> komplekslahendusega teenused</w:t>
      </w:r>
      <w:r w:rsidR="009B473A">
        <w:t>)</w:t>
      </w:r>
      <w:r w:rsidRPr="006E317E">
        <w:t xml:space="preserve"> võib anda turgu valitsevale operaatorile eelise olukorras, kus teised operaatorid ei suuda pakkuda samaväärseid </w:t>
      </w:r>
      <w:r w:rsidR="009B473A">
        <w:t>komplekslahendusega</w:t>
      </w:r>
      <w:r w:rsidRPr="006E317E">
        <w:t xml:space="preserve"> teenuseid. Kui turgu valitseb ettevõtja, võib </w:t>
      </w:r>
      <w:r w:rsidR="005C155D">
        <w:t xml:space="preserve">komplekslahendustega </w:t>
      </w:r>
      <w:r w:rsidRPr="006E317E">
        <w:t>teenuste müük olla toiming, millega kasutatakse ära selle ettevõtja turgu valitsevat seisundit ühel turul, et laiendada seda teisele turule.</w:t>
      </w:r>
    </w:p>
    <w:p w14:paraId="4CA56635" w14:textId="07C0C356" w:rsidR="0019768D" w:rsidRPr="006E317E" w:rsidRDefault="0019768D" w:rsidP="00AA241E">
      <w:pPr>
        <w:jc w:val="both"/>
      </w:pPr>
      <w:r w:rsidRPr="006E317E">
        <w:t>Turgu valitseva operaatoriga tõhusaks konkureerimiseks peavad alternatiivsed operaatorid tegema suuri investeeringuid ja investeerima elektroonilise side võrku, et pakkuda lõppkasutajatele komplek</w:t>
      </w:r>
      <w:r w:rsidR="005C155D">
        <w:t>slahendusega</w:t>
      </w:r>
      <w:r w:rsidRPr="006E317E">
        <w:t xml:space="preserve"> teenuseid. Lisaks on infrastruktuuri ehitamine teenuste osutamiseks seotud pöördumatute kuludega.</w:t>
      </w:r>
    </w:p>
    <w:p w14:paraId="6EA89FD5" w14:textId="77777777" w:rsidR="0019768D" w:rsidRPr="006E317E" w:rsidRDefault="0019768D" w:rsidP="00AA241E">
      <w:pPr>
        <w:jc w:val="both"/>
      </w:pPr>
      <w:r w:rsidRPr="006E317E">
        <w:t>Telia pakub järgmisi seotud teenuseid:</w:t>
      </w:r>
    </w:p>
    <w:p w14:paraId="7756D9F7" w14:textId="77777777" w:rsidR="0019768D" w:rsidRPr="006E317E" w:rsidRDefault="0019768D" w:rsidP="00AA241E">
      <w:pPr>
        <w:jc w:val="both"/>
      </w:pPr>
      <w:r w:rsidRPr="006E317E">
        <w:t>Kaks ühes komplekt:</w:t>
      </w:r>
    </w:p>
    <w:p w14:paraId="59F4C992" w14:textId="77777777" w:rsidR="0019768D" w:rsidRPr="006E317E" w:rsidRDefault="0019768D" w:rsidP="00AA241E">
      <w:pPr>
        <w:pStyle w:val="Loendilik"/>
        <w:numPr>
          <w:ilvl w:val="0"/>
          <w:numId w:val="78"/>
        </w:numPr>
        <w:jc w:val="both"/>
      </w:pPr>
      <w:r w:rsidRPr="006E317E">
        <w:t>interneti püsiühendusega telefonsideinterneti püsiühendusega telefonside;</w:t>
      </w:r>
    </w:p>
    <w:p w14:paraId="1EE5D529" w14:textId="77777777" w:rsidR="0019768D" w:rsidRPr="006E317E" w:rsidRDefault="0019768D" w:rsidP="00AA241E">
      <w:pPr>
        <w:pStyle w:val="Loendilik"/>
        <w:numPr>
          <w:ilvl w:val="0"/>
          <w:numId w:val="78"/>
        </w:numPr>
        <w:jc w:val="both"/>
      </w:pPr>
      <w:r w:rsidRPr="006E317E">
        <w:t>Interneti püsiühendus televisiooniga;</w:t>
      </w:r>
    </w:p>
    <w:p w14:paraId="58A62A4B" w14:textId="2BE560D0" w:rsidR="0019768D" w:rsidRPr="006E317E" w:rsidRDefault="0019768D" w:rsidP="00AA241E">
      <w:pPr>
        <w:jc w:val="both"/>
      </w:pPr>
      <w:r w:rsidRPr="006E317E">
        <w:t>"kolm ühes" komplek</w:t>
      </w:r>
      <w:r w:rsidR="009811E5">
        <w:t>t</w:t>
      </w:r>
      <w:r w:rsidRPr="006E317E">
        <w:t>, mis sisaldab lauatelefoni internetti koos telefonside ja televisiooniga.</w:t>
      </w:r>
    </w:p>
    <w:p w14:paraId="79B15868" w14:textId="24E627A7" w:rsidR="0019768D" w:rsidRPr="006E317E" w:rsidRDefault="0019768D" w:rsidP="00AA241E">
      <w:pPr>
        <w:jc w:val="both"/>
      </w:pPr>
      <w:r w:rsidRPr="006E317E">
        <w:t xml:space="preserve">Teised madalama jõudlusega </w:t>
      </w:r>
      <w:r w:rsidR="00B82AAD">
        <w:t>i</w:t>
      </w:r>
      <w:r w:rsidRPr="006E317E">
        <w:t xml:space="preserve">nterneti-püsiteenuse pakkujad (vaskpaar ja DOCSIS) pakuvad samuti </w:t>
      </w:r>
      <w:r w:rsidR="00B82AAD">
        <w:t>ko</w:t>
      </w:r>
      <w:r w:rsidR="00B76E31">
        <w:t>m</w:t>
      </w:r>
      <w:r w:rsidR="00B82AAD">
        <w:t>pl</w:t>
      </w:r>
      <w:r w:rsidR="00AD15D7">
        <w:t xml:space="preserve">ekslahendusega </w:t>
      </w:r>
      <w:r w:rsidRPr="006E317E">
        <w:t>teenuseid.</w:t>
      </w:r>
    </w:p>
    <w:p w14:paraId="239993D4" w14:textId="5EDAB8C1" w:rsidR="0019768D" w:rsidRPr="006E317E" w:rsidRDefault="0019768D" w:rsidP="00AA241E">
      <w:pPr>
        <w:jc w:val="both"/>
      </w:pPr>
      <w:r w:rsidRPr="006E317E">
        <w:t>Võttes arvesse, et interneti aktiivsete püsiliinide koguarv on viimasel minimaalset kasvav, kuid kas on olnud peamiselt valguskaabel juurdepääsu võrkude osas ning vaskpaar ja DOCSIS 3.0 lahendusi kasutavate kli</w:t>
      </w:r>
      <w:r w:rsidR="00AD15D7">
        <w:t>e</w:t>
      </w:r>
      <w:r w:rsidRPr="006E317E">
        <w:t xml:space="preserve">ntide arv on langenud 30% võtta kuue aasta jooksul. </w:t>
      </w:r>
      <w:r w:rsidR="00AF3C01">
        <w:t>Komplekslahendusega</w:t>
      </w:r>
      <w:r w:rsidRPr="006E317E">
        <w:t xml:space="preserve"> teenuste osutamisel on elektroonilise side valdkonnas siiski oluline roll. Kõige populaarsem </w:t>
      </w:r>
      <w:r w:rsidR="00AF3C01">
        <w:t>kompleks</w:t>
      </w:r>
      <w:r w:rsidRPr="006E317E">
        <w:t>teenus</w:t>
      </w:r>
      <w:r w:rsidR="008C2077">
        <w:t>,</w:t>
      </w:r>
      <w:r w:rsidRPr="006E317E">
        <w:t xml:space="preserve"> nii Telia kui ka teiste fikseeritud operaatorite jaoks</w:t>
      </w:r>
      <w:r w:rsidR="008C2077">
        <w:t>,</w:t>
      </w:r>
      <w:r w:rsidRPr="006E317E">
        <w:t xml:space="preserve"> on fikseeritud internet koos televisiooniga, mis 1. jaanuaril 2024 moodustas 96%. </w:t>
      </w:r>
      <w:r w:rsidR="00E849B5">
        <w:t>K</w:t>
      </w:r>
      <w:r w:rsidR="0088672D">
        <w:t>omplekslahenduse</w:t>
      </w:r>
      <w:r w:rsidR="00B00A52">
        <w:t>na</w:t>
      </w:r>
      <w:r w:rsidRPr="006E317E">
        <w:t xml:space="preserve"> osutatud teenustel, sealhulgas telefonsidel, ei ole lõppkasutajate valikul otsustavat rolli. </w:t>
      </w:r>
    </w:p>
    <w:p w14:paraId="55C90435" w14:textId="644E4703" w:rsidR="0019768D" w:rsidRPr="006E317E" w:rsidRDefault="0019768D" w:rsidP="00AA241E">
      <w:pPr>
        <w:jc w:val="both"/>
      </w:pPr>
      <w:r w:rsidRPr="006E317E">
        <w:lastRenderedPageBreak/>
        <w:t xml:space="preserve">Võttes arvesse, et televisioon kui seotud paketi komponent on lõppkasutaja jaoks kõige olulisem, analüüsis </w:t>
      </w:r>
      <w:r w:rsidR="00A57A0D">
        <w:t>TTJA</w:t>
      </w:r>
      <w:r w:rsidRPr="006E317E">
        <w:t xml:space="preserve"> mobiilsideoperaatorite võimalusi pakkuda samaväärset teenust. Kui eelmises turuanalüüsi voorus ei pakkunud kõik mobiilsideoperaatorid televisiooni, siis selles turuanalüüsi voorus pakuvad seda kõik kolm mobiilsideoperaatorit, st Telia, Tele2 ja Elisa. Mobiilsideoperaatorid pakuvad koos televisiooniga ka piiramatut </w:t>
      </w:r>
      <w:r w:rsidR="00A83B36">
        <w:t>püsiasukohas t</w:t>
      </w:r>
      <w:r w:rsidR="00A83B36" w:rsidRPr="00A83B36">
        <w:t>arbimiseks suunatud piiramatu mahuga internetiühendus</w:t>
      </w:r>
      <w:r w:rsidR="00A83B36">
        <w:t xml:space="preserve">i </w:t>
      </w:r>
      <w:r w:rsidR="00A83B36" w:rsidRPr="00A83B36">
        <w:t>mobiilsidevõrgu baasil</w:t>
      </w:r>
      <w:r w:rsidR="00A83B36">
        <w:t>.</w:t>
      </w:r>
      <w:r w:rsidRPr="006E317E">
        <w:t xml:space="preserve"> Selliste lõppkasutajate arv on viimastel aastatel suurenenud, mis viitab teatavale konkurentsisurvele püsivõrkudele ka vastastikku seotud teenuste osutamise osas.</w:t>
      </w:r>
    </w:p>
    <w:p w14:paraId="1BB33714" w14:textId="58D47ED4" w:rsidR="0019768D" w:rsidRPr="006E317E" w:rsidRDefault="00A57A0D" w:rsidP="00AA241E">
      <w:pPr>
        <w:jc w:val="both"/>
      </w:pPr>
      <w:r>
        <w:t>TTJA</w:t>
      </w:r>
      <w:r w:rsidR="0019768D" w:rsidRPr="006E317E">
        <w:t xml:space="preserve"> analüüsis turu määratlemisel Interneti abonementtasu koos televisiooniga paikses ja mobiilsidevõrgus ning jõudis järeldusele, et kuni  10 Mbit/s ja kuni 30 Mbit/s andmeedastuskiirusega (koos televisiooniga) interneti püsivõrgu liitumistasu võib olla veidi kõrgem, samaväärne või veidi madalam kui </w:t>
      </w:r>
      <w:r w:rsidR="009B38CC" w:rsidRPr="009B38CC">
        <w:t xml:space="preserve">püsiasukohas tarbimiseks suunatud piiramatu mahuga internetiühendused mobiilsidevõrgu baasil </w:t>
      </w:r>
      <w:r w:rsidR="009A71A2">
        <w:t xml:space="preserve">teenuse </w:t>
      </w:r>
      <w:r w:rsidR="0019768D" w:rsidRPr="006E317E">
        <w:t xml:space="preserve">abonementtasu,  mis sõltub konkreetse mobiilsideoperaatori </w:t>
      </w:r>
      <w:r w:rsidR="009A71A2">
        <w:t>hinna</w:t>
      </w:r>
      <w:r w:rsidR="0019768D" w:rsidRPr="006E317E">
        <w:t xml:space="preserve">pakkumisest </w:t>
      </w:r>
      <w:r w:rsidR="0019768D" w:rsidRPr="002E251B">
        <w:t xml:space="preserve">(vt punkt </w:t>
      </w:r>
      <w:r w:rsidR="00BE2DCC" w:rsidRPr="002E251B">
        <w:t>2.</w:t>
      </w:r>
      <w:r w:rsidR="0019768D" w:rsidRPr="002E251B">
        <w:t>2.</w:t>
      </w:r>
      <w:r w:rsidR="0014414E" w:rsidRPr="002E251B">
        <w:t>4</w:t>
      </w:r>
      <w:r w:rsidR="00BE2DCC" w:rsidRPr="002E251B">
        <w:t>.</w:t>
      </w:r>
      <w:r w:rsidR="0014414E" w:rsidRPr="002E251B">
        <w:t>7</w:t>
      </w:r>
      <w:r w:rsidR="0019768D" w:rsidRPr="002E251B">
        <w:t>).</w:t>
      </w:r>
    </w:p>
    <w:p w14:paraId="4554BB3A" w14:textId="498D35D1" w:rsidR="0019768D" w:rsidRPr="00BE0FB7" w:rsidRDefault="0019768D" w:rsidP="00AA241E">
      <w:pPr>
        <w:spacing w:after="240"/>
        <w:jc w:val="both"/>
        <w:rPr>
          <w:b/>
          <w:bCs/>
        </w:rPr>
      </w:pPr>
      <w:r w:rsidRPr="00BE0FB7">
        <w:rPr>
          <w:b/>
          <w:bCs/>
        </w:rPr>
        <w:t>Ee</w:t>
      </w:r>
      <w:r w:rsidR="009A71A2" w:rsidRPr="00BE0FB7">
        <w:rPr>
          <w:b/>
          <w:bCs/>
        </w:rPr>
        <w:t>l</w:t>
      </w:r>
      <w:r w:rsidRPr="00BE0FB7">
        <w:rPr>
          <w:b/>
          <w:bCs/>
        </w:rPr>
        <w:t xml:space="preserve">pool öeldut silmas pidades järeldab </w:t>
      </w:r>
      <w:r w:rsidR="00A57A0D" w:rsidRPr="00BE0FB7">
        <w:rPr>
          <w:b/>
          <w:bCs/>
        </w:rPr>
        <w:t>TTJA</w:t>
      </w:r>
      <w:r w:rsidRPr="00BE0FB7">
        <w:rPr>
          <w:b/>
          <w:bCs/>
        </w:rPr>
        <w:t>, et nii Telial kui ka Elisal, Tele2-l ja STV</w:t>
      </w:r>
      <w:r w:rsidR="008E5856" w:rsidRPr="00BE0FB7">
        <w:rPr>
          <w:b/>
          <w:bCs/>
        </w:rPr>
        <w:t>-l</w:t>
      </w:r>
      <w:r w:rsidRPr="00BE0FB7">
        <w:rPr>
          <w:b/>
          <w:bCs/>
        </w:rPr>
        <w:t xml:space="preserve"> on  eeliseid </w:t>
      </w:r>
      <w:r w:rsidR="00183BEB">
        <w:rPr>
          <w:b/>
        </w:rPr>
        <w:t>vaskkaabli</w:t>
      </w:r>
      <w:r w:rsidR="0067072B" w:rsidRPr="00BE0FB7">
        <w:rPr>
          <w:b/>
          <w:bCs/>
        </w:rPr>
        <w:t xml:space="preserve">- ja </w:t>
      </w:r>
      <w:r w:rsidR="00183BEB">
        <w:rPr>
          <w:b/>
        </w:rPr>
        <w:t>mobiilsidevõr</w:t>
      </w:r>
      <w:r w:rsidR="0067072B" w:rsidRPr="00BE0FB7">
        <w:rPr>
          <w:b/>
        </w:rPr>
        <w:t>gu</w:t>
      </w:r>
      <w:r w:rsidR="0067072B" w:rsidRPr="00BE0FB7">
        <w:rPr>
          <w:b/>
          <w:bCs/>
        </w:rPr>
        <w:t xml:space="preserve"> internetiühenduste jaeturu </w:t>
      </w:r>
      <w:r w:rsidRPr="00BE0FB7">
        <w:rPr>
          <w:b/>
          <w:bCs/>
        </w:rPr>
        <w:t xml:space="preserve">teenuste sidumise osas, kuid mitte sel määral, mis eraldi või koos võimaldab neil olla turgu valitseva seisundiga samaväärses majandusliku võimsusega. </w:t>
      </w:r>
    </w:p>
    <w:p w14:paraId="2BD7BB49" w14:textId="77777777" w:rsidR="001F5D6A" w:rsidRPr="001F5D6A" w:rsidRDefault="001F5D6A" w:rsidP="00AA241E">
      <w:pPr>
        <w:pStyle w:val="Heading49"/>
        <w:numPr>
          <w:ilvl w:val="3"/>
          <w:numId w:val="66"/>
        </w:numPr>
      </w:pPr>
      <w:r w:rsidRPr="001F5D6A">
        <w:t>Mastaabisääst ja juurdepääs finantsvahenditele</w:t>
      </w:r>
    </w:p>
    <w:p w14:paraId="45D374CF" w14:textId="77777777" w:rsidR="0019768D" w:rsidRPr="006E317E" w:rsidRDefault="0019768D" w:rsidP="00AA241E">
      <w:pPr>
        <w:jc w:val="both"/>
      </w:pPr>
      <w:r w:rsidRPr="006E317E">
        <w:t>Kõrgeid struktuurseid tõkkeid võib vähendada mastaabisääst. Mastaabisääst on keskmise tootmiskulu alanemine toodangumahtude suurenemise tagajärjel. Tooteühiku kulud võivad alaneda tänu suurte sisendikoguste ostmisega kaasnevatele mahuallahindlustele, mis tõhustab tootmist. See on tingitud asjaolust, et kogutoodangu mahu suurenemisel väheneb toodanguühiku maksumus. See mõju on eriti märgatav elektroonilise side sektoris, mis olenemata lõppkasutajate arvust nõuab ulatuslikke investeeringuid elektroonilise side võrku. Suurima lõppkasutajate arvuga kaupmees saab tehtud investeeringud tõhusamalt tagasi.</w:t>
      </w:r>
    </w:p>
    <w:p w14:paraId="5C35073C" w14:textId="77777777" w:rsidR="0019768D" w:rsidRPr="006E317E" w:rsidRDefault="0019768D" w:rsidP="00AA241E">
      <w:pPr>
        <w:jc w:val="both"/>
      </w:pPr>
      <w:r w:rsidRPr="006E317E">
        <w:t xml:space="preserve">Mahusäästu eelised on majanduslik kasu, mida saab kaupmees, kes pakub mitmeid elektroonilise side teenuseid. Kauplejal, kes saab kasu mahusäästu eelistest, on tavaliselt madalamad keskmised kulud, kuna neid turustatakse suuremale hulgale pakutavatele elektroonilise side teenustele. Mastaabist ja ulatusest tulenevad majanduslikud eelised on seotud võimalike eelistega, mis suurtel operaatoritel on väiksemate ettevõtjate ees. </w:t>
      </w:r>
    </w:p>
    <w:p w14:paraId="7963610F" w14:textId="77777777" w:rsidR="0019768D" w:rsidRPr="006E317E" w:rsidRDefault="0019768D" w:rsidP="00AA241E">
      <w:pPr>
        <w:jc w:val="both"/>
      </w:pPr>
      <w:r w:rsidRPr="006E317E">
        <w:t xml:space="preserve">Elektrooniliste sideteenuste osutamiseks on vaja luua suur üleriigiline elektroonilise side infrastruktuur ja seda ülal pidada. Selleks peab operaator investeerima rahalisi vahendeid, mille kapitali tootlus on määramata. Suurel ja stabiilsel ettevõtjal võib olla lihtsam juurdepääs pangalaenudele, kapitaliturgudele ja muudele rahalistele vahenditele, mis omakorda võib anda eelise väiksemate ettevõtjate ees, kellel ei pruugi olla juurdepääsu vajalikele rahalistele vahenditele. Kui on olemas ainult üks infrastruktuur, mis suudab pakkuda Internetti riigi tasandil, </w:t>
      </w:r>
      <w:r w:rsidRPr="006E317E">
        <w:lastRenderedPageBreak/>
        <w:t>on infrastruktuuri omanikul tavaliselt eelisjuurdepääs rahalistele vahenditele. Suur hulk lõppkasutajaid ja suured tulud võivad võimaldada operaatoril investeerida elektroonilise side taristusse ja leevendada uue võrgu kasutuselevõtu korral äririske. Suure operaatori eeliseks võib olla ka see, et ta saab tootjatelt elektroonilise side võrgu seadmete ja elementide ostmiseks mahu allahindlusi.</w:t>
      </w:r>
    </w:p>
    <w:p w14:paraId="748F7B9A" w14:textId="2BACA5D9" w:rsidR="0019768D" w:rsidRPr="006E317E" w:rsidRDefault="0019768D" w:rsidP="00AA241E">
      <w:pPr>
        <w:jc w:val="both"/>
      </w:pPr>
      <w:r w:rsidRPr="006E317E">
        <w:t xml:space="preserve">Turgu valitseva ettevõtjana on </w:t>
      </w:r>
      <w:proofErr w:type="spellStart"/>
      <w:r w:rsidRPr="006E317E">
        <w:t>Telia-l</w:t>
      </w:r>
      <w:proofErr w:type="spellEnd"/>
      <w:r w:rsidRPr="006E317E">
        <w:t xml:space="preserve"> olnud oma mastaabi ja ulatuse ökonoomsuse tõttu märkimisväärseid ja praktilisi eeliseid võrreldes alternatiivsete operaatoritega interneti</w:t>
      </w:r>
      <w:r w:rsidR="0005539C">
        <w:t xml:space="preserve"> jae</w:t>
      </w:r>
      <w:r w:rsidRPr="006E317E">
        <w:t>turul. Lisaks interneti püsiühendusele pakub Telia väga laia valikut teenuseid nii jae- kui ka hulgi</w:t>
      </w:r>
      <w:r w:rsidR="0005539C">
        <w:t>turul</w:t>
      </w:r>
      <w:r w:rsidRPr="006E317E">
        <w:t xml:space="preserve">. Praegu on olukord muutunud, sest </w:t>
      </w:r>
      <w:r w:rsidR="00183BEB">
        <w:t>vaskkaabli</w:t>
      </w:r>
      <w:r w:rsidR="001A6C37" w:rsidRPr="006173A2">
        <w:t xml:space="preserve">- ja </w:t>
      </w:r>
      <w:r w:rsidR="00183BEB">
        <w:t>mobiilsidevõr</w:t>
      </w:r>
      <w:r w:rsidR="001A6C37" w:rsidRPr="006173A2">
        <w:t xml:space="preserve">gu internetiühenduste </w:t>
      </w:r>
      <w:r w:rsidR="001A6C37">
        <w:t>jaetur</w:t>
      </w:r>
      <w:r w:rsidR="00C32A36">
        <w:t xml:space="preserve">g </w:t>
      </w:r>
      <w:r w:rsidRPr="006E317E">
        <w:t xml:space="preserve">hõlmab piiramatut </w:t>
      </w:r>
      <w:r w:rsidR="00A83B36">
        <w:t>püsiasukohas tarbimiseks suunatud piiramatu mahuga internetiühendu</w:t>
      </w:r>
      <w:r w:rsidR="000D1C02">
        <w:t>si</w:t>
      </w:r>
      <w:r w:rsidR="00A83B36">
        <w:t xml:space="preserve"> mobiilsidevõrgu baasil</w:t>
      </w:r>
      <w:r w:rsidRPr="006E317E">
        <w:t>, mida pakuvad kolm mobiilsideoperaatorit, kellel on ulatuslik leviala kogu Eesti territooriumil.</w:t>
      </w:r>
    </w:p>
    <w:p w14:paraId="3F85A63A" w14:textId="7550A063" w:rsidR="0019768D" w:rsidRPr="006E317E" w:rsidRDefault="0019768D" w:rsidP="00AA241E">
      <w:pPr>
        <w:jc w:val="both"/>
      </w:pPr>
      <w:r w:rsidRPr="006E317E">
        <w:t xml:space="preserve">Selleks et analüüsida mastaabi- ja mahusäästu eeliseid ning eelisjuurdepääsu rahalistele vahenditele, võrdleb </w:t>
      </w:r>
      <w:r w:rsidR="00A57A0D">
        <w:t>TTJA</w:t>
      </w:r>
      <w:r w:rsidRPr="006E317E">
        <w:t xml:space="preserve"> suurimate operaatorite tulusid reguleeritud elektroonilise side teenuste osutamisest ning püsi- ja mobiilse interneti pakkumisest saadavat tulu (vt joonis </w:t>
      </w:r>
      <w:r w:rsidR="00C57278">
        <w:t>1</w:t>
      </w:r>
      <w:r w:rsidR="004035E5">
        <w:t>5</w:t>
      </w:r>
      <w:r w:rsidRPr="006E317E">
        <w:t xml:space="preserve"> ja joonis </w:t>
      </w:r>
      <w:r w:rsidR="00C57278">
        <w:t>1</w:t>
      </w:r>
      <w:r w:rsidR="004035E5">
        <w:t>6</w:t>
      </w:r>
      <w:r w:rsidRPr="006E317E">
        <w:t xml:space="preserve">). </w:t>
      </w:r>
    </w:p>
    <w:p w14:paraId="09F39AB7" w14:textId="7BD82544" w:rsidR="0019768D" w:rsidRPr="006E317E" w:rsidRDefault="007F7A07" w:rsidP="00AA241E">
      <w:pPr>
        <w:jc w:val="both"/>
      </w:pPr>
      <w:r>
        <w:t>…*</w:t>
      </w:r>
    </w:p>
    <w:p w14:paraId="081F09CA" w14:textId="7FA81968" w:rsidR="0019768D" w:rsidRPr="006E317E" w:rsidRDefault="00B340F5" w:rsidP="00AA241E">
      <w:pPr>
        <w:pStyle w:val="Pealdis"/>
        <w:jc w:val="both"/>
      </w:pPr>
      <w:r>
        <w:t xml:space="preserve">Joonis </w:t>
      </w:r>
      <w:r>
        <w:fldChar w:fldCharType="begin"/>
      </w:r>
      <w:r>
        <w:instrText xml:space="preserve"> SEQ Joonis \* ARABIC </w:instrText>
      </w:r>
      <w:r>
        <w:fldChar w:fldCharType="separate"/>
      </w:r>
      <w:r w:rsidR="00E5522B">
        <w:rPr>
          <w:noProof/>
        </w:rPr>
        <w:t>15</w:t>
      </w:r>
      <w:r>
        <w:fldChar w:fldCharType="end"/>
      </w:r>
      <w:r>
        <w:t xml:space="preserve"> </w:t>
      </w:r>
      <w:r w:rsidR="0019768D" w:rsidRPr="006E317E">
        <w:t>Suurimate operaatorite kogutulu reguleeritud elektroonilise side teenuste osutamisest 2022-2023. aastal, mln eurot EUR (ilma käibemaksuta)</w:t>
      </w:r>
    </w:p>
    <w:p w14:paraId="7DECE34F" w14:textId="05E7EA37" w:rsidR="0019768D" w:rsidRPr="006E317E" w:rsidRDefault="007F7A07" w:rsidP="00AA241E">
      <w:pPr>
        <w:jc w:val="both"/>
      </w:pPr>
      <w:r>
        <w:t xml:space="preserve">…*;  </w:t>
      </w:r>
      <w:r w:rsidR="0019768D" w:rsidRPr="006E317E">
        <w:t xml:space="preserve"> </w:t>
      </w:r>
      <w:r>
        <w:t>…*</w:t>
      </w:r>
      <w:r w:rsidR="0019768D" w:rsidRPr="006E317E">
        <w:t xml:space="preserve"> </w:t>
      </w:r>
    </w:p>
    <w:p w14:paraId="5A947E7E" w14:textId="4ABC57DC" w:rsidR="0019768D" w:rsidRPr="002E251B" w:rsidRDefault="00B340F5" w:rsidP="00AA241E">
      <w:pPr>
        <w:pStyle w:val="Pealdis"/>
        <w:jc w:val="both"/>
      </w:pPr>
      <w:r>
        <w:t xml:space="preserve">Joonis </w:t>
      </w:r>
      <w:r>
        <w:fldChar w:fldCharType="begin"/>
      </w:r>
      <w:r>
        <w:instrText xml:space="preserve"> SEQ Joonis \* ARABIC </w:instrText>
      </w:r>
      <w:r>
        <w:fldChar w:fldCharType="separate"/>
      </w:r>
      <w:r w:rsidR="00E5522B">
        <w:rPr>
          <w:noProof/>
        </w:rPr>
        <w:t>16</w:t>
      </w:r>
      <w:r>
        <w:fldChar w:fldCharType="end"/>
      </w:r>
      <w:r>
        <w:t xml:space="preserve"> </w:t>
      </w:r>
      <w:r w:rsidR="0019768D" w:rsidRPr="006E317E">
        <w:t>Suurimate operaatorite tulud püsi- ja mobiilse interneti pakkumisest 2022- 2023. aastal, mln eurot EUR (ilma käibemaksuta)</w:t>
      </w:r>
    </w:p>
    <w:p w14:paraId="6C4C7E3D" w14:textId="17A44C89" w:rsidR="0019768D" w:rsidRPr="006E317E" w:rsidRDefault="0019768D" w:rsidP="00AA241E">
      <w:pPr>
        <w:jc w:val="both"/>
      </w:pPr>
      <w:r w:rsidRPr="006E317E">
        <w:t xml:space="preserve">Võttes arvesse operaatorite tulusid, nende infrastruktuuri, lõppkasutajate arvu ja pakutavaid teenuste jne, järeldab </w:t>
      </w:r>
      <w:r w:rsidR="00A57A0D">
        <w:t>TTJA</w:t>
      </w:r>
      <w:r w:rsidRPr="006E317E">
        <w:t>, et Telial, Elisal ja Tele2-l on nii mastaabi- kui ka mahumajanduse eelised, samuti eelisjuurdepääs rahalistele vahenditele, kuid mitte sel määral, mis eraldi võimaldab neil olla majanduslikult tugevas seisundis,  mis on samaväärne turgu valitseva seisundiga. Teistel Eesti operaatoritel ei ole selliseid mastaabi- ja mitmekülgsuse eeliseid ning eelisjuurdepääsu rahalistele vahenditele nagu Telial, Elisal ja Tele2-l.</w:t>
      </w:r>
    </w:p>
    <w:p w14:paraId="4D93ED5C" w14:textId="4923ABD3" w:rsidR="0019768D" w:rsidRPr="00BD52CF" w:rsidRDefault="0019768D" w:rsidP="00AA241E">
      <w:pPr>
        <w:spacing w:after="240"/>
        <w:jc w:val="both"/>
        <w:rPr>
          <w:b/>
          <w:bCs/>
        </w:rPr>
      </w:pPr>
      <w:r w:rsidRPr="00BD52CF">
        <w:rPr>
          <w:b/>
          <w:bCs/>
        </w:rPr>
        <w:t xml:space="preserve">Võttes arvesse operaatorite kogutulu reguleeritud elektroonilise side teenuste osutamisest ning internetiühenduse, </w:t>
      </w:r>
      <w:r w:rsidR="00266105" w:rsidRPr="00BD52CF">
        <w:rPr>
          <w:b/>
          <w:bCs/>
        </w:rPr>
        <w:t>mobiil</w:t>
      </w:r>
      <w:r w:rsidR="00186F2F">
        <w:rPr>
          <w:b/>
          <w:bCs/>
        </w:rPr>
        <w:t>side</w:t>
      </w:r>
      <w:r w:rsidR="00266105" w:rsidRPr="00BD52CF">
        <w:rPr>
          <w:b/>
          <w:bCs/>
        </w:rPr>
        <w:t>võrgu</w:t>
      </w:r>
      <w:r w:rsidRPr="00BD52CF">
        <w:rPr>
          <w:b/>
          <w:bCs/>
        </w:rPr>
        <w:t xml:space="preserve"> ja </w:t>
      </w:r>
      <w:r w:rsidR="00261B04" w:rsidRPr="00BD52CF">
        <w:rPr>
          <w:b/>
          <w:bCs/>
        </w:rPr>
        <w:t>valguskaabel</w:t>
      </w:r>
      <w:r w:rsidRPr="00BD52CF">
        <w:rPr>
          <w:b/>
          <w:bCs/>
        </w:rPr>
        <w:t xml:space="preserve"> juurdepääsuvõrgu, taristu, lõppkasutajate arvu, osutatud teenuste müügipunktide ja lõppkasutajate teeninduspunktide pakkumist Eesti eri linnades jne, järeldab </w:t>
      </w:r>
      <w:r w:rsidR="00A57A0D" w:rsidRPr="00BD52CF">
        <w:rPr>
          <w:b/>
          <w:bCs/>
        </w:rPr>
        <w:t>TTJA</w:t>
      </w:r>
      <w:r w:rsidRPr="00BD52CF">
        <w:rPr>
          <w:b/>
          <w:bCs/>
        </w:rPr>
        <w:t xml:space="preserve">, et </w:t>
      </w:r>
      <w:bookmarkStart w:id="656" w:name="_Hlk138682893"/>
      <w:r w:rsidRPr="00BD52CF">
        <w:rPr>
          <w:b/>
          <w:bCs/>
        </w:rPr>
        <w:t xml:space="preserve">Telia, Elisa ja Tele2 omavad mastaabi- ja mahusäästu eeliseid, samuti eelisjuurdepääsu rahalistele vahenditele </w:t>
      </w:r>
      <w:r w:rsidR="00183BEB">
        <w:rPr>
          <w:b/>
        </w:rPr>
        <w:t>vaskkaabli</w:t>
      </w:r>
      <w:r w:rsidR="00C32A36" w:rsidRPr="00BD52CF">
        <w:rPr>
          <w:b/>
          <w:bCs/>
        </w:rPr>
        <w:t xml:space="preserve">- ja </w:t>
      </w:r>
      <w:r w:rsidR="00183BEB">
        <w:rPr>
          <w:b/>
        </w:rPr>
        <w:t>mobiilsidevõr</w:t>
      </w:r>
      <w:r w:rsidR="00C32A36" w:rsidRPr="00BD52CF">
        <w:rPr>
          <w:b/>
        </w:rPr>
        <w:t>gu</w:t>
      </w:r>
      <w:r w:rsidR="00C32A36" w:rsidRPr="00BD52CF">
        <w:rPr>
          <w:b/>
          <w:bCs/>
        </w:rPr>
        <w:t xml:space="preserve"> internetiühenduste jaeturu</w:t>
      </w:r>
      <w:r w:rsidR="0095427B" w:rsidRPr="00BD52CF">
        <w:rPr>
          <w:b/>
          <w:bCs/>
        </w:rPr>
        <w:t>l</w:t>
      </w:r>
      <w:r w:rsidRPr="00BD52CF">
        <w:rPr>
          <w:b/>
          <w:bCs/>
        </w:rPr>
        <w:t>, kuid mitte sel määral, mis võimaldab neil eraldi või ühiselt olla turgu valitseva seisundiga samaväärses majandusliku võimu positsioonis.</w:t>
      </w:r>
      <w:bookmarkEnd w:id="656"/>
    </w:p>
    <w:p w14:paraId="5A64A464" w14:textId="584975A0" w:rsidR="0019768D" w:rsidRPr="006E317E" w:rsidRDefault="00DC14F5" w:rsidP="00AA241E">
      <w:pPr>
        <w:pStyle w:val="Heading49"/>
        <w:numPr>
          <w:ilvl w:val="3"/>
          <w:numId w:val="66"/>
        </w:numPr>
        <w:ind w:left="862" w:hanging="862"/>
      </w:pPr>
      <w:r>
        <w:lastRenderedPageBreak/>
        <w:t>Kolme kriteeriumi test</w:t>
      </w:r>
    </w:p>
    <w:p w14:paraId="6203696B" w14:textId="66E3BEF4" w:rsidR="0019768D" w:rsidRPr="006E317E" w:rsidRDefault="0019768D" w:rsidP="00AA241E">
      <w:pPr>
        <w:jc w:val="both"/>
      </w:pPr>
      <w:r w:rsidRPr="006E317E">
        <w:t>Regulatiivsete kohustuste eelnev kehtestamine on õigustatud ainult turgudel, kus on täidetud kolm kumulatiivset kriteeriumi</w:t>
      </w:r>
      <w:r w:rsidRPr="005D266E">
        <w:rPr>
          <w:vertAlign w:val="superscript"/>
        </w:rPr>
        <w:footnoteReference w:id="83"/>
      </w:r>
      <w:r w:rsidRPr="006E317E">
        <w:t>:</w:t>
      </w:r>
    </w:p>
    <w:p w14:paraId="470EBCF8" w14:textId="77777777" w:rsidR="0019768D" w:rsidRPr="006E317E" w:rsidRDefault="0019768D" w:rsidP="00AA241E">
      <w:pPr>
        <w:jc w:val="both"/>
      </w:pPr>
      <w:r w:rsidRPr="006E317E">
        <w:t>Turule sisenemisel on suured ja pikaajalised struktuursed, õiguslikud või regulatiivsed tõkked;</w:t>
      </w:r>
    </w:p>
    <w:p w14:paraId="1B74431F" w14:textId="77777777" w:rsidR="0019768D" w:rsidRPr="006E317E" w:rsidRDefault="0019768D" w:rsidP="00AA241E">
      <w:pPr>
        <w:jc w:val="both"/>
      </w:pPr>
      <w:r w:rsidRPr="006E317E">
        <w:t>Turu struktuur ei võimalda taristust või kõrgetest sisenemistõketest tulenevalt tõhusa konkurentsiolukorra saavutamist ettenähtud ajavahemiku jooksul;</w:t>
      </w:r>
    </w:p>
    <w:p w14:paraId="4FA5C469" w14:textId="4A218E9A" w:rsidR="0019768D" w:rsidRPr="006E317E" w:rsidRDefault="0019768D" w:rsidP="00AA241E">
      <w:pPr>
        <w:jc w:val="both"/>
      </w:pPr>
      <w:r w:rsidRPr="006E317E">
        <w:t>konkurentsiõiguse kohaldamisest ei piisa turutõrgete kõrvaldamiseks (edaspidi kõik kolm kriteeriumi kokku kolm kriteeriumi).</w:t>
      </w:r>
    </w:p>
    <w:p w14:paraId="256CDF1E" w14:textId="04687C5F" w:rsidR="0019768D" w:rsidRPr="006E317E" w:rsidRDefault="0019768D" w:rsidP="00AA241E">
      <w:pPr>
        <w:jc w:val="both"/>
      </w:pPr>
      <w:r w:rsidRPr="006E317E">
        <w:t xml:space="preserve">Kui vähemalt üks kolmest kumulatiivsest kriteeriumist ei ole täidetud, ei saa turgu pidada </w:t>
      </w:r>
      <w:r w:rsidRPr="00C57278">
        <w:rPr>
          <w:i/>
          <w:iCs/>
        </w:rPr>
        <w:t>ex-ante</w:t>
      </w:r>
      <w:r w:rsidRPr="006E317E">
        <w:t xml:space="preserve"> reguleerituks. On oluline, et regulatiivsed eelkohustused kehtestataks hulgiturule ja et tagataks jätkusuutlik konkurents ainult siis, kui on üks või mitu märkimisväärse turujõuga ettevõtjat, ning konkurentsiõiguse parandusmeetmed ei ole probleemi lahendamiseks piisavad.</w:t>
      </w:r>
      <w:r w:rsidRPr="005D266E">
        <w:rPr>
          <w:vertAlign w:val="superscript"/>
        </w:rPr>
        <w:footnoteReference w:id="84"/>
      </w:r>
      <w:r w:rsidRPr="006E317E">
        <w:t xml:space="preserve"> Nimelt, kui vähemalt üks kontrolli kolmest kumulatiivsest kriteeriumist (edaspidi - kolme kriteeriumi test) ei ole täidetud, ei ole reguleerival asutusel õigust kohaldada ühegi ettevõtja suhtes erinõudeid.</w:t>
      </w:r>
    </w:p>
    <w:p w14:paraId="5CB835BF" w14:textId="3777F47F" w:rsidR="0019768D" w:rsidRPr="006E317E" w:rsidRDefault="0019768D" w:rsidP="00AA241E">
      <w:pPr>
        <w:jc w:val="both"/>
      </w:pPr>
      <w:r w:rsidRPr="006E317E">
        <w:t>Esimene kriteerium puudutab suuri ja pikaajalisi turule sisenemise  tõkkeid. Selle eesmärk on teha kindlaks, kas, millal ja millises ulatuses võib turule siseneda, ning teha kindlaks elektroonilise side turule eduka sisenemise asjakohased tegurid.</w:t>
      </w:r>
      <w:r w:rsidRPr="005D266E">
        <w:rPr>
          <w:vertAlign w:val="superscript"/>
        </w:rPr>
        <w:footnoteReference w:id="85"/>
      </w:r>
    </w:p>
    <w:p w14:paraId="4662DDB8" w14:textId="77777777" w:rsidR="0019768D" w:rsidRPr="006E317E" w:rsidRDefault="0019768D" w:rsidP="00AA241E">
      <w:pPr>
        <w:jc w:val="both"/>
      </w:pPr>
      <w:r w:rsidRPr="006E317E">
        <w:t>Teise kriteeriumiga määratakse kindlaks, kas turustruktuur on teatava ajavahemiku jooksul suunatud tõhusale konkurentsile, võttes arvesse konkurentsiolukorda ja infrastruktuuriga seotud väljavaateid ning muid konkurentsiallikaid, mis takistavad turule sisenemist. Tõhusa konkurentsi analüüs tähendab, et turg seisab silmitsi täieliku konkurentsiga isegi ilma eelneva reguleerimiseta kas aruandeperioodil või pärast aruandeperioodi, tingimusel et aruandeperioodil on turul juba toimunud selge positiivne areng. Näiteks võib erinevate võrgutehnoloogiate kasutamisest tulenev toodete lähenemine põhjustada eri tooteturgudel tegutsevate operaatorite konkurentsipiiranguid ja viia turu lähenemiseni.</w:t>
      </w:r>
      <w:r w:rsidRPr="005D266E">
        <w:rPr>
          <w:vertAlign w:val="superscript"/>
        </w:rPr>
        <w:footnoteReference w:id="86"/>
      </w:r>
    </w:p>
    <w:p w14:paraId="59E0C844" w14:textId="77777777" w:rsidR="0019768D" w:rsidRPr="006E317E" w:rsidRDefault="0019768D" w:rsidP="00AA241E">
      <w:pPr>
        <w:jc w:val="both"/>
      </w:pPr>
      <w:r w:rsidRPr="006E317E">
        <w:t>Isegi kui turule on iseloomulikud suured turule sisenemise tõkked, võib see sisaldada muid struktuurilisi tegureid, mis teatava ajavahemiku jooksul siiski aitavad kaasa turu tekkimisele selliseks, kus valitseb tõhus konkurents. Turgudel, kus tulevikus võib oodata võrkude arvu suurenemist, nõuab selle kriteeriumi kohaldamine peamiselt infrastruktuuriga seotud konkurentsiolukorra ja selle võimaliku edasise arenguga seotud konkurentsiolukorra uurimist.</w:t>
      </w:r>
      <w:r w:rsidRPr="005D266E">
        <w:rPr>
          <w:vertAlign w:val="superscript"/>
        </w:rPr>
        <w:footnoteReference w:id="87"/>
      </w:r>
    </w:p>
    <w:p w14:paraId="1F6FAC2D" w14:textId="75F785F3" w:rsidR="0019768D" w:rsidRPr="006E317E" w:rsidRDefault="0019768D" w:rsidP="00AA241E">
      <w:pPr>
        <w:jc w:val="both"/>
      </w:pPr>
      <w:r w:rsidRPr="006E317E">
        <w:lastRenderedPageBreak/>
        <w:t xml:space="preserve">Konkurentsi piisavuse ja regulatiivse sekkumise vajaduse hindamisel peaks </w:t>
      </w:r>
      <w:r w:rsidR="00A57A0D">
        <w:t>TTJA</w:t>
      </w:r>
      <w:r w:rsidRPr="006E317E">
        <w:t xml:space="preserve"> võtma arvesse ka seda, kas mõnel huvitatud teenuseosutajal on juurdepääs hulgimüügile mõistlikel tingimustel, mis võimaldavad luua jaeturul lõppkasutajate huvides jätkusuutlikke konkurentsialaseid tulemusi. Pikaajalised ja jätkusuutlikud kaubanduslepingud, sealhulgas hulgimüügitasandi juurdepääsu lepingud, kaasinvesteerimise lepingud ja operaatorite vahelised vastastikuse juurdepääsu lepingud, võivad parandada konkurentsidünaamikat ja lõppkokkuvõttes lahendada konkurentsiprobleeme konkreetsel jaeturul, võimaldades seega hulgiturgude reguleerimist vähendada. Seega, kui need kokkulepped on kooskõlas konkurentsiõiguse põhimõtetega, tuleb neid arvesse võtta selle hindamisel, kas tulevikus võib eeldada tõhusa konkurentsi tekkimist turul.</w:t>
      </w:r>
      <w:r w:rsidRPr="005D266E">
        <w:rPr>
          <w:vertAlign w:val="superscript"/>
        </w:rPr>
        <w:footnoteReference w:id="88"/>
      </w:r>
    </w:p>
    <w:p w14:paraId="1A2CFB2A" w14:textId="77777777" w:rsidR="0019768D" w:rsidRPr="006E317E" w:rsidRDefault="0019768D" w:rsidP="00AA241E">
      <w:pPr>
        <w:jc w:val="both"/>
      </w:pPr>
      <w:r w:rsidRPr="006E317E">
        <w:t xml:space="preserve">Kolmas kriteerium on see, et konkurentsiõiguse kohaldamisest ei piisa turutõrgete kõrvaldamiseks. Selle käigus hinnatakse konkurentsiõiguse suutlikkust tuvastatud turutõrkeid asjakohaselt käsitleda. Selle kolmanda kriteeriumi eesmärk on hinnata konkurentsiõiguse asjakohasust tuvastatud püsivate turutõrgete kõrvaldamiseks, eelkõige arvestades, et  regulatiivsete eelkohustustega saab tõhusalt tegeleda konkurentsiõiguse rikkumistega. Konkurentsiõiguses ette nähtud sekkumine on tõenäoliselt ebapiisav, kui püsivate turutõrgete kõrvaldamiseks on vaja sagedast ja/või viivitamatut sekkumist. Sellistel asjaoludel  tuleks </w:t>
      </w:r>
      <w:r w:rsidRPr="001A6554">
        <w:rPr>
          <w:i/>
          <w:iCs/>
        </w:rPr>
        <w:t>ex-ante</w:t>
      </w:r>
      <w:r w:rsidRPr="006E317E">
        <w:t xml:space="preserve"> reguleerimist käsitada konkurentsiõiguse asjakohase täiendusena. Üldiselt peaks turgudel, mida iseloomustab jätkusuutlik, tõhus ja infrastruktuuriga seotud konkurents, piisama üldiste konkurentsieeskirjade kohaldamisest.</w:t>
      </w:r>
      <w:r w:rsidRPr="005D266E">
        <w:rPr>
          <w:vertAlign w:val="superscript"/>
        </w:rPr>
        <w:footnoteReference w:id="89"/>
      </w:r>
    </w:p>
    <w:p w14:paraId="0C5A0D49" w14:textId="17663CCB" w:rsidR="0019768D" w:rsidRPr="006E317E" w:rsidRDefault="00A57A0D" w:rsidP="00AA241E">
      <w:pPr>
        <w:jc w:val="both"/>
      </w:pPr>
      <w:r>
        <w:t>TTJA</w:t>
      </w:r>
      <w:r w:rsidR="0019768D" w:rsidRPr="006E317E">
        <w:t xml:space="preserve"> analüüsis üksikasjalikult punktis </w:t>
      </w:r>
      <w:r w:rsidR="00D86E38">
        <w:t>5</w:t>
      </w:r>
      <w:r w:rsidR="0019768D" w:rsidRPr="006E317E">
        <w:t xml:space="preserve">.1.1.2 esitatud turutõkkeid ja jõudis järeldusele, et uute operaatorite jaoks on põhimõtteliselt olemas tõkked, mis takistavad </w:t>
      </w:r>
      <w:r w:rsidR="00183BEB">
        <w:t>vaskkaabli</w:t>
      </w:r>
      <w:r w:rsidR="00CD6DFD">
        <w:t xml:space="preserve">- ja </w:t>
      </w:r>
      <w:r w:rsidR="00183BEB">
        <w:t>mobiilsidevõr</w:t>
      </w:r>
      <w:r w:rsidR="00CD6DFD">
        <w:t xml:space="preserve">gu internetiühenduste </w:t>
      </w:r>
      <w:r w:rsidR="002348C6">
        <w:t>jaeturule</w:t>
      </w:r>
      <w:r w:rsidR="0019768D" w:rsidRPr="006E317E">
        <w:t xml:space="preserve"> sisenemist. Võttes arvesse madalama jõudlusega tehnoloogiate tähtsuse vähenemist ning mobiilsideoperaatorite edukat ja pidevat turule sisenemist, pakkudes </w:t>
      </w:r>
      <w:r w:rsidR="00A83B36" w:rsidRPr="00A83B36">
        <w:t>püsiasukohas tarbimiseks suunatud piiramatu mahuga internetiühendus</w:t>
      </w:r>
      <w:r w:rsidR="000D1C02">
        <w:t>i</w:t>
      </w:r>
      <w:r w:rsidR="00A83B36" w:rsidRPr="00A83B36">
        <w:t xml:space="preserve"> mobiilsidevõrgu baasil</w:t>
      </w:r>
      <w:r w:rsidR="0019768D" w:rsidRPr="006E317E">
        <w:t>, on need nüüd teatud määral ületatud ja neil on madalam tähtsus.</w:t>
      </w:r>
    </w:p>
    <w:p w14:paraId="75BC6948" w14:textId="3FB5CD8E" w:rsidR="0019768D" w:rsidRPr="006E317E" w:rsidRDefault="00A57A0D" w:rsidP="00AA241E">
      <w:pPr>
        <w:jc w:val="both"/>
      </w:pPr>
      <w:r>
        <w:t>TTJA</w:t>
      </w:r>
      <w:r w:rsidR="0019768D" w:rsidRPr="006E317E">
        <w:t xml:space="preserve"> viis läbi Eesti </w:t>
      </w:r>
      <w:r w:rsidR="00183BEB">
        <w:t>vaskkaabli</w:t>
      </w:r>
      <w:r w:rsidR="002754CA" w:rsidRPr="00C76435">
        <w:t xml:space="preserve">- ja </w:t>
      </w:r>
      <w:r w:rsidR="00183BEB">
        <w:t>mobiilsidevõr</w:t>
      </w:r>
      <w:r w:rsidR="002754CA" w:rsidRPr="00C76435">
        <w:t xml:space="preserve">gu internetiühenduste </w:t>
      </w:r>
      <w:r w:rsidR="00190DAA">
        <w:t>jaeturu</w:t>
      </w:r>
      <w:r w:rsidR="0019768D" w:rsidRPr="006E317E">
        <w:t xml:space="preserve"> turuanalüüsi punktis </w:t>
      </w:r>
      <w:r w:rsidR="00D86E38" w:rsidRPr="002E251B">
        <w:t>5</w:t>
      </w:r>
      <w:r w:rsidR="0019768D" w:rsidRPr="002E251B">
        <w:t>.1.1</w:t>
      </w:r>
      <w:r w:rsidR="0019768D" w:rsidRPr="006E317E">
        <w:t xml:space="preserve"> ja jõudis järeldusele, et:</w:t>
      </w:r>
    </w:p>
    <w:p w14:paraId="26D37CD1" w14:textId="3689FD0B" w:rsidR="0019768D" w:rsidRPr="006E317E" w:rsidRDefault="0019768D" w:rsidP="00AA241E">
      <w:pPr>
        <w:pStyle w:val="Loendilik"/>
        <w:numPr>
          <w:ilvl w:val="0"/>
          <w:numId w:val="98"/>
        </w:numPr>
        <w:jc w:val="both"/>
      </w:pPr>
      <w:r w:rsidRPr="006E317E">
        <w:t xml:space="preserve">võttes arvesse </w:t>
      </w:r>
      <w:r w:rsidR="00A83B36">
        <w:t>püsiasukohas t</w:t>
      </w:r>
      <w:r w:rsidR="00A83B36" w:rsidRPr="00A83B36">
        <w:t>arbimiseks suunatud piiramatu mahuga internetiühendus</w:t>
      </w:r>
      <w:r w:rsidR="000D1C02">
        <w:t>te</w:t>
      </w:r>
      <w:r w:rsidR="00A83B36">
        <w:t xml:space="preserve"> </w:t>
      </w:r>
      <w:r w:rsidR="00A83B36" w:rsidRPr="00A83B36">
        <w:t xml:space="preserve">mobiilsidevõrgu baasil </w:t>
      </w:r>
      <w:r w:rsidR="00A83B36" w:rsidRPr="006E317E">
        <w:t>lõppkasutajate arvu suurenemist</w:t>
      </w:r>
      <w:r w:rsidRPr="006E317E">
        <w:t xml:space="preserve">, on Telia turuosad märkimisväärselt vähenenud, mis ei tähenda enam tema turgu valitsevat seisundit. Kuigi </w:t>
      </w:r>
      <w:r w:rsidR="00C57278">
        <w:t>katvuse</w:t>
      </w:r>
      <w:r w:rsidRPr="006E317E">
        <w:t xml:space="preserve"> </w:t>
      </w:r>
      <w:r w:rsidR="00C57278">
        <w:t xml:space="preserve">laiendamine </w:t>
      </w:r>
      <w:r w:rsidRPr="006E317E">
        <w:t xml:space="preserve">on endiselt asjakohane, eriti maapiirkondades, osutavad analüüsitud turuosad konkurentsi piisavusele (tõhus konkurents) </w:t>
      </w:r>
      <w:r w:rsidR="00183BEB">
        <w:t>vaskkaabli</w:t>
      </w:r>
      <w:r w:rsidR="00CD6DFD">
        <w:t xml:space="preserve">- ja </w:t>
      </w:r>
      <w:r w:rsidR="00183BEB">
        <w:t>mobiilsidevõr</w:t>
      </w:r>
      <w:r w:rsidR="00CD6DFD">
        <w:t>gu jaetasandi internetiühenduste tooteturg</w:t>
      </w:r>
      <w:r w:rsidR="00EE2927">
        <w:t>udel</w:t>
      </w:r>
      <w:r w:rsidRPr="006E317E">
        <w:t xml:space="preserve">. Turuosade üldine struktuur ei viita sellele, </w:t>
      </w:r>
      <w:r w:rsidR="00183BEB">
        <w:t>vaskkaabli</w:t>
      </w:r>
      <w:r w:rsidR="002754CA">
        <w:t xml:space="preserve">- ja </w:t>
      </w:r>
      <w:r w:rsidR="00183BEB">
        <w:t>mobiilsidevõr</w:t>
      </w:r>
      <w:r w:rsidR="002754CA">
        <w:t xml:space="preserve">gu internetiühenduste </w:t>
      </w:r>
      <w:r w:rsidR="00F84F76">
        <w:t>jaeturu</w:t>
      </w:r>
      <w:r w:rsidR="00441915">
        <w:t>l</w:t>
      </w:r>
      <w:r w:rsidRPr="006E317E">
        <w:t xml:space="preserve"> on ettevõtja, kelle majanduslik võimsusseisund on samaväärne turgu valitseva seisundiga;</w:t>
      </w:r>
    </w:p>
    <w:p w14:paraId="1A681CA5" w14:textId="7BC34A39" w:rsidR="0019768D" w:rsidRPr="006E317E" w:rsidRDefault="0019768D" w:rsidP="00AA241E">
      <w:pPr>
        <w:pStyle w:val="Loendilik"/>
        <w:numPr>
          <w:ilvl w:val="0"/>
          <w:numId w:val="98"/>
        </w:numPr>
        <w:jc w:val="both"/>
      </w:pPr>
      <w:r w:rsidRPr="006E317E">
        <w:lastRenderedPageBreak/>
        <w:t xml:space="preserve">Telia, Elisa ja Tele2 omavad kontrolli olulise elektroonilise side infrastruktuuri üle ning neil on tehnoloogilised eelised </w:t>
      </w:r>
      <w:r w:rsidR="00183BEB">
        <w:t>vaskkaabli</w:t>
      </w:r>
      <w:r w:rsidR="002754CA">
        <w:t xml:space="preserve">- ja </w:t>
      </w:r>
      <w:r w:rsidR="00183BEB">
        <w:t>mobiilsidevõr</w:t>
      </w:r>
      <w:r w:rsidR="002754CA">
        <w:t xml:space="preserve">gu internetiühenduste </w:t>
      </w:r>
      <w:r w:rsidR="00441915">
        <w:t>jaeturul</w:t>
      </w:r>
      <w:r w:rsidRPr="006E317E">
        <w:t>, kuid mitte sellises ulatuses, mis eraldi võimaldab neil olla turgu valitseva seisundiga samaväärses majandusliku võimu seisundis;</w:t>
      </w:r>
    </w:p>
    <w:p w14:paraId="271F9AB1" w14:textId="0117B8DB" w:rsidR="0019768D" w:rsidRPr="006E317E" w:rsidRDefault="00183BEB" w:rsidP="00AA241E">
      <w:pPr>
        <w:pStyle w:val="Loendilik"/>
        <w:numPr>
          <w:ilvl w:val="0"/>
          <w:numId w:val="98"/>
        </w:numPr>
        <w:jc w:val="both"/>
      </w:pPr>
      <w:r>
        <w:t>vaskkaabli</w:t>
      </w:r>
      <w:r w:rsidR="00CD6DFD">
        <w:t xml:space="preserve">- ja </w:t>
      </w:r>
      <w:r>
        <w:t>mobiilsidevõr</w:t>
      </w:r>
      <w:r w:rsidR="00CD6DFD">
        <w:t xml:space="preserve">gu internetiühenduste </w:t>
      </w:r>
      <w:r w:rsidR="00441915">
        <w:t>jaeturul</w:t>
      </w:r>
      <w:r w:rsidR="0019768D" w:rsidRPr="006E317E">
        <w:t xml:space="preserve"> on tasakaalustav </w:t>
      </w:r>
      <w:r w:rsidR="00EE71F9">
        <w:t>ostjaj</w:t>
      </w:r>
      <w:r w:rsidR="0019768D" w:rsidRPr="006E317E">
        <w:t>õud, sest lõppkasutajad saavad vahetada operaatorit, olenemata sellest, kus nad Eestis asuvad;</w:t>
      </w:r>
    </w:p>
    <w:p w14:paraId="027E4D59" w14:textId="5FF547E5" w:rsidR="0019768D" w:rsidRPr="006E317E" w:rsidRDefault="0019768D" w:rsidP="00AA241E">
      <w:pPr>
        <w:pStyle w:val="Loendilik"/>
        <w:numPr>
          <w:ilvl w:val="0"/>
          <w:numId w:val="98"/>
        </w:numPr>
        <w:jc w:val="both"/>
      </w:pPr>
      <w:r w:rsidRPr="006E317E">
        <w:t xml:space="preserve">Telia, Elisa, STV ja Tele2 omavad eeliseid seoses </w:t>
      </w:r>
      <w:r w:rsidR="00441915">
        <w:t>kompleks</w:t>
      </w:r>
      <w:r w:rsidR="00DF5882">
        <w:t>lahendusega</w:t>
      </w:r>
      <w:r w:rsidRPr="006E317E">
        <w:t xml:space="preserve"> teenuste osutamisega </w:t>
      </w:r>
      <w:r w:rsidR="00183BEB">
        <w:t>vaskkaabli</w:t>
      </w:r>
      <w:r w:rsidR="004806CA" w:rsidRPr="004806CA">
        <w:t xml:space="preserve">- ja </w:t>
      </w:r>
      <w:r w:rsidR="00183BEB">
        <w:t>mobiilsidevõr</w:t>
      </w:r>
      <w:r w:rsidR="004806CA" w:rsidRPr="004806CA">
        <w:t xml:space="preserve">gu internetiühenduste </w:t>
      </w:r>
      <w:r w:rsidR="009B6F9D">
        <w:t>jaeturu</w:t>
      </w:r>
      <w:r w:rsidR="00A84EBD">
        <w:t>l</w:t>
      </w:r>
      <w:r w:rsidRPr="006E317E">
        <w:t>, kuid mitte sel määral, mis eraldi või koos võimaldab neil olla turgu valitseva seisundiga samaväärses majandusliku võimu seisundis;</w:t>
      </w:r>
    </w:p>
    <w:p w14:paraId="0D76CE25" w14:textId="481C36BC" w:rsidR="0019768D" w:rsidRPr="006E317E" w:rsidRDefault="0019768D" w:rsidP="00AA241E">
      <w:pPr>
        <w:jc w:val="both"/>
      </w:pPr>
      <w:r w:rsidRPr="006E317E">
        <w:t xml:space="preserve">Telia, Elisa ja Tele2 omavad mastaabi- ja mahusäästu eeliseid, samuti eelisjuurdepääsu rahalistele vahenditele </w:t>
      </w:r>
      <w:r w:rsidR="00183BEB">
        <w:t>vaskkaabli</w:t>
      </w:r>
      <w:r w:rsidR="004806CA" w:rsidRPr="004806CA">
        <w:t xml:space="preserve">- ja </w:t>
      </w:r>
      <w:r w:rsidR="00183BEB">
        <w:t>mobiilsidevõr</w:t>
      </w:r>
      <w:r w:rsidR="004806CA" w:rsidRPr="004806CA">
        <w:t xml:space="preserve">gu internetiühenduste </w:t>
      </w:r>
      <w:r w:rsidR="00A84EBD">
        <w:t>jaeturul</w:t>
      </w:r>
      <w:r w:rsidRPr="006E317E">
        <w:t>, kuid mitte sel määral, mis võimaldab neil eraldi või ühiselt olla turgu valitseva seisundiga samaväärses majandusliku võimu positsioonis.</w:t>
      </w:r>
    </w:p>
    <w:p w14:paraId="21CF2C39" w14:textId="01C19404" w:rsidR="0019768D" w:rsidRPr="006E317E" w:rsidRDefault="0019768D" w:rsidP="00AA241E">
      <w:pPr>
        <w:jc w:val="both"/>
      </w:pPr>
      <w:r w:rsidRPr="006E317E">
        <w:t xml:space="preserve">Seega ei ole kolme kriteeriumi teine kriteerium, mis eeldab et turul ei toim tõhus konkurents või ta ei liigu selle poole teatud ajavahemiku jooksul, täidetud, sest reguleeriva asutuse analüüsi kohaselt on </w:t>
      </w:r>
      <w:r w:rsidR="00183BEB">
        <w:t>vaskkaabli</w:t>
      </w:r>
      <w:r w:rsidR="00CD6DFD">
        <w:t xml:space="preserve">- ja </w:t>
      </w:r>
      <w:r w:rsidR="00183BEB">
        <w:t>mobiilsidevõr</w:t>
      </w:r>
      <w:r w:rsidR="00CD6DFD">
        <w:t xml:space="preserve">gu internetiühenduste </w:t>
      </w:r>
      <w:r w:rsidR="00A84EBD">
        <w:t>jaeturul</w:t>
      </w:r>
      <w:r w:rsidRPr="006E317E">
        <w:t xml:space="preserve"> tõhus konkurents, mis põhineb pigem infrastruktuurikonkurentsil kui hulgimüügitasandi juurdepääsul. </w:t>
      </w:r>
      <w:r w:rsidR="00A57A0D">
        <w:t>TTJA</w:t>
      </w:r>
      <w:r w:rsidRPr="006E317E">
        <w:t xml:space="preserve"> järeldab, et olemasolev taristukonkurents on piisav ja eeldatavasti jääb püsima, samuti ei ole reguleeriv sekkumine asjaomasel hulgiturul enam vajalik.</w:t>
      </w:r>
    </w:p>
    <w:p w14:paraId="23E044D3" w14:textId="77777777" w:rsidR="0019768D" w:rsidRPr="006E317E" w:rsidRDefault="0019768D" w:rsidP="00AA241E">
      <w:pPr>
        <w:jc w:val="both"/>
      </w:pPr>
      <w:r w:rsidRPr="006E317E">
        <w:t>Kuna vähemalt üks kolmest kumulatiivsest kriteeriumist ei ole juba täidetud, ei ole vaja hinnata kolme kriteeriumi kolmandat kriteeriumi, st konkurentsiõiguse kohaldamine ei ole turutõrgete kõrvaldamiseks piisav.</w:t>
      </w:r>
    </w:p>
    <w:p w14:paraId="6DBD1C61" w14:textId="5BAC175B" w:rsidR="0019768D" w:rsidRPr="006E317E" w:rsidRDefault="0019768D" w:rsidP="00AA241E">
      <w:pPr>
        <w:jc w:val="both"/>
      </w:pPr>
      <w:r w:rsidRPr="006E317E">
        <w:t xml:space="preserve">Eespool öeldut silmas pidades ei ole </w:t>
      </w:r>
      <w:r w:rsidR="00183BEB">
        <w:t>vaskkaabli</w:t>
      </w:r>
      <w:r w:rsidR="004806CA" w:rsidRPr="004806CA">
        <w:t xml:space="preserve">- ja </w:t>
      </w:r>
      <w:r w:rsidR="00183BEB">
        <w:t>mobiilsidevõr</w:t>
      </w:r>
      <w:r w:rsidR="004806CA" w:rsidRPr="004806CA">
        <w:t xml:space="preserve">gu internetiühenduste </w:t>
      </w:r>
      <w:r w:rsidR="001433D6">
        <w:t>jaeturul</w:t>
      </w:r>
      <w:r w:rsidR="004806CA" w:rsidRPr="004806CA">
        <w:t xml:space="preserve"> </w:t>
      </w:r>
      <w:r w:rsidRPr="006E317E">
        <w:t>1 kumulatiivselt täidetud ja valitseb tõhus konkurents.</w:t>
      </w:r>
    </w:p>
    <w:p w14:paraId="0AF6AB41" w14:textId="6AFFFC6E" w:rsidR="0019768D" w:rsidRPr="006E317E" w:rsidRDefault="00E26D01" w:rsidP="00AA241E">
      <w:pPr>
        <w:pStyle w:val="Heading49"/>
        <w:numPr>
          <w:ilvl w:val="3"/>
          <w:numId w:val="66"/>
        </w:numPr>
      </w:pPr>
      <w:r>
        <w:t>Järeldused</w:t>
      </w:r>
    </w:p>
    <w:p w14:paraId="34149363" w14:textId="323237E0" w:rsidR="0019768D" w:rsidRPr="006E317E" w:rsidRDefault="0019768D" w:rsidP="00AA241E">
      <w:pPr>
        <w:jc w:val="both"/>
      </w:pPr>
      <w:r w:rsidRPr="006E317E">
        <w:t xml:space="preserve">Telia pakutavad madalama jõudlusega tehnoloogiad, mis kuuluvad </w:t>
      </w:r>
      <w:r w:rsidR="00183BEB">
        <w:t>vaskkaabli</w:t>
      </w:r>
      <w:r w:rsidR="004806CA" w:rsidRPr="004806CA">
        <w:t xml:space="preserve">- ja </w:t>
      </w:r>
      <w:r w:rsidR="00183BEB">
        <w:t>mobiilsidevõr</w:t>
      </w:r>
      <w:r w:rsidR="004806CA" w:rsidRPr="004806CA">
        <w:t>gu jaetasandi internetiühenduste tooteturu</w:t>
      </w:r>
      <w:r w:rsidR="001A6554">
        <w:t>le</w:t>
      </w:r>
      <w:r w:rsidRPr="006E317E">
        <w:t xml:space="preserve">, on DSL, VDSL ja VDSL2 </w:t>
      </w:r>
      <w:proofErr w:type="spellStart"/>
      <w:r w:rsidR="00BD5C2A">
        <w:t>v</w:t>
      </w:r>
      <w:r w:rsidRPr="006E317E">
        <w:t>ectoring</w:t>
      </w:r>
      <w:proofErr w:type="spellEnd"/>
      <w:r w:rsidRPr="006E317E">
        <w:t xml:space="preserve">. Neid tehnoloogiaid pakub Telia </w:t>
      </w:r>
      <w:r w:rsidR="00183BEB">
        <w:t>vaskkaabli</w:t>
      </w:r>
      <w:r w:rsidRPr="006E317E">
        <w:t xml:space="preserve">- ja FTTN-juurdepääsuvõrgus. Nagu eespool mainitud, pakub Telia neid enamasti kogu vasest </w:t>
      </w:r>
      <w:r w:rsidR="00336554">
        <w:t>kliend</w:t>
      </w:r>
      <w:r w:rsidRPr="006E317E">
        <w:t xml:space="preserve">iliinile </w:t>
      </w:r>
      <w:r w:rsidR="00E66C0C" w:rsidRPr="006E317E">
        <w:t xml:space="preserve">ja </w:t>
      </w:r>
      <w:r w:rsidR="00E66C0C">
        <w:t>piiratud ulatuses</w:t>
      </w:r>
      <w:r w:rsidR="00E66C0C" w:rsidRPr="006E317E">
        <w:t xml:space="preserve"> </w:t>
      </w:r>
      <w:r w:rsidRPr="006E317E">
        <w:t>FTTN-i juurdepääsuvõrgu arhitektuuri</w:t>
      </w:r>
      <w:r w:rsidR="0065320C">
        <w:t>l</w:t>
      </w:r>
      <w:r w:rsidRPr="006E317E">
        <w:t>.</w:t>
      </w:r>
    </w:p>
    <w:p w14:paraId="14670E57" w14:textId="5A7C4196" w:rsidR="0019768D" w:rsidRPr="006E317E" w:rsidRDefault="0019768D" w:rsidP="00AA241E">
      <w:pPr>
        <w:jc w:val="both"/>
      </w:pPr>
      <w:r w:rsidRPr="006E317E">
        <w:t xml:space="preserve">Võttes arvesse punktis </w:t>
      </w:r>
      <w:r w:rsidR="00D86E38">
        <w:t>5</w:t>
      </w:r>
      <w:r w:rsidRPr="002E251B">
        <w:t>.1.1</w:t>
      </w:r>
      <w:r w:rsidRPr="006E317E">
        <w:t xml:space="preserve"> tehtud analüüsi, järeldab </w:t>
      </w:r>
      <w:r w:rsidR="00A57A0D">
        <w:t>TTJA</w:t>
      </w:r>
      <w:r w:rsidRPr="006E317E">
        <w:t xml:space="preserve">, et </w:t>
      </w:r>
      <w:bookmarkStart w:id="657" w:name="_Hlk174018222"/>
      <w:r w:rsidR="00183BEB">
        <w:t>vaskkaabli</w:t>
      </w:r>
      <w:r w:rsidR="001A6554" w:rsidRPr="001A6554">
        <w:t xml:space="preserve">- ja </w:t>
      </w:r>
      <w:r w:rsidR="00183BEB">
        <w:t>mobiilsidevõr</w:t>
      </w:r>
      <w:r w:rsidR="001A6554" w:rsidRPr="001A6554">
        <w:t xml:space="preserve">gu internetiühenduste </w:t>
      </w:r>
      <w:r w:rsidR="00587962">
        <w:t>jaeturu</w:t>
      </w:r>
      <w:r w:rsidR="00B157A4">
        <w:t>l</w:t>
      </w:r>
      <w:r w:rsidR="001C34BD">
        <w:t>e</w:t>
      </w:r>
      <w:r w:rsidR="00B157A4">
        <w:t xml:space="preserve">, </w:t>
      </w:r>
      <w:r w:rsidR="001C34BD">
        <w:t>vastaval hulgiturul</w:t>
      </w:r>
      <w:r w:rsidRPr="006E317E">
        <w:t xml:space="preserve"> 1 </w:t>
      </w:r>
      <w:r w:rsidR="002756C6">
        <w:t>(</w:t>
      </w:r>
      <w:r w:rsidR="00183BEB">
        <w:t>vaskkaabli</w:t>
      </w:r>
      <w:r w:rsidR="002756C6">
        <w:t>-ja mobiil</w:t>
      </w:r>
      <w:r w:rsidR="006C788E">
        <w:t>side</w:t>
      </w:r>
      <w:r w:rsidR="002756C6">
        <w:t>võrgu hulgiturg</w:t>
      </w:r>
      <w:r w:rsidR="00D470FD">
        <w:t xml:space="preserve"> 1)</w:t>
      </w:r>
      <w:r w:rsidRPr="006E317E">
        <w:t xml:space="preserve"> on tõhus konkurents ja Telia ei ole enam turgu valitseva seisundiga samaväärses majandusliku võimsusega. Seega tuleb </w:t>
      </w:r>
      <w:r w:rsidR="00183BEB">
        <w:t>vaskkaabli</w:t>
      </w:r>
      <w:r w:rsidR="001A6554" w:rsidRPr="001A6554">
        <w:t xml:space="preserve">- ja </w:t>
      </w:r>
      <w:r w:rsidR="00183BEB">
        <w:t>mobiilsidevõr</w:t>
      </w:r>
      <w:r w:rsidR="001A6554" w:rsidRPr="001A6554">
        <w:t xml:space="preserve">gu internetiühenduste </w:t>
      </w:r>
      <w:r w:rsidR="00874A96">
        <w:t>hulgiturul 1</w:t>
      </w:r>
      <w:r w:rsidR="005F0434">
        <w:t xml:space="preserve"> </w:t>
      </w:r>
      <w:r w:rsidRPr="006E317E">
        <w:t xml:space="preserve">kaotada </w:t>
      </w:r>
      <w:r w:rsidRPr="007D5D85">
        <w:t>vaskpaar kliendiliini</w:t>
      </w:r>
      <w:r w:rsidR="00B37050" w:rsidRPr="007D5D85">
        <w:t>le kehtinud</w:t>
      </w:r>
      <w:r w:rsidRPr="007D5D85">
        <w:t xml:space="preserve"> </w:t>
      </w:r>
      <w:r w:rsidR="002B60AB">
        <w:t>kohustused</w:t>
      </w:r>
      <w:r w:rsidRPr="006E317E">
        <w:t>.</w:t>
      </w:r>
      <w:bookmarkEnd w:id="657"/>
    </w:p>
    <w:p w14:paraId="064544C1" w14:textId="6C9BABEA" w:rsidR="00EC24B2" w:rsidRPr="00834CC9" w:rsidRDefault="0098392E" w:rsidP="009805E1">
      <w:pPr>
        <w:pStyle w:val="Pealkiri3"/>
        <w:rPr>
          <w:rFonts w:eastAsiaTheme="minorEastAsia" w:cstheme="minorBidi"/>
          <w:color w:val="auto"/>
        </w:rPr>
      </w:pPr>
      <w:bookmarkStart w:id="658" w:name="_Toc174710784"/>
      <w:r w:rsidRPr="00530054">
        <w:lastRenderedPageBreak/>
        <w:t>Valguskaabelvõrgu internetiühenduste A</w:t>
      </w:r>
      <w:r w:rsidR="00EE0A7A">
        <w:t xml:space="preserve"> ja B</w:t>
      </w:r>
      <w:r w:rsidRPr="00530054">
        <w:t xml:space="preserve"> piirkonna jaetur</w:t>
      </w:r>
      <w:r w:rsidR="00EE0A7A">
        <w:t>ud</w:t>
      </w:r>
      <w:bookmarkEnd w:id="658"/>
    </w:p>
    <w:p w14:paraId="0AD16165" w14:textId="77777777" w:rsidR="00686263" w:rsidRPr="00686263" w:rsidRDefault="00686263" w:rsidP="00AA241E">
      <w:pPr>
        <w:pStyle w:val="Loendilik"/>
        <w:keepNext/>
        <w:keepLines/>
        <w:numPr>
          <w:ilvl w:val="2"/>
          <w:numId w:val="22"/>
        </w:numPr>
        <w:tabs>
          <w:tab w:val="left" w:pos="1985"/>
        </w:tabs>
        <w:spacing w:after="0"/>
        <w:contextualSpacing w:val="0"/>
        <w:jc w:val="both"/>
        <w:outlineLvl w:val="3"/>
        <w:rPr>
          <w:rFonts w:eastAsiaTheme="majorEastAsia" w:cstheme="majorBidi"/>
          <w:i/>
          <w:iCs/>
          <w:vanish/>
          <w:lang w:eastAsia="en-US"/>
        </w:rPr>
      </w:pPr>
    </w:p>
    <w:p w14:paraId="04ED2AA5" w14:textId="77777777" w:rsidR="00FE212E" w:rsidRPr="00FE212E" w:rsidRDefault="00FE212E" w:rsidP="00FE212E">
      <w:pPr>
        <w:pStyle w:val="Loendilik"/>
        <w:keepNext/>
        <w:keepLines/>
        <w:numPr>
          <w:ilvl w:val="0"/>
          <w:numId w:val="65"/>
        </w:numPr>
        <w:tabs>
          <w:tab w:val="left" w:pos="1985"/>
        </w:tabs>
        <w:spacing w:before="120" w:after="240"/>
        <w:contextualSpacing w:val="0"/>
        <w:jc w:val="both"/>
        <w:outlineLvl w:val="3"/>
        <w:rPr>
          <w:rFonts w:eastAsiaTheme="majorEastAsia" w:cstheme="majorBidi"/>
          <w:i/>
          <w:iCs/>
          <w:vanish/>
          <w:lang w:eastAsia="en-US"/>
        </w:rPr>
      </w:pPr>
    </w:p>
    <w:p w14:paraId="542F359E" w14:textId="77777777" w:rsidR="00FE212E" w:rsidRPr="00FE212E" w:rsidRDefault="00FE212E" w:rsidP="00FE212E">
      <w:pPr>
        <w:pStyle w:val="Loendilik"/>
        <w:keepNext/>
        <w:keepLines/>
        <w:numPr>
          <w:ilvl w:val="0"/>
          <w:numId w:val="65"/>
        </w:numPr>
        <w:tabs>
          <w:tab w:val="left" w:pos="1985"/>
        </w:tabs>
        <w:spacing w:before="120" w:after="240"/>
        <w:contextualSpacing w:val="0"/>
        <w:jc w:val="both"/>
        <w:outlineLvl w:val="3"/>
        <w:rPr>
          <w:rFonts w:eastAsiaTheme="majorEastAsia" w:cstheme="majorBidi"/>
          <w:i/>
          <w:iCs/>
          <w:vanish/>
          <w:lang w:eastAsia="en-US"/>
        </w:rPr>
      </w:pPr>
    </w:p>
    <w:p w14:paraId="62403633" w14:textId="77777777" w:rsidR="00FE212E" w:rsidRPr="00FE212E" w:rsidRDefault="00FE212E" w:rsidP="00FE212E">
      <w:pPr>
        <w:pStyle w:val="Loendilik"/>
        <w:keepNext/>
        <w:keepLines/>
        <w:numPr>
          <w:ilvl w:val="0"/>
          <w:numId w:val="65"/>
        </w:numPr>
        <w:tabs>
          <w:tab w:val="left" w:pos="1985"/>
        </w:tabs>
        <w:spacing w:before="120" w:after="240"/>
        <w:contextualSpacing w:val="0"/>
        <w:jc w:val="both"/>
        <w:outlineLvl w:val="3"/>
        <w:rPr>
          <w:rFonts w:eastAsiaTheme="majorEastAsia" w:cstheme="majorBidi"/>
          <w:i/>
          <w:iCs/>
          <w:vanish/>
          <w:lang w:eastAsia="en-US"/>
        </w:rPr>
      </w:pPr>
    </w:p>
    <w:p w14:paraId="564648C1" w14:textId="77777777" w:rsidR="00FE212E" w:rsidRPr="00FE212E" w:rsidRDefault="00FE212E" w:rsidP="00FE212E">
      <w:pPr>
        <w:pStyle w:val="Loendilik"/>
        <w:keepNext/>
        <w:keepLines/>
        <w:numPr>
          <w:ilvl w:val="0"/>
          <w:numId w:val="65"/>
        </w:numPr>
        <w:tabs>
          <w:tab w:val="left" w:pos="1985"/>
        </w:tabs>
        <w:spacing w:before="120" w:after="240"/>
        <w:contextualSpacing w:val="0"/>
        <w:jc w:val="both"/>
        <w:outlineLvl w:val="3"/>
        <w:rPr>
          <w:rFonts w:eastAsiaTheme="majorEastAsia" w:cstheme="majorBidi"/>
          <w:i/>
          <w:iCs/>
          <w:vanish/>
          <w:lang w:eastAsia="en-US"/>
        </w:rPr>
      </w:pPr>
    </w:p>
    <w:p w14:paraId="06318CF6" w14:textId="77777777" w:rsidR="00FE212E" w:rsidRPr="00FE212E" w:rsidRDefault="00FE212E" w:rsidP="00FE212E">
      <w:pPr>
        <w:pStyle w:val="Loendilik"/>
        <w:keepNext/>
        <w:keepLines/>
        <w:numPr>
          <w:ilvl w:val="0"/>
          <w:numId w:val="65"/>
        </w:numPr>
        <w:tabs>
          <w:tab w:val="left" w:pos="1985"/>
        </w:tabs>
        <w:spacing w:before="120" w:after="240"/>
        <w:contextualSpacing w:val="0"/>
        <w:jc w:val="both"/>
        <w:outlineLvl w:val="3"/>
        <w:rPr>
          <w:rFonts w:eastAsiaTheme="majorEastAsia" w:cstheme="majorBidi"/>
          <w:i/>
          <w:iCs/>
          <w:vanish/>
          <w:lang w:eastAsia="en-US"/>
        </w:rPr>
      </w:pPr>
    </w:p>
    <w:p w14:paraId="3D3047E0" w14:textId="77777777" w:rsidR="00FE212E" w:rsidRPr="00FE212E" w:rsidRDefault="00FE212E" w:rsidP="00FE212E">
      <w:pPr>
        <w:pStyle w:val="Loendilik"/>
        <w:keepNext/>
        <w:keepLines/>
        <w:numPr>
          <w:ilvl w:val="1"/>
          <w:numId w:val="65"/>
        </w:numPr>
        <w:tabs>
          <w:tab w:val="left" w:pos="1985"/>
        </w:tabs>
        <w:spacing w:before="120" w:after="240"/>
        <w:contextualSpacing w:val="0"/>
        <w:jc w:val="both"/>
        <w:outlineLvl w:val="3"/>
        <w:rPr>
          <w:rFonts w:eastAsiaTheme="majorEastAsia" w:cstheme="majorBidi"/>
          <w:i/>
          <w:iCs/>
          <w:vanish/>
          <w:lang w:eastAsia="en-US"/>
        </w:rPr>
      </w:pPr>
    </w:p>
    <w:p w14:paraId="03F37284" w14:textId="77777777" w:rsidR="00FE212E" w:rsidRPr="00FE212E" w:rsidRDefault="00FE212E" w:rsidP="00FE212E">
      <w:pPr>
        <w:pStyle w:val="Loendilik"/>
        <w:keepNext/>
        <w:keepLines/>
        <w:numPr>
          <w:ilvl w:val="2"/>
          <w:numId w:val="65"/>
        </w:numPr>
        <w:tabs>
          <w:tab w:val="left" w:pos="1985"/>
        </w:tabs>
        <w:spacing w:before="120" w:after="240"/>
        <w:contextualSpacing w:val="0"/>
        <w:jc w:val="both"/>
        <w:outlineLvl w:val="3"/>
        <w:rPr>
          <w:rFonts w:eastAsiaTheme="majorEastAsia" w:cstheme="majorBidi"/>
          <w:i/>
          <w:iCs/>
          <w:vanish/>
          <w:lang w:eastAsia="en-US"/>
        </w:rPr>
      </w:pPr>
    </w:p>
    <w:p w14:paraId="29330743" w14:textId="77777777" w:rsidR="00FE212E" w:rsidRPr="00FE212E" w:rsidRDefault="00FE212E" w:rsidP="00FE212E">
      <w:pPr>
        <w:pStyle w:val="Loendilik"/>
        <w:keepNext/>
        <w:keepLines/>
        <w:numPr>
          <w:ilvl w:val="2"/>
          <w:numId w:val="65"/>
        </w:numPr>
        <w:tabs>
          <w:tab w:val="left" w:pos="1985"/>
        </w:tabs>
        <w:spacing w:before="120" w:after="240"/>
        <w:contextualSpacing w:val="0"/>
        <w:jc w:val="both"/>
        <w:outlineLvl w:val="3"/>
        <w:rPr>
          <w:rFonts w:eastAsiaTheme="majorEastAsia" w:cstheme="majorBidi"/>
          <w:i/>
          <w:iCs/>
          <w:vanish/>
          <w:lang w:eastAsia="en-US"/>
        </w:rPr>
      </w:pPr>
    </w:p>
    <w:p w14:paraId="2A6B480D" w14:textId="2D7CD639" w:rsidR="00EC24B2" w:rsidRPr="006E317E" w:rsidRDefault="00EC24B2" w:rsidP="00A43E3F">
      <w:pPr>
        <w:pStyle w:val="Heading49"/>
        <w:numPr>
          <w:ilvl w:val="3"/>
          <w:numId w:val="65"/>
        </w:numPr>
        <w:spacing w:after="120"/>
        <w:ind w:left="862" w:hanging="862"/>
      </w:pPr>
      <w:r w:rsidRPr="006E317E">
        <w:t>Turuosad</w:t>
      </w:r>
    </w:p>
    <w:p w14:paraId="70B7ED71" w14:textId="4EFF4AD9" w:rsidR="00EC24B2" w:rsidRPr="006E317E" w:rsidRDefault="00EC24B2" w:rsidP="00AA241E">
      <w:pPr>
        <w:jc w:val="both"/>
      </w:pPr>
      <w:r w:rsidRPr="00185BAC">
        <w:t xml:space="preserve">Turuosade omaduste ja suuruse kohta vt punkt </w:t>
      </w:r>
      <w:r w:rsidR="007D5D85" w:rsidRPr="002E251B">
        <w:t>5</w:t>
      </w:r>
      <w:r w:rsidRPr="002E251B">
        <w:t>.1.1.1</w:t>
      </w:r>
      <w:r w:rsidRPr="00185BAC">
        <w:t>.</w:t>
      </w:r>
    </w:p>
    <w:p w14:paraId="5B1CF645" w14:textId="1664860E" w:rsidR="00EC24B2" w:rsidRPr="006E317E" w:rsidRDefault="00EC24B2" w:rsidP="00AA241E">
      <w:pPr>
        <w:jc w:val="both"/>
      </w:pPr>
      <w:r w:rsidRPr="006E317E">
        <w:t>Nagu eespool mainitud, on hulgituru analüüsi lähtepunktiks asjaomaste jaeturgude analüüs ja turuosade arvutamine ettevõtjate jaoks, kes pakuvad oma elektroonilise side võrgu kaudu lõppkasutajatele internetti</w:t>
      </w:r>
      <w:r w:rsidRPr="005D266E">
        <w:rPr>
          <w:vertAlign w:val="superscript"/>
        </w:rPr>
        <w:footnoteReference w:id="90"/>
      </w:r>
      <w:r w:rsidRPr="006E317E">
        <w:t xml:space="preserve">. Lisaks tuleb turuosade arvutamisel arvesse võtta ka </w:t>
      </w:r>
      <w:proofErr w:type="spellStart"/>
      <w:r w:rsidR="002A1662" w:rsidRPr="002A1662">
        <w:rPr>
          <w:i/>
        </w:rPr>
        <w:t>Gr</w:t>
      </w:r>
      <w:r w:rsidR="00C318C1">
        <w:rPr>
          <w:i/>
        </w:rPr>
        <w:t>e</w:t>
      </w:r>
      <w:r w:rsidR="002A1662" w:rsidRPr="002A1662">
        <w:rPr>
          <w:i/>
        </w:rPr>
        <w:t>enfieldi</w:t>
      </w:r>
      <w:proofErr w:type="spellEnd"/>
      <w:r w:rsidRPr="006E317E">
        <w:t xml:space="preserve"> lähenemisviisi (vt punkt </w:t>
      </w:r>
      <w:r w:rsidR="00C76435" w:rsidRPr="002E251B">
        <w:t>2.1.2</w:t>
      </w:r>
      <w:r w:rsidRPr="006E317E">
        <w:t>), eeldades, et asjaomastel turgudel ei reguleerita hulgimüüki</w:t>
      </w:r>
      <w:r w:rsidRPr="005D266E">
        <w:rPr>
          <w:vertAlign w:val="superscript"/>
        </w:rPr>
        <w:footnoteReference w:id="91"/>
      </w:r>
      <w:r w:rsidRPr="006E317E">
        <w:t>.</w:t>
      </w:r>
    </w:p>
    <w:p w14:paraId="01209667" w14:textId="38F844CE" w:rsidR="00EC24B2" w:rsidRPr="006E317E" w:rsidRDefault="002A1662" w:rsidP="00AA241E">
      <w:pPr>
        <w:jc w:val="both"/>
      </w:pPr>
      <w:proofErr w:type="spellStart"/>
      <w:r w:rsidRPr="002A1662">
        <w:rPr>
          <w:i/>
        </w:rPr>
        <w:t>Gr</w:t>
      </w:r>
      <w:r w:rsidR="00C318C1">
        <w:rPr>
          <w:i/>
        </w:rPr>
        <w:t>e</w:t>
      </w:r>
      <w:r w:rsidRPr="002A1662">
        <w:rPr>
          <w:i/>
        </w:rPr>
        <w:t>enfieldi</w:t>
      </w:r>
      <w:proofErr w:type="spellEnd"/>
      <w:r w:rsidR="00EC24B2" w:rsidRPr="006E317E">
        <w:t xml:space="preserve"> lähenemisviis </w:t>
      </w:r>
      <w:r w:rsidR="00410251">
        <w:t>hu</w:t>
      </w:r>
      <w:r w:rsidR="00816348">
        <w:t>lgi</w:t>
      </w:r>
      <w:r w:rsidR="00EC24B2" w:rsidRPr="006E317E">
        <w:t>turul 1 tähendab, et jae</w:t>
      </w:r>
      <w:r w:rsidR="00C41619">
        <w:t>turu</w:t>
      </w:r>
      <w:r w:rsidR="00EC24B2" w:rsidRPr="006E317E">
        <w:t xml:space="preserve"> konkurentsi hindamisel ja operaatorite turuosade arvutamisel eeldatakse, et  </w:t>
      </w:r>
      <w:r w:rsidR="00816348">
        <w:t>hulgi</w:t>
      </w:r>
      <w:r w:rsidR="00EC24B2" w:rsidRPr="006E317E">
        <w:t xml:space="preserve">turu 1 teenuse aktiivseid </w:t>
      </w:r>
      <w:r w:rsidR="0007135D">
        <w:t>kliendiliin</w:t>
      </w:r>
      <w:r w:rsidR="00EC24B2" w:rsidRPr="006E317E">
        <w:t>e osutab Telia (</w:t>
      </w:r>
      <w:r w:rsidR="00D3465F">
        <w:t>MTE</w:t>
      </w:r>
      <w:r w:rsidR="00EC24B2" w:rsidRPr="006E317E">
        <w:t xml:space="preserve">), mitte </w:t>
      </w:r>
      <w:r w:rsidR="00C41619">
        <w:t>sideettevõtjad</w:t>
      </w:r>
      <w:r w:rsidR="00EC24B2" w:rsidRPr="006E317E">
        <w:t xml:space="preserve">, kes saavad neid </w:t>
      </w:r>
      <w:r w:rsidR="00816348">
        <w:t>hulgi</w:t>
      </w:r>
      <w:r w:rsidR="00EC24B2" w:rsidRPr="006E317E">
        <w:t xml:space="preserve">turu 1 teenuseid hulgi, sest kui </w:t>
      </w:r>
      <w:r w:rsidR="00816348">
        <w:t>hulgi</w:t>
      </w:r>
      <w:r w:rsidR="00EC24B2" w:rsidRPr="006E317E">
        <w:t xml:space="preserve">turgu 1 ei reguleeritaks, ei oleks märkimisväärse turujõuga teenuseosutajal stiimulit selle turul teenuseid osutada. Kui teine </w:t>
      </w:r>
      <w:proofErr w:type="spellStart"/>
      <w:r w:rsidR="00F83BDB">
        <w:t>sideettvõtja</w:t>
      </w:r>
      <w:proofErr w:type="spellEnd"/>
      <w:r w:rsidR="00EC24B2" w:rsidRPr="006E317E">
        <w:t xml:space="preserve"> osutab vabatahtlikult </w:t>
      </w:r>
      <w:r w:rsidR="00816348">
        <w:t>hulgi</w:t>
      </w:r>
      <w:r w:rsidR="00816348" w:rsidRPr="006E317E">
        <w:t xml:space="preserve">turu </w:t>
      </w:r>
      <w:r w:rsidR="00EC24B2" w:rsidRPr="006E317E">
        <w:t>1. teenuseid hulgi</w:t>
      </w:r>
      <w:r w:rsidR="00C41619">
        <w:t>turul</w:t>
      </w:r>
      <w:r w:rsidR="00EC24B2" w:rsidRPr="006E317E">
        <w:t xml:space="preserve"> teistele teenuseosutajatele, siis ei eeldata, et neid jaeteenuseid osutaks teenuseosutaja ise, kes neid vabatahtlikult osutab, vaid teenuseosutajad, kes ostavad hulgi</w:t>
      </w:r>
      <w:r w:rsidR="00C41619">
        <w:t>turul</w:t>
      </w:r>
      <w:r w:rsidR="00EC24B2" w:rsidRPr="006E317E">
        <w:t xml:space="preserve"> 1. turu teenuseid.</w:t>
      </w:r>
    </w:p>
    <w:p w14:paraId="5A369F05" w14:textId="68522892" w:rsidR="00EC24B2" w:rsidRPr="006E317E" w:rsidRDefault="00EC24B2" w:rsidP="00AA241E">
      <w:pPr>
        <w:jc w:val="both"/>
      </w:pPr>
      <w:r w:rsidRPr="006E317E">
        <w:t xml:space="preserve">Järgnevat analüüsime kõrge konkurentsiga A piirkonna </w:t>
      </w:r>
      <w:r w:rsidR="00A3232C">
        <w:t>valguskaabelvõrgu</w:t>
      </w:r>
      <w:r w:rsidR="00FE198E" w:rsidRPr="006E317E">
        <w:t xml:space="preserve"> jaetasandi internetiühenduste tootetur</w:t>
      </w:r>
      <w:r w:rsidR="00FE198E">
        <w:t>u</w:t>
      </w:r>
      <w:r w:rsidR="00FE198E" w:rsidRPr="006E317E">
        <w:t xml:space="preserve"> </w:t>
      </w:r>
      <w:r w:rsidRPr="006E317E">
        <w:t xml:space="preserve">suurimad püsioperaatorid, kes pakuvad oma elektroonilise sidevõrgu kaudu lõppkasutajatele internetti, on Telia, Elisa, STV, Uus Programm, Fill, Interframe ja Telset, kuid väiksema konkurentsiga B piirkonnas – Telia, Elisa, STV ja Telset. Lisaks on turuosade arvutamiseks </w:t>
      </w:r>
      <w:proofErr w:type="spellStart"/>
      <w:r w:rsidR="002A1662" w:rsidRPr="002A1662">
        <w:rPr>
          <w:i/>
        </w:rPr>
        <w:t>Gr</w:t>
      </w:r>
      <w:r w:rsidR="00C318C1">
        <w:rPr>
          <w:i/>
        </w:rPr>
        <w:t>e</w:t>
      </w:r>
      <w:r w:rsidR="002A1662" w:rsidRPr="002A1662">
        <w:rPr>
          <w:i/>
        </w:rPr>
        <w:t>enfieldi</w:t>
      </w:r>
      <w:proofErr w:type="spellEnd"/>
      <w:r w:rsidRPr="006E317E">
        <w:t xml:space="preserve"> lähenemisviisi kohaselt vaja loetleda ka need ainult hulgiteenuse osutajad, kes osutavad 1. turu teenuseid teistele teenuseosutajatele, mille hulk Eestis on kasva trend kuna riigiabiga luuakse valguskaabel võrke maa piirkondades. Ainult hulgiteenuse osutajateks turul 1 on Enefit, Corle ja ELA SA.</w:t>
      </w:r>
    </w:p>
    <w:p w14:paraId="7C7F6618" w14:textId="7AE4CF78" w:rsidR="00EC24B2" w:rsidRPr="006E317E" w:rsidRDefault="00C41619" w:rsidP="00A43E3F">
      <w:pPr>
        <w:spacing w:after="0"/>
        <w:jc w:val="both"/>
      </w:pPr>
      <w:r>
        <w:t>TTJA</w:t>
      </w:r>
      <w:r w:rsidR="00EC24B2" w:rsidRPr="006E317E">
        <w:t xml:space="preserve"> käsutuses oleva teabe kohaselt osutavad kuus teenuseosutajat valguskaabel juurdepääsuvõrgus hulgiteenuseid 1. turul, st eraldatud juurdepääsu valguskaabel kiule</w:t>
      </w:r>
      <w:r w:rsidR="00346D5D">
        <w:t xml:space="preserve"> vt tabelid 23 ja 24.</w:t>
      </w:r>
    </w:p>
    <w:tbl>
      <w:tblPr>
        <w:tblStyle w:val="Kontuurtabel1"/>
        <w:tblW w:w="9616" w:type="dxa"/>
        <w:tblLook w:val="04A0" w:firstRow="1" w:lastRow="0" w:firstColumn="1" w:lastColumn="0" w:noHBand="0" w:noVBand="1"/>
      </w:tblPr>
      <w:tblGrid>
        <w:gridCol w:w="1124"/>
        <w:gridCol w:w="1124"/>
        <w:gridCol w:w="1124"/>
        <w:gridCol w:w="1265"/>
        <w:gridCol w:w="1124"/>
        <w:gridCol w:w="1199"/>
        <w:gridCol w:w="1162"/>
        <w:gridCol w:w="1494"/>
      </w:tblGrid>
      <w:tr w:rsidR="00EC24B2" w:rsidRPr="006E317E" w14:paraId="794DFA99" w14:textId="77777777" w:rsidTr="00EC45E8">
        <w:trPr>
          <w:trHeight w:val="281"/>
        </w:trPr>
        <w:tc>
          <w:tcPr>
            <w:tcW w:w="1124" w:type="dxa"/>
            <w:shd w:val="clear" w:color="auto" w:fill="92D050"/>
            <w:noWrap/>
            <w:hideMark/>
          </w:tcPr>
          <w:p w14:paraId="3E7CA5DF" w14:textId="77777777" w:rsidR="00EC24B2" w:rsidRPr="00EC45E8" w:rsidRDefault="00EC24B2" w:rsidP="00AA241E">
            <w:pPr>
              <w:jc w:val="both"/>
              <w:rPr>
                <w:b/>
                <w:bCs/>
              </w:rPr>
            </w:pPr>
            <w:r w:rsidRPr="00EC45E8">
              <w:rPr>
                <w:b/>
                <w:bCs/>
              </w:rPr>
              <w:t> </w:t>
            </w:r>
          </w:p>
        </w:tc>
        <w:tc>
          <w:tcPr>
            <w:tcW w:w="1124" w:type="dxa"/>
            <w:shd w:val="clear" w:color="auto" w:fill="92D050"/>
            <w:noWrap/>
            <w:hideMark/>
          </w:tcPr>
          <w:p w14:paraId="4EF43F4B" w14:textId="77777777" w:rsidR="00EC24B2" w:rsidRPr="00EC45E8" w:rsidRDefault="00EC24B2" w:rsidP="00403A74">
            <w:pPr>
              <w:jc w:val="center"/>
              <w:rPr>
                <w:b/>
                <w:bCs/>
              </w:rPr>
            </w:pPr>
            <w:r w:rsidRPr="00EC45E8">
              <w:rPr>
                <w:b/>
                <w:bCs/>
              </w:rPr>
              <w:t>2017</w:t>
            </w:r>
          </w:p>
        </w:tc>
        <w:tc>
          <w:tcPr>
            <w:tcW w:w="1124" w:type="dxa"/>
            <w:shd w:val="clear" w:color="auto" w:fill="92D050"/>
            <w:noWrap/>
            <w:hideMark/>
          </w:tcPr>
          <w:p w14:paraId="0B2CED93" w14:textId="77777777" w:rsidR="00EC24B2" w:rsidRPr="00EC45E8" w:rsidRDefault="00EC24B2" w:rsidP="00403A74">
            <w:pPr>
              <w:jc w:val="center"/>
              <w:rPr>
                <w:b/>
                <w:bCs/>
              </w:rPr>
            </w:pPr>
            <w:r w:rsidRPr="00EC45E8">
              <w:rPr>
                <w:b/>
                <w:bCs/>
              </w:rPr>
              <w:t>2018</w:t>
            </w:r>
          </w:p>
        </w:tc>
        <w:tc>
          <w:tcPr>
            <w:tcW w:w="1265" w:type="dxa"/>
            <w:shd w:val="clear" w:color="auto" w:fill="92D050"/>
            <w:noWrap/>
            <w:hideMark/>
          </w:tcPr>
          <w:p w14:paraId="55A2E543" w14:textId="77777777" w:rsidR="00EC24B2" w:rsidRPr="00EC45E8" w:rsidRDefault="00EC24B2" w:rsidP="00403A74">
            <w:pPr>
              <w:jc w:val="center"/>
              <w:rPr>
                <w:b/>
                <w:bCs/>
              </w:rPr>
            </w:pPr>
            <w:r w:rsidRPr="00EC45E8">
              <w:rPr>
                <w:b/>
                <w:bCs/>
              </w:rPr>
              <w:t>2019</w:t>
            </w:r>
          </w:p>
        </w:tc>
        <w:tc>
          <w:tcPr>
            <w:tcW w:w="1124" w:type="dxa"/>
            <w:shd w:val="clear" w:color="auto" w:fill="92D050"/>
            <w:noWrap/>
            <w:hideMark/>
          </w:tcPr>
          <w:p w14:paraId="65421268" w14:textId="77777777" w:rsidR="00EC24B2" w:rsidRPr="00EC45E8" w:rsidRDefault="00EC24B2" w:rsidP="00403A74">
            <w:pPr>
              <w:jc w:val="center"/>
              <w:rPr>
                <w:b/>
                <w:bCs/>
              </w:rPr>
            </w:pPr>
            <w:r w:rsidRPr="00EC45E8">
              <w:rPr>
                <w:b/>
                <w:bCs/>
              </w:rPr>
              <w:t>2020</w:t>
            </w:r>
          </w:p>
        </w:tc>
        <w:tc>
          <w:tcPr>
            <w:tcW w:w="1199" w:type="dxa"/>
            <w:shd w:val="clear" w:color="auto" w:fill="92D050"/>
            <w:noWrap/>
            <w:hideMark/>
          </w:tcPr>
          <w:p w14:paraId="32C8FC2B" w14:textId="77777777" w:rsidR="00EC24B2" w:rsidRPr="00EC45E8" w:rsidRDefault="00EC24B2" w:rsidP="00403A74">
            <w:pPr>
              <w:jc w:val="center"/>
              <w:rPr>
                <w:b/>
                <w:bCs/>
              </w:rPr>
            </w:pPr>
            <w:r w:rsidRPr="00EC45E8">
              <w:rPr>
                <w:b/>
                <w:bCs/>
              </w:rPr>
              <w:t>2021</w:t>
            </w:r>
          </w:p>
        </w:tc>
        <w:tc>
          <w:tcPr>
            <w:tcW w:w="1162" w:type="dxa"/>
            <w:shd w:val="clear" w:color="auto" w:fill="92D050"/>
            <w:noWrap/>
            <w:hideMark/>
          </w:tcPr>
          <w:p w14:paraId="637ED609" w14:textId="77777777" w:rsidR="00EC24B2" w:rsidRPr="00EC45E8" w:rsidRDefault="00EC24B2" w:rsidP="00403A74">
            <w:pPr>
              <w:jc w:val="center"/>
              <w:rPr>
                <w:b/>
                <w:bCs/>
              </w:rPr>
            </w:pPr>
            <w:r w:rsidRPr="00EC45E8">
              <w:rPr>
                <w:b/>
                <w:bCs/>
              </w:rPr>
              <w:t>2022</w:t>
            </w:r>
          </w:p>
        </w:tc>
        <w:tc>
          <w:tcPr>
            <w:tcW w:w="1494" w:type="dxa"/>
            <w:shd w:val="clear" w:color="auto" w:fill="92D050"/>
            <w:noWrap/>
            <w:hideMark/>
          </w:tcPr>
          <w:p w14:paraId="13E5FE00" w14:textId="77777777" w:rsidR="00EC24B2" w:rsidRPr="00EC45E8" w:rsidRDefault="00EC24B2" w:rsidP="00403A74">
            <w:pPr>
              <w:jc w:val="center"/>
              <w:rPr>
                <w:b/>
                <w:bCs/>
              </w:rPr>
            </w:pPr>
            <w:r w:rsidRPr="00EC45E8">
              <w:rPr>
                <w:b/>
                <w:bCs/>
              </w:rPr>
              <w:t>2023</w:t>
            </w:r>
          </w:p>
        </w:tc>
      </w:tr>
      <w:tr w:rsidR="00A91584" w:rsidRPr="006E317E" w14:paraId="18003D4E" w14:textId="77777777" w:rsidTr="00EC45E8">
        <w:trPr>
          <w:trHeight w:val="281"/>
        </w:trPr>
        <w:tc>
          <w:tcPr>
            <w:tcW w:w="1124" w:type="dxa"/>
            <w:noWrap/>
            <w:hideMark/>
          </w:tcPr>
          <w:p w14:paraId="3F93AD0D" w14:textId="77777777" w:rsidR="00A91584" w:rsidRPr="006E317E" w:rsidRDefault="00A91584" w:rsidP="00A91584">
            <w:pPr>
              <w:jc w:val="both"/>
            </w:pPr>
            <w:r w:rsidRPr="006E317E">
              <w:t>Telia</w:t>
            </w:r>
          </w:p>
        </w:tc>
        <w:tc>
          <w:tcPr>
            <w:tcW w:w="1124" w:type="dxa"/>
            <w:noWrap/>
            <w:hideMark/>
          </w:tcPr>
          <w:p w14:paraId="1F62B41A" w14:textId="6BEF9657" w:rsidR="00A91584" w:rsidRPr="006E317E" w:rsidRDefault="00A91584" w:rsidP="00A91584">
            <w:pPr>
              <w:jc w:val="right"/>
            </w:pPr>
            <w:r w:rsidRPr="00397D86">
              <w:t>…*</w:t>
            </w:r>
          </w:p>
        </w:tc>
        <w:tc>
          <w:tcPr>
            <w:tcW w:w="1124" w:type="dxa"/>
            <w:noWrap/>
            <w:hideMark/>
          </w:tcPr>
          <w:p w14:paraId="28A3FDE6" w14:textId="5C505C41" w:rsidR="00A91584" w:rsidRPr="006E317E" w:rsidRDefault="00A91584" w:rsidP="00A91584">
            <w:pPr>
              <w:jc w:val="right"/>
            </w:pPr>
            <w:r w:rsidRPr="00397D86">
              <w:t>…*</w:t>
            </w:r>
          </w:p>
        </w:tc>
        <w:tc>
          <w:tcPr>
            <w:tcW w:w="1265" w:type="dxa"/>
            <w:noWrap/>
            <w:hideMark/>
          </w:tcPr>
          <w:p w14:paraId="365019BA" w14:textId="424DCD75" w:rsidR="00A91584" w:rsidRPr="006E317E" w:rsidRDefault="00A91584" w:rsidP="00A91584">
            <w:pPr>
              <w:jc w:val="right"/>
            </w:pPr>
            <w:r w:rsidRPr="00397D86">
              <w:t>…*</w:t>
            </w:r>
          </w:p>
        </w:tc>
        <w:tc>
          <w:tcPr>
            <w:tcW w:w="1124" w:type="dxa"/>
            <w:noWrap/>
            <w:hideMark/>
          </w:tcPr>
          <w:p w14:paraId="39F7BEC0" w14:textId="67D70AE4" w:rsidR="00A91584" w:rsidRPr="006E317E" w:rsidRDefault="00A91584" w:rsidP="00A91584">
            <w:pPr>
              <w:jc w:val="right"/>
            </w:pPr>
            <w:r w:rsidRPr="00397D86">
              <w:t>…*</w:t>
            </w:r>
          </w:p>
        </w:tc>
        <w:tc>
          <w:tcPr>
            <w:tcW w:w="1199" w:type="dxa"/>
            <w:noWrap/>
            <w:hideMark/>
          </w:tcPr>
          <w:p w14:paraId="705D9ED8" w14:textId="3A9DAB28" w:rsidR="00A91584" w:rsidRPr="006E317E" w:rsidRDefault="00A91584" w:rsidP="00A91584">
            <w:pPr>
              <w:jc w:val="right"/>
            </w:pPr>
            <w:r w:rsidRPr="00397D86">
              <w:t>…*</w:t>
            </w:r>
          </w:p>
        </w:tc>
        <w:tc>
          <w:tcPr>
            <w:tcW w:w="1162" w:type="dxa"/>
            <w:noWrap/>
            <w:hideMark/>
          </w:tcPr>
          <w:p w14:paraId="52A3AF2A" w14:textId="40979777" w:rsidR="00A91584" w:rsidRPr="006E317E" w:rsidRDefault="00A91584" w:rsidP="00A91584">
            <w:pPr>
              <w:jc w:val="right"/>
            </w:pPr>
            <w:r w:rsidRPr="00397D86">
              <w:t>…*</w:t>
            </w:r>
          </w:p>
        </w:tc>
        <w:tc>
          <w:tcPr>
            <w:tcW w:w="1494" w:type="dxa"/>
            <w:noWrap/>
            <w:hideMark/>
          </w:tcPr>
          <w:p w14:paraId="6C83D145" w14:textId="4F3F343C" w:rsidR="00A91584" w:rsidRPr="006E317E" w:rsidRDefault="00A91584" w:rsidP="00A91584">
            <w:pPr>
              <w:jc w:val="right"/>
            </w:pPr>
            <w:r w:rsidRPr="00397D86">
              <w:t>…*</w:t>
            </w:r>
          </w:p>
        </w:tc>
      </w:tr>
      <w:tr w:rsidR="007F7A07" w:rsidRPr="006E317E" w14:paraId="14ECF989" w14:textId="77777777" w:rsidTr="00EC45E8">
        <w:trPr>
          <w:trHeight w:val="281"/>
        </w:trPr>
        <w:tc>
          <w:tcPr>
            <w:tcW w:w="1124" w:type="dxa"/>
            <w:noWrap/>
            <w:hideMark/>
          </w:tcPr>
          <w:p w14:paraId="5C3C88EA" w14:textId="77777777" w:rsidR="007F7A07" w:rsidRPr="006E317E" w:rsidRDefault="007F7A07" w:rsidP="007F7A07">
            <w:pPr>
              <w:jc w:val="both"/>
            </w:pPr>
            <w:r w:rsidRPr="006E317E">
              <w:t>Elisa</w:t>
            </w:r>
          </w:p>
        </w:tc>
        <w:tc>
          <w:tcPr>
            <w:tcW w:w="1124" w:type="dxa"/>
            <w:noWrap/>
            <w:hideMark/>
          </w:tcPr>
          <w:p w14:paraId="195D5FF6" w14:textId="16559316" w:rsidR="007F7A07" w:rsidRPr="006E317E" w:rsidRDefault="007F7A07" w:rsidP="007F7A07">
            <w:pPr>
              <w:jc w:val="right"/>
            </w:pPr>
            <w:r w:rsidRPr="00F70176">
              <w:t>…*</w:t>
            </w:r>
          </w:p>
        </w:tc>
        <w:tc>
          <w:tcPr>
            <w:tcW w:w="1124" w:type="dxa"/>
            <w:noWrap/>
            <w:hideMark/>
          </w:tcPr>
          <w:p w14:paraId="2E3729E0" w14:textId="3150B1CC" w:rsidR="007F7A07" w:rsidRPr="006E317E" w:rsidRDefault="007F7A07" w:rsidP="007F7A07">
            <w:pPr>
              <w:jc w:val="right"/>
            </w:pPr>
            <w:r w:rsidRPr="00F70176">
              <w:t>…*</w:t>
            </w:r>
          </w:p>
        </w:tc>
        <w:tc>
          <w:tcPr>
            <w:tcW w:w="1265" w:type="dxa"/>
            <w:noWrap/>
            <w:hideMark/>
          </w:tcPr>
          <w:p w14:paraId="154E311F" w14:textId="41D7612D" w:rsidR="007F7A07" w:rsidRPr="006E317E" w:rsidRDefault="007F7A07" w:rsidP="007F7A07">
            <w:pPr>
              <w:jc w:val="right"/>
            </w:pPr>
            <w:r w:rsidRPr="00F70176">
              <w:t>…*</w:t>
            </w:r>
          </w:p>
        </w:tc>
        <w:tc>
          <w:tcPr>
            <w:tcW w:w="1124" w:type="dxa"/>
            <w:noWrap/>
            <w:hideMark/>
          </w:tcPr>
          <w:p w14:paraId="73BF3552" w14:textId="288A2723" w:rsidR="007F7A07" w:rsidRPr="006E317E" w:rsidRDefault="007F7A07" w:rsidP="007F7A07">
            <w:pPr>
              <w:jc w:val="right"/>
            </w:pPr>
            <w:r w:rsidRPr="00F70176">
              <w:t>…*</w:t>
            </w:r>
          </w:p>
        </w:tc>
        <w:tc>
          <w:tcPr>
            <w:tcW w:w="1199" w:type="dxa"/>
            <w:noWrap/>
            <w:hideMark/>
          </w:tcPr>
          <w:p w14:paraId="096D7A70" w14:textId="0E364F79" w:rsidR="007F7A07" w:rsidRPr="006E317E" w:rsidRDefault="007F7A07" w:rsidP="007F7A07">
            <w:pPr>
              <w:jc w:val="right"/>
            </w:pPr>
            <w:r w:rsidRPr="00F70176">
              <w:t>…*</w:t>
            </w:r>
          </w:p>
        </w:tc>
        <w:tc>
          <w:tcPr>
            <w:tcW w:w="1162" w:type="dxa"/>
            <w:noWrap/>
            <w:hideMark/>
          </w:tcPr>
          <w:p w14:paraId="47FEC0AD" w14:textId="15F708A4" w:rsidR="007F7A07" w:rsidRPr="006E317E" w:rsidRDefault="007F7A07" w:rsidP="007F7A07">
            <w:pPr>
              <w:jc w:val="right"/>
            </w:pPr>
            <w:r w:rsidRPr="00F70176">
              <w:t>…*</w:t>
            </w:r>
          </w:p>
        </w:tc>
        <w:tc>
          <w:tcPr>
            <w:tcW w:w="1494" w:type="dxa"/>
            <w:noWrap/>
            <w:hideMark/>
          </w:tcPr>
          <w:p w14:paraId="13328A36" w14:textId="6114E19B" w:rsidR="007F7A07" w:rsidRPr="006E317E" w:rsidRDefault="007F7A07" w:rsidP="007F7A07">
            <w:pPr>
              <w:jc w:val="right"/>
            </w:pPr>
            <w:r w:rsidRPr="00F70176">
              <w:t>…*</w:t>
            </w:r>
          </w:p>
        </w:tc>
      </w:tr>
      <w:tr w:rsidR="007F7A07" w:rsidRPr="006E317E" w14:paraId="1B695A35" w14:textId="77777777" w:rsidTr="00EC45E8">
        <w:trPr>
          <w:trHeight w:val="281"/>
        </w:trPr>
        <w:tc>
          <w:tcPr>
            <w:tcW w:w="1124" w:type="dxa"/>
            <w:noWrap/>
            <w:hideMark/>
          </w:tcPr>
          <w:p w14:paraId="622DADEC" w14:textId="77777777" w:rsidR="007F7A07" w:rsidRPr="006E317E" w:rsidRDefault="007F7A07" w:rsidP="007F7A07">
            <w:pPr>
              <w:jc w:val="both"/>
            </w:pPr>
            <w:r w:rsidRPr="006E317E">
              <w:t>Telset</w:t>
            </w:r>
          </w:p>
        </w:tc>
        <w:tc>
          <w:tcPr>
            <w:tcW w:w="1124" w:type="dxa"/>
            <w:noWrap/>
            <w:hideMark/>
          </w:tcPr>
          <w:p w14:paraId="0D761692" w14:textId="3576E4A2" w:rsidR="007F7A07" w:rsidRPr="006E317E" w:rsidRDefault="007F7A07" w:rsidP="007F7A07">
            <w:pPr>
              <w:jc w:val="right"/>
            </w:pPr>
            <w:r w:rsidRPr="00F70176">
              <w:t>…*</w:t>
            </w:r>
          </w:p>
        </w:tc>
        <w:tc>
          <w:tcPr>
            <w:tcW w:w="1124" w:type="dxa"/>
            <w:noWrap/>
            <w:hideMark/>
          </w:tcPr>
          <w:p w14:paraId="064C9EBB" w14:textId="4323B381" w:rsidR="007F7A07" w:rsidRPr="006E317E" w:rsidRDefault="007F7A07" w:rsidP="007F7A07">
            <w:pPr>
              <w:jc w:val="right"/>
            </w:pPr>
            <w:r w:rsidRPr="00F70176">
              <w:t>…*</w:t>
            </w:r>
          </w:p>
        </w:tc>
        <w:tc>
          <w:tcPr>
            <w:tcW w:w="1265" w:type="dxa"/>
            <w:noWrap/>
            <w:hideMark/>
          </w:tcPr>
          <w:p w14:paraId="44722E8B" w14:textId="6B247F02" w:rsidR="007F7A07" w:rsidRPr="006E317E" w:rsidRDefault="007F7A07" w:rsidP="007F7A07">
            <w:pPr>
              <w:jc w:val="right"/>
            </w:pPr>
            <w:r w:rsidRPr="00F70176">
              <w:t>…*</w:t>
            </w:r>
          </w:p>
        </w:tc>
        <w:tc>
          <w:tcPr>
            <w:tcW w:w="1124" w:type="dxa"/>
            <w:noWrap/>
            <w:hideMark/>
          </w:tcPr>
          <w:p w14:paraId="6B7076B1" w14:textId="0A0A4CF9" w:rsidR="007F7A07" w:rsidRPr="006E317E" w:rsidRDefault="007F7A07" w:rsidP="007F7A07">
            <w:pPr>
              <w:jc w:val="right"/>
            </w:pPr>
            <w:r w:rsidRPr="00F70176">
              <w:t>…*</w:t>
            </w:r>
          </w:p>
        </w:tc>
        <w:tc>
          <w:tcPr>
            <w:tcW w:w="1199" w:type="dxa"/>
            <w:noWrap/>
            <w:hideMark/>
          </w:tcPr>
          <w:p w14:paraId="5486493A" w14:textId="3DA33C71" w:rsidR="007F7A07" w:rsidRPr="006E317E" w:rsidRDefault="007F7A07" w:rsidP="007F7A07">
            <w:pPr>
              <w:jc w:val="right"/>
            </w:pPr>
            <w:r w:rsidRPr="00F70176">
              <w:t>…*</w:t>
            </w:r>
          </w:p>
        </w:tc>
        <w:tc>
          <w:tcPr>
            <w:tcW w:w="1162" w:type="dxa"/>
            <w:noWrap/>
            <w:hideMark/>
          </w:tcPr>
          <w:p w14:paraId="3EB429AF" w14:textId="17B08162" w:rsidR="007F7A07" w:rsidRPr="006E317E" w:rsidRDefault="007F7A07" w:rsidP="007F7A07">
            <w:pPr>
              <w:jc w:val="right"/>
            </w:pPr>
            <w:r w:rsidRPr="00F70176">
              <w:t>…*</w:t>
            </w:r>
          </w:p>
        </w:tc>
        <w:tc>
          <w:tcPr>
            <w:tcW w:w="1494" w:type="dxa"/>
            <w:noWrap/>
            <w:hideMark/>
          </w:tcPr>
          <w:p w14:paraId="20B002D5" w14:textId="551A6B4D" w:rsidR="007F7A07" w:rsidRPr="006E317E" w:rsidRDefault="007F7A07" w:rsidP="007F7A07">
            <w:pPr>
              <w:jc w:val="right"/>
            </w:pPr>
            <w:r w:rsidRPr="00F70176">
              <w:t>…*</w:t>
            </w:r>
          </w:p>
        </w:tc>
      </w:tr>
      <w:tr w:rsidR="007F7A07" w:rsidRPr="006E317E" w14:paraId="72D34662" w14:textId="77777777" w:rsidTr="00EC45E8">
        <w:trPr>
          <w:trHeight w:val="281"/>
        </w:trPr>
        <w:tc>
          <w:tcPr>
            <w:tcW w:w="1124" w:type="dxa"/>
            <w:noWrap/>
            <w:hideMark/>
          </w:tcPr>
          <w:p w14:paraId="33B658E7" w14:textId="77777777" w:rsidR="007F7A07" w:rsidRPr="006E317E" w:rsidRDefault="007F7A07" w:rsidP="007F7A07">
            <w:pPr>
              <w:jc w:val="both"/>
            </w:pPr>
            <w:r w:rsidRPr="006E317E">
              <w:t>Enefit</w:t>
            </w:r>
          </w:p>
        </w:tc>
        <w:tc>
          <w:tcPr>
            <w:tcW w:w="1124" w:type="dxa"/>
            <w:noWrap/>
            <w:hideMark/>
          </w:tcPr>
          <w:p w14:paraId="757D71DA" w14:textId="582AAF4C" w:rsidR="007F7A07" w:rsidRPr="006E317E" w:rsidRDefault="007F7A07" w:rsidP="007F7A07">
            <w:pPr>
              <w:jc w:val="right"/>
            </w:pPr>
            <w:r w:rsidRPr="00F70176">
              <w:t>…*</w:t>
            </w:r>
          </w:p>
        </w:tc>
        <w:tc>
          <w:tcPr>
            <w:tcW w:w="1124" w:type="dxa"/>
            <w:noWrap/>
            <w:hideMark/>
          </w:tcPr>
          <w:p w14:paraId="6885B386" w14:textId="5D05FE9C" w:rsidR="007F7A07" w:rsidRPr="006E317E" w:rsidRDefault="007F7A07" w:rsidP="007F7A07">
            <w:pPr>
              <w:jc w:val="right"/>
            </w:pPr>
            <w:r w:rsidRPr="00F70176">
              <w:t>…*</w:t>
            </w:r>
          </w:p>
        </w:tc>
        <w:tc>
          <w:tcPr>
            <w:tcW w:w="1265" w:type="dxa"/>
            <w:noWrap/>
            <w:hideMark/>
          </w:tcPr>
          <w:p w14:paraId="6C451B48" w14:textId="36E67B2E" w:rsidR="007F7A07" w:rsidRPr="006E317E" w:rsidRDefault="007F7A07" w:rsidP="007F7A07">
            <w:pPr>
              <w:jc w:val="right"/>
            </w:pPr>
            <w:r w:rsidRPr="00F70176">
              <w:t>…*</w:t>
            </w:r>
          </w:p>
        </w:tc>
        <w:tc>
          <w:tcPr>
            <w:tcW w:w="1124" w:type="dxa"/>
            <w:noWrap/>
            <w:hideMark/>
          </w:tcPr>
          <w:p w14:paraId="32347FCF" w14:textId="180DF05D" w:rsidR="007F7A07" w:rsidRPr="006E317E" w:rsidRDefault="007F7A07" w:rsidP="007F7A07">
            <w:pPr>
              <w:jc w:val="right"/>
            </w:pPr>
            <w:r w:rsidRPr="00F70176">
              <w:t>…*</w:t>
            </w:r>
          </w:p>
        </w:tc>
        <w:tc>
          <w:tcPr>
            <w:tcW w:w="1199" w:type="dxa"/>
            <w:noWrap/>
            <w:hideMark/>
          </w:tcPr>
          <w:p w14:paraId="2317FC59" w14:textId="0BDF0F3F" w:rsidR="007F7A07" w:rsidRPr="006E317E" w:rsidRDefault="007F7A07" w:rsidP="007F7A07">
            <w:pPr>
              <w:jc w:val="right"/>
            </w:pPr>
            <w:r w:rsidRPr="00F70176">
              <w:t>…*</w:t>
            </w:r>
          </w:p>
        </w:tc>
        <w:tc>
          <w:tcPr>
            <w:tcW w:w="1162" w:type="dxa"/>
            <w:noWrap/>
            <w:hideMark/>
          </w:tcPr>
          <w:p w14:paraId="6A389522" w14:textId="2C815133" w:rsidR="007F7A07" w:rsidRPr="006E317E" w:rsidRDefault="007F7A07" w:rsidP="007F7A07">
            <w:pPr>
              <w:jc w:val="right"/>
            </w:pPr>
            <w:r w:rsidRPr="00F70176">
              <w:t>…*</w:t>
            </w:r>
          </w:p>
        </w:tc>
        <w:tc>
          <w:tcPr>
            <w:tcW w:w="1494" w:type="dxa"/>
            <w:noWrap/>
            <w:hideMark/>
          </w:tcPr>
          <w:p w14:paraId="17BE190A" w14:textId="3D764932" w:rsidR="007F7A07" w:rsidRPr="006E317E" w:rsidRDefault="007F7A07" w:rsidP="007F7A07">
            <w:pPr>
              <w:jc w:val="right"/>
            </w:pPr>
            <w:r w:rsidRPr="00F70176">
              <w:t>…*</w:t>
            </w:r>
          </w:p>
        </w:tc>
      </w:tr>
      <w:tr w:rsidR="007F7A07" w:rsidRPr="006E317E" w14:paraId="1CE3E23B" w14:textId="77777777" w:rsidTr="00EC45E8">
        <w:trPr>
          <w:trHeight w:val="291"/>
        </w:trPr>
        <w:tc>
          <w:tcPr>
            <w:tcW w:w="1124" w:type="dxa"/>
            <w:noWrap/>
            <w:hideMark/>
          </w:tcPr>
          <w:p w14:paraId="2E400ED2" w14:textId="77777777" w:rsidR="007F7A07" w:rsidRPr="006E317E" w:rsidRDefault="007F7A07" w:rsidP="007F7A07">
            <w:pPr>
              <w:jc w:val="both"/>
            </w:pPr>
            <w:r w:rsidRPr="006E317E">
              <w:t>Corle</w:t>
            </w:r>
          </w:p>
        </w:tc>
        <w:tc>
          <w:tcPr>
            <w:tcW w:w="1124" w:type="dxa"/>
            <w:noWrap/>
            <w:hideMark/>
          </w:tcPr>
          <w:p w14:paraId="6A855372" w14:textId="5C56FEED" w:rsidR="007F7A07" w:rsidRPr="006E317E" w:rsidRDefault="007F7A07" w:rsidP="007F7A07">
            <w:pPr>
              <w:jc w:val="right"/>
            </w:pPr>
            <w:r w:rsidRPr="00F70176">
              <w:t>…*</w:t>
            </w:r>
          </w:p>
        </w:tc>
        <w:tc>
          <w:tcPr>
            <w:tcW w:w="1124" w:type="dxa"/>
            <w:noWrap/>
            <w:hideMark/>
          </w:tcPr>
          <w:p w14:paraId="17DF2F5B" w14:textId="54D17D34" w:rsidR="007F7A07" w:rsidRPr="006E317E" w:rsidRDefault="007F7A07" w:rsidP="007F7A07">
            <w:pPr>
              <w:jc w:val="right"/>
            </w:pPr>
            <w:r w:rsidRPr="00F70176">
              <w:t>…*</w:t>
            </w:r>
          </w:p>
        </w:tc>
        <w:tc>
          <w:tcPr>
            <w:tcW w:w="1265" w:type="dxa"/>
            <w:noWrap/>
            <w:hideMark/>
          </w:tcPr>
          <w:p w14:paraId="682881F5" w14:textId="66872011" w:rsidR="007F7A07" w:rsidRPr="006E317E" w:rsidRDefault="007F7A07" w:rsidP="007F7A07">
            <w:pPr>
              <w:jc w:val="right"/>
            </w:pPr>
            <w:r w:rsidRPr="00F70176">
              <w:t>…*</w:t>
            </w:r>
          </w:p>
        </w:tc>
        <w:tc>
          <w:tcPr>
            <w:tcW w:w="1124" w:type="dxa"/>
            <w:noWrap/>
            <w:hideMark/>
          </w:tcPr>
          <w:p w14:paraId="750E9447" w14:textId="2528C23D" w:rsidR="007F7A07" w:rsidRPr="006E317E" w:rsidRDefault="007F7A07" w:rsidP="007F7A07">
            <w:pPr>
              <w:jc w:val="right"/>
            </w:pPr>
            <w:r w:rsidRPr="00F70176">
              <w:t>…*</w:t>
            </w:r>
          </w:p>
        </w:tc>
        <w:tc>
          <w:tcPr>
            <w:tcW w:w="1199" w:type="dxa"/>
            <w:noWrap/>
            <w:hideMark/>
          </w:tcPr>
          <w:p w14:paraId="4B5B66CC" w14:textId="6E0C8CEF" w:rsidR="007F7A07" w:rsidRPr="006E317E" w:rsidRDefault="007F7A07" w:rsidP="007F7A07">
            <w:pPr>
              <w:jc w:val="right"/>
            </w:pPr>
            <w:r w:rsidRPr="00F70176">
              <w:t>…*</w:t>
            </w:r>
          </w:p>
        </w:tc>
        <w:tc>
          <w:tcPr>
            <w:tcW w:w="1162" w:type="dxa"/>
            <w:noWrap/>
            <w:hideMark/>
          </w:tcPr>
          <w:p w14:paraId="0C837575" w14:textId="51017B96" w:rsidR="007F7A07" w:rsidRPr="006E317E" w:rsidRDefault="007F7A07" w:rsidP="007F7A07">
            <w:pPr>
              <w:jc w:val="right"/>
            </w:pPr>
            <w:r w:rsidRPr="00F70176">
              <w:t>…*</w:t>
            </w:r>
          </w:p>
        </w:tc>
        <w:tc>
          <w:tcPr>
            <w:tcW w:w="1494" w:type="dxa"/>
            <w:noWrap/>
            <w:hideMark/>
          </w:tcPr>
          <w:p w14:paraId="2A3DB8B6" w14:textId="01D55198" w:rsidR="007F7A07" w:rsidRPr="006E317E" w:rsidRDefault="007F7A07" w:rsidP="007F7A07">
            <w:pPr>
              <w:jc w:val="right"/>
            </w:pPr>
            <w:r w:rsidRPr="00F70176">
              <w:t>…*</w:t>
            </w:r>
          </w:p>
        </w:tc>
      </w:tr>
      <w:tr w:rsidR="007F7A07" w:rsidRPr="006E317E" w14:paraId="2D05FD97" w14:textId="77777777" w:rsidTr="00EC45E8">
        <w:trPr>
          <w:trHeight w:val="291"/>
        </w:trPr>
        <w:tc>
          <w:tcPr>
            <w:tcW w:w="1124" w:type="dxa"/>
            <w:noWrap/>
            <w:hideMark/>
          </w:tcPr>
          <w:p w14:paraId="6D6AA92E" w14:textId="77777777" w:rsidR="007F7A07" w:rsidRPr="006E317E" w:rsidRDefault="007F7A07" w:rsidP="007F7A07">
            <w:pPr>
              <w:jc w:val="both"/>
            </w:pPr>
            <w:r w:rsidRPr="006E317E">
              <w:t>ELA SA</w:t>
            </w:r>
          </w:p>
        </w:tc>
        <w:tc>
          <w:tcPr>
            <w:tcW w:w="1124" w:type="dxa"/>
            <w:noWrap/>
            <w:hideMark/>
          </w:tcPr>
          <w:p w14:paraId="2FE928F2" w14:textId="6912D570" w:rsidR="007F7A07" w:rsidRPr="006E317E" w:rsidRDefault="007F7A07" w:rsidP="007F7A07">
            <w:pPr>
              <w:jc w:val="right"/>
            </w:pPr>
            <w:r w:rsidRPr="00F70176">
              <w:t>…*</w:t>
            </w:r>
          </w:p>
        </w:tc>
        <w:tc>
          <w:tcPr>
            <w:tcW w:w="1124" w:type="dxa"/>
            <w:noWrap/>
            <w:hideMark/>
          </w:tcPr>
          <w:p w14:paraId="1ED4A0A9" w14:textId="07430AEB" w:rsidR="007F7A07" w:rsidRPr="006E317E" w:rsidRDefault="007F7A07" w:rsidP="007F7A07">
            <w:pPr>
              <w:jc w:val="right"/>
            </w:pPr>
            <w:r w:rsidRPr="00F70176">
              <w:t>…*</w:t>
            </w:r>
          </w:p>
        </w:tc>
        <w:tc>
          <w:tcPr>
            <w:tcW w:w="1265" w:type="dxa"/>
            <w:noWrap/>
            <w:hideMark/>
          </w:tcPr>
          <w:p w14:paraId="5E243794" w14:textId="5FCBA7B9" w:rsidR="007F7A07" w:rsidRPr="006E317E" w:rsidRDefault="007F7A07" w:rsidP="007F7A07">
            <w:pPr>
              <w:jc w:val="right"/>
            </w:pPr>
            <w:r w:rsidRPr="00F70176">
              <w:t>…*</w:t>
            </w:r>
          </w:p>
        </w:tc>
        <w:tc>
          <w:tcPr>
            <w:tcW w:w="1124" w:type="dxa"/>
            <w:noWrap/>
            <w:hideMark/>
          </w:tcPr>
          <w:p w14:paraId="2E750DD8" w14:textId="34329520" w:rsidR="007F7A07" w:rsidRPr="006E317E" w:rsidRDefault="007F7A07" w:rsidP="007F7A07">
            <w:pPr>
              <w:jc w:val="right"/>
            </w:pPr>
            <w:r w:rsidRPr="00F70176">
              <w:t>…*</w:t>
            </w:r>
          </w:p>
        </w:tc>
        <w:tc>
          <w:tcPr>
            <w:tcW w:w="1199" w:type="dxa"/>
            <w:noWrap/>
            <w:hideMark/>
          </w:tcPr>
          <w:p w14:paraId="5BA0F295" w14:textId="5A9570D2" w:rsidR="007F7A07" w:rsidRPr="006E317E" w:rsidRDefault="007F7A07" w:rsidP="007F7A07">
            <w:pPr>
              <w:jc w:val="right"/>
            </w:pPr>
            <w:r w:rsidRPr="00F70176">
              <w:t>…*</w:t>
            </w:r>
          </w:p>
        </w:tc>
        <w:tc>
          <w:tcPr>
            <w:tcW w:w="1162" w:type="dxa"/>
            <w:noWrap/>
            <w:hideMark/>
          </w:tcPr>
          <w:p w14:paraId="4887132C" w14:textId="2B573173" w:rsidR="007F7A07" w:rsidRPr="006E317E" w:rsidRDefault="007F7A07" w:rsidP="007F7A07">
            <w:pPr>
              <w:jc w:val="right"/>
            </w:pPr>
            <w:r w:rsidRPr="00F70176">
              <w:t>…*</w:t>
            </w:r>
          </w:p>
        </w:tc>
        <w:tc>
          <w:tcPr>
            <w:tcW w:w="1494" w:type="dxa"/>
            <w:noWrap/>
            <w:hideMark/>
          </w:tcPr>
          <w:p w14:paraId="00F75F0C" w14:textId="15F4FA6A" w:rsidR="007F7A07" w:rsidRPr="006E317E" w:rsidRDefault="007F7A07" w:rsidP="007F7A07">
            <w:pPr>
              <w:jc w:val="right"/>
            </w:pPr>
            <w:r w:rsidRPr="00F70176">
              <w:t>…*</w:t>
            </w:r>
          </w:p>
        </w:tc>
      </w:tr>
      <w:tr w:rsidR="00EC24B2" w:rsidRPr="006E317E" w14:paraId="52C56DBD" w14:textId="77777777" w:rsidTr="00EC45E8">
        <w:trPr>
          <w:trHeight w:val="291"/>
        </w:trPr>
        <w:tc>
          <w:tcPr>
            <w:tcW w:w="1124" w:type="dxa"/>
            <w:noWrap/>
            <w:hideMark/>
          </w:tcPr>
          <w:p w14:paraId="59DE6677" w14:textId="77777777" w:rsidR="00EC24B2" w:rsidRPr="006E317E" w:rsidRDefault="00EC24B2" w:rsidP="00AA241E">
            <w:pPr>
              <w:jc w:val="both"/>
            </w:pPr>
            <w:r w:rsidRPr="006E317E">
              <w:t>Kokku</w:t>
            </w:r>
          </w:p>
        </w:tc>
        <w:tc>
          <w:tcPr>
            <w:tcW w:w="1124" w:type="dxa"/>
            <w:noWrap/>
            <w:hideMark/>
          </w:tcPr>
          <w:p w14:paraId="440DDC0D" w14:textId="77777777" w:rsidR="00EC24B2" w:rsidRPr="006E317E" w:rsidRDefault="00EC24B2" w:rsidP="00403A74">
            <w:pPr>
              <w:jc w:val="right"/>
            </w:pPr>
            <w:r w:rsidRPr="006E317E">
              <w:t>110</w:t>
            </w:r>
          </w:p>
        </w:tc>
        <w:tc>
          <w:tcPr>
            <w:tcW w:w="1124" w:type="dxa"/>
            <w:noWrap/>
            <w:hideMark/>
          </w:tcPr>
          <w:p w14:paraId="62BFC7C5" w14:textId="77777777" w:rsidR="00EC24B2" w:rsidRPr="006E317E" w:rsidRDefault="00EC24B2" w:rsidP="00403A74">
            <w:pPr>
              <w:jc w:val="right"/>
            </w:pPr>
            <w:r w:rsidRPr="006E317E">
              <w:t>383</w:t>
            </w:r>
          </w:p>
        </w:tc>
        <w:tc>
          <w:tcPr>
            <w:tcW w:w="1265" w:type="dxa"/>
            <w:noWrap/>
            <w:hideMark/>
          </w:tcPr>
          <w:p w14:paraId="725FC3BA" w14:textId="77777777" w:rsidR="00EC24B2" w:rsidRPr="006E317E" w:rsidRDefault="00EC24B2" w:rsidP="00403A74">
            <w:pPr>
              <w:jc w:val="right"/>
            </w:pPr>
            <w:r w:rsidRPr="006E317E">
              <w:t>396</w:t>
            </w:r>
          </w:p>
        </w:tc>
        <w:tc>
          <w:tcPr>
            <w:tcW w:w="1124" w:type="dxa"/>
            <w:noWrap/>
            <w:hideMark/>
          </w:tcPr>
          <w:p w14:paraId="5EE4BDBD" w14:textId="77777777" w:rsidR="00EC24B2" w:rsidRPr="006E317E" w:rsidRDefault="00EC24B2" w:rsidP="00403A74">
            <w:pPr>
              <w:jc w:val="right"/>
            </w:pPr>
            <w:r w:rsidRPr="006E317E">
              <w:t>2 790</w:t>
            </w:r>
          </w:p>
        </w:tc>
        <w:tc>
          <w:tcPr>
            <w:tcW w:w="1199" w:type="dxa"/>
            <w:noWrap/>
            <w:hideMark/>
          </w:tcPr>
          <w:p w14:paraId="084FEF94" w14:textId="77777777" w:rsidR="00EC24B2" w:rsidRPr="006E317E" w:rsidRDefault="00EC24B2" w:rsidP="00403A74">
            <w:pPr>
              <w:jc w:val="right"/>
            </w:pPr>
            <w:r w:rsidRPr="006E317E">
              <w:t>7 315</w:t>
            </w:r>
          </w:p>
        </w:tc>
        <w:tc>
          <w:tcPr>
            <w:tcW w:w="1162" w:type="dxa"/>
            <w:noWrap/>
            <w:hideMark/>
          </w:tcPr>
          <w:p w14:paraId="7DA6B42A" w14:textId="77777777" w:rsidR="00EC24B2" w:rsidRPr="006E317E" w:rsidRDefault="00EC24B2" w:rsidP="00403A74">
            <w:pPr>
              <w:jc w:val="right"/>
            </w:pPr>
            <w:r w:rsidRPr="006E317E">
              <w:t>9 907</w:t>
            </w:r>
          </w:p>
        </w:tc>
        <w:tc>
          <w:tcPr>
            <w:tcW w:w="1494" w:type="dxa"/>
            <w:noWrap/>
            <w:hideMark/>
          </w:tcPr>
          <w:p w14:paraId="7F5AA052" w14:textId="77777777" w:rsidR="00EC24B2" w:rsidRPr="006E317E" w:rsidRDefault="00EC24B2" w:rsidP="00403A74">
            <w:pPr>
              <w:jc w:val="right"/>
            </w:pPr>
            <w:r w:rsidRPr="006E317E">
              <w:t>14 458</w:t>
            </w:r>
          </w:p>
        </w:tc>
      </w:tr>
    </w:tbl>
    <w:p w14:paraId="7B0FC08D" w14:textId="598142A7" w:rsidR="00EC45E8" w:rsidRDefault="00EC45E8" w:rsidP="00AA241E">
      <w:pPr>
        <w:pStyle w:val="Pealdis"/>
        <w:jc w:val="both"/>
      </w:pPr>
      <w:r>
        <w:t xml:space="preserve">Tabel </w:t>
      </w:r>
      <w:r>
        <w:fldChar w:fldCharType="begin"/>
      </w:r>
      <w:r>
        <w:instrText xml:space="preserve"> SEQ Tabel \* ARABIC </w:instrText>
      </w:r>
      <w:r>
        <w:fldChar w:fldCharType="separate"/>
      </w:r>
      <w:r w:rsidR="00247D84">
        <w:rPr>
          <w:noProof/>
        </w:rPr>
        <w:t>23</w:t>
      </w:r>
      <w:r>
        <w:fldChar w:fldCharType="end"/>
      </w:r>
      <w:r>
        <w:t xml:space="preserve"> </w:t>
      </w:r>
      <w:r w:rsidR="00EC24B2" w:rsidRPr="006E317E">
        <w:t>Valguskaabel juurdepääsu kiu rendi hulgiteenuse osutamise mahud Eestis aastale 2017 -2023</w:t>
      </w:r>
    </w:p>
    <w:tbl>
      <w:tblPr>
        <w:tblStyle w:val="Kontuurtabel1"/>
        <w:tblW w:w="9645" w:type="dxa"/>
        <w:tblLook w:val="04A0" w:firstRow="1" w:lastRow="0" w:firstColumn="1" w:lastColumn="0" w:noHBand="0" w:noVBand="1"/>
      </w:tblPr>
      <w:tblGrid>
        <w:gridCol w:w="1326"/>
        <w:gridCol w:w="1161"/>
        <w:gridCol w:w="1165"/>
        <w:gridCol w:w="1165"/>
        <w:gridCol w:w="1165"/>
        <w:gridCol w:w="1166"/>
        <w:gridCol w:w="1165"/>
        <w:gridCol w:w="1332"/>
      </w:tblGrid>
      <w:tr w:rsidR="00EC24B2" w:rsidRPr="006E317E" w14:paraId="068BE42C" w14:textId="77777777" w:rsidTr="00EC45E8">
        <w:trPr>
          <w:trHeight w:val="257"/>
        </w:trPr>
        <w:tc>
          <w:tcPr>
            <w:tcW w:w="1326" w:type="dxa"/>
            <w:shd w:val="clear" w:color="auto" w:fill="92D050"/>
            <w:noWrap/>
            <w:hideMark/>
          </w:tcPr>
          <w:p w14:paraId="265AD9B6" w14:textId="77777777" w:rsidR="00EC24B2" w:rsidRPr="006E317E" w:rsidRDefault="00EC24B2" w:rsidP="00AA241E">
            <w:pPr>
              <w:jc w:val="both"/>
            </w:pPr>
            <w:r w:rsidRPr="006E317E">
              <w:lastRenderedPageBreak/>
              <w:t> </w:t>
            </w:r>
          </w:p>
        </w:tc>
        <w:tc>
          <w:tcPr>
            <w:tcW w:w="1161" w:type="dxa"/>
            <w:shd w:val="clear" w:color="auto" w:fill="92D050"/>
            <w:noWrap/>
            <w:hideMark/>
          </w:tcPr>
          <w:p w14:paraId="065ED198" w14:textId="77777777" w:rsidR="00EC24B2" w:rsidRPr="00EC45E8" w:rsidRDefault="00EC24B2" w:rsidP="00403A74">
            <w:pPr>
              <w:jc w:val="center"/>
              <w:rPr>
                <w:b/>
                <w:bCs/>
              </w:rPr>
            </w:pPr>
            <w:r w:rsidRPr="00EC45E8">
              <w:rPr>
                <w:b/>
                <w:bCs/>
              </w:rPr>
              <w:t>2017</w:t>
            </w:r>
          </w:p>
        </w:tc>
        <w:tc>
          <w:tcPr>
            <w:tcW w:w="1165" w:type="dxa"/>
            <w:shd w:val="clear" w:color="auto" w:fill="92D050"/>
            <w:noWrap/>
            <w:hideMark/>
          </w:tcPr>
          <w:p w14:paraId="7E9B69B7" w14:textId="77777777" w:rsidR="00EC24B2" w:rsidRPr="00EC45E8" w:rsidRDefault="00EC24B2" w:rsidP="00403A74">
            <w:pPr>
              <w:jc w:val="center"/>
              <w:rPr>
                <w:b/>
                <w:bCs/>
              </w:rPr>
            </w:pPr>
            <w:r w:rsidRPr="00EC45E8">
              <w:rPr>
                <w:b/>
                <w:bCs/>
              </w:rPr>
              <w:t>2018</w:t>
            </w:r>
          </w:p>
        </w:tc>
        <w:tc>
          <w:tcPr>
            <w:tcW w:w="1165" w:type="dxa"/>
            <w:shd w:val="clear" w:color="auto" w:fill="92D050"/>
            <w:noWrap/>
            <w:hideMark/>
          </w:tcPr>
          <w:p w14:paraId="2B3385D9" w14:textId="77777777" w:rsidR="00EC24B2" w:rsidRPr="00EC45E8" w:rsidRDefault="00EC24B2" w:rsidP="00403A74">
            <w:pPr>
              <w:jc w:val="center"/>
              <w:rPr>
                <w:b/>
                <w:bCs/>
              </w:rPr>
            </w:pPr>
            <w:r w:rsidRPr="00EC45E8">
              <w:rPr>
                <w:b/>
                <w:bCs/>
              </w:rPr>
              <w:t>2019</w:t>
            </w:r>
          </w:p>
        </w:tc>
        <w:tc>
          <w:tcPr>
            <w:tcW w:w="1165" w:type="dxa"/>
            <w:shd w:val="clear" w:color="auto" w:fill="92D050"/>
            <w:noWrap/>
            <w:hideMark/>
          </w:tcPr>
          <w:p w14:paraId="72A28CC0" w14:textId="77777777" w:rsidR="00EC24B2" w:rsidRPr="00EC45E8" w:rsidRDefault="00EC24B2" w:rsidP="00403A74">
            <w:pPr>
              <w:jc w:val="center"/>
              <w:rPr>
                <w:b/>
                <w:bCs/>
              </w:rPr>
            </w:pPr>
            <w:r w:rsidRPr="00EC45E8">
              <w:rPr>
                <w:b/>
                <w:bCs/>
              </w:rPr>
              <w:t>2020</w:t>
            </w:r>
          </w:p>
        </w:tc>
        <w:tc>
          <w:tcPr>
            <w:tcW w:w="1166" w:type="dxa"/>
            <w:shd w:val="clear" w:color="auto" w:fill="92D050"/>
            <w:noWrap/>
            <w:hideMark/>
          </w:tcPr>
          <w:p w14:paraId="60FEA76C" w14:textId="77777777" w:rsidR="00EC24B2" w:rsidRPr="00EC45E8" w:rsidRDefault="00EC24B2" w:rsidP="00403A74">
            <w:pPr>
              <w:jc w:val="center"/>
              <w:rPr>
                <w:b/>
                <w:bCs/>
              </w:rPr>
            </w:pPr>
            <w:r w:rsidRPr="00EC45E8">
              <w:rPr>
                <w:b/>
                <w:bCs/>
              </w:rPr>
              <w:t>2021</w:t>
            </w:r>
          </w:p>
        </w:tc>
        <w:tc>
          <w:tcPr>
            <w:tcW w:w="1165" w:type="dxa"/>
            <w:shd w:val="clear" w:color="auto" w:fill="92D050"/>
            <w:noWrap/>
            <w:hideMark/>
          </w:tcPr>
          <w:p w14:paraId="2469B5E0" w14:textId="77777777" w:rsidR="00EC24B2" w:rsidRPr="00EC45E8" w:rsidRDefault="00EC24B2" w:rsidP="00403A74">
            <w:pPr>
              <w:jc w:val="center"/>
              <w:rPr>
                <w:b/>
                <w:bCs/>
              </w:rPr>
            </w:pPr>
            <w:r w:rsidRPr="00EC45E8">
              <w:rPr>
                <w:b/>
                <w:bCs/>
              </w:rPr>
              <w:t>2022</w:t>
            </w:r>
          </w:p>
        </w:tc>
        <w:tc>
          <w:tcPr>
            <w:tcW w:w="1332" w:type="dxa"/>
            <w:shd w:val="clear" w:color="auto" w:fill="92D050"/>
            <w:noWrap/>
            <w:hideMark/>
          </w:tcPr>
          <w:p w14:paraId="06730B79" w14:textId="77777777" w:rsidR="00EC24B2" w:rsidRPr="00EC45E8" w:rsidRDefault="00EC24B2" w:rsidP="00403A74">
            <w:pPr>
              <w:jc w:val="center"/>
              <w:rPr>
                <w:b/>
                <w:bCs/>
              </w:rPr>
            </w:pPr>
            <w:r w:rsidRPr="00EC45E8">
              <w:rPr>
                <w:b/>
                <w:bCs/>
              </w:rPr>
              <w:t>2023</w:t>
            </w:r>
          </w:p>
        </w:tc>
      </w:tr>
      <w:tr w:rsidR="00A91584" w:rsidRPr="006E317E" w14:paraId="7BD9B2B5" w14:textId="77777777" w:rsidTr="00EC45E8">
        <w:trPr>
          <w:trHeight w:val="257"/>
        </w:trPr>
        <w:tc>
          <w:tcPr>
            <w:tcW w:w="1326" w:type="dxa"/>
            <w:noWrap/>
            <w:hideMark/>
          </w:tcPr>
          <w:p w14:paraId="3FBD1CD7" w14:textId="77777777" w:rsidR="00A91584" w:rsidRPr="006E317E" w:rsidRDefault="00A91584" w:rsidP="00A91584">
            <w:pPr>
              <w:jc w:val="both"/>
            </w:pPr>
            <w:r w:rsidRPr="006E317E">
              <w:t>Telia</w:t>
            </w:r>
          </w:p>
        </w:tc>
        <w:tc>
          <w:tcPr>
            <w:tcW w:w="1161" w:type="dxa"/>
            <w:noWrap/>
            <w:hideMark/>
          </w:tcPr>
          <w:p w14:paraId="55082811" w14:textId="7C71A400" w:rsidR="00A91584" w:rsidRPr="006E317E" w:rsidRDefault="00A91584" w:rsidP="00A91584">
            <w:pPr>
              <w:jc w:val="center"/>
            </w:pPr>
            <w:r w:rsidRPr="00B00696">
              <w:t>…*%</w:t>
            </w:r>
          </w:p>
        </w:tc>
        <w:tc>
          <w:tcPr>
            <w:tcW w:w="1165" w:type="dxa"/>
            <w:noWrap/>
            <w:hideMark/>
          </w:tcPr>
          <w:p w14:paraId="34F5E45A" w14:textId="52A5B173" w:rsidR="00A91584" w:rsidRPr="006E317E" w:rsidRDefault="00A91584" w:rsidP="00A91584">
            <w:pPr>
              <w:jc w:val="center"/>
            </w:pPr>
            <w:r w:rsidRPr="00B00696">
              <w:t>…*%</w:t>
            </w:r>
          </w:p>
        </w:tc>
        <w:tc>
          <w:tcPr>
            <w:tcW w:w="1165" w:type="dxa"/>
            <w:noWrap/>
            <w:hideMark/>
          </w:tcPr>
          <w:p w14:paraId="584611CF" w14:textId="33BB7026" w:rsidR="00A91584" w:rsidRPr="006E317E" w:rsidRDefault="00A91584" w:rsidP="00A91584">
            <w:pPr>
              <w:jc w:val="center"/>
            </w:pPr>
            <w:r w:rsidRPr="00B00696">
              <w:t>…*%</w:t>
            </w:r>
          </w:p>
        </w:tc>
        <w:tc>
          <w:tcPr>
            <w:tcW w:w="1165" w:type="dxa"/>
            <w:noWrap/>
            <w:hideMark/>
          </w:tcPr>
          <w:p w14:paraId="1326061F" w14:textId="3EEF36AD" w:rsidR="00A91584" w:rsidRPr="006E317E" w:rsidRDefault="00A91584" w:rsidP="00A91584">
            <w:pPr>
              <w:jc w:val="center"/>
            </w:pPr>
            <w:r w:rsidRPr="00B00696">
              <w:t>…*%</w:t>
            </w:r>
          </w:p>
        </w:tc>
        <w:tc>
          <w:tcPr>
            <w:tcW w:w="1166" w:type="dxa"/>
            <w:noWrap/>
            <w:hideMark/>
          </w:tcPr>
          <w:p w14:paraId="34C59786" w14:textId="0A0851D3" w:rsidR="00A91584" w:rsidRPr="006E317E" w:rsidRDefault="00A91584" w:rsidP="00A91584">
            <w:pPr>
              <w:jc w:val="center"/>
            </w:pPr>
            <w:r w:rsidRPr="00B00696">
              <w:t>…*%</w:t>
            </w:r>
          </w:p>
        </w:tc>
        <w:tc>
          <w:tcPr>
            <w:tcW w:w="1165" w:type="dxa"/>
            <w:noWrap/>
            <w:hideMark/>
          </w:tcPr>
          <w:p w14:paraId="1B52B55E" w14:textId="04DC81EF" w:rsidR="00A91584" w:rsidRPr="006E317E" w:rsidRDefault="00A91584" w:rsidP="00A91584">
            <w:pPr>
              <w:jc w:val="center"/>
            </w:pPr>
            <w:r w:rsidRPr="00B00696">
              <w:t>…*%</w:t>
            </w:r>
          </w:p>
        </w:tc>
        <w:tc>
          <w:tcPr>
            <w:tcW w:w="1332" w:type="dxa"/>
            <w:noWrap/>
            <w:hideMark/>
          </w:tcPr>
          <w:p w14:paraId="4F0487C7" w14:textId="0D777893" w:rsidR="00A91584" w:rsidRPr="006E317E" w:rsidRDefault="00A91584" w:rsidP="00A91584">
            <w:pPr>
              <w:jc w:val="center"/>
            </w:pPr>
            <w:r w:rsidRPr="00B00696">
              <w:t>…*%</w:t>
            </w:r>
          </w:p>
        </w:tc>
      </w:tr>
      <w:tr w:rsidR="007F7A07" w:rsidRPr="006E317E" w14:paraId="3D867D27" w14:textId="77777777" w:rsidTr="00EC45E8">
        <w:trPr>
          <w:trHeight w:val="257"/>
        </w:trPr>
        <w:tc>
          <w:tcPr>
            <w:tcW w:w="1326" w:type="dxa"/>
            <w:noWrap/>
            <w:hideMark/>
          </w:tcPr>
          <w:p w14:paraId="69A9CCA7" w14:textId="77777777" w:rsidR="007F7A07" w:rsidRPr="006E317E" w:rsidRDefault="007F7A07" w:rsidP="007F7A07">
            <w:pPr>
              <w:jc w:val="both"/>
            </w:pPr>
            <w:r w:rsidRPr="006E317E">
              <w:t>Elisa</w:t>
            </w:r>
          </w:p>
        </w:tc>
        <w:tc>
          <w:tcPr>
            <w:tcW w:w="1161" w:type="dxa"/>
            <w:noWrap/>
            <w:hideMark/>
          </w:tcPr>
          <w:p w14:paraId="321D0919" w14:textId="5149CF7A" w:rsidR="007F7A07" w:rsidRPr="006E317E" w:rsidRDefault="007F7A07" w:rsidP="007F7A07">
            <w:pPr>
              <w:jc w:val="center"/>
            </w:pPr>
            <w:r>
              <w:t>…*</w:t>
            </w:r>
            <w:r w:rsidRPr="006E317E">
              <w:t>%</w:t>
            </w:r>
          </w:p>
        </w:tc>
        <w:tc>
          <w:tcPr>
            <w:tcW w:w="1165" w:type="dxa"/>
            <w:noWrap/>
            <w:hideMark/>
          </w:tcPr>
          <w:p w14:paraId="1EF2C32D" w14:textId="48020106" w:rsidR="007F7A07" w:rsidRPr="006E317E" w:rsidRDefault="007F7A07" w:rsidP="007F7A07">
            <w:pPr>
              <w:jc w:val="center"/>
            </w:pPr>
            <w:r w:rsidRPr="00C158B7">
              <w:t>…*%</w:t>
            </w:r>
          </w:p>
        </w:tc>
        <w:tc>
          <w:tcPr>
            <w:tcW w:w="1165" w:type="dxa"/>
            <w:noWrap/>
            <w:hideMark/>
          </w:tcPr>
          <w:p w14:paraId="62364693" w14:textId="3BB891D6" w:rsidR="007F7A07" w:rsidRPr="006E317E" w:rsidRDefault="007F7A07" w:rsidP="007F7A07">
            <w:pPr>
              <w:jc w:val="center"/>
            </w:pPr>
            <w:r w:rsidRPr="00C158B7">
              <w:t>…*%</w:t>
            </w:r>
          </w:p>
        </w:tc>
        <w:tc>
          <w:tcPr>
            <w:tcW w:w="1165" w:type="dxa"/>
            <w:noWrap/>
            <w:hideMark/>
          </w:tcPr>
          <w:p w14:paraId="573E5C34" w14:textId="3101350D" w:rsidR="007F7A07" w:rsidRPr="006E317E" w:rsidRDefault="007F7A07" w:rsidP="007F7A07">
            <w:pPr>
              <w:jc w:val="center"/>
            </w:pPr>
            <w:r w:rsidRPr="00C158B7">
              <w:t>…*%</w:t>
            </w:r>
          </w:p>
        </w:tc>
        <w:tc>
          <w:tcPr>
            <w:tcW w:w="1166" w:type="dxa"/>
            <w:noWrap/>
            <w:hideMark/>
          </w:tcPr>
          <w:p w14:paraId="0E6418D3" w14:textId="444C893F" w:rsidR="007F7A07" w:rsidRPr="006E317E" w:rsidRDefault="007F7A07" w:rsidP="007F7A07">
            <w:pPr>
              <w:jc w:val="center"/>
            </w:pPr>
            <w:r w:rsidRPr="00C158B7">
              <w:t>…*%</w:t>
            </w:r>
          </w:p>
        </w:tc>
        <w:tc>
          <w:tcPr>
            <w:tcW w:w="1165" w:type="dxa"/>
            <w:noWrap/>
            <w:hideMark/>
          </w:tcPr>
          <w:p w14:paraId="311919A4" w14:textId="41DD4098" w:rsidR="007F7A07" w:rsidRPr="006E317E" w:rsidRDefault="007F7A07" w:rsidP="007F7A07">
            <w:pPr>
              <w:jc w:val="center"/>
            </w:pPr>
            <w:r w:rsidRPr="00C158B7">
              <w:t>…*%</w:t>
            </w:r>
          </w:p>
        </w:tc>
        <w:tc>
          <w:tcPr>
            <w:tcW w:w="1332" w:type="dxa"/>
            <w:noWrap/>
            <w:hideMark/>
          </w:tcPr>
          <w:p w14:paraId="2AF96AE4" w14:textId="44849FBB" w:rsidR="007F7A07" w:rsidRPr="006E317E" w:rsidRDefault="007F7A07" w:rsidP="007F7A07">
            <w:pPr>
              <w:jc w:val="center"/>
            </w:pPr>
            <w:r w:rsidRPr="00C158B7">
              <w:t>…*%</w:t>
            </w:r>
          </w:p>
        </w:tc>
      </w:tr>
      <w:tr w:rsidR="007F7A07" w:rsidRPr="006E317E" w14:paraId="197254A7" w14:textId="77777777" w:rsidTr="00EC45E8">
        <w:trPr>
          <w:trHeight w:val="257"/>
        </w:trPr>
        <w:tc>
          <w:tcPr>
            <w:tcW w:w="1326" w:type="dxa"/>
            <w:noWrap/>
            <w:hideMark/>
          </w:tcPr>
          <w:p w14:paraId="6B7C1037" w14:textId="77777777" w:rsidR="007F7A07" w:rsidRPr="006E317E" w:rsidRDefault="007F7A07" w:rsidP="007F7A07">
            <w:pPr>
              <w:jc w:val="both"/>
            </w:pPr>
            <w:r w:rsidRPr="006E317E">
              <w:t>Telset</w:t>
            </w:r>
          </w:p>
        </w:tc>
        <w:tc>
          <w:tcPr>
            <w:tcW w:w="1161" w:type="dxa"/>
            <w:noWrap/>
            <w:hideMark/>
          </w:tcPr>
          <w:p w14:paraId="11870006" w14:textId="5E60A178" w:rsidR="007F7A07" w:rsidRPr="006E317E" w:rsidRDefault="007F7A07" w:rsidP="007F7A07">
            <w:pPr>
              <w:jc w:val="center"/>
            </w:pPr>
            <w:r w:rsidRPr="000A35AF">
              <w:t>…*%</w:t>
            </w:r>
          </w:p>
        </w:tc>
        <w:tc>
          <w:tcPr>
            <w:tcW w:w="1165" w:type="dxa"/>
            <w:noWrap/>
            <w:hideMark/>
          </w:tcPr>
          <w:p w14:paraId="0318AB58" w14:textId="3A6F366C" w:rsidR="007F7A07" w:rsidRPr="006E317E" w:rsidRDefault="007F7A07" w:rsidP="007F7A07">
            <w:pPr>
              <w:jc w:val="center"/>
            </w:pPr>
            <w:r w:rsidRPr="00C158B7">
              <w:t>…*%</w:t>
            </w:r>
          </w:p>
        </w:tc>
        <w:tc>
          <w:tcPr>
            <w:tcW w:w="1165" w:type="dxa"/>
            <w:noWrap/>
            <w:hideMark/>
          </w:tcPr>
          <w:p w14:paraId="6471F52E" w14:textId="788FFD5A" w:rsidR="007F7A07" w:rsidRPr="006E317E" w:rsidRDefault="007F7A07" w:rsidP="007F7A07">
            <w:pPr>
              <w:jc w:val="center"/>
            </w:pPr>
            <w:r w:rsidRPr="00C158B7">
              <w:t>…*%</w:t>
            </w:r>
          </w:p>
        </w:tc>
        <w:tc>
          <w:tcPr>
            <w:tcW w:w="1165" w:type="dxa"/>
            <w:noWrap/>
            <w:hideMark/>
          </w:tcPr>
          <w:p w14:paraId="02D7D7FC" w14:textId="06D34D8C" w:rsidR="007F7A07" w:rsidRPr="006E317E" w:rsidRDefault="007F7A07" w:rsidP="007F7A07">
            <w:pPr>
              <w:jc w:val="center"/>
            </w:pPr>
            <w:r w:rsidRPr="00C158B7">
              <w:t>…*%</w:t>
            </w:r>
          </w:p>
        </w:tc>
        <w:tc>
          <w:tcPr>
            <w:tcW w:w="1166" w:type="dxa"/>
            <w:noWrap/>
            <w:hideMark/>
          </w:tcPr>
          <w:p w14:paraId="2D8582BD" w14:textId="196EA4C3" w:rsidR="007F7A07" w:rsidRPr="006E317E" w:rsidRDefault="007F7A07" w:rsidP="007F7A07">
            <w:pPr>
              <w:jc w:val="center"/>
            </w:pPr>
            <w:r w:rsidRPr="00C158B7">
              <w:t>…*%</w:t>
            </w:r>
          </w:p>
        </w:tc>
        <w:tc>
          <w:tcPr>
            <w:tcW w:w="1165" w:type="dxa"/>
            <w:noWrap/>
            <w:hideMark/>
          </w:tcPr>
          <w:p w14:paraId="75F55C3C" w14:textId="10EC01F8" w:rsidR="007F7A07" w:rsidRPr="006E317E" w:rsidRDefault="007F7A07" w:rsidP="007F7A07">
            <w:pPr>
              <w:jc w:val="center"/>
            </w:pPr>
            <w:r w:rsidRPr="00C158B7">
              <w:t>…*%</w:t>
            </w:r>
          </w:p>
        </w:tc>
        <w:tc>
          <w:tcPr>
            <w:tcW w:w="1332" w:type="dxa"/>
            <w:noWrap/>
            <w:hideMark/>
          </w:tcPr>
          <w:p w14:paraId="60E056E4" w14:textId="5EA48E7E" w:rsidR="007F7A07" w:rsidRPr="006E317E" w:rsidRDefault="007F7A07" w:rsidP="007F7A07">
            <w:pPr>
              <w:jc w:val="center"/>
            </w:pPr>
            <w:r w:rsidRPr="00C158B7">
              <w:t>…*%</w:t>
            </w:r>
          </w:p>
        </w:tc>
      </w:tr>
      <w:tr w:rsidR="007F7A07" w:rsidRPr="006E317E" w14:paraId="6F6D8629" w14:textId="77777777" w:rsidTr="00EC45E8">
        <w:trPr>
          <w:trHeight w:val="257"/>
        </w:trPr>
        <w:tc>
          <w:tcPr>
            <w:tcW w:w="1326" w:type="dxa"/>
            <w:noWrap/>
            <w:hideMark/>
          </w:tcPr>
          <w:p w14:paraId="52264CC1" w14:textId="77777777" w:rsidR="007F7A07" w:rsidRPr="006E317E" w:rsidRDefault="007F7A07" w:rsidP="007F7A07">
            <w:pPr>
              <w:jc w:val="both"/>
            </w:pPr>
            <w:r w:rsidRPr="006E317E">
              <w:t>Enefit</w:t>
            </w:r>
          </w:p>
        </w:tc>
        <w:tc>
          <w:tcPr>
            <w:tcW w:w="1161" w:type="dxa"/>
            <w:noWrap/>
            <w:hideMark/>
          </w:tcPr>
          <w:p w14:paraId="225B69E6" w14:textId="185401E1" w:rsidR="007F7A07" w:rsidRPr="006E317E" w:rsidRDefault="007F7A07" w:rsidP="007F7A07">
            <w:pPr>
              <w:jc w:val="center"/>
            </w:pPr>
            <w:r w:rsidRPr="000A35AF">
              <w:t>…*%</w:t>
            </w:r>
          </w:p>
        </w:tc>
        <w:tc>
          <w:tcPr>
            <w:tcW w:w="1165" w:type="dxa"/>
            <w:noWrap/>
            <w:hideMark/>
          </w:tcPr>
          <w:p w14:paraId="27FA519B" w14:textId="0B3B08E7" w:rsidR="007F7A07" w:rsidRPr="006E317E" w:rsidRDefault="007F7A07" w:rsidP="007F7A07">
            <w:pPr>
              <w:jc w:val="center"/>
            </w:pPr>
            <w:r w:rsidRPr="00C158B7">
              <w:t>…*%</w:t>
            </w:r>
          </w:p>
        </w:tc>
        <w:tc>
          <w:tcPr>
            <w:tcW w:w="1165" w:type="dxa"/>
            <w:noWrap/>
            <w:hideMark/>
          </w:tcPr>
          <w:p w14:paraId="491971DD" w14:textId="1D322D1D" w:rsidR="007F7A07" w:rsidRPr="006E317E" w:rsidRDefault="007F7A07" w:rsidP="007F7A07">
            <w:pPr>
              <w:jc w:val="center"/>
            </w:pPr>
            <w:r w:rsidRPr="00C158B7">
              <w:t>…*%</w:t>
            </w:r>
          </w:p>
        </w:tc>
        <w:tc>
          <w:tcPr>
            <w:tcW w:w="1165" w:type="dxa"/>
            <w:noWrap/>
            <w:hideMark/>
          </w:tcPr>
          <w:p w14:paraId="7031FADB" w14:textId="42F6366B" w:rsidR="007F7A07" w:rsidRPr="006E317E" w:rsidRDefault="007F7A07" w:rsidP="007F7A07">
            <w:pPr>
              <w:jc w:val="center"/>
            </w:pPr>
            <w:r w:rsidRPr="00C158B7">
              <w:t>…*%</w:t>
            </w:r>
          </w:p>
        </w:tc>
        <w:tc>
          <w:tcPr>
            <w:tcW w:w="1166" w:type="dxa"/>
            <w:noWrap/>
            <w:hideMark/>
          </w:tcPr>
          <w:p w14:paraId="4871A004" w14:textId="37B5996C" w:rsidR="007F7A07" w:rsidRPr="006E317E" w:rsidRDefault="007F7A07" w:rsidP="007F7A07">
            <w:pPr>
              <w:jc w:val="center"/>
            </w:pPr>
            <w:r w:rsidRPr="00C158B7">
              <w:t>…*%</w:t>
            </w:r>
          </w:p>
        </w:tc>
        <w:tc>
          <w:tcPr>
            <w:tcW w:w="1165" w:type="dxa"/>
            <w:noWrap/>
            <w:hideMark/>
          </w:tcPr>
          <w:p w14:paraId="4A14880D" w14:textId="2776CBF4" w:rsidR="007F7A07" w:rsidRPr="006E317E" w:rsidRDefault="007F7A07" w:rsidP="007F7A07">
            <w:pPr>
              <w:jc w:val="center"/>
            </w:pPr>
            <w:r w:rsidRPr="00C158B7">
              <w:t>…*%</w:t>
            </w:r>
          </w:p>
        </w:tc>
        <w:tc>
          <w:tcPr>
            <w:tcW w:w="1332" w:type="dxa"/>
            <w:noWrap/>
            <w:hideMark/>
          </w:tcPr>
          <w:p w14:paraId="10B44952" w14:textId="6979A593" w:rsidR="007F7A07" w:rsidRPr="006E317E" w:rsidRDefault="007F7A07" w:rsidP="007F7A07">
            <w:pPr>
              <w:jc w:val="center"/>
            </w:pPr>
            <w:r w:rsidRPr="00C158B7">
              <w:t>…*%</w:t>
            </w:r>
          </w:p>
        </w:tc>
      </w:tr>
      <w:tr w:rsidR="007F7A07" w:rsidRPr="006E317E" w14:paraId="58E97C35" w14:textId="77777777" w:rsidTr="00EC45E8">
        <w:trPr>
          <w:trHeight w:val="266"/>
        </w:trPr>
        <w:tc>
          <w:tcPr>
            <w:tcW w:w="1326" w:type="dxa"/>
            <w:noWrap/>
            <w:hideMark/>
          </w:tcPr>
          <w:p w14:paraId="57C0B5A6" w14:textId="77777777" w:rsidR="007F7A07" w:rsidRPr="006E317E" w:rsidRDefault="007F7A07" w:rsidP="007F7A07">
            <w:pPr>
              <w:jc w:val="both"/>
            </w:pPr>
            <w:r w:rsidRPr="006E317E">
              <w:t>Corle</w:t>
            </w:r>
          </w:p>
        </w:tc>
        <w:tc>
          <w:tcPr>
            <w:tcW w:w="1161" w:type="dxa"/>
            <w:noWrap/>
            <w:hideMark/>
          </w:tcPr>
          <w:p w14:paraId="17058ABB" w14:textId="3DBC29B0" w:rsidR="007F7A07" w:rsidRPr="006E317E" w:rsidRDefault="007F7A07" w:rsidP="007F7A07">
            <w:pPr>
              <w:jc w:val="center"/>
            </w:pPr>
            <w:r w:rsidRPr="000A35AF">
              <w:t>…*%</w:t>
            </w:r>
          </w:p>
        </w:tc>
        <w:tc>
          <w:tcPr>
            <w:tcW w:w="1165" w:type="dxa"/>
            <w:noWrap/>
            <w:hideMark/>
          </w:tcPr>
          <w:p w14:paraId="4AA7F137" w14:textId="623A0AD7" w:rsidR="007F7A07" w:rsidRPr="006E317E" w:rsidRDefault="007F7A07" w:rsidP="007F7A07">
            <w:pPr>
              <w:jc w:val="center"/>
            </w:pPr>
            <w:r w:rsidRPr="00C158B7">
              <w:t>…*%</w:t>
            </w:r>
          </w:p>
        </w:tc>
        <w:tc>
          <w:tcPr>
            <w:tcW w:w="1165" w:type="dxa"/>
            <w:noWrap/>
            <w:hideMark/>
          </w:tcPr>
          <w:p w14:paraId="27DD972F" w14:textId="03DE47AB" w:rsidR="007F7A07" w:rsidRPr="006E317E" w:rsidRDefault="007F7A07" w:rsidP="007F7A07">
            <w:pPr>
              <w:jc w:val="center"/>
            </w:pPr>
            <w:r w:rsidRPr="00C158B7">
              <w:t>…*%</w:t>
            </w:r>
          </w:p>
        </w:tc>
        <w:tc>
          <w:tcPr>
            <w:tcW w:w="1165" w:type="dxa"/>
            <w:noWrap/>
            <w:hideMark/>
          </w:tcPr>
          <w:p w14:paraId="7AFDB57F" w14:textId="5F892CFF" w:rsidR="007F7A07" w:rsidRPr="006E317E" w:rsidRDefault="007F7A07" w:rsidP="007F7A07">
            <w:pPr>
              <w:jc w:val="center"/>
            </w:pPr>
            <w:r w:rsidRPr="00C158B7">
              <w:t>…*%</w:t>
            </w:r>
          </w:p>
        </w:tc>
        <w:tc>
          <w:tcPr>
            <w:tcW w:w="1166" w:type="dxa"/>
            <w:noWrap/>
            <w:hideMark/>
          </w:tcPr>
          <w:p w14:paraId="7228B7A7" w14:textId="3A7C1093" w:rsidR="007F7A07" w:rsidRPr="006E317E" w:rsidRDefault="007F7A07" w:rsidP="007F7A07">
            <w:pPr>
              <w:jc w:val="center"/>
            </w:pPr>
            <w:r w:rsidRPr="00C158B7">
              <w:t>…*%</w:t>
            </w:r>
          </w:p>
        </w:tc>
        <w:tc>
          <w:tcPr>
            <w:tcW w:w="1165" w:type="dxa"/>
            <w:noWrap/>
            <w:hideMark/>
          </w:tcPr>
          <w:p w14:paraId="1F1A7EE0" w14:textId="76F8E518" w:rsidR="007F7A07" w:rsidRPr="006E317E" w:rsidRDefault="007F7A07" w:rsidP="007F7A07">
            <w:pPr>
              <w:jc w:val="center"/>
            </w:pPr>
            <w:r w:rsidRPr="00C158B7">
              <w:t>…*%</w:t>
            </w:r>
          </w:p>
        </w:tc>
        <w:tc>
          <w:tcPr>
            <w:tcW w:w="1332" w:type="dxa"/>
            <w:noWrap/>
            <w:hideMark/>
          </w:tcPr>
          <w:p w14:paraId="56821EEE" w14:textId="638BCBDE" w:rsidR="007F7A07" w:rsidRPr="006E317E" w:rsidRDefault="007F7A07" w:rsidP="007F7A07">
            <w:pPr>
              <w:jc w:val="center"/>
            </w:pPr>
            <w:r w:rsidRPr="00C158B7">
              <w:t>…*%</w:t>
            </w:r>
          </w:p>
        </w:tc>
      </w:tr>
      <w:tr w:rsidR="007F7A07" w:rsidRPr="006E317E" w14:paraId="0B0D73DD" w14:textId="77777777" w:rsidTr="00EC45E8">
        <w:trPr>
          <w:trHeight w:val="266"/>
        </w:trPr>
        <w:tc>
          <w:tcPr>
            <w:tcW w:w="1326" w:type="dxa"/>
            <w:noWrap/>
            <w:hideMark/>
          </w:tcPr>
          <w:p w14:paraId="104EDEBD" w14:textId="77777777" w:rsidR="007F7A07" w:rsidRPr="006E317E" w:rsidRDefault="007F7A07" w:rsidP="007F7A07">
            <w:pPr>
              <w:jc w:val="both"/>
            </w:pPr>
            <w:r w:rsidRPr="006E317E">
              <w:t>ELA SA</w:t>
            </w:r>
          </w:p>
        </w:tc>
        <w:tc>
          <w:tcPr>
            <w:tcW w:w="1161" w:type="dxa"/>
            <w:noWrap/>
            <w:hideMark/>
          </w:tcPr>
          <w:p w14:paraId="3CC3B833" w14:textId="415AF293" w:rsidR="007F7A07" w:rsidRPr="006E317E" w:rsidRDefault="007F7A07" w:rsidP="007F7A07">
            <w:pPr>
              <w:jc w:val="center"/>
            </w:pPr>
            <w:r w:rsidRPr="000A35AF">
              <w:t>…*%</w:t>
            </w:r>
          </w:p>
        </w:tc>
        <w:tc>
          <w:tcPr>
            <w:tcW w:w="1165" w:type="dxa"/>
            <w:noWrap/>
            <w:hideMark/>
          </w:tcPr>
          <w:p w14:paraId="3B7E5791" w14:textId="1DB8F22B" w:rsidR="007F7A07" w:rsidRPr="006E317E" w:rsidRDefault="007F7A07" w:rsidP="007F7A07">
            <w:pPr>
              <w:jc w:val="center"/>
            </w:pPr>
            <w:r w:rsidRPr="00C158B7">
              <w:t>…*%</w:t>
            </w:r>
          </w:p>
        </w:tc>
        <w:tc>
          <w:tcPr>
            <w:tcW w:w="1165" w:type="dxa"/>
            <w:noWrap/>
            <w:hideMark/>
          </w:tcPr>
          <w:p w14:paraId="78F223BF" w14:textId="46EDB2C3" w:rsidR="007F7A07" w:rsidRPr="006E317E" w:rsidRDefault="007F7A07" w:rsidP="007F7A07">
            <w:pPr>
              <w:jc w:val="center"/>
            </w:pPr>
            <w:r w:rsidRPr="00C158B7">
              <w:t>…*%</w:t>
            </w:r>
          </w:p>
        </w:tc>
        <w:tc>
          <w:tcPr>
            <w:tcW w:w="1165" w:type="dxa"/>
            <w:noWrap/>
            <w:hideMark/>
          </w:tcPr>
          <w:p w14:paraId="7C5260ED" w14:textId="30BC4DA5" w:rsidR="007F7A07" w:rsidRPr="006E317E" w:rsidRDefault="007F7A07" w:rsidP="007F7A07">
            <w:pPr>
              <w:jc w:val="center"/>
            </w:pPr>
            <w:r w:rsidRPr="00C158B7">
              <w:t>…*%</w:t>
            </w:r>
          </w:p>
        </w:tc>
        <w:tc>
          <w:tcPr>
            <w:tcW w:w="1166" w:type="dxa"/>
            <w:noWrap/>
            <w:hideMark/>
          </w:tcPr>
          <w:p w14:paraId="7F5D5EC0" w14:textId="174F29F9" w:rsidR="007F7A07" w:rsidRPr="006E317E" w:rsidRDefault="007F7A07" w:rsidP="007F7A07">
            <w:pPr>
              <w:jc w:val="center"/>
            </w:pPr>
            <w:r w:rsidRPr="00C158B7">
              <w:t>…*%</w:t>
            </w:r>
          </w:p>
        </w:tc>
        <w:tc>
          <w:tcPr>
            <w:tcW w:w="1165" w:type="dxa"/>
            <w:noWrap/>
            <w:hideMark/>
          </w:tcPr>
          <w:p w14:paraId="3C08F94A" w14:textId="6AF6C37B" w:rsidR="007F7A07" w:rsidRPr="006E317E" w:rsidRDefault="007F7A07" w:rsidP="007F7A07">
            <w:pPr>
              <w:jc w:val="center"/>
            </w:pPr>
            <w:r w:rsidRPr="00C158B7">
              <w:t>…*%</w:t>
            </w:r>
          </w:p>
        </w:tc>
        <w:tc>
          <w:tcPr>
            <w:tcW w:w="1332" w:type="dxa"/>
            <w:noWrap/>
            <w:hideMark/>
          </w:tcPr>
          <w:p w14:paraId="3F506A5E" w14:textId="2914F222" w:rsidR="007F7A07" w:rsidRPr="006E317E" w:rsidRDefault="007F7A07" w:rsidP="007F7A07">
            <w:pPr>
              <w:jc w:val="center"/>
            </w:pPr>
            <w:r w:rsidRPr="00C158B7">
              <w:t>…*%</w:t>
            </w:r>
          </w:p>
        </w:tc>
      </w:tr>
      <w:tr w:rsidR="00EC24B2" w:rsidRPr="006E317E" w14:paraId="48732D19" w14:textId="77777777" w:rsidTr="00EC45E8">
        <w:trPr>
          <w:trHeight w:val="266"/>
        </w:trPr>
        <w:tc>
          <w:tcPr>
            <w:tcW w:w="1326" w:type="dxa"/>
            <w:noWrap/>
            <w:hideMark/>
          </w:tcPr>
          <w:p w14:paraId="1E22A55A" w14:textId="77777777" w:rsidR="00EC24B2" w:rsidRPr="006E317E" w:rsidRDefault="00EC24B2" w:rsidP="00AA241E">
            <w:pPr>
              <w:jc w:val="both"/>
            </w:pPr>
            <w:r w:rsidRPr="006E317E">
              <w:t>Kokku</w:t>
            </w:r>
          </w:p>
        </w:tc>
        <w:tc>
          <w:tcPr>
            <w:tcW w:w="1161" w:type="dxa"/>
            <w:noWrap/>
            <w:hideMark/>
          </w:tcPr>
          <w:p w14:paraId="322E2CC9" w14:textId="77777777" w:rsidR="00EC24B2" w:rsidRPr="006E317E" w:rsidRDefault="00EC24B2" w:rsidP="00403A74">
            <w:pPr>
              <w:jc w:val="center"/>
            </w:pPr>
            <w:r w:rsidRPr="006E317E">
              <w:t>100%</w:t>
            </w:r>
          </w:p>
        </w:tc>
        <w:tc>
          <w:tcPr>
            <w:tcW w:w="1165" w:type="dxa"/>
            <w:noWrap/>
            <w:hideMark/>
          </w:tcPr>
          <w:p w14:paraId="3078F29D" w14:textId="77777777" w:rsidR="00EC24B2" w:rsidRPr="006E317E" w:rsidRDefault="00EC24B2" w:rsidP="00403A74">
            <w:pPr>
              <w:jc w:val="center"/>
            </w:pPr>
            <w:r w:rsidRPr="006E317E">
              <w:t>100%</w:t>
            </w:r>
          </w:p>
        </w:tc>
        <w:tc>
          <w:tcPr>
            <w:tcW w:w="1165" w:type="dxa"/>
            <w:noWrap/>
            <w:hideMark/>
          </w:tcPr>
          <w:p w14:paraId="2B00317A" w14:textId="77777777" w:rsidR="00EC24B2" w:rsidRPr="006E317E" w:rsidRDefault="00EC24B2" w:rsidP="00403A74">
            <w:pPr>
              <w:jc w:val="center"/>
            </w:pPr>
            <w:r w:rsidRPr="006E317E">
              <w:t>100%</w:t>
            </w:r>
          </w:p>
        </w:tc>
        <w:tc>
          <w:tcPr>
            <w:tcW w:w="1165" w:type="dxa"/>
            <w:noWrap/>
            <w:hideMark/>
          </w:tcPr>
          <w:p w14:paraId="4176D0E3" w14:textId="77777777" w:rsidR="00EC24B2" w:rsidRPr="006E317E" w:rsidRDefault="00EC24B2" w:rsidP="00403A74">
            <w:pPr>
              <w:jc w:val="center"/>
            </w:pPr>
            <w:r w:rsidRPr="006E317E">
              <w:t>100%</w:t>
            </w:r>
          </w:p>
        </w:tc>
        <w:tc>
          <w:tcPr>
            <w:tcW w:w="1166" w:type="dxa"/>
            <w:noWrap/>
            <w:hideMark/>
          </w:tcPr>
          <w:p w14:paraId="06387DD1" w14:textId="77777777" w:rsidR="00EC24B2" w:rsidRPr="006E317E" w:rsidRDefault="00EC24B2" w:rsidP="00403A74">
            <w:pPr>
              <w:jc w:val="center"/>
            </w:pPr>
            <w:r w:rsidRPr="006E317E">
              <w:t>100%</w:t>
            </w:r>
          </w:p>
        </w:tc>
        <w:tc>
          <w:tcPr>
            <w:tcW w:w="1165" w:type="dxa"/>
            <w:noWrap/>
            <w:hideMark/>
          </w:tcPr>
          <w:p w14:paraId="403F7D3D" w14:textId="77777777" w:rsidR="00EC24B2" w:rsidRPr="006E317E" w:rsidRDefault="00EC24B2" w:rsidP="00403A74">
            <w:pPr>
              <w:jc w:val="center"/>
            </w:pPr>
            <w:r w:rsidRPr="006E317E">
              <w:t>100%</w:t>
            </w:r>
          </w:p>
        </w:tc>
        <w:tc>
          <w:tcPr>
            <w:tcW w:w="1332" w:type="dxa"/>
            <w:noWrap/>
            <w:hideMark/>
          </w:tcPr>
          <w:p w14:paraId="5EB45D7B" w14:textId="77777777" w:rsidR="00EC24B2" w:rsidRPr="006E317E" w:rsidRDefault="00EC24B2" w:rsidP="00403A74">
            <w:pPr>
              <w:jc w:val="center"/>
            </w:pPr>
            <w:r w:rsidRPr="006E317E">
              <w:t>100%</w:t>
            </w:r>
          </w:p>
        </w:tc>
      </w:tr>
    </w:tbl>
    <w:p w14:paraId="0595E3C3" w14:textId="7644C815" w:rsidR="00EC24B2" w:rsidRPr="006E317E" w:rsidRDefault="00EC45E8" w:rsidP="00AA241E">
      <w:pPr>
        <w:pStyle w:val="Pealdis"/>
        <w:jc w:val="both"/>
      </w:pPr>
      <w:r>
        <w:t xml:space="preserve">Tabel </w:t>
      </w:r>
      <w:r>
        <w:fldChar w:fldCharType="begin"/>
      </w:r>
      <w:r>
        <w:instrText xml:space="preserve"> SEQ Tabel \* ARABIC </w:instrText>
      </w:r>
      <w:r>
        <w:fldChar w:fldCharType="separate"/>
      </w:r>
      <w:r w:rsidR="00247D84">
        <w:rPr>
          <w:noProof/>
        </w:rPr>
        <w:t>24</w:t>
      </w:r>
      <w:r>
        <w:fldChar w:fldCharType="end"/>
      </w:r>
      <w:r>
        <w:t xml:space="preserve"> </w:t>
      </w:r>
      <w:r w:rsidR="00EC24B2" w:rsidRPr="006E317E">
        <w:t xml:space="preserve">Valguskaabel juurdepääsu kiu rendi hulgiteenuse osutamise turuosad Eestis aastale 2017 -2023 </w:t>
      </w:r>
    </w:p>
    <w:p w14:paraId="1B0CF24A" w14:textId="2E8CD16A" w:rsidR="00EC45E8" w:rsidRDefault="00EC24B2" w:rsidP="00AA241E">
      <w:pPr>
        <w:jc w:val="both"/>
      </w:pPr>
      <w:r w:rsidRPr="006E317E">
        <w:t>Suurimaks teenuseosutajaks valguskaabel juurdepääsu hulgiteenuse osutamisel on  vaadeldav</w:t>
      </w:r>
      <w:r w:rsidR="00C41619">
        <w:t>al</w:t>
      </w:r>
      <w:r w:rsidRPr="006E317E">
        <w:t xml:space="preserve"> ajavahemikul kujunenud Enefit, tema poolt osutatavad teenuse mahud on alates Enefit-i turule sisenemisest 2018</w:t>
      </w:r>
      <w:r w:rsidR="00C41619">
        <w:t>.</w:t>
      </w:r>
      <w:r w:rsidRPr="006E317E">
        <w:t xml:space="preserve"> aastal olnud valdavad. Tema turu osa on kasvanud </w:t>
      </w:r>
      <w:r w:rsidR="007F7A07" w:rsidRPr="00F70176">
        <w:t>…*</w:t>
      </w:r>
      <w:r w:rsidRPr="006E317E">
        <w:t>%</w:t>
      </w:r>
      <w:r w:rsidR="00C41619">
        <w:t>-</w:t>
      </w:r>
      <w:r w:rsidRPr="006E317E">
        <w:t>lt 2018</w:t>
      </w:r>
      <w:r w:rsidR="00C41619">
        <w:t>.</w:t>
      </w:r>
      <w:r w:rsidRPr="006E317E">
        <w:t xml:space="preserve"> aastal </w:t>
      </w:r>
      <w:r w:rsidR="007F7A07" w:rsidRPr="00F70176">
        <w:t>…*</w:t>
      </w:r>
      <w:r w:rsidRPr="006E317E">
        <w:t xml:space="preserve">% aastal 2023. Telia turuosa on langenud </w:t>
      </w:r>
      <w:r w:rsidR="00C22B37" w:rsidRPr="00F70176">
        <w:t>…*</w:t>
      </w:r>
      <w:r w:rsidRPr="006E317E">
        <w:t>%</w:t>
      </w:r>
      <w:proofErr w:type="spellStart"/>
      <w:r w:rsidRPr="006E317E">
        <w:t>lt</w:t>
      </w:r>
      <w:proofErr w:type="spellEnd"/>
      <w:r w:rsidRPr="006E317E">
        <w:t xml:space="preserve"> aastal 2017</w:t>
      </w:r>
      <w:r w:rsidR="00C41619">
        <w:t>.</w:t>
      </w:r>
      <w:r w:rsidRPr="006E317E">
        <w:t xml:space="preserve"> </w:t>
      </w:r>
      <w:r w:rsidR="00C22B37" w:rsidRPr="00F70176">
        <w:t>…*</w:t>
      </w:r>
      <w:r w:rsidRPr="006E317E">
        <w:t>%</w:t>
      </w:r>
      <w:r w:rsidR="00C41619">
        <w:t>-</w:t>
      </w:r>
      <w:r w:rsidRPr="006E317E">
        <w:t xml:space="preserve">ni aastal 2023. </w:t>
      </w:r>
    </w:p>
    <w:p w14:paraId="1D428DD6" w14:textId="45B478ED" w:rsidR="00EC24B2" w:rsidRPr="006E317E" w:rsidRDefault="00EC24B2" w:rsidP="00AA241E">
      <w:pPr>
        <w:jc w:val="both"/>
      </w:pPr>
      <w:r w:rsidRPr="006E317E">
        <w:t xml:space="preserve">Õigete turuosade hindamiseks on vaja kasutada </w:t>
      </w:r>
      <w:proofErr w:type="spellStart"/>
      <w:r w:rsidR="002A1662" w:rsidRPr="002A1662">
        <w:rPr>
          <w:i/>
        </w:rPr>
        <w:t>Gr</w:t>
      </w:r>
      <w:r w:rsidR="00C318C1">
        <w:rPr>
          <w:i/>
        </w:rPr>
        <w:t>e</w:t>
      </w:r>
      <w:r w:rsidR="002A1662" w:rsidRPr="002A1662">
        <w:rPr>
          <w:i/>
        </w:rPr>
        <w:t>enfieldi</w:t>
      </w:r>
      <w:proofErr w:type="spellEnd"/>
      <w:r w:rsidRPr="006E317E">
        <w:t xml:space="preserve"> lähenemisviisi, kuna see võib mõjutada turuanalüüsi tulemusi olukorras, kus 1. turu teenuste kasutamine hulgiturul on väga suur. See tähendab, et turul kehtivad </w:t>
      </w:r>
      <w:r w:rsidR="00C41619">
        <w:t>kohustused</w:t>
      </w:r>
      <w:r w:rsidRPr="006E317E">
        <w:t xml:space="preserve"> tuleb kaotada, kui infrastruktuurikonkurents</w:t>
      </w:r>
      <w:r w:rsidRPr="005D266E">
        <w:rPr>
          <w:vertAlign w:val="superscript"/>
        </w:rPr>
        <w:footnoteReference w:id="92"/>
      </w:r>
      <w:r w:rsidRPr="006E317E">
        <w:t xml:space="preserve"> kujutab endast tõhusat konkurentsi</w:t>
      </w:r>
      <w:r w:rsidRPr="00FD58A8">
        <w:t xml:space="preserve">. Hoolimata asjaolust, et valguskaablile juurdepääsu </w:t>
      </w:r>
      <w:r w:rsidR="00FD58A8">
        <w:t>teenuse osutamise</w:t>
      </w:r>
      <w:r w:rsidR="00C41619" w:rsidRPr="00FD58A8">
        <w:t xml:space="preserve"> </w:t>
      </w:r>
      <w:r w:rsidR="00FD58A8">
        <w:t xml:space="preserve">mahud vertikaalselt integreeritud ettevõtjate poolt </w:t>
      </w:r>
      <w:r w:rsidR="00C41619" w:rsidRPr="00FD58A8">
        <w:t>hulgiturul</w:t>
      </w:r>
      <w:r w:rsidRPr="00FD58A8">
        <w:t xml:space="preserve"> 1 </w:t>
      </w:r>
      <w:r w:rsidR="00C41619" w:rsidRPr="00FD58A8">
        <w:t xml:space="preserve">on </w:t>
      </w:r>
      <w:r w:rsidR="00FD58A8">
        <w:t xml:space="preserve">väike ning peamiselt osutatakse teenuseid turul ainult hulgiteenuseid osutavate side ettevõtjate poolt, kes osutavad teenuseid võrdsetel alustel kõigile jaeteenuse osutajatele. Seega </w:t>
      </w:r>
      <w:r w:rsidRPr="00FD58A8">
        <w:t>teostab</w:t>
      </w:r>
      <w:r w:rsidRPr="006E317E">
        <w:t xml:space="preserve"> TTJA vastavalt regulatiivsetele õigusaktidele turuosade arvutamise vastavalt </w:t>
      </w:r>
      <w:proofErr w:type="spellStart"/>
      <w:r w:rsidR="002A1662" w:rsidRPr="002A1662">
        <w:rPr>
          <w:i/>
        </w:rPr>
        <w:t>Gr</w:t>
      </w:r>
      <w:r w:rsidR="00C318C1">
        <w:rPr>
          <w:i/>
        </w:rPr>
        <w:t>e</w:t>
      </w:r>
      <w:r w:rsidR="002A1662" w:rsidRPr="002A1662">
        <w:rPr>
          <w:i/>
        </w:rPr>
        <w:t>enfieldi</w:t>
      </w:r>
      <w:proofErr w:type="spellEnd"/>
      <w:r w:rsidRPr="006E317E">
        <w:t xml:space="preserve"> lähenemisviisile.</w:t>
      </w:r>
    </w:p>
    <w:p w14:paraId="1D481EE4" w14:textId="3985FA02" w:rsidR="00EC24B2" w:rsidRPr="006E317E" w:rsidRDefault="00EC24B2" w:rsidP="00AA241E">
      <w:pPr>
        <w:jc w:val="both"/>
      </w:pPr>
      <w:r w:rsidRPr="006E317E">
        <w:t>TTJA arvutab operaatorite turuosad vastavalt internetituru määratlusele jae</w:t>
      </w:r>
      <w:r w:rsidR="00C41619">
        <w:t>turul</w:t>
      </w:r>
      <w:r w:rsidRPr="006E317E">
        <w:t xml:space="preserve"> ja geograafiliste turgude määratlusele. Seega võtab TTJA </w:t>
      </w:r>
      <w:r w:rsidR="00A3232C">
        <w:t>valguskaabelvõrgu</w:t>
      </w:r>
      <w:r w:rsidR="00FE198E" w:rsidRPr="00FE198E">
        <w:t xml:space="preserve"> jaetasandi internetiühenduste tootetur</w:t>
      </w:r>
      <w:r w:rsidR="00FE198E">
        <w:t>ul</w:t>
      </w:r>
      <w:r w:rsidR="00FE198E" w:rsidRPr="00FE198E">
        <w:t xml:space="preserve"> </w:t>
      </w:r>
      <w:r w:rsidRPr="006E317E">
        <w:t xml:space="preserve">tegutsevate operaatorite turuosade arvutamisel arvesse ainult nende operaatorite aktiivseid </w:t>
      </w:r>
      <w:r w:rsidR="0007135D">
        <w:t>kliendiliin</w:t>
      </w:r>
      <w:r w:rsidRPr="006E317E">
        <w:t xml:space="preserve">e, </w:t>
      </w:r>
      <w:r w:rsidR="00C41619">
        <w:t>kus</w:t>
      </w:r>
      <w:r w:rsidRPr="006E317E">
        <w:t xml:space="preserve"> pakutakse </w:t>
      </w:r>
      <w:r w:rsidR="00C41619">
        <w:t xml:space="preserve">teenust </w:t>
      </w:r>
      <w:r w:rsidRPr="006E317E">
        <w:t xml:space="preserve">FTTH ja FTTB tehnoloogiate abil. Vastavalt geograafiliste turgude määratlusele arvutatakse turuosad </w:t>
      </w:r>
      <w:r w:rsidR="00A3232C">
        <w:t>valguskaabelvõrgu</w:t>
      </w:r>
      <w:r w:rsidR="00FE198E" w:rsidRPr="006E317E">
        <w:t xml:space="preserve"> jaetasandi internetiühenduste tootetur</w:t>
      </w:r>
      <w:r w:rsidR="00FE198E">
        <w:t xml:space="preserve">ul </w:t>
      </w:r>
      <w:r w:rsidRPr="006E317E">
        <w:t>A piirkonnas ja B piirkonnas.</w:t>
      </w:r>
    </w:p>
    <w:p w14:paraId="72D5C3A0" w14:textId="002ECA16" w:rsidR="00EC24B2" w:rsidRPr="006E317E" w:rsidRDefault="00EC24B2" w:rsidP="00AA241E">
      <w:pPr>
        <w:jc w:val="both"/>
      </w:pPr>
      <w:r w:rsidRPr="006E317E">
        <w:t>A piirkonnas ja B piirkonnas teenust osutavate suurimate sideettevõtjate turuosade</w:t>
      </w:r>
      <w:r w:rsidRPr="005D266E">
        <w:rPr>
          <w:vertAlign w:val="superscript"/>
        </w:rPr>
        <w:footnoteReference w:id="93"/>
      </w:r>
      <w:r w:rsidRPr="006E317E">
        <w:t xml:space="preserve"> dünaamikat  </w:t>
      </w:r>
      <w:r w:rsidR="00A3232C">
        <w:t>valguskaabelvõrgu</w:t>
      </w:r>
      <w:r w:rsidR="00FE198E" w:rsidRPr="006E317E">
        <w:t xml:space="preserve"> jaetasandi internetiühenduste tootetur</w:t>
      </w:r>
      <w:r w:rsidR="00FE198E">
        <w:t xml:space="preserve">ul </w:t>
      </w:r>
      <w:r w:rsidRPr="006E317E">
        <w:t xml:space="preserve">vt tabelist </w:t>
      </w:r>
      <w:r w:rsidR="00C41619" w:rsidRPr="002E251B">
        <w:t>2</w:t>
      </w:r>
      <w:r w:rsidR="00346D5D" w:rsidRPr="002E251B">
        <w:t>5</w:t>
      </w:r>
      <w:r w:rsidRPr="002E251B">
        <w:t>.</w:t>
      </w:r>
      <w:r w:rsidRPr="006E317E">
        <w:t xml:space="preserve"> ja tabelist </w:t>
      </w:r>
      <w:r w:rsidR="00C41619">
        <w:t>2</w:t>
      </w:r>
      <w:r w:rsidR="00346D5D">
        <w:t>6</w:t>
      </w:r>
      <w:r w:rsidRPr="006E317E">
        <w:t xml:space="preserve">. </w:t>
      </w:r>
    </w:p>
    <w:tbl>
      <w:tblPr>
        <w:tblStyle w:val="Kontuurtabel1"/>
        <w:tblW w:w="9351" w:type="dxa"/>
        <w:tblLook w:val="04A0" w:firstRow="1" w:lastRow="0" w:firstColumn="1" w:lastColumn="0" w:noHBand="0" w:noVBand="1"/>
      </w:tblPr>
      <w:tblGrid>
        <w:gridCol w:w="2015"/>
        <w:gridCol w:w="929"/>
        <w:gridCol w:w="1138"/>
        <w:gridCol w:w="1138"/>
        <w:gridCol w:w="1138"/>
        <w:gridCol w:w="1008"/>
        <w:gridCol w:w="993"/>
        <w:gridCol w:w="992"/>
      </w:tblGrid>
      <w:tr w:rsidR="00EC45E8" w:rsidRPr="00EC45E8" w14:paraId="43DDD2C6" w14:textId="77777777" w:rsidTr="00FD58A8">
        <w:trPr>
          <w:trHeight w:val="257"/>
        </w:trPr>
        <w:tc>
          <w:tcPr>
            <w:tcW w:w="2015" w:type="dxa"/>
            <w:shd w:val="clear" w:color="auto" w:fill="92D050"/>
            <w:noWrap/>
            <w:hideMark/>
          </w:tcPr>
          <w:p w14:paraId="0DBED72D" w14:textId="77777777" w:rsidR="00EC24B2" w:rsidRPr="00EC45E8" w:rsidRDefault="00EC24B2" w:rsidP="00AA241E">
            <w:pPr>
              <w:jc w:val="both"/>
              <w:rPr>
                <w:b/>
                <w:bCs/>
              </w:rPr>
            </w:pPr>
            <w:bookmarkStart w:id="659" w:name="_Toc164846275"/>
            <w:r w:rsidRPr="00EC45E8">
              <w:rPr>
                <w:b/>
                <w:bCs/>
              </w:rPr>
              <w:t> </w:t>
            </w:r>
          </w:p>
        </w:tc>
        <w:tc>
          <w:tcPr>
            <w:tcW w:w="929" w:type="dxa"/>
            <w:shd w:val="clear" w:color="auto" w:fill="92D050"/>
            <w:noWrap/>
            <w:hideMark/>
          </w:tcPr>
          <w:p w14:paraId="6D518B2C" w14:textId="77777777" w:rsidR="00EC24B2" w:rsidRPr="00EC45E8" w:rsidRDefault="00EC24B2" w:rsidP="00403A74">
            <w:pPr>
              <w:jc w:val="center"/>
              <w:rPr>
                <w:b/>
                <w:bCs/>
              </w:rPr>
            </w:pPr>
            <w:r w:rsidRPr="00EC45E8">
              <w:rPr>
                <w:b/>
                <w:bCs/>
              </w:rPr>
              <w:t>2017</w:t>
            </w:r>
          </w:p>
        </w:tc>
        <w:tc>
          <w:tcPr>
            <w:tcW w:w="1138" w:type="dxa"/>
            <w:shd w:val="clear" w:color="auto" w:fill="92D050"/>
            <w:noWrap/>
            <w:hideMark/>
          </w:tcPr>
          <w:p w14:paraId="6C550F2B" w14:textId="77777777" w:rsidR="00EC24B2" w:rsidRPr="00EC45E8" w:rsidRDefault="00EC24B2" w:rsidP="00403A74">
            <w:pPr>
              <w:jc w:val="center"/>
              <w:rPr>
                <w:b/>
                <w:bCs/>
              </w:rPr>
            </w:pPr>
            <w:r w:rsidRPr="00EC45E8">
              <w:rPr>
                <w:b/>
                <w:bCs/>
              </w:rPr>
              <w:t>2018</w:t>
            </w:r>
          </w:p>
        </w:tc>
        <w:tc>
          <w:tcPr>
            <w:tcW w:w="1138" w:type="dxa"/>
            <w:shd w:val="clear" w:color="auto" w:fill="92D050"/>
            <w:noWrap/>
            <w:hideMark/>
          </w:tcPr>
          <w:p w14:paraId="1633CBF3" w14:textId="77777777" w:rsidR="00EC24B2" w:rsidRPr="00EC45E8" w:rsidRDefault="00EC24B2" w:rsidP="00403A74">
            <w:pPr>
              <w:jc w:val="center"/>
              <w:rPr>
                <w:b/>
                <w:bCs/>
              </w:rPr>
            </w:pPr>
            <w:r w:rsidRPr="00EC45E8">
              <w:rPr>
                <w:b/>
                <w:bCs/>
              </w:rPr>
              <w:t>2019</w:t>
            </w:r>
          </w:p>
        </w:tc>
        <w:tc>
          <w:tcPr>
            <w:tcW w:w="1138" w:type="dxa"/>
            <w:shd w:val="clear" w:color="auto" w:fill="92D050"/>
            <w:noWrap/>
            <w:hideMark/>
          </w:tcPr>
          <w:p w14:paraId="5C23EF55" w14:textId="77777777" w:rsidR="00EC24B2" w:rsidRPr="00EC45E8" w:rsidRDefault="00EC24B2" w:rsidP="00403A74">
            <w:pPr>
              <w:jc w:val="center"/>
              <w:rPr>
                <w:b/>
                <w:bCs/>
              </w:rPr>
            </w:pPr>
            <w:r w:rsidRPr="00EC45E8">
              <w:rPr>
                <w:b/>
                <w:bCs/>
              </w:rPr>
              <w:t>2020</w:t>
            </w:r>
          </w:p>
        </w:tc>
        <w:tc>
          <w:tcPr>
            <w:tcW w:w="1008" w:type="dxa"/>
            <w:shd w:val="clear" w:color="auto" w:fill="92D050"/>
            <w:noWrap/>
            <w:hideMark/>
          </w:tcPr>
          <w:p w14:paraId="69A189B6" w14:textId="77777777" w:rsidR="00EC24B2" w:rsidRPr="00EC45E8" w:rsidRDefault="00EC24B2" w:rsidP="00403A74">
            <w:pPr>
              <w:jc w:val="center"/>
              <w:rPr>
                <w:b/>
                <w:bCs/>
              </w:rPr>
            </w:pPr>
            <w:r w:rsidRPr="00EC45E8">
              <w:rPr>
                <w:b/>
                <w:bCs/>
              </w:rPr>
              <w:t>2021</w:t>
            </w:r>
          </w:p>
        </w:tc>
        <w:tc>
          <w:tcPr>
            <w:tcW w:w="993" w:type="dxa"/>
            <w:shd w:val="clear" w:color="auto" w:fill="92D050"/>
            <w:noWrap/>
            <w:hideMark/>
          </w:tcPr>
          <w:p w14:paraId="752CF24A" w14:textId="77777777" w:rsidR="00EC24B2" w:rsidRPr="00EC45E8" w:rsidRDefault="00EC24B2" w:rsidP="00403A74">
            <w:pPr>
              <w:jc w:val="center"/>
              <w:rPr>
                <w:b/>
                <w:bCs/>
              </w:rPr>
            </w:pPr>
            <w:r w:rsidRPr="00EC45E8">
              <w:rPr>
                <w:b/>
                <w:bCs/>
              </w:rPr>
              <w:t>2022</w:t>
            </w:r>
          </w:p>
        </w:tc>
        <w:tc>
          <w:tcPr>
            <w:tcW w:w="992" w:type="dxa"/>
            <w:shd w:val="clear" w:color="auto" w:fill="92D050"/>
            <w:noWrap/>
            <w:hideMark/>
          </w:tcPr>
          <w:p w14:paraId="585805A8" w14:textId="77777777" w:rsidR="00EC24B2" w:rsidRPr="00EC45E8" w:rsidRDefault="00EC24B2" w:rsidP="00403A74">
            <w:pPr>
              <w:jc w:val="center"/>
              <w:rPr>
                <w:b/>
                <w:bCs/>
              </w:rPr>
            </w:pPr>
            <w:r w:rsidRPr="00EC45E8">
              <w:rPr>
                <w:b/>
                <w:bCs/>
              </w:rPr>
              <w:t>2023</w:t>
            </w:r>
          </w:p>
        </w:tc>
      </w:tr>
      <w:tr w:rsidR="00C22B37" w:rsidRPr="00EC45E8" w14:paraId="5EB0AB9A" w14:textId="77777777" w:rsidTr="00FD58A8">
        <w:trPr>
          <w:trHeight w:val="257"/>
        </w:trPr>
        <w:tc>
          <w:tcPr>
            <w:tcW w:w="2015" w:type="dxa"/>
            <w:noWrap/>
            <w:hideMark/>
          </w:tcPr>
          <w:p w14:paraId="2FEBE07B" w14:textId="77777777" w:rsidR="00C22B37" w:rsidRPr="00EC45E8" w:rsidRDefault="00C22B37" w:rsidP="00C22B37">
            <w:pPr>
              <w:jc w:val="both"/>
            </w:pPr>
            <w:r w:rsidRPr="00EC45E8">
              <w:t>Telia</w:t>
            </w:r>
          </w:p>
        </w:tc>
        <w:tc>
          <w:tcPr>
            <w:tcW w:w="929" w:type="dxa"/>
            <w:noWrap/>
            <w:hideMark/>
          </w:tcPr>
          <w:p w14:paraId="070F8D67" w14:textId="7F07B7B5" w:rsidR="00C22B37" w:rsidRPr="00EC45E8" w:rsidRDefault="00C22B37" w:rsidP="00C22B37">
            <w:pPr>
              <w:jc w:val="center"/>
            </w:pPr>
            <w:r w:rsidRPr="00993634">
              <w:t>…*%</w:t>
            </w:r>
          </w:p>
        </w:tc>
        <w:tc>
          <w:tcPr>
            <w:tcW w:w="1138" w:type="dxa"/>
            <w:noWrap/>
            <w:hideMark/>
          </w:tcPr>
          <w:p w14:paraId="7AB05D2A" w14:textId="6651B1B2" w:rsidR="00C22B37" w:rsidRPr="00EC45E8" w:rsidRDefault="00C22B37" w:rsidP="00C22B37">
            <w:pPr>
              <w:jc w:val="center"/>
            </w:pPr>
            <w:r w:rsidRPr="00993634">
              <w:t>…*%</w:t>
            </w:r>
          </w:p>
        </w:tc>
        <w:tc>
          <w:tcPr>
            <w:tcW w:w="1138" w:type="dxa"/>
            <w:noWrap/>
            <w:hideMark/>
          </w:tcPr>
          <w:p w14:paraId="5AF30FAA" w14:textId="0EEE0279" w:rsidR="00C22B37" w:rsidRPr="00EC45E8" w:rsidRDefault="00C22B37" w:rsidP="00C22B37">
            <w:pPr>
              <w:jc w:val="center"/>
            </w:pPr>
            <w:r w:rsidRPr="00993634">
              <w:t>…*%</w:t>
            </w:r>
          </w:p>
        </w:tc>
        <w:tc>
          <w:tcPr>
            <w:tcW w:w="1138" w:type="dxa"/>
            <w:noWrap/>
            <w:hideMark/>
          </w:tcPr>
          <w:p w14:paraId="39ACCCE4" w14:textId="788778A3" w:rsidR="00C22B37" w:rsidRPr="00EC45E8" w:rsidRDefault="00C22B37" w:rsidP="00C22B37">
            <w:pPr>
              <w:jc w:val="center"/>
            </w:pPr>
            <w:r w:rsidRPr="00993634">
              <w:t>…*%</w:t>
            </w:r>
          </w:p>
        </w:tc>
        <w:tc>
          <w:tcPr>
            <w:tcW w:w="1008" w:type="dxa"/>
            <w:noWrap/>
            <w:hideMark/>
          </w:tcPr>
          <w:p w14:paraId="353D2264" w14:textId="34378747" w:rsidR="00C22B37" w:rsidRPr="00EC45E8" w:rsidRDefault="00C22B37" w:rsidP="00C22B37">
            <w:pPr>
              <w:jc w:val="center"/>
            </w:pPr>
            <w:r w:rsidRPr="00993634">
              <w:t>…*%</w:t>
            </w:r>
          </w:p>
        </w:tc>
        <w:tc>
          <w:tcPr>
            <w:tcW w:w="993" w:type="dxa"/>
            <w:noWrap/>
            <w:hideMark/>
          </w:tcPr>
          <w:p w14:paraId="055D2ED3" w14:textId="234C53C5" w:rsidR="00C22B37" w:rsidRPr="00EC45E8" w:rsidRDefault="00C22B37" w:rsidP="00C22B37">
            <w:pPr>
              <w:jc w:val="center"/>
            </w:pPr>
            <w:r w:rsidRPr="00993634">
              <w:t>…*%</w:t>
            </w:r>
          </w:p>
        </w:tc>
        <w:tc>
          <w:tcPr>
            <w:tcW w:w="992" w:type="dxa"/>
            <w:noWrap/>
            <w:hideMark/>
          </w:tcPr>
          <w:p w14:paraId="62D9F59E" w14:textId="3DCF97FC" w:rsidR="00C22B37" w:rsidRPr="00EC45E8" w:rsidRDefault="00C22B37" w:rsidP="00C22B37">
            <w:pPr>
              <w:jc w:val="center"/>
            </w:pPr>
            <w:r w:rsidRPr="00993634">
              <w:t>…*%</w:t>
            </w:r>
          </w:p>
        </w:tc>
      </w:tr>
      <w:tr w:rsidR="007F7A07" w:rsidRPr="00EC45E8" w14:paraId="75D512DA" w14:textId="77777777" w:rsidTr="00FD58A8">
        <w:trPr>
          <w:trHeight w:val="257"/>
        </w:trPr>
        <w:tc>
          <w:tcPr>
            <w:tcW w:w="2015" w:type="dxa"/>
            <w:noWrap/>
            <w:hideMark/>
          </w:tcPr>
          <w:p w14:paraId="3AB420CA" w14:textId="77777777" w:rsidR="007F7A07" w:rsidRPr="00EC45E8" w:rsidRDefault="007F7A07" w:rsidP="007F7A07">
            <w:pPr>
              <w:jc w:val="both"/>
            </w:pPr>
            <w:r w:rsidRPr="00EC45E8">
              <w:t>STV</w:t>
            </w:r>
          </w:p>
        </w:tc>
        <w:tc>
          <w:tcPr>
            <w:tcW w:w="929" w:type="dxa"/>
            <w:noWrap/>
            <w:hideMark/>
          </w:tcPr>
          <w:p w14:paraId="2B5ACA2A" w14:textId="33876DB5" w:rsidR="007F7A07" w:rsidRPr="00EC45E8" w:rsidRDefault="007F7A07" w:rsidP="007F7A07">
            <w:pPr>
              <w:jc w:val="center"/>
            </w:pPr>
            <w:r w:rsidRPr="009E739E">
              <w:t>…*%</w:t>
            </w:r>
          </w:p>
        </w:tc>
        <w:tc>
          <w:tcPr>
            <w:tcW w:w="1138" w:type="dxa"/>
            <w:noWrap/>
            <w:hideMark/>
          </w:tcPr>
          <w:p w14:paraId="550A6C7F" w14:textId="5CA0ECF7" w:rsidR="007F7A07" w:rsidRPr="00EC45E8" w:rsidRDefault="007F7A07" w:rsidP="007F7A07">
            <w:pPr>
              <w:jc w:val="center"/>
            </w:pPr>
            <w:r w:rsidRPr="009E739E">
              <w:t>…*%</w:t>
            </w:r>
          </w:p>
        </w:tc>
        <w:tc>
          <w:tcPr>
            <w:tcW w:w="1138" w:type="dxa"/>
            <w:noWrap/>
            <w:hideMark/>
          </w:tcPr>
          <w:p w14:paraId="0BF129AB" w14:textId="6E8FB749" w:rsidR="007F7A07" w:rsidRPr="00EC45E8" w:rsidRDefault="007F7A07" w:rsidP="007F7A07">
            <w:pPr>
              <w:jc w:val="center"/>
            </w:pPr>
            <w:r w:rsidRPr="009E739E">
              <w:t>…*%</w:t>
            </w:r>
          </w:p>
        </w:tc>
        <w:tc>
          <w:tcPr>
            <w:tcW w:w="1138" w:type="dxa"/>
            <w:noWrap/>
            <w:hideMark/>
          </w:tcPr>
          <w:p w14:paraId="3DD83D51" w14:textId="29805083" w:rsidR="007F7A07" w:rsidRPr="00EC45E8" w:rsidRDefault="007F7A07" w:rsidP="007F7A07">
            <w:pPr>
              <w:jc w:val="center"/>
            </w:pPr>
            <w:r w:rsidRPr="009E739E">
              <w:t>…*%</w:t>
            </w:r>
          </w:p>
        </w:tc>
        <w:tc>
          <w:tcPr>
            <w:tcW w:w="1008" w:type="dxa"/>
            <w:noWrap/>
            <w:hideMark/>
          </w:tcPr>
          <w:p w14:paraId="2BB52F1C" w14:textId="3E597C61" w:rsidR="007F7A07" w:rsidRPr="00EC45E8" w:rsidRDefault="007F7A07" w:rsidP="007F7A07">
            <w:pPr>
              <w:jc w:val="center"/>
            </w:pPr>
            <w:r w:rsidRPr="009E739E">
              <w:t>…*%</w:t>
            </w:r>
          </w:p>
        </w:tc>
        <w:tc>
          <w:tcPr>
            <w:tcW w:w="993" w:type="dxa"/>
            <w:noWrap/>
            <w:hideMark/>
          </w:tcPr>
          <w:p w14:paraId="60DD011D" w14:textId="4238B2E4" w:rsidR="007F7A07" w:rsidRPr="00EC45E8" w:rsidRDefault="007F7A07" w:rsidP="007F7A07">
            <w:pPr>
              <w:jc w:val="center"/>
            </w:pPr>
            <w:r w:rsidRPr="009E739E">
              <w:t>…*%</w:t>
            </w:r>
          </w:p>
        </w:tc>
        <w:tc>
          <w:tcPr>
            <w:tcW w:w="992" w:type="dxa"/>
            <w:noWrap/>
            <w:hideMark/>
          </w:tcPr>
          <w:p w14:paraId="19809B5E" w14:textId="33FC1F47" w:rsidR="007F7A07" w:rsidRPr="00EC45E8" w:rsidRDefault="007F7A07" w:rsidP="007F7A07">
            <w:pPr>
              <w:jc w:val="center"/>
            </w:pPr>
            <w:r w:rsidRPr="009E739E">
              <w:t>…*%</w:t>
            </w:r>
          </w:p>
        </w:tc>
      </w:tr>
      <w:tr w:rsidR="007F7A07" w:rsidRPr="00EC45E8" w14:paraId="69FFED4F" w14:textId="77777777" w:rsidTr="00FD58A8">
        <w:trPr>
          <w:trHeight w:val="257"/>
        </w:trPr>
        <w:tc>
          <w:tcPr>
            <w:tcW w:w="2015" w:type="dxa"/>
            <w:noWrap/>
            <w:hideMark/>
          </w:tcPr>
          <w:p w14:paraId="0A412DC2" w14:textId="77777777" w:rsidR="007F7A07" w:rsidRPr="00EC45E8" w:rsidRDefault="007F7A07" w:rsidP="007F7A07">
            <w:pPr>
              <w:jc w:val="both"/>
            </w:pPr>
            <w:r w:rsidRPr="00EC45E8">
              <w:t>Elisa</w:t>
            </w:r>
          </w:p>
        </w:tc>
        <w:tc>
          <w:tcPr>
            <w:tcW w:w="929" w:type="dxa"/>
            <w:noWrap/>
            <w:hideMark/>
          </w:tcPr>
          <w:p w14:paraId="018528FF" w14:textId="28BDA1CD" w:rsidR="007F7A07" w:rsidRPr="00EC45E8" w:rsidRDefault="007F7A07" w:rsidP="007F7A07">
            <w:pPr>
              <w:jc w:val="center"/>
            </w:pPr>
            <w:r w:rsidRPr="009E739E">
              <w:t>…*%</w:t>
            </w:r>
          </w:p>
        </w:tc>
        <w:tc>
          <w:tcPr>
            <w:tcW w:w="1138" w:type="dxa"/>
            <w:noWrap/>
            <w:hideMark/>
          </w:tcPr>
          <w:p w14:paraId="6C8276FB" w14:textId="03D65759" w:rsidR="007F7A07" w:rsidRPr="00EC45E8" w:rsidRDefault="007F7A07" w:rsidP="007F7A07">
            <w:pPr>
              <w:jc w:val="center"/>
            </w:pPr>
            <w:r w:rsidRPr="009E739E">
              <w:t>…*%</w:t>
            </w:r>
          </w:p>
        </w:tc>
        <w:tc>
          <w:tcPr>
            <w:tcW w:w="1138" w:type="dxa"/>
            <w:noWrap/>
            <w:hideMark/>
          </w:tcPr>
          <w:p w14:paraId="641B6BCD" w14:textId="7158765E" w:rsidR="007F7A07" w:rsidRPr="00EC45E8" w:rsidRDefault="007F7A07" w:rsidP="007F7A07">
            <w:pPr>
              <w:jc w:val="center"/>
            </w:pPr>
            <w:r w:rsidRPr="009E739E">
              <w:t>…*%</w:t>
            </w:r>
          </w:p>
        </w:tc>
        <w:tc>
          <w:tcPr>
            <w:tcW w:w="1138" w:type="dxa"/>
            <w:noWrap/>
            <w:hideMark/>
          </w:tcPr>
          <w:p w14:paraId="0B037D27" w14:textId="4423E45F" w:rsidR="007F7A07" w:rsidRPr="00EC45E8" w:rsidRDefault="007F7A07" w:rsidP="007F7A07">
            <w:pPr>
              <w:jc w:val="center"/>
            </w:pPr>
            <w:r w:rsidRPr="009E739E">
              <w:t>…*%</w:t>
            </w:r>
          </w:p>
        </w:tc>
        <w:tc>
          <w:tcPr>
            <w:tcW w:w="1008" w:type="dxa"/>
            <w:noWrap/>
            <w:hideMark/>
          </w:tcPr>
          <w:p w14:paraId="1FE5074E" w14:textId="0AE28234" w:rsidR="007F7A07" w:rsidRPr="00EC45E8" w:rsidRDefault="007F7A07" w:rsidP="007F7A07">
            <w:pPr>
              <w:jc w:val="center"/>
            </w:pPr>
            <w:r w:rsidRPr="009E739E">
              <w:t>…*%</w:t>
            </w:r>
          </w:p>
        </w:tc>
        <w:tc>
          <w:tcPr>
            <w:tcW w:w="993" w:type="dxa"/>
            <w:noWrap/>
            <w:hideMark/>
          </w:tcPr>
          <w:p w14:paraId="3055EF6A" w14:textId="1E8CBE9D" w:rsidR="007F7A07" w:rsidRPr="00EC45E8" w:rsidRDefault="007F7A07" w:rsidP="007F7A07">
            <w:pPr>
              <w:jc w:val="center"/>
            </w:pPr>
            <w:r w:rsidRPr="009E739E">
              <w:t>…*%</w:t>
            </w:r>
          </w:p>
        </w:tc>
        <w:tc>
          <w:tcPr>
            <w:tcW w:w="992" w:type="dxa"/>
            <w:noWrap/>
            <w:hideMark/>
          </w:tcPr>
          <w:p w14:paraId="6BCE7233" w14:textId="01D9B222" w:rsidR="007F7A07" w:rsidRPr="00EC45E8" w:rsidRDefault="007F7A07" w:rsidP="007F7A07">
            <w:pPr>
              <w:jc w:val="center"/>
            </w:pPr>
            <w:r w:rsidRPr="009E739E">
              <w:t>…*%</w:t>
            </w:r>
          </w:p>
        </w:tc>
      </w:tr>
      <w:tr w:rsidR="007F7A07" w:rsidRPr="00EC45E8" w14:paraId="699C37BF" w14:textId="77777777" w:rsidTr="00FD58A8">
        <w:trPr>
          <w:trHeight w:val="257"/>
        </w:trPr>
        <w:tc>
          <w:tcPr>
            <w:tcW w:w="2015" w:type="dxa"/>
            <w:noWrap/>
            <w:hideMark/>
          </w:tcPr>
          <w:p w14:paraId="1A3FE75D" w14:textId="77777777" w:rsidR="007F7A07" w:rsidRPr="00EC45E8" w:rsidRDefault="007F7A07" w:rsidP="007F7A07">
            <w:pPr>
              <w:jc w:val="both"/>
            </w:pPr>
            <w:r w:rsidRPr="00EC45E8">
              <w:t>Telset</w:t>
            </w:r>
          </w:p>
        </w:tc>
        <w:tc>
          <w:tcPr>
            <w:tcW w:w="929" w:type="dxa"/>
            <w:noWrap/>
            <w:hideMark/>
          </w:tcPr>
          <w:p w14:paraId="209B9156" w14:textId="0B6AD7FB" w:rsidR="007F7A07" w:rsidRPr="00EC45E8" w:rsidRDefault="007F7A07" w:rsidP="007F7A07">
            <w:pPr>
              <w:jc w:val="center"/>
            </w:pPr>
            <w:r w:rsidRPr="009E739E">
              <w:t>…*%</w:t>
            </w:r>
          </w:p>
        </w:tc>
        <w:tc>
          <w:tcPr>
            <w:tcW w:w="1138" w:type="dxa"/>
            <w:noWrap/>
            <w:hideMark/>
          </w:tcPr>
          <w:p w14:paraId="0B234CB6" w14:textId="7A687748" w:rsidR="007F7A07" w:rsidRPr="00EC45E8" w:rsidRDefault="007F7A07" w:rsidP="007F7A07">
            <w:pPr>
              <w:jc w:val="center"/>
            </w:pPr>
            <w:r w:rsidRPr="009E739E">
              <w:t>…*%</w:t>
            </w:r>
          </w:p>
        </w:tc>
        <w:tc>
          <w:tcPr>
            <w:tcW w:w="1138" w:type="dxa"/>
            <w:noWrap/>
            <w:hideMark/>
          </w:tcPr>
          <w:p w14:paraId="6442ABFF" w14:textId="4DCE34CA" w:rsidR="007F7A07" w:rsidRPr="00EC45E8" w:rsidRDefault="007F7A07" w:rsidP="007F7A07">
            <w:pPr>
              <w:jc w:val="center"/>
            </w:pPr>
            <w:r w:rsidRPr="009E739E">
              <w:t>…*%</w:t>
            </w:r>
          </w:p>
        </w:tc>
        <w:tc>
          <w:tcPr>
            <w:tcW w:w="1138" w:type="dxa"/>
            <w:noWrap/>
            <w:hideMark/>
          </w:tcPr>
          <w:p w14:paraId="6CCD3338" w14:textId="165DDD5C" w:rsidR="007F7A07" w:rsidRPr="00EC45E8" w:rsidRDefault="007F7A07" w:rsidP="007F7A07">
            <w:pPr>
              <w:jc w:val="center"/>
            </w:pPr>
            <w:r w:rsidRPr="009E739E">
              <w:t>…*%</w:t>
            </w:r>
          </w:p>
        </w:tc>
        <w:tc>
          <w:tcPr>
            <w:tcW w:w="1008" w:type="dxa"/>
            <w:noWrap/>
            <w:hideMark/>
          </w:tcPr>
          <w:p w14:paraId="1732E687" w14:textId="40CAB78B" w:rsidR="007F7A07" w:rsidRPr="00EC45E8" w:rsidRDefault="007F7A07" w:rsidP="007F7A07">
            <w:pPr>
              <w:jc w:val="center"/>
            </w:pPr>
            <w:r w:rsidRPr="009E739E">
              <w:t>…*%</w:t>
            </w:r>
          </w:p>
        </w:tc>
        <w:tc>
          <w:tcPr>
            <w:tcW w:w="993" w:type="dxa"/>
            <w:noWrap/>
            <w:hideMark/>
          </w:tcPr>
          <w:p w14:paraId="16C29433" w14:textId="00C07B57" w:rsidR="007F7A07" w:rsidRPr="00EC45E8" w:rsidRDefault="007F7A07" w:rsidP="007F7A07">
            <w:pPr>
              <w:jc w:val="center"/>
            </w:pPr>
            <w:r w:rsidRPr="009E739E">
              <w:t>…*%</w:t>
            </w:r>
          </w:p>
        </w:tc>
        <w:tc>
          <w:tcPr>
            <w:tcW w:w="992" w:type="dxa"/>
            <w:noWrap/>
            <w:hideMark/>
          </w:tcPr>
          <w:p w14:paraId="41BC231F" w14:textId="1097869F" w:rsidR="007F7A07" w:rsidRPr="00EC45E8" w:rsidRDefault="007F7A07" w:rsidP="007F7A07">
            <w:pPr>
              <w:jc w:val="center"/>
            </w:pPr>
            <w:r w:rsidRPr="009E739E">
              <w:t>…*%</w:t>
            </w:r>
          </w:p>
        </w:tc>
      </w:tr>
      <w:tr w:rsidR="007F7A07" w:rsidRPr="00EC45E8" w14:paraId="4418B189" w14:textId="77777777" w:rsidTr="00FD58A8">
        <w:trPr>
          <w:trHeight w:val="257"/>
        </w:trPr>
        <w:tc>
          <w:tcPr>
            <w:tcW w:w="2015" w:type="dxa"/>
            <w:noWrap/>
            <w:hideMark/>
          </w:tcPr>
          <w:p w14:paraId="29139246" w14:textId="77777777" w:rsidR="007F7A07" w:rsidRPr="00EC45E8" w:rsidRDefault="007F7A07" w:rsidP="007F7A07">
            <w:pPr>
              <w:jc w:val="both"/>
            </w:pPr>
            <w:r w:rsidRPr="00EC45E8">
              <w:t>Tele2</w:t>
            </w:r>
          </w:p>
        </w:tc>
        <w:tc>
          <w:tcPr>
            <w:tcW w:w="929" w:type="dxa"/>
            <w:noWrap/>
            <w:hideMark/>
          </w:tcPr>
          <w:p w14:paraId="6EDF52E1" w14:textId="3797254A" w:rsidR="007F7A07" w:rsidRPr="00EC45E8" w:rsidRDefault="007F7A07" w:rsidP="007F7A07">
            <w:pPr>
              <w:jc w:val="center"/>
            </w:pPr>
            <w:r w:rsidRPr="009E739E">
              <w:t>…*%</w:t>
            </w:r>
          </w:p>
        </w:tc>
        <w:tc>
          <w:tcPr>
            <w:tcW w:w="1138" w:type="dxa"/>
            <w:noWrap/>
            <w:hideMark/>
          </w:tcPr>
          <w:p w14:paraId="087B7E93" w14:textId="01561842" w:rsidR="007F7A07" w:rsidRPr="00EC45E8" w:rsidRDefault="007F7A07" w:rsidP="007F7A07">
            <w:pPr>
              <w:jc w:val="center"/>
            </w:pPr>
            <w:r w:rsidRPr="009E739E">
              <w:t>…*%</w:t>
            </w:r>
          </w:p>
        </w:tc>
        <w:tc>
          <w:tcPr>
            <w:tcW w:w="1138" w:type="dxa"/>
            <w:noWrap/>
            <w:hideMark/>
          </w:tcPr>
          <w:p w14:paraId="04B37232" w14:textId="7E991F67" w:rsidR="007F7A07" w:rsidRPr="00EC45E8" w:rsidRDefault="007F7A07" w:rsidP="007F7A07">
            <w:pPr>
              <w:jc w:val="center"/>
            </w:pPr>
            <w:r w:rsidRPr="009E739E">
              <w:t>…*%</w:t>
            </w:r>
          </w:p>
        </w:tc>
        <w:tc>
          <w:tcPr>
            <w:tcW w:w="1138" w:type="dxa"/>
            <w:noWrap/>
            <w:hideMark/>
          </w:tcPr>
          <w:p w14:paraId="7330A2C1" w14:textId="22342D2B" w:rsidR="007F7A07" w:rsidRPr="00EC45E8" w:rsidRDefault="007F7A07" w:rsidP="007F7A07">
            <w:pPr>
              <w:jc w:val="center"/>
            </w:pPr>
            <w:r w:rsidRPr="009E739E">
              <w:t>…*%</w:t>
            </w:r>
          </w:p>
        </w:tc>
        <w:tc>
          <w:tcPr>
            <w:tcW w:w="1008" w:type="dxa"/>
            <w:noWrap/>
            <w:hideMark/>
          </w:tcPr>
          <w:p w14:paraId="2BE0C7F7" w14:textId="0815526B" w:rsidR="007F7A07" w:rsidRPr="00EC45E8" w:rsidRDefault="007F7A07" w:rsidP="007F7A07">
            <w:pPr>
              <w:jc w:val="center"/>
            </w:pPr>
            <w:r w:rsidRPr="009E739E">
              <w:t>…*%</w:t>
            </w:r>
          </w:p>
        </w:tc>
        <w:tc>
          <w:tcPr>
            <w:tcW w:w="993" w:type="dxa"/>
            <w:noWrap/>
            <w:hideMark/>
          </w:tcPr>
          <w:p w14:paraId="69642053" w14:textId="3D10CBAC" w:rsidR="007F7A07" w:rsidRPr="00EC45E8" w:rsidRDefault="007F7A07" w:rsidP="007F7A07">
            <w:pPr>
              <w:jc w:val="center"/>
            </w:pPr>
            <w:r w:rsidRPr="009E739E">
              <w:t>…*%</w:t>
            </w:r>
          </w:p>
        </w:tc>
        <w:tc>
          <w:tcPr>
            <w:tcW w:w="992" w:type="dxa"/>
            <w:noWrap/>
            <w:hideMark/>
          </w:tcPr>
          <w:p w14:paraId="413908F0" w14:textId="44A3FBCE" w:rsidR="007F7A07" w:rsidRPr="00EC45E8" w:rsidRDefault="007F7A07" w:rsidP="007F7A07">
            <w:pPr>
              <w:jc w:val="center"/>
            </w:pPr>
            <w:r w:rsidRPr="009E739E">
              <w:t>…*%</w:t>
            </w:r>
          </w:p>
        </w:tc>
      </w:tr>
      <w:tr w:rsidR="007F7A07" w:rsidRPr="00EC45E8" w14:paraId="346031D5" w14:textId="77777777" w:rsidTr="00FD58A8">
        <w:trPr>
          <w:trHeight w:val="266"/>
        </w:trPr>
        <w:tc>
          <w:tcPr>
            <w:tcW w:w="2015" w:type="dxa"/>
            <w:noWrap/>
            <w:hideMark/>
          </w:tcPr>
          <w:p w14:paraId="025FA027" w14:textId="77777777" w:rsidR="007F7A07" w:rsidRPr="00EC45E8" w:rsidRDefault="007F7A07" w:rsidP="007F7A07">
            <w:pPr>
              <w:jc w:val="both"/>
            </w:pPr>
            <w:r w:rsidRPr="00EC45E8">
              <w:t>Interframe</w:t>
            </w:r>
          </w:p>
        </w:tc>
        <w:tc>
          <w:tcPr>
            <w:tcW w:w="929" w:type="dxa"/>
            <w:noWrap/>
            <w:hideMark/>
          </w:tcPr>
          <w:p w14:paraId="298FA14E" w14:textId="5424EE29" w:rsidR="007F7A07" w:rsidRPr="00EC45E8" w:rsidRDefault="007F7A07" w:rsidP="007F7A07">
            <w:pPr>
              <w:jc w:val="center"/>
            </w:pPr>
            <w:r w:rsidRPr="009E739E">
              <w:t>…*%</w:t>
            </w:r>
          </w:p>
        </w:tc>
        <w:tc>
          <w:tcPr>
            <w:tcW w:w="1138" w:type="dxa"/>
            <w:noWrap/>
            <w:hideMark/>
          </w:tcPr>
          <w:p w14:paraId="062BFC77" w14:textId="4EE8DF84" w:rsidR="007F7A07" w:rsidRPr="00EC45E8" w:rsidRDefault="007F7A07" w:rsidP="007F7A07">
            <w:pPr>
              <w:jc w:val="center"/>
            </w:pPr>
            <w:r w:rsidRPr="009E739E">
              <w:t>…*%</w:t>
            </w:r>
          </w:p>
        </w:tc>
        <w:tc>
          <w:tcPr>
            <w:tcW w:w="1138" w:type="dxa"/>
            <w:noWrap/>
            <w:hideMark/>
          </w:tcPr>
          <w:p w14:paraId="60812484" w14:textId="3FF290CD" w:rsidR="007F7A07" w:rsidRPr="00EC45E8" w:rsidRDefault="007F7A07" w:rsidP="007F7A07">
            <w:pPr>
              <w:jc w:val="center"/>
            </w:pPr>
            <w:r w:rsidRPr="009E739E">
              <w:t>…*%</w:t>
            </w:r>
          </w:p>
        </w:tc>
        <w:tc>
          <w:tcPr>
            <w:tcW w:w="1138" w:type="dxa"/>
            <w:noWrap/>
            <w:hideMark/>
          </w:tcPr>
          <w:p w14:paraId="5562BA23" w14:textId="3C7F6D93" w:rsidR="007F7A07" w:rsidRPr="00EC45E8" w:rsidRDefault="007F7A07" w:rsidP="007F7A07">
            <w:pPr>
              <w:jc w:val="center"/>
            </w:pPr>
            <w:r w:rsidRPr="009E739E">
              <w:t>…*%</w:t>
            </w:r>
          </w:p>
        </w:tc>
        <w:tc>
          <w:tcPr>
            <w:tcW w:w="1008" w:type="dxa"/>
            <w:noWrap/>
            <w:hideMark/>
          </w:tcPr>
          <w:p w14:paraId="478BB6EB" w14:textId="7B556609" w:rsidR="007F7A07" w:rsidRPr="00EC45E8" w:rsidRDefault="007F7A07" w:rsidP="007F7A07">
            <w:pPr>
              <w:jc w:val="center"/>
            </w:pPr>
            <w:r w:rsidRPr="009E739E">
              <w:t>…*%</w:t>
            </w:r>
          </w:p>
        </w:tc>
        <w:tc>
          <w:tcPr>
            <w:tcW w:w="993" w:type="dxa"/>
            <w:noWrap/>
            <w:hideMark/>
          </w:tcPr>
          <w:p w14:paraId="55F525EB" w14:textId="00AAC7EF" w:rsidR="007F7A07" w:rsidRPr="00EC45E8" w:rsidRDefault="007F7A07" w:rsidP="007F7A07">
            <w:pPr>
              <w:jc w:val="center"/>
            </w:pPr>
            <w:r w:rsidRPr="009E739E">
              <w:t>…*%</w:t>
            </w:r>
          </w:p>
        </w:tc>
        <w:tc>
          <w:tcPr>
            <w:tcW w:w="992" w:type="dxa"/>
            <w:noWrap/>
            <w:hideMark/>
          </w:tcPr>
          <w:p w14:paraId="38BC8C54" w14:textId="2EBE682C" w:rsidR="007F7A07" w:rsidRPr="00EC45E8" w:rsidRDefault="007F7A07" w:rsidP="007F7A07">
            <w:pPr>
              <w:jc w:val="center"/>
            </w:pPr>
            <w:r w:rsidRPr="009E739E">
              <w:t>…*%</w:t>
            </w:r>
          </w:p>
        </w:tc>
      </w:tr>
      <w:tr w:rsidR="007F7A07" w:rsidRPr="00EC45E8" w14:paraId="15F84EB5" w14:textId="77777777" w:rsidTr="00FD58A8">
        <w:trPr>
          <w:trHeight w:val="257"/>
        </w:trPr>
        <w:tc>
          <w:tcPr>
            <w:tcW w:w="2015" w:type="dxa"/>
            <w:noWrap/>
            <w:hideMark/>
          </w:tcPr>
          <w:p w14:paraId="69647E82" w14:textId="77777777" w:rsidR="007F7A07" w:rsidRPr="00EC45E8" w:rsidRDefault="007F7A07" w:rsidP="007F7A07">
            <w:pPr>
              <w:jc w:val="both"/>
            </w:pPr>
            <w:r w:rsidRPr="00EC45E8">
              <w:t>Uus programm</w:t>
            </w:r>
          </w:p>
        </w:tc>
        <w:tc>
          <w:tcPr>
            <w:tcW w:w="929" w:type="dxa"/>
            <w:noWrap/>
            <w:hideMark/>
          </w:tcPr>
          <w:p w14:paraId="4F564207" w14:textId="283BF032" w:rsidR="007F7A07" w:rsidRPr="00EC45E8" w:rsidRDefault="007F7A07" w:rsidP="007F7A07">
            <w:pPr>
              <w:jc w:val="center"/>
            </w:pPr>
            <w:r w:rsidRPr="009E739E">
              <w:t>…*%</w:t>
            </w:r>
          </w:p>
        </w:tc>
        <w:tc>
          <w:tcPr>
            <w:tcW w:w="1138" w:type="dxa"/>
            <w:noWrap/>
            <w:hideMark/>
          </w:tcPr>
          <w:p w14:paraId="3B2FE999" w14:textId="0F465E5B" w:rsidR="007F7A07" w:rsidRPr="00EC45E8" w:rsidRDefault="007F7A07" w:rsidP="007F7A07">
            <w:pPr>
              <w:jc w:val="center"/>
            </w:pPr>
            <w:r w:rsidRPr="009E739E">
              <w:t>…*%</w:t>
            </w:r>
          </w:p>
        </w:tc>
        <w:tc>
          <w:tcPr>
            <w:tcW w:w="1138" w:type="dxa"/>
            <w:noWrap/>
            <w:hideMark/>
          </w:tcPr>
          <w:p w14:paraId="3821715E" w14:textId="2CC33892" w:rsidR="007F7A07" w:rsidRPr="00EC45E8" w:rsidRDefault="007F7A07" w:rsidP="007F7A07">
            <w:pPr>
              <w:jc w:val="center"/>
            </w:pPr>
            <w:r w:rsidRPr="009E739E">
              <w:t>…*%</w:t>
            </w:r>
          </w:p>
        </w:tc>
        <w:tc>
          <w:tcPr>
            <w:tcW w:w="1138" w:type="dxa"/>
            <w:noWrap/>
            <w:hideMark/>
          </w:tcPr>
          <w:p w14:paraId="7606F45E" w14:textId="0701787D" w:rsidR="007F7A07" w:rsidRPr="00EC45E8" w:rsidRDefault="007F7A07" w:rsidP="007F7A07">
            <w:pPr>
              <w:jc w:val="center"/>
            </w:pPr>
            <w:r w:rsidRPr="009E739E">
              <w:t>…*%</w:t>
            </w:r>
          </w:p>
        </w:tc>
        <w:tc>
          <w:tcPr>
            <w:tcW w:w="1008" w:type="dxa"/>
            <w:noWrap/>
            <w:hideMark/>
          </w:tcPr>
          <w:p w14:paraId="03D9B675" w14:textId="0EAC8A46" w:rsidR="007F7A07" w:rsidRPr="00EC45E8" w:rsidRDefault="007F7A07" w:rsidP="007F7A07">
            <w:pPr>
              <w:jc w:val="center"/>
            </w:pPr>
            <w:r w:rsidRPr="009E739E">
              <w:t>…*%</w:t>
            </w:r>
          </w:p>
        </w:tc>
        <w:tc>
          <w:tcPr>
            <w:tcW w:w="993" w:type="dxa"/>
            <w:noWrap/>
            <w:hideMark/>
          </w:tcPr>
          <w:p w14:paraId="5239672B" w14:textId="40D36B5B" w:rsidR="007F7A07" w:rsidRPr="00EC45E8" w:rsidRDefault="007F7A07" w:rsidP="007F7A07">
            <w:pPr>
              <w:jc w:val="center"/>
            </w:pPr>
            <w:r w:rsidRPr="009E739E">
              <w:t>…*%</w:t>
            </w:r>
          </w:p>
        </w:tc>
        <w:tc>
          <w:tcPr>
            <w:tcW w:w="992" w:type="dxa"/>
            <w:noWrap/>
            <w:hideMark/>
          </w:tcPr>
          <w:p w14:paraId="7F37AD17" w14:textId="2F1CA9ED" w:rsidR="007F7A07" w:rsidRPr="00EC45E8" w:rsidRDefault="007F7A07" w:rsidP="007F7A07">
            <w:pPr>
              <w:jc w:val="center"/>
            </w:pPr>
            <w:r w:rsidRPr="009E739E">
              <w:t>…*%</w:t>
            </w:r>
          </w:p>
        </w:tc>
      </w:tr>
      <w:tr w:rsidR="007F7A07" w:rsidRPr="00EC45E8" w14:paraId="11099345" w14:textId="77777777" w:rsidTr="00FD58A8">
        <w:trPr>
          <w:trHeight w:val="257"/>
        </w:trPr>
        <w:tc>
          <w:tcPr>
            <w:tcW w:w="2015" w:type="dxa"/>
            <w:noWrap/>
            <w:hideMark/>
          </w:tcPr>
          <w:p w14:paraId="71F03943" w14:textId="77777777" w:rsidR="007F7A07" w:rsidRPr="00EC45E8" w:rsidRDefault="007F7A07" w:rsidP="007F7A07">
            <w:pPr>
              <w:jc w:val="both"/>
            </w:pPr>
            <w:r w:rsidRPr="00EC45E8">
              <w:t>Fill Network</w:t>
            </w:r>
          </w:p>
        </w:tc>
        <w:tc>
          <w:tcPr>
            <w:tcW w:w="929" w:type="dxa"/>
            <w:noWrap/>
            <w:hideMark/>
          </w:tcPr>
          <w:p w14:paraId="27D1B26E" w14:textId="5711E470" w:rsidR="007F7A07" w:rsidRPr="00EC45E8" w:rsidRDefault="007F7A07" w:rsidP="007F7A07">
            <w:pPr>
              <w:jc w:val="center"/>
            </w:pPr>
            <w:r w:rsidRPr="006B59DF">
              <w:t>…*%</w:t>
            </w:r>
          </w:p>
        </w:tc>
        <w:tc>
          <w:tcPr>
            <w:tcW w:w="1138" w:type="dxa"/>
            <w:noWrap/>
            <w:hideMark/>
          </w:tcPr>
          <w:p w14:paraId="32B6FFCD" w14:textId="0C47C894" w:rsidR="007F7A07" w:rsidRPr="00EC45E8" w:rsidRDefault="007F7A07" w:rsidP="007F7A07">
            <w:pPr>
              <w:jc w:val="center"/>
            </w:pPr>
            <w:r w:rsidRPr="006B59DF">
              <w:t>…*%</w:t>
            </w:r>
          </w:p>
        </w:tc>
        <w:tc>
          <w:tcPr>
            <w:tcW w:w="1138" w:type="dxa"/>
            <w:noWrap/>
            <w:hideMark/>
          </w:tcPr>
          <w:p w14:paraId="31802D25" w14:textId="7D09B9C4" w:rsidR="007F7A07" w:rsidRPr="00EC45E8" w:rsidRDefault="007F7A07" w:rsidP="007F7A07">
            <w:pPr>
              <w:jc w:val="center"/>
            </w:pPr>
            <w:r w:rsidRPr="006B59DF">
              <w:t>…*%</w:t>
            </w:r>
          </w:p>
        </w:tc>
        <w:tc>
          <w:tcPr>
            <w:tcW w:w="1138" w:type="dxa"/>
            <w:noWrap/>
            <w:hideMark/>
          </w:tcPr>
          <w:p w14:paraId="1D50BDD5" w14:textId="215CD35D" w:rsidR="007F7A07" w:rsidRPr="00EC45E8" w:rsidRDefault="007F7A07" w:rsidP="007F7A07">
            <w:pPr>
              <w:jc w:val="center"/>
            </w:pPr>
            <w:r w:rsidRPr="006B59DF">
              <w:t>…*%</w:t>
            </w:r>
          </w:p>
        </w:tc>
        <w:tc>
          <w:tcPr>
            <w:tcW w:w="1008" w:type="dxa"/>
            <w:noWrap/>
            <w:hideMark/>
          </w:tcPr>
          <w:p w14:paraId="3D8F629B" w14:textId="101A2CF2" w:rsidR="007F7A07" w:rsidRPr="00EC45E8" w:rsidRDefault="007F7A07" w:rsidP="007F7A07">
            <w:pPr>
              <w:jc w:val="center"/>
            </w:pPr>
            <w:r w:rsidRPr="006B59DF">
              <w:t>…*%</w:t>
            </w:r>
          </w:p>
        </w:tc>
        <w:tc>
          <w:tcPr>
            <w:tcW w:w="993" w:type="dxa"/>
            <w:noWrap/>
            <w:hideMark/>
          </w:tcPr>
          <w:p w14:paraId="40C6A010" w14:textId="0A7E6D2E" w:rsidR="007F7A07" w:rsidRPr="00EC45E8" w:rsidRDefault="007F7A07" w:rsidP="007F7A07">
            <w:pPr>
              <w:jc w:val="center"/>
            </w:pPr>
            <w:r w:rsidRPr="006B59DF">
              <w:t>…*%</w:t>
            </w:r>
          </w:p>
        </w:tc>
        <w:tc>
          <w:tcPr>
            <w:tcW w:w="992" w:type="dxa"/>
            <w:noWrap/>
            <w:hideMark/>
          </w:tcPr>
          <w:p w14:paraId="1EF751CB" w14:textId="3FE676F7" w:rsidR="007F7A07" w:rsidRPr="00EC45E8" w:rsidRDefault="007F7A07" w:rsidP="007F7A07">
            <w:pPr>
              <w:jc w:val="center"/>
            </w:pPr>
            <w:r w:rsidRPr="006B59DF">
              <w:t>…*%</w:t>
            </w:r>
          </w:p>
        </w:tc>
      </w:tr>
      <w:tr w:rsidR="00EC24B2" w:rsidRPr="00EC45E8" w14:paraId="48BE3F02" w14:textId="77777777" w:rsidTr="00FD58A8">
        <w:trPr>
          <w:trHeight w:val="266"/>
        </w:trPr>
        <w:tc>
          <w:tcPr>
            <w:tcW w:w="2015" w:type="dxa"/>
            <w:noWrap/>
            <w:hideMark/>
          </w:tcPr>
          <w:p w14:paraId="37636C39" w14:textId="77777777" w:rsidR="00EC24B2" w:rsidRPr="00EC45E8" w:rsidRDefault="00EC24B2" w:rsidP="00AA241E">
            <w:pPr>
              <w:jc w:val="both"/>
            </w:pPr>
            <w:r w:rsidRPr="00EC45E8">
              <w:lastRenderedPageBreak/>
              <w:t>Kokku</w:t>
            </w:r>
          </w:p>
        </w:tc>
        <w:tc>
          <w:tcPr>
            <w:tcW w:w="929" w:type="dxa"/>
            <w:noWrap/>
            <w:hideMark/>
          </w:tcPr>
          <w:p w14:paraId="7C3B9C59" w14:textId="77777777" w:rsidR="00EC24B2" w:rsidRPr="00EC45E8" w:rsidRDefault="00EC24B2" w:rsidP="00403A74">
            <w:pPr>
              <w:jc w:val="center"/>
            </w:pPr>
            <w:r w:rsidRPr="00EC45E8">
              <w:t>100%</w:t>
            </w:r>
          </w:p>
        </w:tc>
        <w:tc>
          <w:tcPr>
            <w:tcW w:w="1138" w:type="dxa"/>
            <w:noWrap/>
            <w:hideMark/>
          </w:tcPr>
          <w:p w14:paraId="15E9F3C7" w14:textId="77777777" w:rsidR="00EC24B2" w:rsidRPr="00EC45E8" w:rsidRDefault="00EC24B2" w:rsidP="00403A74">
            <w:pPr>
              <w:jc w:val="center"/>
            </w:pPr>
            <w:r w:rsidRPr="00EC45E8">
              <w:t>100%</w:t>
            </w:r>
          </w:p>
        </w:tc>
        <w:tc>
          <w:tcPr>
            <w:tcW w:w="1138" w:type="dxa"/>
            <w:noWrap/>
            <w:hideMark/>
          </w:tcPr>
          <w:p w14:paraId="4B39CD11" w14:textId="77777777" w:rsidR="00EC24B2" w:rsidRPr="00EC45E8" w:rsidRDefault="00EC24B2" w:rsidP="00403A74">
            <w:pPr>
              <w:jc w:val="center"/>
            </w:pPr>
            <w:r w:rsidRPr="00EC45E8">
              <w:t>100%</w:t>
            </w:r>
          </w:p>
        </w:tc>
        <w:tc>
          <w:tcPr>
            <w:tcW w:w="1138" w:type="dxa"/>
            <w:noWrap/>
            <w:hideMark/>
          </w:tcPr>
          <w:p w14:paraId="037CF2BA" w14:textId="77777777" w:rsidR="00EC24B2" w:rsidRPr="00EC45E8" w:rsidRDefault="00EC24B2" w:rsidP="00403A74">
            <w:pPr>
              <w:jc w:val="center"/>
            </w:pPr>
            <w:r w:rsidRPr="00EC45E8">
              <w:t>100%</w:t>
            </w:r>
          </w:p>
        </w:tc>
        <w:tc>
          <w:tcPr>
            <w:tcW w:w="1008" w:type="dxa"/>
            <w:noWrap/>
            <w:hideMark/>
          </w:tcPr>
          <w:p w14:paraId="6B786C1C" w14:textId="77777777" w:rsidR="00EC24B2" w:rsidRPr="00EC45E8" w:rsidRDefault="00EC24B2" w:rsidP="00403A74">
            <w:pPr>
              <w:jc w:val="center"/>
            </w:pPr>
            <w:r w:rsidRPr="00EC45E8">
              <w:t>100%</w:t>
            </w:r>
          </w:p>
        </w:tc>
        <w:tc>
          <w:tcPr>
            <w:tcW w:w="993" w:type="dxa"/>
            <w:noWrap/>
            <w:hideMark/>
          </w:tcPr>
          <w:p w14:paraId="05D86443" w14:textId="77777777" w:rsidR="00EC24B2" w:rsidRPr="00EC45E8" w:rsidRDefault="00EC24B2" w:rsidP="00403A74">
            <w:pPr>
              <w:jc w:val="center"/>
            </w:pPr>
            <w:r w:rsidRPr="00EC45E8">
              <w:t>100%</w:t>
            </w:r>
          </w:p>
        </w:tc>
        <w:tc>
          <w:tcPr>
            <w:tcW w:w="992" w:type="dxa"/>
            <w:noWrap/>
            <w:hideMark/>
          </w:tcPr>
          <w:p w14:paraId="598B1C01" w14:textId="77777777" w:rsidR="00EC24B2" w:rsidRPr="00EC45E8" w:rsidRDefault="00EC24B2" w:rsidP="00403A74">
            <w:pPr>
              <w:jc w:val="center"/>
            </w:pPr>
            <w:r w:rsidRPr="00EC45E8">
              <w:t>100%</w:t>
            </w:r>
          </w:p>
        </w:tc>
      </w:tr>
    </w:tbl>
    <w:bookmarkEnd w:id="659"/>
    <w:p w14:paraId="4584181A" w14:textId="665E49EB" w:rsidR="00EC24B2" w:rsidRDefault="00EC45E8" w:rsidP="00D86E38">
      <w:pPr>
        <w:pStyle w:val="Pealdis"/>
        <w:spacing w:after="240"/>
        <w:jc w:val="both"/>
      </w:pPr>
      <w:r>
        <w:t xml:space="preserve">Tabel </w:t>
      </w:r>
      <w:r>
        <w:fldChar w:fldCharType="begin"/>
      </w:r>
      <w:r>
        <w:instrText xml:space="preserve"> SEQ Tabel \* ARABIC </w:instrText>
      </w:r>
      <w:r>
        <w:fldChar w:fldCharType="separate"/>
      </w:r>
      <w:r w:rsidR="00247D84">
        <w:rPr>
          <w:noProof/>
        </w:rPr>
        <w:t>25</w:t>
      </w:r>
      <w:r>
        <w:fldChar w:fldCharType="end"/>
      </w:r>
      <w:r>
        <w:t xml:space="preserve"> </w:t>
      </w:r>
      <w:r w:rsidR="00EC24B2" w:rsidRPr="006E317E">
        <w:t xml:space="preserve">A piirkonnas tegutsevate side ettevõtjate turuosade dünaamika </w:t>
      </w:r>
      <w:r w:rsidR="00A3232C">
        <w:t>valguskaabelvõrgu</w:t>
      </w:r>
      <w:r w:rsidR="00FE198E" w:rsidRPr="006E317E">
        <w:t xml:space="preserve"> jaetasandi internetiühenduste tootetur</w:t>
      </w:r>
      <w:r w:rsidR="00FE198E">
        <w:t>ul</w:t>
      </w:r>
    </w:p>
    <w:tbl>
      <w:tblPr>
        <w:tblStyle w:val="Kontuurtabel1"/>
        <w:tblW w:w="9351" w:type="dxa"/>
        <w:tblLook w:val="04A0" w:firstRow="1" w:lastRow="0" w:firstColumn="1" w:lastColumn="0" w:noHBand="0" w:noVBand="1"/>
      </w:tblPr>
      <w:tblGrid>
        <w:gridCol w:w="1980"/>
        <w:gridCol w:w="1011"/>
        <w:gridCol w:w="1115"/>
        <w:gridCol w:w="1134"/>
        <w:gridCol w:w="1086"/>
        <w:gridCol w:w="1040"/>
        <w:gridCol w:w="993"/>
        <w:gridCol w:w="992"/>
      </w:tblGrid>
      <w:tr w:rsidR="00EC24B2" w:rsidRPr="006E317E" w14:paraId="544C0FC4" w14:textId="77777777" w:rsidTr="00FD58A8">
        <w:trPr>
          <w:trHeight w:val="290"/>
        </w:trPr>
        <w:tc>
          <w:tcPr>
            <w:tcW w:w="1980" w:type="dxa"/>
            <w:shd w:val="clear" w:color="auto" w:fill="92D050"/>
            <w:noWrap/>
            <w:hideMark/>
          </w:tcPr>
          <w:p w14:paraId="779D7841" w14:textId="77777777" w:rsidR="00EC24B2" w:rsidRPr="009A2FF7" w:rsidRDefault="00EC24B2" w:rsidP="00AA241E">
            <w:pPr>
              <w:jc w:val="both"/>
              <w:rPr>
                <w:b/>
                <w:bCs/>
              </w:rPr>
            </w:pPr>
            <w:r w:rsidRPr="009A2FF7">
              <w:rPr>
                <w:b/>
                <w:bCs/>
              </w:rPr>
              <w:t> </w:t>
            </w:r>
          </w:p>
        </w:tc>
        <w:tc>
          <w:tcPr>
            <w:tcW w:w="1011" w:type="dxa"/>
            <w:shd w:val="clear" w:color="auto" w:fill="92D050"/>
            <w:noWrap/>
            <w:hideMark/>
          </w:tcPr>
          <w:p w14:paraId="6F1B5B82" w14:textId="77777777" w:rsidR="00EC24B2" w:rsidRPr="009A2FF7" w:rsidRDefault="00EC24B2" w:rsidP="00403A74">
            <w:pPr>
              <w:jc w:val="center"/>
              <w:rPr>
                <w:b/>
                <w:bCs/>
              </w:rPr>
            </w:pPr>
            <w:r w:rsidRPr="009A2FF7">
              <w:rPr>
                <w:b/>
                <w:bCs/>
              </w:rPr>
              <w:t>2017</w:t>
            </w:r>
          </w:p>
        </w:tc>
        <w:tc>
          <w:tcPr>
            <w:tcW w:w="1115" w:type="dxa"/>
            <w:shd w:val="clear" w:color="auto" w:fill="92D050"/>
            <w:noWrap/>
            <w:hideMark/>
          </w:tcPr>
          <w:p w14:paraId="07927AD9" w14:textId="77777777" w:rsidR="00EC24B2" w:rsidRPr="009A2FF7" w:rsidRDefault="00EC24B2" w:rsidP="00403A74">
            <w:pPr>
              <w:jc w:val="center"/>
              <w:rPr>
                <w:b/>
                <w:bCs/>
              </w:rPr>
            </w:pPr>
            <w:r w:rsidRPr="009A2FF7">
              <w:rPr>
                <w:b/>
                <w:bCs/>
              </w:rPr>
              <w:t>2018</w:t>
            </w:r>
          </w:p>
        </w:tc>
        <w:tc>
          <w:tcPr>
            <w:tcW w:w="1134" w:type="dxa"/>
            <w:shd w:val="clear" w:color="auto" w:fill="92D050"/>
            <w:noWrap/>
            <w:hideMark/>
          </w:tcPr>
          <w:p w14:paraId="197F8A9C" w14:textId="77777777" w:rsidR="00EC24B2" w:rsidRPr="009A2FF7" w:rsidRDefault="00EC24B2" w:rsidP="00403A74">
            <w:pPr>
              <w:jc w:val="center"/>
              <w:rPr>
                <w:b/>
                <w:bCs/>
              </w:rPr>
            </w:pPr>
            <w:r w:rsidRPr="009A2FF7">
              <w:rPr>
                <w:b/>
                <w:bCs/>
              </w:rPr>
              <w:t>2019</w:t>
            </w:r>
          </w:p>
        </w:tc>
        <w:tc>
          <w:tcPr>
            <w:tcW w:w="1086" w:type="dxa"/>
            <w:shd w:val="clear" w:color="auto" w:fill="92D050"/>
            <w:noWrap/>
            <w:hideMark/>
          </w:tcPr>
          <w:p w14:paraId="4CF549DA" w14:textId="77777777" w:rsidR="00EC24B2" w:rsidRPr="009A2FF7" w:rsidRDefault="00EC24B2" w:rsidP="00403A74">
            <w:pPr>
              <w:jc w:val="center"/>
              <w:rPr>
                <w:b/>
                <w:bCs/>
              </w:rPr>
            </w:pPr>
            <w:r w:rsidRPr="009A2FF7">
              <w:rPr>
                <w:b/>
                <w:bCs/>
              </w:rPr>
              <w:t>2020</w:t>
            </w:r>
          </w:p>
        </w:tc>
        <w:tc>
          <w:tcPr>
            <w:tcW w:w="1040" w:type="dxa"/>
            <w:shd w:val="clear" w:color="auto" w:fill="92D050"/>
            <w:noWrap/>
            <w:hideMark/>
          </w:tcPr>
          <w:p w14:paraId="791F1F76" w14:textId="77777777" w:rsidR="00EC24B2" w:rsidRPr="009A2FF7" w:rsidRDefault="00EC24B2" w:rsidP="00403A74">
            <w:pPr>
              <w:jc w:val="center"/>
              <w:rPr>
                <w:b/>
                <w:bCs/>
              </w:rPr>
            </w:pPr>
            <w:r w:rsidRPr="009A2FF7">
              <w:rPr>
                <w:b/>
                <w:bCs/>
              </w:rPr>
              <w:t>2021</w:t>
            </w:r>
          </w:p>
        </w:tc>
        <w:tc>
          <w:tcPr>
            <w:tcW w:w="993" w:type="dxa"/>
            <w:shd w:val="clear" w:color="auto" w:fill="92D050"/>
            <w:noWrap/>
            <w:hideMark/>
          </w:tcPr>
          <w:p w14:paraId="3A06E7F4" w14:textId="77777777" w:rsidR="00EC24B2" w:rsidRPr="009A2FF7" w:rsidRDefault="00EC24B2" w:rsidP="00403A74">
            <w:pPr>
              <w:jc w:val="center"/>
              <w:rPr>
                <w:b/>
                <w:bCs/>
              </w:rPr>
            </w:pPr>
            <w:r w:rsidRPr="009A2FF7">
              <w:rPr>
                <w:b/>
                <w:bCs/>
              </w:rPr>
              <w:t>2022</w:t>
            </w:r>
          </w:p>
        </w:tc>
        <w:tc>
          <w:tcPr>
            <w:tcW w:w="992" w:type="dxa"/>
            <w:shd w:val="clear" w:color="auto" w:fill="92D050"/>
            <w:noWrap/>
            <w:hideMark/>
          </w:tcPr>
          <w:p w14:paraId="35FD5FAC" w14:textId="77777777" w:rsidR="00EC24B2" w:rsidRPr="009A2FF7" w:rsidRDefault="00EC24B2" w:rsidP="00403A74">
            <w:pPr>
              <w:jc w:val="center"/>
              <w:rPr>
                <w:b/>
                <w:bCs/>
              </w:rPr>
            </w:pPr>
            <w:r w:rsidRPr="009A2FF7">
              <w:rPr>
                <w:b/>
                <w:bCs/>
              </w:rPr>
              <w:t>2023</w:t>
            </w:r>
          </w:p>
        </w:tc>
      </w:tr>
      <w:tr w:rsidR="00C22B37" w:rsidRPr="006E317E" w14:paraId="7AFE641E" w14:textId="77777777" w:rsidTr="00FD58A8">
        <w:trPr>
          <w:trHeight w:val="290"/>
        </w:trPr>
        <w:tc>
          <w:tcPr>
            <w:tcW w:w="1980" w:type="dxa"/>
            <w:noWrap/>
            <w:hideMark/>
          </w:tcPr>
          <w:p w14:paraId="0505BA95" w14:textId="77777777" w:rsidR="00C22B37" w:rsidRPr="006E317E" w:rsidRDefault="00C22B37" w:rsidP="00C22B37">
            <w:pPr>
              <w:jc w:val="both"/>
            </w:pPr>
            <w:r w:rsidRPr="006E317E">
              <w:t>Telia</w:t>
            </w:r>
          </w:p>
        </w:tc>
        <w:tc>
          <w:tcPr>
            <w:tcW w:w="1011" w:type="dxa"/>
            <w:noWrap/>
            <w:hideMark/>
          </w:tcPr>
          <w:p w14:paraId="47D39A94" w14:textId="5B00585C" w:rsidR="00C22B37" w:rsidRPr="006E317E" w:rsidRDefault="00C22B37" w:rsidP="00C22B37">
            <w:pPr>
              <w:jc w:val="center"/>
            </w:pPr>
            <w:r w:rsidRPr="00AC76BC">
              <w:t>…*%</w:t>
            </w:r>
          </w:p>
        </w:tc>
        <w:tc>
          <w:tcPr>
            <w:tcW w:w="1115" w:type="dxa"/>
            <w:noWrap/>
            <w:hideMark/>
          </w:tcPr>
          <w:p w14:paraId="1BDDFF4D" w14:textId="4760A66A" w:rsidR="00C22B37" w:rsidRPr="006E317E" w:rsidRDefault="00C22B37" w:rsidP="00C22B37">
            <w:pPr>
              <w:jc w:val="center"/>
            </w:pPr>
            <w:r w:rsidRPr="00AC76BC">
              <w:t>…*%</w:t>
            </w:r>
          </w:p>
        </w:tc>
        <w:tc>
          <w:tcPr>
            <w:tcW w:w="1134" w:type="dxa"/>
            <w:noWrap/>
            <w:hideMark/>
          </w:tcPr>
          <w:p w14:paraId="2E97F727" w14:textId="7584454A" w:rsidR="00C22B37" w:rsidRPr="006E317E" w:rsidRDefault="00C22B37" w:rsidP="00C22B37">
            <w:pPr>
              <w:jc w:val="center"/>
            </w:pPr>
            <w:r w:rsidRPr="00AC76BC">
              <w:t>…*%</w:t>
            </w:r>
          </w:p>
        </w:tc>
        <w:tc>
          <w:tcPr>
            <w:tcW w:w="1086" w:type="dxa"/>
            <w:noWrap/>
            <w:hideMark/>
          </w:tcPr>
          <w:p w14:paraId="16F16644" w14:textId="6B08DCB4" w:rsidR="00C22B37" w:rsidRPr="006E317E" w:rsidRDefault="00C22B37" w:rsidP="00C22B37">
            <w:pPr>
              <w:jc w:val="center"/>
            </w:pPr>
            <w:r w:rsidRPr="00AC76BC">
              <w:t>…*%</w:t>
            </w:r>
          </w:p>
        </w:tc>
        <w:tc>
          <w:tcPr>
            <w:tcW w:w="1040" w:type="dxa"/>
            <w:noWrap/>
            <w:hideMark/>
          </w:tcPr>
          <w:p w14:paraId="45ED030A" w14:textId="1C5C73DF" w:rsidR="00C22B37" w:rsidRPr="006E317E" w:rsidRDefault="00C22B37" w:rsidP="00C22B37">
            <w:pPr>
              <w:jc w:val="center"/>
            </w:pPr>
            <w:r w:rsidRPr="00AC76BC">
              <w:t>…*%</w:t>
            </w:r>
          </w:p>
        </w:tc>
        <w:tc>
          <w:tcPr>
            <w:tcW w:w="993" w:type="dxa"/>
            <w:noWrap/>
            <w:hideMark/>
          </w:tcPr>
          <w:p w14:paraId="309A6349" w14:textId="25AC5FC4" w:rsidR="00C22B37" w:rsidRPr="006E317E" w:rsidRDefault="00C22B37" w:rsidP="00C22B37">
            <w:pPr>
              <w:jc w:val="center"/>
            </w:pPr>
            <w:r w:rsidRPr="00AC76BC">
              <w:t>…*%</w:t>
            </w:r>
          </w:p>
        </w:tc>
        <w:tc>
          <w:tcPr>
            <w:tcW w:w="992" w:type="dxa"/>
            <w:noWrap/>
            <w:hideMark/>
          </w:tcPr>
          <w:p w14:paraId="2DDFBA64" w14:textId="71CB4C67" w:rsidR="00C22B37" w:rsidRPr="006E317E" w:rsidRDefault="00C22B37" w:rsidP="00C22B37">
            <w:pPr>
              <w:jc w:val="center"/>
            </w:pPr>
            <w:r w:rsidRPr="00AC76BC">
              <w:t>…*%</w:t>
            </w:r>
          </w:p>
        </w:tc>
      </w:tr>
      <w:tr w:rsidR="007F7A07" w:rsidRPr="006E317E" w14:paraId="6A5F104B" w14:textId="77777777" w:rsidTr="00FD58A8">
        <w:trPr>
          <w:trHeight w:val="290"/>
        </w:trPr>
        <w:tc>
          <w:tcPr>
            <w:tcW w:w="1980" w:type="dxa"/>
            <w:noWrap/>
            <w:hideMark/>
          </w:tcPr>
          <w:p w14:paraId="0C53D248" w14:textId="77777777" w:rsidR="007F7A07" w:rsidRPr="006E317E" w:rsidRDefault="007F7A07" w:rsidP="007F7A07">
            <w:pPr>
              <w:jc w:val="both"/>
            </w:pPr>
            <w:r w:rsidRPr="006E317E">
              <w:t>STV</w:t>
            </w:r>
          </w:p>
        </w:tc>
        <w:tc>
          <w:tcPr>
            <w:tcW w:w="1011" w:type="dxa"/>
            <w:noWrap/>
            <w:hideMark/>
          </w:tcPr>
          <w:p w14:paraId="06B6BF8B" w14:textId="382F1289" w:rsidR="007F7A07" w:rsidRPr="006E317E" w:rsidRDefault="007F7A07" w:rsidP="007F7A07">
            <w:pPr>
              <w:jc w:val="center"/>
            </w:pPr>
            <w:r w:rsidRPr="009F7209">
              <w:t>…*%</w:t>
            </w:r>
          </w:p>
        </w:tc>
        <w:tc>
          <w:tcPr>
            <w:tcW w:w="1115" w:type="dxa"/>
            <w:noWrap/>
            <w:hideMark/>
          </w:tcPr>
          <w:p w14:paraId="2BDEF17E" w14:textId="0B59685B" w:rsidR="007F7A07" w:rsidRPr="006E317E" w:rsidRDefault="007F7A07" w:rsidP="007F7A07">
            <w:pPr>
              <w:jc w:val="center"/>
            </w:pPr>
            <w:r w:rsidRPr="009F7209">
              <w:t>…*%</w:t>
            </w:r>
          </w:p>
        </w:tc>
        <w:tc>
          <w:tcPr>
            <w:tcW w:w="1134" w:type="dxa"/>
            <w:noWrap/>
            <w:hideMark/>
          </w:tcPr>
          <w:p w14:paraId="22E338E1" w14:textId="1DDCA7AF" w:rsidR="007F7A07" w:rsidRPr="006E317E" w:rsidRDefault="007F7A07" w:rsidP="007F7A07">
            <w:pPr>
              <w:jc w:val="center"/>
            </w:pPr>
            <w:r w:rsidRPr="009F7209">
              <w:t>…*%</w:t>
            </w:r>
          </w:p>
        </w:tc>
        <w:tc>
          <w:tcPr>
            <w:tcW w:w="1086" w:type="dxa"/>
            <w:noWrap/>
            <w:hideMark/>
          </w:tcPr>
          <w:p w14:paraId="0209DBDF" w14:textId="00AA2D2C" w:rsidR="007F7A07" w:rsidRPr="006E317E" w:rsidRDefault="007F7A07" w:rsidP="007F7A07">
            <w:pPr>
              <w:jc w:val="center"/>
            </w:pPr>
            <w:r w:rsidRPr="009F7209">
              <w:t>…*%</w:t>
            </w:r>
          </w:p>
        </w:tc>
        <w:tc>
          <w:tcPr>
            <w:tcW w:w="1040" w:type="dxa"/>
            <w:noWrap/>
            <w:hideMark/>
          </w:tcPr>
          <w:p w14:paraId="4F449C1A" w14:textId="2675B9C4" w:rsidR="007F7A07" w:rsidRPr="006E317E" w:rsidRDefault="007F7A07" w:rsidP="007F7A07">
            <w:pPr>
              <w:jc w:val="center"/>
            </w:pPr>
            <w:r w:rsidRPr="009F7209">
              <w:t>…*%</w:t>
            </w:r>
          </w:p>
        </w:tc>
        <w:tc>
          <w:tcPr>
            <w:tcW w:w="993" w:type="dxa"/>
            <w:noWrap/>
            <w:hideMark/>
          </w:tcPr>
          <w:p w14:paraId="16258417" w14:textId="776DB0AE" w:rsidR="007F7A07" w:rsidRPr="006E317E" w:rsidRDefault="007F7A07" w:rsidP="007F7A07">
            <w:pPr>
              <w:jc w:val="center"/>
            </w:pPr>
            <w:r w:rsidRPr="009F7209">
              <w:t>…*%</w:t>
            </w:r>
          </w:p>
        </w:tc>
        <w:tc>
          <w:tcPr>
            <w:tcW w:w="992" w:type="dxa"/>
            <w:noWrap/>
            <w:hideMark/>
          </w:tcPr>
          <w:p w14:paraId="38492D63" w14:textId="5381AC5C" w:rsidR="007F7A07" w:rsidRPr="006E317E" w:rsidRDefault="007F7A07" w:rsidP="007F7A07">
            <w:pPr>
              <w:jc w:val="center"/>
            </w:pPr>
            <w:r w:rsidRPr="009F7209">
              <w:t>…*%</w:t>
            </w:r>
          </w:p>
        </w:tc>
      </w:tr>
      <w:tr w:rsidR="007F7A07" w:rsidRPr="006E317E" w14:paraId="66F5D0CD" w14:textId="77777777" w:rsidTr="00FD58A8">
        <w:trPr>
          <w:trHeight w:val="290"/>
        </w:trPr>
        <w:tc>
          <w:tcPr>
            <w:tcW w:w="1980" w:type="dxa"/>
            <w:noWrap/>
            <w:hideMark/>
          </w:tcPr>
          <w:p w14:paraId="5C010B93" w14:textId="77777777" w:rsidR="007F7A07" w:rsidRPr="006E317E" w:rsidRDefault="007F7A07" w:rsidP="007F7A07">
            <w:pPr>
              <w:jc w:val="both"/>
            </w:pPr>
            <w:r w:rsidRPr="006E317E">
              <w:t>Elisa</w:t>
            </w:r>
          </w:p>
        </w:tc>
        <w:tc>
          <w:tcPr>
            <w:tcW w:w="1011" w:type="dxa"/>
            <w:noWrap/>
            <w:hideMark/>
          </w:tcPr>
          <w:p w14:paraId="2F25E9AF" w14:textId="36652BC9" w:rsidR="007F7A07" w:rsidRPr="006E317E" w:rsidRDefault="007F7A07" w:rsidP="007F7A07">
            <w:pPr>
              <w:jc w:val="center"/>
            </w:pPr>
            <w:r w:rsidRPr="009F7209">
              <w:t>…*%</w:t>
            </w:r>
          </w:p>
        </w:tc>
        <w:tc>
          <w:tcPr>
            <w:tcW w:w="1115" w:type="dxa"/>
            <w:noWrap/>
            <w:hideMark/>
          </w:tcPr>
          <w:p w14:paraId="5C82ABE6" w14:textId="60CA2FEC" w:rsidR="007F7A07" w:rsidRPr="006E317E" w:rsidRDefault="007F7A07" w:rsidP="007F7A07">
            <w:pPr>
              <w:jc w:val="center"/>
            </w:pPr>
            <w:r w:rsidRPr="009F7209">
              <w:t>…*%</w:t>
            </w:r>
          </w:p>
        </w:tc>
        <w:tc>
          <w:tcPr>
            <w:tcW w:w="1134" w:type="dxa"/>
            <w:noWrap/>
            <w:hideMark/>
          </w:tcPr>
          <w:p w14:paraId="1C0981C8" w14:textId="336C2B11" w:rsidR="007F7A07" w:rsidRPr="006E317E" w:rsidRDefault="007F7A07" w:rsidP="007F7A07">
            <w:pPr>
              <w:jc w:val="center"/>
            </w:pPr>
            <w:r w:rsidRPr="009F7209">
              <w:t>…*%</w:t>
            </w:r>
          </w:p>
        </w:tc>
        <w:tc>
          <w:tcPr>
            <w:tcW w:w="1086" w:type="dxa"/>
            <w:noWrap/>
            <w:hideMark/>
          </w:tcPr>
          <w:p w14:paraId="33C4865C" w14:textId="0A471279" w:rsidR="007F7A07" w:rsidRPr="006E317E" w:rsidRDefault="007F7A07" w:rsidP="007F7A07">
            <w:pPr>
              <w:jc w:val="center"/>
            </w:pPr>
            <w:r w:rsidRPr="009F7209">
              <w:t>…*%</w:t>
            </w:r>
          </w:p>
        </w:tc>
        <w:tc>
          <w:tcPr>
            <w:tcW w:w="1040" w:type="dxa"/>
            <w:noWrap/>
            <w:hideMark/>
          </w:tcPr>
          <w:p w14:paraId="156353D0" w14:textId="5D29D858" w:rsidR="007F7A07" w:rsidRPr="006E317E" w:rsidRDefault="007F7A07" w:rsidP="007F7A07">
            <w:pPr>
              <w:jc w:val="center"/>
            </w:pPr>
            <w:r w:rsidRPr="009F7209">
              <w:t>…*%</w:t>
            </w:r>
          </w:p>
        </w:tc>
        <w:tc>
          <w:tcPr>
            <w:tcW w:w="993" w:type="dxa"/>
            <w:noWrap/>
            <w:hideMark/>
          </w:tcPr>
          <w:p w14:paraId="1E93049E" w14:textId="55E2033C" w:rsidR="007F7A07" w:rsidRPr="006E317E" w:rsidRDefault="007F7A07" w:rsidP="007F7A07">
            <w:pPr>
              <w:jc w:val="center"/>
            </w:pPr>
            <w:r w:rsidRPr="009F7209">
              <w:t>…*%</w:t>
            </w:r>
          </w:p>
        </w:tc>
        <w:tc>
          <w:tcPr>
            <w:tcW w:w="992" w:type="dxa"/>
            <w:noWrap/>
            <w:hideMark/>
          </w:tcPr>
          <w:p w14:paraId="0924E1C4" w14:textId="07B9AAEA" w:rsidR="007F7A07" w:rsidRPr="006E317E" w:rsidRDefault="007F7A07" w:rsidP="007F7A07">
            <w:pPr>
              <w:jc w:val="center"/>
            </w:pPr>
            <w:r w:rsidRPr="009F7209">
              <w:t>…*%</w:t>
            </w:r>
          </w:p>
        </w:tc>
      </w:tr>
      <w:tr w:rsidR="007F7A07" w:rsidRPr="006E317E" w14:paraId="36B54AAD" w14:textId="77777777" w:rsidTr="00FD58A8">
        <w:trPr>
          <w:trHeight w:val="290"/>
        </w:trPr>
        <w:tc>
          <w:tcPr>
            <w:tcW w:w="1980" w:type="dxa"/>
            <w:noWrap/>
            <w:hideMark/>
          </w:tcPr>
          <w:p w14:paraId="7F5835F0" w14:textId="77777777" w:rsidR="007F7A07" w:rsidRPr="006E317E" w:rsidRDefault="007F7A07" w:rsidP="007F7A07">
            <w:pPr>
              <w:jc w:val="both"/>
            </w:pPr>
            <w:r w:rsidRPr="006E317E">
              <w:t>Telset</w:t>
            </w:r>
          </w:p>
        </w:tc>
        <w:tc>
          <w:tcPr>
            <w:tcW w:w="1011" w:type="dxa"/>
            <w:noWrap/>
            <w:hideMark/>
          </w:tcPr>
          <w:p w14:paraId="761A46D9" w14:textId="522739D4" w:rsidR="007F7A07" w:rsidRPr="006E317E" w:rsidRDefault="007F7A07" w:rsidP="007F7A07">
            <w:pPr>
              <w:jc w:val="center"/>
            </w:pPr>
            <w:r w:rsidRPr="009F7209">
              <w:t>…*%</w:t>
            </w:r>
          </w:p>
        </w:tc>
        <w:tc>
          <w:tcPr>
            <w:tcW w:w="1115" w:type="dxa"/>
            <w:noWrap/>
            <w:hideMark/>
          </w:tcPr>
          <w:p w14:paraId="691CED0A" w14:textId="78D28277" w:rsidR="007F7A07" w:rsidRPr="006E317E" w:rsidRDefault="007F7A07" w:rsidP="007F7A07">
            <w:pPr>
              <w:jc w:val="center"/>
            </w:pPr>
            <w:r w:rsidRPr="009F7209">
              <w:t>…*%</w:t>
            </w:r>
          </w:p>
        </w:tc>
        <w:tc>
          <w:tcPr>
            <w:tcW w:w="1134" w:type="dxa"/>
            <w:noWrap/>
            <w:hideMark/>
          </w:tcPr>
          <w:p w14:paraId="15BE7C5E" w14:textId="07205707" w:rsidR="007F7A07" w:rsidRPr="006E317E" w:rsidRDefault="007F7A07" w:rsidP="007F7A07">
            <w:pPr>
              <w:jc w:val="center"/>
            </w:pPr>
            <w:r w:rsidRPr="009F7209">
              <w:t>…*%</w:t>
            </w:r>
          </w:p>
        </w:tc>
        <w:tc>
          <w:tcPr>
            <w:tcW w:w="1086" w:type="dxa"/>
            <w:noWrap/>
            <w:hideMark/>
          </w:tcPr>
          <w:p w14:paraId="47B5CC8F" w14:textId="044BE14D" w:rsidR="007F7A07" w:rsidRPr="006E317E" w:rsidRDefault="007F7A07" w:rsidP="007F7A07">
            <w:pPr>
              <w:jc w:val="center"/>
            </w:pPr>
            <w:r w:rsidRPr="009F7209">
              <w:t>…*%</w:t>
            </w:r>
          </w:p>
        </w:tc>
        <w:tc>
          <w:tcPr>
            <w:tcW w:w="1040" w:type="dxa"/>
            <w:noWrap/>
            <w:hideMark/>
          </w:tcPr>
          <w:p w14:paraId="24755C73" w14:textId="05CD96E8" w:rsidR="007F7A07" w:rsidRPr="006E317E" w:rsidRDefault="007F7A07" w:rsidP="007F7A07">
            <w:pPr>
              <w:jc w:val="center"/>
            </w:pPr>
            <w:r w:rsidRPr="009F7209">
              <w:t>…*%</w:t>
            </w:r>
          </w:p>
        </w:tc>
        <w:tc>
          <w:tcPr>
            <w:tcW w:w="993" w:type="dxa"/>
            <w:noWrap/>
            <w:hideMark/>
          </w:tcPr>
          <w:p w14:paraId="45685ABB" w14:textId="3A97F322" w:rsidR="007F7A07" w:rsidRPr="006E317E" w:rsidRDefault="007F7A07" w:rsidP="007F7A07">
            <w:pPr>
              <w:jc w:val="center"/>
            </w:pPr>
            <w:r w:rsidRPr="009F7209">
              <w:t>…*%</w:t>
            </w:r>
          </w:p>
        </w:tc>
        <w:tc>
          <w:tcPr>
            <w:tcW w:w="992" w:type="dxa"/>
            <w:noWrap/>
            <w:hideMark/>
          </w:tcPr>
          <w:p w14:paraId="4F6D7F31" w14:textId="0B1C5D42" w:rsidR="007F7A07" w:rsidRPr="006E317E" w:rsidRDefault="007F7A07" w:rsidP="007F7A07">
            <w:pPr>
              <w:jc w:val="center"/>
            </w:pPr>
            <w:r w:rsidRPr="009F7209">
              <w:t>…*%</w:t>
            </w:r>
          </w:p>
        </w:tc>
      </w:tr>
      <w:tr w:rsidR="007F7A07" w:rsidRPr="006E317E" w14:paraId="0FC4CD87" w14:textId="77777777" w:rsidTr="00FD58A8">
        <w:trPr>
          <w:trHeight w:val="290"/>
        </w:trPr>
        <w:tc>
          <w:tcPr>
            <w:tcW w:w="1980" w:type="dxa"/>
            <w:noWrap/>
            <w:hideMark/>
          </w:tcPr>
          <w:p w14:paraId="63FE9A73" w14:textId="77777777" w:rsidR="007F7A07" w:rsidRPr="006E317E" w:rsidRDefault="007F7A07" w:rsidP="007F7A07">
            <w:pPr>
              <w:jc w:val="both"/>
            </w:pPr>
            <w:r w:rsidRPr="006E317E">
              <w:t>Tele2</w:t>
            </w:r>
          </w:p>
        </w:tc>
        <w:tc>
          <w:tcPr>
            <w:tcW w:w="1011" w:type="dxa"/>
            <w:noWrap/>
            <w:hideMark/>
          </w:tcPr>
          <w:p w14:paraId="3978122F" w14:textId="19752AAD" w:rsidR="007F7A07" w:rsidRPr="006E317E" w:rsidRDefault="007F7A07" w:rsidP="007F7A07">
            <w:pPr>
              <w:jc w:val="center"/>
            </w:pPr>
            <w:r w:rsidRPr="009F7209">
              <w:t>…*%</w:t>
            </w:r>
          </w:p>
        </w:tc>
        <w:tc>
          <w:tcPr>
            <w:tcW w:w="1115" w:type="dxa"/>
            <w:noWrap/>
            <w:hideMark/>
          </w:tcPr>
          <w:p w14:paraId="4E5E57D6" w14:textId="4F75B862" w:rsidR="007F7A07" w:rsidRPr="006E317E" w:rsidRDefault="007F7A07" w:rsidP="007F7A07">
            <w:pPr>
              <w:jc w:val="center"/>
            </w:pPr>
            <w:r w:rsidRPr="009F7209">
              <w:t>…*%</w:t>
            </w:r>
          </w:p>
        </w:tc>
        <w:tc>
          <w:tcPr>
            <w:tcW w:w="1134" w:type="dxa"/>
            <w:noWrap/>
            <w:hideMark/>
          </w:tcPr>
          <w:p w14:paraId="145C8084" w14:textId="5D144A80" w:rsidR="007F7A07" w:rsidRPr="006E317E" w:rsidRDefault="007F7A07" w:rsidP="007F7A07">
            <w:pPr>
              <w:jc w:val="center"/>
            </w:pPr>
            <w:r w:rsidRPr="009F7209">
              <w:t>…*%</w:t>
            </w:r>
          </w:p>
        </w:tc>
        <w:tc>
          <w:tcPr>
            <w:tcW w:w="1086" w:type="dxa"/>
            <w:noWrap/>
            <w:hideMark/>
          </w:tcPr>
          <w:p w14:paraId="3BBAFE47" w14:textId="50AAB3F0" w:rsidR="007F7A07" w:rsidRPr="006E317E" w:rsidRDefault="007F7A07" w:rsidP="007F7A07">
            <w:pPr>
              <w:jc w:val="center"/>
            </w:pPr>
            <w:r w:rsidRPr="009F7209">
              <w:t>…*%</w:t>
            </w:r>
          </w:p>
        </w:tc>
        <w:tc>
          <w:tcPr>
            <w:tcW w:w="1040" w:type="dxa"/>
            <w:noWrap/>
            <w:hideMark/>
          </w:tcPr>
          <w:p w14:paraId="0FB9B7B9" w14:textId="46CDAA10" w:rsidR="007F7A07" w:rsidRPr="006E317E" w:rsidRDefault="007F7A07" w:rsidP="007F7A07">
            <w:pPr>
              <w:jc w:val="center"/>
            </w:pPr>
            <w:r w:rsidRPr="009F7209">
              <w:t>…*%</w:t>
            </w:r>
          </w:p>
        </w:tc>
        <w:tc>
          <w:tcPr>
            <w:tcW w:w="993" w:type="dxa"/>
            <w:noWrap/>
            <w:hideMark/>
          </w:tcPr>
          <w:p w14:paraId="62C9E416" w14:textId="16F201B5" w:rsidR="007F7A07" w:rsidRPr="006E317E" w:rsidRDefault="007F7A07" w:rsidP="007F7A07">
            <w:pPr>
              <w:jc w:val="center"/>
            </w:pPr>
            <w:r w:rsidRPr="009F7209">
              <w:t>…*%</w:t>
            </w:r>
          </w:p>
        </w:tc>
        <w:tc>
          <w:tcPr>
            <w:tcW w:w="992" w:type="dxa"/>
            <w:noWrap/>
            <w:hideMark/>
          </w:tcPr>
          <w:p w14:paraId="763FFC73" w14:textId="5A1E0EA3" w:rsidR="007F7A07" w:rsidRPr="006E317E" w:rsidRDefault="007F7A07" w:rsidP="007F7A07">
            <w:pPr>
              <w:jc w:val="center"/>
            </w:pPr>
            <w:r w:rsidRPr="009F7209">
              <w:t>…*%</w:t>
            </w:r>
          </w:p>
        </w:tc>
      </w:tr>
      <w:tr w:rsidR="00EC24B2" w:rsidRPr="006E317E" w14:paraId="6D46461E" w14:textId="77777777" w:rsidTr="00FD58A8">
        <w:trPr>
          <w:trHeight w:val="300"/>
        </w:trPr>
        <w:tc>
          <w:tcPr>
            <w:tcW w:w="1980" w:type="dxa"/>
            <w:noWrap/>
            <w:hideMark/>
          </w:tcPr>
          <w:p w14:paraId="0C0D705D" w14:textId="77777777" w:rsidR="00EC24B2" w:rsidRPr="006E317E" w:rsidRDefault="00EC24B2" w:rsidP="00AA241E">
            <w:pPr>
              <w:jc w:val="both"/>
            </w:pPr>
            <w:r w:rsidRPr="006E317E">
              <w:t>Kokku</w:t>
            </w:r>
          </w:p>
        </w:tc>
        <w:tc>
          <w:tcPr>
            <w:tcW w:w="1011" w:type="dxa"/>
            <w:noWrap/>
            <w:hideMark/>
          </w:tcPr>
          <w:p w14:paraId="7A9C5BB9" w14:textId="77777777" w:rsidR="00EC24B2" w:rsidRPr="006E317E" w:rsidRDefault="00EC24B2" w:rsidP="00403A74">
            <w:pPr>
              <w:jc w:val="center"/>
            </w:pPr>
            <w:r w:rsidRPr="006E317E">
              <w:t>100%</w:t>
            </w:r>
          </w:p>
        </w:tc>
        <w:tc>
          <w:tcPr>
            <w:tcW w:w="1115" w:type="dxa"/>
            <w:noWrap/>
            <w:hideMark/>
          </w:tcPr>
          <w:p w14:paraId="5B77D466" w14:textId="77777777" w:rsidR="00EC24B2" w:rsidRPr="006E317E" w:rsidRDefault="00EC24B2" w:rsidP="00403A74">
            <w:pPr>
              <w:jc w:val="center"/>
            </w:pPr>
            <w:r w:rsidRPr="006E317E">
              <w:t>100%</w:t>
            </w:r>
          </w:p>
        </w:tc>
        <w:tc>
          <w:tcPr>
            <w:tcW w:w="1134" w:type="dxa"/>
            <w:noWrap/>
            <w:hideMark/>
          </w:tcPr>
          <w:p w14:paraId="1F1C2134" w14:textId="77777777" w:rsidR="00EC24B2" w:rsidRPr="006E317E" w:rsidRDefault="00EC24B2" w:rsidP="00403A74">
            <w:pPr>
              <w:jc w:val="center"/>
            </w:pPr>
            <w:r w:rsidRPr="006E317E">
              <w:t>100%</w:t>
            </w:r>
          </w:p>
        </w:tc>
        <w:tc>
          <w:tcPr>
            <w:tcW w:w="1086" w:type="dxa"/>
            <w:noWrap/>
            <w:hideMark/>
          </w:tcPr>
          <w:p w14:paraId="15327AB2" w14:textId="77777777" w:rsidR="00EC24B2" w:rsidRPr="006E317E" w:rsidRDefault="00EC24B2" w:rsidP="00403A74">
            <w:pPr>
              <w:jc w:val="center"/>
            </w:pPr>
            <w:r w:rsidRPr="006E317E">
              <w:t>100%</w:t>
            </w:r>
          </w:p>
        </w:tc>
        <w:tc>
          <w:tcPr>
            <w:tcW w:w="1040" w:type="dxa"/>
            <w:noWrap/>
            <w:hideMark/>
          </w:tcPr>
          <w:p w14:paraId="4C99B7FC" w14:textId="77777777" w:rsidR="00EC24B2" w:rsidRPr="006E317E" w:rsidRDefault="00EC24B2" w:rsidP="00403A74">
            <w:pPr>
              <w:jc w:val="center"/>
            </w:pPr>
            <w:r w:rsidRPr="006E317E">
              <w:t>100%</w:t>
            </w:r>
          </w:p>
        </w:tc>
        <w:tc>
          <w:tcPr>
            <w:tcW w:w="993" w:type="dxa"/>
            <w:noWrap/>
            <w:hideMark/>
          </w:tcPr>
          <w:p w14:paraId="403416AA" w14:textId="77777777" w:rsidR="00EC24B2" w:rsidRPr="006E317E" w:rsidRDefault="00EC24B2" w:rsidP="00403A74">
            <w:pPr>
              <w:jc w:val="center"/>
            </w:pPr>
            <w:r w:rsidRPr="006E317E">
              <w:t>100%</w:t>
            </w:r>
          </w:p>
        </w:tc>
        <w:tc>
          <w:tcPr>
            <w:tcW w:w="992" w:type="dxa"/>
            <w:noWrap/>
            <w:hideMark/>
          </w:tcPr>
          <w:p w14:paraId="2956429D" w14:textId="77777777" w:rsidR="00EC24B2" w:rsidRPr="006E317E" w:rsidRDefault="00EC24B2" w:rsidP="00403A74">
            <w:pPr>
              <w:jc w:val="center"/>
            </w:pPr>
            <w:r w:rsidRPr="006E317E">
              <w:t>100%</w:t>
            </w:r>
          </w:p>
        </w:tc>
      </w:tr>
    </w:tbl>
    <w:p w14:paraId="3BFCD8DF" w14:textId="4C4CC1A4" w:rsidR="00EC24B2" w:rsidRPr="006E317E" w:rsidRDefault="00EC45E8" w:rsidP="00D86E38">
      <w:pPr>
        <w:pStyle w:val="Pealdis"/>
        <w:spacing w:after="240"/>
        <w:jc w:val="both"/>
      </w:pPr>
      <w:r>
        <w:t xml:space="preserve">Tabel </w:t>
      </w:r>
      <w:r>
        <w:fldChar w:fldCharType="begin"/>
      </w:r>
      <w:r>
        <w:instrText xml:space="preserve"> SEQ Tabel \* ARABIC </w:instrText>
      </w:r>
      <w:r>
        <w:fldChar w:fldCharType="separate"/>
      </w:r>
      <w:r w:rsidR="00247D84">
        <w:rPr>
          <w:noProof/>
        </w:rPr>
        <w:t>26</w:t>
      </w:r>
      <w:r>
        <w:fldChar w:fldCharType="end"/>
      </w:r>
      <w:r>
        <w:t xml:space="preserve"> </w:t>
      </w:r>
      <w:r w:rsidR="00EC24B2" w:rsidRPr="006E317E">
        <w:t xml:space="preserve">B piirkonnas tegutsevate side ettevõtjate </w:t>
      </w:r>
      <w:r w:rsidR="00FE198E" w:rsidRPr="006E317E">
        <w:t xml:space="preserve">turuosade </w:t>
      </w:r>
      <w:r w:rsidR="00EC24B2" w:rsidRPr="006E317E">
        <w:t xml:space="preserve">dünaamika </w:t>
      </w:r>
      <w:r w:rsidR="00A3232C">
        <w:t>valguskaabelvõrgu</w:t>
      </w:r>
      <w:r w:rsidR="00FE198E" w:rsidRPr="006E317E">
        <w:t xml:space="preserve"> jaetasandi internetiühenduste tootetur</w:t>
      </w:r>
      <w:r w:rsidR="00FE198E">
        <w:t>ul</w:t>
      </w:r>
    </w:p>
    <w:p w14:paraId="449C19AE" w14:textId="61B217D0" w:rsidR="00EC24B2" w:rsidRPr="006E317E" w:rsidRDefault="00EC24B2" w:rsidP="00AA241E">
      <w:pPr>
        <w:jc w:val="both"/>
      </w:pPr>
      <w:r w:rsidRPr="006E317E">
        <w:t xml:space="preserve">Võttes arvesse, et </w:t>
      </w:r>
      <w:r w:rsidR="00606629">
        <w:t>hulgi</w:t>
      </w:r>
      <w:r w:rsidRPr="006E317E">
        <w:t xml:space="preserve">turu 1 teenuste osutamine jaeteenuse osutajate poolt võrgus toimub väikestes mahtudes ja hulgiteenuse osutajate poolt müüdud </w:t>
      </w:r>
      <w:r w:rsidR="0007135D">
        <w:t>kliendiliin</w:t>
      </w:r>
      <w:r w:rsidRPr="006E317E">
        <w:t>id kajastuvad jaeteenuse osutajate tarbijate mahus, põhine</w:t>
      </w:r>
      <w:r w:rsidR="00C41619">
        <w:t>vad</w:t>
      </w:r>
      <w:r w:rsidRPr="006E317E">
        <w:t xml:space="preserve"> arvutatud turuosad peamiselt Eesti jaeteenuse osutajate infrastruktuurikonkurentsil. </w:t>
      </w:r>
    </w:p>
    <w:p w14:paraId="33920041" w14:textId="5A14FF2F" w:rsidR="00EC24B2" w:rsidRPr="006E317E" w:rsidRDefault="00EC24B2" w:rsidP="00AA241E">
      <w:pPr>
        <w:jc w:val="both"/>
      </w:pPr>
      <w:r w:rsidRPr="006E317E">
        <w:t xml:space="preserve">Telia turuosa A piirkonna, kümnes linnalises piirkonnas, </w:t>
      </w:r>
      <w:r w:rsidR="00A3232C">
        <w:t>valguskaabelvõrgu</w:t>
      </w:r>
      <w:r w:rsidR="00FE198E" w:rsidRPr="006E317E">
        <w:t xml:space="preserve"> jaetasandi internetiühenduste tootetur</w:t>
      </w:r>
      <w:r w:rsidR="00FE198E">
        <w:t xml:space="preserve">ul </w:t>
      </w:r>
      <w:r w:rsidRPr="006E317E">
        <w:t xml:space="preserve">on </w:t>
      </w:r>
      <w:r w:rsidR="00C22B37" w:rsidRPr="00F70176">
        <w:t>…*</w:t>
      </w:r>
      <w:r w:rsidRPr="006E317E">
        <w:t xml:space="preserve"> kuue aastaga </w:t>
      </w:r>
      <w:r w:rsidR="00C22B37" w:rsidRPr="00F70176">
        <w:t>…*</w:t>
      </w:r>
      <w:r w:rsidRPr="006E317E">
        <w:t xml:space="preserve">%, suurima konkurendi STV turuosa on samuti vähenenud samal ajaperioodi jooksul </w:t>
      </w:r>
      <w:r w:rsidR="007F7A07" w:rsidRPr="00F70176">
        <w:t>…*</w:t>
      </w:r>
      <w:r w:rsidRPr="006E317E">
        <w:t xml:space="preserve">% kuid Telia suurima jaeteenuse turu konkurendi Elisa turuosad on suurenenud vaadeldava perioodi jooksul ca </w:t>
      </w:r>
      <w:r w:rsidR="007F7A07" w:rsidRPr="00F70176">
        <w:t>…*</w:t>
      </w:r>
      <w:r w:rsidRPr="006E317E">
        <w:t xml:space="preserve">%. TTJA järeldab, et Telia turuosad, mis oli 1. jaanuaril 2023 </w:t>
      </w:r>
      <w:r w:rsidR="00C22B37" w:rsidRPr="00F70176">
        <w:t>…*</w:t>
      </w:r>
      <w:r w:rsidRPr="006E317E">
        <w:t>%, viitab sellel</w:t>
      </w:r>
      <w:r w:rsidR="00543005">
        <w:t>e</w:t>
      </w:r>
      <w:r w:rsidRPr="006E317E">
        <w:t xml:space="preserve"> et Telia ei oma enam turgu valitsevat seisundit vaadeldaval </w:t>
      </w:r>
      <w:r w:rsidR="00543005">
        <w:t>jae</w:t>
      </w:r>
      <w:r w:rsidRPr="006E317E">
        <w:t xml:space="preserve">turul. STV ja Elisa turuosad ei ole samuti tasemel, mis viitaks nende turgu valitsevale seisundile. Eelkõige osutavad analüüsitud turuosad tõhusale konkurentsile A piirkonnas </w:t>
      </w:r>
      <w:r w:rsidR="00A3232C">
        <w:t>valguskaabelvõrgu</w:t>
      </w:r>
      <w:r w:rsidR="00FE198E" w:rsidRPr="006E317E">
        <w:t xml:space="preserve"> jaetasandi internetiühenduste tootetur</w:t>
      </w:r>
      <w:r w:rsidR="00FE198E">
        <w:t>ul</w:t>
      </w:r>
      <w:r w:rsidRPr="006E317E">
        <w:t>.</w:t>
      </w:r>
    </w:p>
    <w:p w14:paraId="03208181" w14:textId="3B88ACD2" w:rsidR="00EC24B2" w:rsidRPr="006E317E" w:rsidRDefault="00EC24B2" w:rsidP="00AA241E">
      <w:pPr>
        <w:jc w:val="both"/>
      </w:pPr>
      <w:r w:rsidRPr="006E317E">
        <w:t xml:space="preserve">Mis puutub Telia turuosadesse </w:t>
      </w:r>
      <w:r w:rsidR="00A3232C">
        <w:t>valguskaabelvõrgu</w:t>
      </w:r>
      <w:r w:rsidR="00FE198E" w:rsidRPr="006E317E">
        <w:t xml:space="preserve"> jaetasandi internetiühenduste tootetur</w:t>
      </w:r>
      <w:r w:rsidR="00FE198E">
        <w:t xml:space="preserve">ul </w:t>
      </w:r>
      <w:r w:rsidRPr="006E317E">
        <w:t>B piirkonnas, kolmekümne kolmes linnalises ja 15 maa piirkonnas, siis need on vaadeldaval perioodi kahe</w:t>
      </w:r>
      <w:r w:rsidR="00543005">
        <w:t>l</w:t>
      </w:r>
      <w:r w:rsidRPr="006E317E">
        <w:t xml:space="preserve"> esimesel aastal kasvanud ja neljal järgmisel aastal langenud, ilma et Telia turuosa oleks märgatavalt vähenenud. TTJA järeldab, et Telia turuosad, mis 1. jaanuaril 2023 oli</w:t>
      </w:r>
      <w:r w:rsidR="00543005">
        <w:t>d</w:t>
      </w:r>
      <w:r w:rsidRPr="006E317E">
        <w:t xml:space="preserve"> </w:t>
      </w:r>
      <w:r w:rsidR="00C22B37" w:rsidRPr="00F70176">
        <w:t>…*</w:t>
      </w:r>
      <w:r w:rsidRPr="006E317E">
        <w:t xml:space="preserve">%, on suur ja näitavad Telia turgu valitsevat seisundit vaadeldavas piirkonnas. Eelkõige ei viita analüüsitud turuosad tõhusale konkurentsile </w:t>
      </w:r>
      <w:r w:rsidR="00A3232C">
        <w:t>valguskaabelvõrgu</w:t>
      </w:r>
      <w:r w:rsidR="00FE198E" w:rsidRPr="006E317E">
        <w:t xml:space="preserve"> jaetasandi internetiühenduste tootetur</w:t>
      </w:r>
      <w:r w:rsidR="00FE198E">
        <w:t xml:space="preserve">ul </w:t>
      </w:r>
      <w:r w:rsidRPr="006E317E">
        <w:t>B piirkonnas. Suuruselt teise konkurendil Elias turuosad on omakorda kasvanud ja suurusel kolmanda ettevõtja STV turuosa on minimaalset vähenenud, kuid need ei ole tasemel, mis näitaks Telia turul domineerimise vähenemist.</w:t>
      </w:r>
    </w:p>
    <w:p w14:paraId="1114D4B5" w14:textId="77777777" w:rsidR="00EC24B2" w:rsidRPr="006E317E" w:rsidRDefault="00EC24B2" w:rsidP="00AA241E">
      <w:pPr>
        <w:jc w:val="both"/>
      </w:pPr>
      <w:r w:rsidRPr="006E317E">
        <w:t>Eespool öeldut silmas pidades järeldab TTJA, et:</w:t>
      </w:r>
    </w:p>
    <w:p w14:paraId="3A216DC2" w14:textId="30F176E7" w:rsidR="00543005" w:rsidRDefault="00EC24B2" w:rsidP="00AA241E">
      <w:pPr>
        <w:pStyle w:val="Loendilik"/>
        <w:numPr>
          <w:ilvl w:val="0"/>
          <w:numId w:val="97"/>
        </w:numPr>
        <w:jc w:val="both"/>
      </w:pPr>
      <w:r w:rsidRPr="006E317E">
        <w:t xml:space="preserve">turuosade üldine struktuur ei viita sellele, et A piirkonnas </w:t>
      </w:r>
      <w:r w:rsidR="00A3232C">
        <w:t>valguskaabelvõrgu</w:t>
      </w:r>
      <w:r w:rsidR="00FE198E" w:rsidRPr="006E317E">
        <w:t xml:space="preserve"> jaetasandi internetiühenduste tootetur</w:t>
      </w:r>
      <w:r w:rsidR="00FE198E">
        <w:t xml:space="preserve">ul </w:t>
      </w:r>
      <w:r w:rsidRPr="006E317E">
        <w:t>on ettevõtja, kelle majanduslik tugevus on samaväärne turgu valitseva seisundiga.</w:t>
      </w:r>
    </w:p>
    <w:p w14:paraId="6730E8FD" w14:textId="3EFFF09A" w:rsidR="00EC24B2" w:rsidRDefault="00EC24B2" w:rsidP="00AA241E">
      <w:pPr>
        <w:pStyle w:val="Loendilik"/>
        <w:numPr>
          <w:ilvl w:val="0"/>
          <w:numId w:val="97"/>
        </w:numPr>
        <w:jc w:val="both"/>
      </w:pPr>
      <w:r w:rsidRPr="006E317E">
        <w:lastRenderedPageBreak/>
        <w:t xml:space="preserve"> Turuosad viitavad tõhusale konkurentsile A piirkonnas </w:t>
      </w:r>
      <w:r w:rsidR="00A3232C">
        <w:t>valguskaabelvõrgu</w:t>
      </w:r>
      <w:r w:rsidR="00FE198E" w:rsidRPr="006E317E">
        <w:t xml:space="preserve"> jaetasandi internetiühenduste tootetur</w:t>
      </w:r>
      <w:r w:rsidR="00FE198E">
        <w:t>ul</w:t>
      </w:r>
      <w:r w:rsidRPr="006E317E">
        <w:t>;</w:t>
      </w:r>
    </w:p>
    <w:p w14:paraId="5A671C75" w14:textId="48023442" w:rsidR="00EC24B2" w:rsidRPr="006E317E" w:rsidRDefault="00EC24B2" w:rsidP="00A43E3F">
      <w:pPr>
        <w:pStyle w:val="Loendilik"/>
        <w:numPr>
          <w:ilvl w:val="0"/>
          <w:numId w:val="97"/>
        </w:numPr>
        <w:spacing w:after="120"/>
        <w:ind w:left="714" w:hanging="357"/>
        <w:jc w:val="both"/>
      </w:pPr>
      <w:r w:rsidRPr="006E317E">
        <w:t xml:space="preserve">B piirkonnas toimuva </w:t>
      </w:r>
      <w:r w:rsidR="00A3232C">
        <w:t>valguskaabelvõrgu</w:t>
      </w:r>
      <w:r w:rsidR="00FE198E" w:rsidRPr="006E317E">
        <w:t xml:space="preserve"> jaetasandi internetiühenduste tootetur</w:t>
      </w:r>
      <w:r w:rsidR="00FE198E">
        <w:t xml:space="preserve">u </w:t>
      </w:r>
      <w:r w:rsidRPr="006E317E">
        <w:t>turuosade üldine struktuur ei viita sealsele tõhusale konkurentsile, vaid näitab pigem Telia turgu valitseva seisundit.</w:t>
      </w:r>
    </w:p>
    <w:p w14:paraId="40BB9995" w14:textId="30A202F8" w:rsidR="00EC24B2" w:rsidRPr="006E317E" w:rsidRDefault="00EC24B2" w:rsidP="00A43E3F">
      <w:pPr>
        <w:spacing w:after="120"/>
        <w:jc w:val="both"/>
      </w:pPr>
      <w:r w:rsidRPr="0055667E">
        <w:t>Lisaks turuosadele analüüsib TTJA täiendavalt ka muid kriteeriume, st t</w:t>
      </w:r>
      <w:r w:rsidR="00543005" w:rsidRPr="0055667E">
        <w:t xml:space="preserve">õkkeid </w:t>
      </w:r>
      <w:r w:rsidRPr="0055667E">
        <w:t xml:space="preserve">turule sisenemisel või elektroonilise side võrgu </w:t>
      </w:r>
      <w:r w:rsidR="00543005" w:rsidRPr="0055667E">
        <w:t>katvuse</w:t>
      </w:r>
      <w:r w:rsidRPr="0055667E">
        <w:t xml:space="preserve"> laiendamist, kontrolli olulise </w:t>
      </w:r>
      <w:r w:rsidR="00543005" w:rsidRPr="0055667E">
        <w:t xml:space="preserve">raskesti dubleeritava </w:t>
      </w:r>
      <w:r w:rsidRPr="0055667E">
        <w:t xml:space="preserve">infrastruktuuri üle ja tehnoloogilisi eeliseid või paremust, ebapiisavat kompenseerivat </w:t>
      </w:r>
      <w:r w:rsidR="00EE71F9">
        <w:t>ostjaj</w:t>
      </w:r>
      <w:r w:rsidRPr="0055667E">
        <w:t>õudu või selle puudumist, pakett teenuste osutamist, mastaabi- ja mitmekülgsussäästust tulenevaid eeliseid ning eelisjuurdepääsu rahalistele vahenditele.</w:t>
      </w:r>
    </w:p>
    <w:p w14:paraId="2A185392" w14:textId="669FC37F" w:rsidR="00EC24B2" w:rsidRPr="006E317E" w:rsidRDefault="00543005" w:rsidP="00A43E3F">
      <w:pPr>
        <w:pStyle w:val="Heading49"/>
        <w:numPr>
          <w:ilvl w:val="3"/>
          <w:numId w:val="65"/>
        </w:numPr>
        <w:ind w:left="862" w:hanging="862"/>
      </w:pPr>
      <w:r>
        <w:t>Tõkked</w:t>
      </w:r>
      <w:r w:rsidRPr="006E317E">
        <w:t xml:space="preserve"> turule </w:t>
      </w:r>
      <w:r w:rsidR="00EC24B2" w:rsidRPr="006E317E">
        <w:t>sisenemise</w:t>
      </w:r>
      <w:r>
        <w:t xml:space="preserve">l </w:t>
      </w:r>
      <w:r w:rsidR="00EC24B2" w:rsidRPr="006E317E">
        <w:t xml:space="preserve">või elektroonilise side võrgu </w:t>
      </w:r>
      <w:r>
        <w:t>katvuse</w:t>
      </w:r>
      <w:r w:rsidR="00EC24B2" w:rsidRPr="006E317E">
        <w:t xml:space="preserve"> laiendamisel</w:t>
      </w:r>
    </w:p>
    <w:p w14:paraId="024AC1D0" w14:textId="3637354B" w:rsidR="00EC24B2" w:rsidRPr="006E317E" w:rsidRDefault="00543005" w:rsidP="00A43E3F">
      <w:pPr>
        <w:spacing w:after="120"/>
        <w:jc w:val="both"/>
      </w:pPr>
      <w:r w:rsidRPr="00543005">
        <w:t>Tõkked turule sisenemisel või elektroonilise side võrgu katvuse laiendamisel</w:t>
      </w:r>
      <w:r>
        <w:t xml:space="preserve"> </w:t>
      </w:r>
      <w:r w:rsidR="00EC24B2" w:rsidRPr="002E251B">
        <w:t xml:space="preserve">ja nende omadused on esitatud punktis </w:t>
      </w:r>
      <w:r w:rsidR="00D86E38" w:rsidRPr="002E251B">
        <w:t>5</w:t>
      </w:r>
      <w:r w:rsidR="00EC24B2" w:rsidRPr="002E251B">
        <w:t>.1.1.2.</w:t>
      </w:r>
    </w:p>
    <w:p w14:paraId="08F9FDC4" w14:textId="4B59010B" w:rsidR="00EC24B2" w:rsidRPr="006E317E" w:rsidRDefault="00EC24B2" w:rsidP="00A43E3F">
      <w:pPr>
        <w:spacing w:after="120"/>
        <w:jc w:val="both"/>
      </w:pPr>
      <w:r w:rsidRPr="006E317E">
        <w:t>Elektroonilise side turu avanemisel 2000</w:t>
      </w:r>
      <w:r w:rsidR="00543005">
        <w:t>.</w:t>
      </w:r>
      <w:r w:rsidRPr="006E317E">
        <w:t xml:space="preserve"> aastal oli Eestis kogu riigis ainult üks terviklik infrastruktuur (Telia), siis olid turule tuleku tõkked suured. Aja jooksul sisenesid paljud fikseeritud </w:t>
      </w:r>
      <w:r w:rsidR="00543005" w:rsidRPr="006E317E">
        <w:t>interneti</w:t>
      </w:r>
      <w:r w:rsidR="00543005">
        <w:t xml:space="preserve"> </w:t>
      </w:r>
      <w:r w:rsidRPr="006E317E">
        <w:t xml:space="preserve">teenusepakkujad elektroonilise side turule, ehitades oma </w:t>
      </w:r>
      <w:r w:rsidR="00A3232C">
        <w:t>valguskaabelvõrgu</w:t>
      </w:r>
      <w:r w:rsidRPr="006E317E">
        <w:t>d ja luues Teliale teatud konkurentsisurve</w:t>
      </w:r>
      <w:r w:rsidR="00543005">
        <w:t>t</w:t>
      </w:r>
      <w:r w:rsidRPr="006E317E">
        <w:t>, eriti suurema rahvastikutihedusega piirkondades. Mõned teenuseosutajad riputasid kulude kokkuhoiu eesmärgil enamasti kaablid üle tänavate ja hoonete vahele ning kinnitasid need hoonete fassaadidele. Mõnel juhul ehitasid nad oma kaabelkanalisatsioon</w:t>
      </w:r>
      <w:r w:rsidR="00543005">
        <w:t>i</w:t>
      </w:r>
      <w:r w:rsidRPr="006E317E">
        <w:t xml:space="preserve"> ning kasutasid teiste teenuseosutajate juurdepääsu kaablikanalitele.</w:t>
      </w:r>
    </w:p>
    <w:p w14:paraId="7988FA54" w14:textId="3E221C0C" w:rsidR="00EC24B2" w:rsidRPr="006E317E" w:rsidRDefault="00EC24B2" w:rsidP="00A43E3F">
      <w:pPr>
        <w:spacing w:after="120"/>
        <w:jc w:val="both"/>
      </w:pPr>
      <w:r w:rsidRPr="006E317E">
        <w:t>Elektroonilise sidevõrgu ehitamisel sõltub kulu lõppkasutaja kohta rahvastikutihedusest. Mida suurem on rahvastikutihedus, seda rohkemate leibkondadeni on võimalik jõuda. Tallinna ja Ida-Virumaa linnad e A piirkon</w:t>
      </w:r>
      <w:r w:rsidR="00543005">
        <w:t>d</w:t>
      </w:r>
      <w:r w:rsidRPr="006E317E">
        <w:t xml:space="preserve"> on kõige tihedamini asustatud piirkond kogu riigis. Seega olid ka oma elektrooniliste sidevõrkude ehitamise kulud A piirkonnas madalamad kui B piirkonnas. A piirkonna linnalistes üksustes on piirkonnad, kus FTTH ja FTTB võrke omavate ettevõtjate võrgu katvus vähemalt kahe operaatori poolt on rohkem (50%)</w:t>
      </w:r>
      <w:r w:rsidR="00543005">
        <w:t>, samas</w:t>
      </w:r>
      <w:r w:rsidRPr="006E317E">
        <w:t xml:space="preserve"> kui kogu Eesti territooriumil on see ainult üksikutes linnades tagatud ühe operaatori pool (</w:t>
      </w:r>
      <w:r w:rsidR="00346D5D">
        <w:t>vt</w:t>
      </w:r>
      <w:r w:rsidRPr="006E317E">
        <w:t xml:space="preserve"> tabel </w:t>
      </w:r>
      <w:r w:rsidR="00543005">
        <w:t>2</w:t>
      </w:r>
      <w:r w:rsidR="00346D5D">
        <w:t>7</w:t>
      </w:r>
      <w:r w:rsidRPr="006E317E">
        <w:t xml:space="preserve">). </w:t>
      </w:r>
    </w:p>
    <w:tbl>
      <w:tblPr>
        <w:tblStyle w:val="Kontuurtabel1"/>
        <w:tblW w:w="9126" w:type="dxa"/>
        <w:tblLook w:val="04A0" w:firstRow="1" w:lastRow="0" w:firstColumn="1" w:lastColumn="0" w:noHBand="0" w:noVBand="1"/>
      </w:tblPr>
      <w:tblGrid>
        <w:gridCol w:w="2553"/>
        <w:gridCol w:w="917"/>
        <w:gridCol w:w="834"/>
        <w:gridCol w:w="744"/>
        <w:gridCol w:w="684"/>
        <w:gridCol w:w="757"/>
        <w:gridCol w:w="1043"/>
        <w:gridCol w:w="832"/>
        <w:gridCol w:w="762"/>
      </w:tblGrid>
      <w:tr w:rsidR="005C5C85" w:rsidRPr="006E317E" w14:paraId="1AB8B759" w14:textId="77777777" w:rsidTr="00FE198E">
        <w:trPr>
          <w:trHeight w:val="275"/>
        </w:trPr>
        <w:tc>
          <w:tcPr>
            <w:tcW w:w="2553" w:type="dxa"/>
            <w:shd w:val="clear" w:color="auto" w:fill="92D050"/>
            <w:noWrap/>
            <w:hideMark/>
          </w:tcPr>
          <w:p w14:paraId="538248D1" w14:textId="25298D4F" w:rsidR="005C5C85" w:rsidRPr="009A2FF7" w:rsidRDefault="005C5C85" w:rsidP="00AA241E">
            <w:pPr>
              <w:jc w:val="both"/>
              <w:rPr>
                <w:b/>
                <w:bCs/>
                <w:sz w:val="20"/>
                <w:szCs w:val="20"/>
              </w:rPr>
            </w:pPr>
            <w:r w:rsidRPr="009A2FF7">
              <w:rPr>
                <w:b/>
                <w:bCs/>
                <w:sz w:val="20"/>
                <w:szCs w:val="20"/>
              </w:rPr>
              <w:t> Piirkond</w:t>
            </w:r>
          </w:p>
        </w:tc>
        <w:tc>
          <w:tcPr>
            <w:tcW w:w="917" w:type="dxa"/>
            <w:shd w:val="clear" w:color="auto" w:fill="92D050"/>
            <w:noWrap/>
            <w:hideMark/>
          </w:tcPr>
          <w:p w14:paraId="48306D77" w14:textId="28A4DF51" w:rsidR="005C5C85" w:rsidRPr="009A2FF7" w:rsidRDefault="005C5C85" w:rsidP="00AA241E">
            <w:pPr>
              <w:jc w:val="both"/>
              <w:rPr>
                <w:b/>
                <w:bCs/>
                <w:sz w:val="20"/>
                <w:szCs w:val="20"/>
              </w:rPr>
            </w:pPr>
            <w:r w:rsidRPr="009A2FF7">
              <w:rPr>
                <w:b/>
                <w:bCs/>
                <w:sz w:val="20"/>
                <w:szCs w:val="20"/>
              </w:rPr>
              <w:t>Ruume</w:t>
            </w:r>
          </w:p>
        </w:tc>
        <w:tc>
          <w:tcPr>
            <w:tcW w:w="834" w:type="dxa"/>
            <w:shd w:val="clear" w:color="auto" w:fill="92D050"/>
            <w:noWrap/>
            <w:hideMark/>
          </w:tcPr>
          <w:p w14:paraId="04E44B85" w14:textId="77777777" w:rsidR="005C5C85" w:rsidRPr="009A2FF7" w:rsidRDefault="005C5C85" w:rsidP="00AA241E">
            <w:pPr>
              <w:jc w:val="both"/>
              <w:rPr>
                <w:b/>
                <w:bCs/>
                <w:sz w:val="20"/>
                <w:szCs w:val="20"/>
              </w:rPr>
            </w:pPr>
            <w:r w:rsidRPr="009A2FF7">
              <w:rPr>
                <w:b/>
                <w:bCs/>
                <w:sz w:val="20"/>
                <w:szCs w:val="20"/>
              </w:rPr>
              <w:t>Telia</w:t>
            </w:r>
          </w:p>
        </w:tc>
        <w:tc>
          <w:tcPr>
            <w:tcW w:w="744" w:type="dxa"/>
            <w:shd w:val="clear" w:color="auto" w:fill="92D050"/>
            <w:noWrap/>
            <w:hideMark/>
          </w:tcPr>
          <w:p w14:paraId="4531E643" w14:textId="77777777" w:rsidR="005C5C85" w:rsidRPr="009A2FF7" w:rsidRDefault="005C5C85" w:rsidP="00AA241E">
            <w:pPr>
              <w:jc w:val="both"/>
              <w:rPr>
                <w:b/>
                <w:bCs/>
                <w:sz w:val="20"/>
                <w:szCs w:val="20"/>
              </w:rPr>
            </w:pPr>
            <w:r w:rsidRPr="009A2FF7">
              <w:rPr>
                <w:b/>
                <w:bCs/>
                <w:sz w:val="20"/>
                <w:szCs w:val="20"/>
              </w:rPr>
              <w:t>Elisa</w:t>
            </w:r>
          </w:p>
        </w:tc>
        <w:tc>
          <w:tcPr>
            <w:tcW w:w="684" w:type="dxa"/>
            <w:shd w:val="clear" w:color="auto" w:fill="92D050"/>
            <w:noWrap/>
            <w:hideMark/>
          </w:tcPr>
          <w:p w14:paraId="265B73FB" w14:textId="77777777" w:rsidR="005C5C85" w:rsidRPr="009A2FF7" w:rsidRDefault="005C5C85" w:rsidP="00AA241E">
            <w:pPr>
              <w:jc w:val="both"/>
              <w:rPr>
                <w:b/>
                <w:bCs/>
                <w:sz w:val="20"/>
                <w:szCs w:val="20"/>
              </w:rPr>
            </w:pPr>
            <w:r w:rsidRPr="009A2FF7">
              <w:rPr>
                <w:b/>
                <w:bCs/>
                <w:sz w:val="20"/>
                <w:szCs w:val="20"/>
              </w:rPr>
              <w:t>STV</w:t>
            </w:r>
          </w:p>
        </w:tc>
        <w:tc>
          <w:tcPr>
            <w:tcW w:w="757" w:type="dxa"/>
            <w:shd w:val="clear" w:color="auto" w:fill="92D050"/>
            <w:noWrap/>
            <w:hideMark/>
          </w:tcPr>
          <w:p w14:paraId="1D7D1D48" w14:textId="77777777" w:rsidR="005C5C85" w:rsidRPr="009A2FF7" w:rsidRDefault="005C5C85" w:rsidP="00AA241E">
            <w:pPr>
              <w:jc w:val="both"/>
              <w:rPr>
                <w:b/>
                <w:bCs/>
                <w:sz w:val="20"/>
                <w:szCs w:val="20"/>
              </w:rPr>
            </w:pPr>
            <w:r w:rsidRPr="009A2FF7">
              <w:rPr>
                <w:b/>
                <w:bCs/>
                <w:sz w:val="20"/>
                <w:szCs w:val="20"/>
              </w:rPr>
              <w:t>Telset</w:t>
            </w:r>
          </w:p>
        </w:tc>
        <w:tc>
          <w:tcPr>
            <w:tcW w:w="1043" w:type="dxa"/>
            <w:shd w:val="clear" w:color="auto" w:fill="92D050"/>
            <w:noWrap/>
            <w:hideMark/>
          </w:tcPr>
          <w:p w14:paraId="63D9165D" w14:textId="536B52BE" w:rsidR="005C5C85" w:rsidRPr="009A2FF7" w:rsidRDefault="005C5C85" w:rsidP="00AA241E">
            <w:pPr>
              <w:jc w:val="both"/>
              <w:rPr>
                <w:b/>
                <w:bCs/>
                <w:sz w:val="20"/>
                <w:szCs w:val="20"/>
              </w:rPr>
            </w:pPr>
            <w:proofErr w:type="spellStart"/>
            <w:r w:rsidRPr="009A2FF7">
              <w:rPr>
                <w:b/>
                <w:bCs/>
                <w:sz w:val="20"/>
                <w:szCs w:val="20"/>
              </w:rPr>
              <w:t>UusProg</w:t>
            </w:r>
            <w:proofErr w:type="spellEnd"/>
          </w:p>
        </w:tc>
        <w:tc>
          <w:tcPr>
            <w:tcW w:w="832" w:type="dxa"/>
            <w:shd w:val="clear" w:color="auto" w:fill="92D050"/>
            <w:noWrap/>
            <w:hideMark/>
          </w:tcPr>
          <w:p w14:paraId="1A3BEB5E" w14:textId="77777777" w:rsidR="005C5C85" w:rsidRPr="009A2FF7" w:rsidRDefault="005C5C85" w:rsidP="00AA241E">
            <w:pPr>
              <w:jc w:val="both"/>
              <w:rPr>
                <w:b/>
                <w:bCs/>
                <w:sz w:val="20"/>
                <w:szCs w:val="20"/>
              </w:rPr>
            </w:pPr>
            <w:r w:rsidRPr="009A2FF7">
              <w:rPr>
                <w:b/>
                <w:bCs/>
                <w:sz w:val="20"/>
                <w:szCs w:val="20"/>
              </w:rPr>
              <w:t>FillNet</w:t>
            </w:r>
          </w:p>
        </w:tc>
        <w:tc>
          <w:tcPr>
            <w:tcW w:w="762" w:type="dxa"/>
            <w:shd w:val="clear" w:color="auto" w:fill="92D050"/>
            <w:noWrap/>
            <w:hideMark/>
          </w:tcPr>
          <w:p w14:paraId="07C1391D" w14:textId="2461B50C" w:rsidR="005C5C85" w:rsidRPr="009A2FF7" w:rsidRDefault="005C5C85" w:rsidP="00AA241E">
            <w:pPr>
              <w:jc w:val="both"/>
              <w:rPr>
                <w:b/>
                <w:bCs/>
                <w:sz w:val="20"/>
                <w:szCs w:val="20"/>
              </w:rPr>
            </w:pPr>
            <w:proofErr w:type="spellStart"/>
            <w:r w:rsidRPr="009A2FF7">
              <w:rPr>
                <w:b/>
                <w:bCs/>
                <w:sz w:val="20"/>
                <w:szCs w:val="20"/>
              </w:rPr>
              <w:t>Interf</w:t>
            </w:r>
            <w:proofErr w:type="spellEnd"/>
          </w:p>
        </w:tc>
      </w:tr>
      <w:tr w:rsidR="00C22B37" w:rsidRPr="006E317E" w14:paraId="20E187DC" w14:textId="77777777" w:rsidTr="00FE198E">
        <w:trPr>
          <w:trHeight w:val="275"/>
        </w:trPr>
        <w:tc>
          <w:tcPr>
            <w:tcW w:w="2553" w:type="dxa"/>
            <w:noWrap/>
            <w:hideMark/>
          </w:tcPr>
          <w:p w14:paraId="3624F356" w14:textId="77777777" w:rsidR="00C22B37" w:rsidRPr="009A2FF7" w:rsidRDefault="00C22B37" w:rsidP="00C22B37">
            <w:pPr>
              <w:jc w:val="both"/>
              <w:rPr>
                <w:sz w:val="20"/>
                <w:szCs w:val="20"/>
              </w:rPr>
            </w:pPr>
            <w:r w:rsidRPr="009A2FF7">
              <w:rPr>
                <w:sz w:val="20"/>
                <w:szCs w:val="20"/>
              </w:rPr>
              <w:t>Maardu linn</w:t>
            </w:r>
          </w:p>
        </w:tc>
        <w:tc>
          <w:tcPr>
            <w:tcW w:w="917" w:type="dxa"/>
            <w:noWrap/>
            <w:hideMark/>
          </w:tcPr>
          <w:p w14:paraId="4297EE81" w14:textId="77777777" w:rsidR="00C22B37" w:rsidRPr="009A2FF7" w:rsidRDefault="00C22B37" w:rsidP="00C22B37">
            <w:pPr>
              <w:jc w:val="right"/>
              <w:rPr>
                <w:sz w:val="20"/>
                <w:szCs w:val="20"/>
              </w:rPr>
            </w:pPr>
            <w:r w:rsidRPr="009A2FF7">
              <w:rPr>
                <w:sz w:val="20"/>
                <w:szCs w:val="20"/>
              </w:rPr>
              <w:t>10 475</w:t>
            </w:r>
          </w:p>
        </w:tc>
        <w:tc>
          <w:tcPr>
            <w:tcW w:w="834" w:type="dxa"/>
            <w:noWrap/>
            <w:hideMark/>
          </w:tcPr>
          <w:p w14:paraId="59A5908C" w14:textId="6AE0165A" w:rsidR="00C22B37" w:rsidRPr="009A2FF7" w:rsidRDefault="00C22B37" w:rsidP="00C22B37">
            <w:pPr>
              <w:jc w:val="right"/>
              <w:rPr>
                <w:sz w:val="20"/>
                <w:szCs w:val="20"/>
              </w:rPr>
            </w:pPr>
            <w:r w:rsidRPr="00825744">
              <w:rPr>
                <w:sz w:val="20"/>
                <w:szCs w:val="20"/>
              </w:rPr>
              <w:t>…*%</w:t>
            </w:r>
          </w:p>
        </w:tc>
        <w:tc>
          <w:tcPr>
            <w:tcW w:w="744" w:type="dxa"/>
            <w:noWrap/>
            <w:hideMark/>
          </w:tcPr>
          <w:p w14:paraId="3FA721DA" w14:textId="1C2303B8" w:rsidR="00C22B37" w:rsidRPr="009A2FF7" w:rsidRDefault="00C22B37" w:rsidP="00C22B37">
            <w:pPr>
              <w:jc w:val="right"/>
              <w:rPr>
                <w:sz w:val="20"/>
                <w:szCs w:val="20"/>
              </w:rPr>
            </w:pPr>
            <w:r w:rsidRPr="007F7A07">
              <w:rPr>
                <w:sz w:val="20"/>
                <w:szCs w:val="20"/>
              </w:rPr>
              <w:t>…*</w:t>
            </w:r>
            <w:r w:rsidRPr="009A2FF7">
              <w:rPr>
                <w:sz w:val="20"/>
                <w:szCs w:val="20"/>
              </w:rPr>
              <w:t>%</w:t>
            </w:r>
          </w:p>
        </w:tc>
        <w:tc>
          <w:tcPr>
            <w:tcW w:w="684" w:type="dxa"/>
            <w:noWrap/>
            <w:hideMark/>
          </w:tcPr>
          <w:p w14:paraId="09CA7D9E" w14:textId="1BB1E86C" w:rsidR="00C22B37" w:rsidRPr="009A2FF7" w:rsidRDefault="00C22B37" w:rsidP="00C22B37">
            <w:pPr>
              <w:jc w:val="right"/>
              <w:rPr>
                <w:sz w:val="20"/>
                <w:szCs w:val="20"/>
              </w:rPr>
            </w:pPr>
            <w:r w:rsidRPr="00DD33AC">
              <w:rPr>
                <w:sz w:val="20"/>
                <w:szCs w:val="20"/>
              </w:rPr>
              <w:t>…*%</w:t>
            </w:r>
          </w:p>
        </w:tc>
        <w:tc>
          <w:tcPr>
            <w:tcW w:w="757" w:type="dxa"/>
            <w:noWrap/>
            <w:hideMark/>
          </w:tcPr>
          <w:p w14:paraId="3841CC93" w14:textId="0A63240E" w:rsidR="00C22B37" w:rsidRPr="009A2FF7" w:rsidRDefault="00C22B37" w:rsidP="00C22B37">
            <w:pPr>
              <w:jc w:val="right"/>
              <w:rPr>
                <w:sz w:val="20"/>
                <w:szCs w:val="20"/>
              </w:rPr>
            </w:pPr>
            <w:r w:rsidRPr="00DD33AC">
              <w:rPr>
                <w:sz w:val="20"/>
                <w:szCs w:val="20"/>
              </w:rPr>
              <w:t>…*%</w:t>
            </w:r>
          </w:p>
        </w:tc>
        <w:tc>
          <w:tcPr>
            <w:tcW w:w="1043" w:type="dxa"/>
            <w:noWrap/>
            <w:hideMark/>
          </w:tcPr>
          <w:p w14:paraId="4F51E364" w14:textId="7FC015A7" w:rsidR="00C22B37" w:rsidRPr="009A2FF7" w:rsidRDefault="00C22B37" w:rsidP="00C22B37">
            <w:pPr>
              <w:jc w:val="right"/>
              <w:rPr>
                <w:sz w:val="20"/>
                <w:szCs w:val="20"/>
              </w:rPr>
            </w:pPr>
            <w:r w:rsidRPr="00DD33AC">
              <w:rPr>
                <w:sz w:val="20"/>
                <w:szCs w:val="20"/>
              </w:rPr>
              <w:t>…*%</w:t>
            </w:r>
          </w:p>
        </w:tc>
        <w:tc>
          <w:tcPr>
            <w:tcW w:w="832" w:type="dxa"/>
            <w:noWrap/>
            <w:hideMark/>
          </w:tcPr>
          <w:p w14:paraId="138D51D1" w14:textId="7AC2C97D" w:rsidR="00C22B37" w:rsidRPr="009A2FF7" w:rsidRDefault="00C22B37" w:rsidP="00C22B37">
            <w:pPr>
              <w:jc w:val="right"/>
              <w:rPr>
                <w:sz w:val="20"/>
                <w:szCs w:val="20"/>
              </w:rPr>
            </w:pPr>
            <w:r w:rsidRPr="00DD33AC">
              <w:rPr>
                <w:sz w:val="20"/>
                <w:szCs w:val="20"/>
              </w:rPr>
              <w:t>…*%</w:t>
            </w:r>
          </w:p>
        </w:tc>
        <w:tc>
          <w:tcPr>
            <w:tcW w:w="762" w:type="dxa"/>
            <w:noWrap/>
            <w:hideMark/>
          </w:tcPr>
          <w:p w14:paraId="2F887447" w14:textId="216A762A" w:rsidR="00C22B37" w:rsidRPr="009A2FF7" w:rsidRDefault="00C22B37" w:rsidP="00C22B37">
            <w:pPr>
              <w:jc w:val="right"/>
              <w:rPr>
                <w:sz w:val="20"/>
                <w:szCs w:val="20"/>
              </w:rPr>
            </w:pPr>
            <w:r w:rsidRPr="00DD33AC">
              <w:rPr>
                <w:sz w:val="20"/>
                <w:szCs w:val="20"/>
              </w:rPr>
              <w:t>…*%</w:t>
            </w:r>
          </w:p>
        </w:tc>
      </w:tr>
      <w:tr w:rsidR="00C22B37" w:rsidRPr="006E317E" w14:paraId="09E4D0A1" w14:textId="77777777" w:rsidTr="00FE198E">
        <w:trPr>
          <w:trHeight w:val="275"/>
        </w:trPr>
        <w:tc>
          <w:tcPr>
            <w:tcW w:w="2553" w:type="dxa"/>
            <w:noWrap/>
            <w:hideMark/>
          </w:tcPr>
          <w:p w14:paraId="4E90C4AE" w14:textId="77777777" w:rsidR="00C22B37" w:rsidRPr="009A2FF7" w:rsidRDefault="00C22B37" w:rsidP="00C22B37">
            <w:pPr>
              <w:jc w:val="both"/>
              <w:rPr>
                <w:sz w:val="20"/>
                <w:szCs w:val="20"/>
              </w:rPr>
            </w:pPr>
            <w:r w:rsidRPr="009A2FF7">
              <w:rPr>
                <w:sz w:val="20"/>
                <w:szCs w:val="20"/>
              </w:rPr>
              <w:t xml:space="preserve">Tallinna Haabersti linnaosa </w:t>
            </w:r>
          </w:p>
        </w:tc>
        <w:tc>
          <w:tcPr>
            <w:tcW w:w="917" w:type="dxa"/>
            <w:noWrap/>
            <w:hideMark/>
          </w:tcPr>
          <w:p w14:paraId="22D62E04" w14:textId="77777777" w:rsidR="00C22B37" w:rsidRPr="009A2FF7" w:rsidRDefault="00C22B37" w:rsidP="00C22B37">
            <w:pPr>
              <w:jc w:val="right"/>
              <w:rPr>
                <w:sz w:val="20"/>
                <w:szCs w:val="20"/>
              </w:rPr>
            </w:pPr>
            <w:r w:rsidRPr="009A2FF7">
              <w:rPr>
                <w:sz w:val="20"/>
                <w:szCs w:val="20"/>
              </w:rPr>
              <w:t>22 644</w:t>
            </w:r>
          </w:p>
        </w:tc>
        <w:tc>
          <w:tcPr>
            <w:tcW w:w="834" w:type="dxa"/>
            <w:noWrap/>
            <w:hideMark/>
          </w:tcPr>
          <w:p w14:paraId="0DB00B06" w14:textId="254BE7FA" w:rsidR="00C22B37" w:rsidRPr="009A2FF7" w:rsidRDefault="00C22B37" w:rsidP="00C22B37">
            <w:pPr>
              <w:jc w:val="right"/>
              <w:rPr>
                <w:sz w:val="20"/>
                <w:szCs w:val="20"/>
              </w:rPr>
            </w:pPr>
            <w:r w:rsidRPr="00825744">
              <w:rPr>
                <w:sz w:val="20"/>
                <w:szCs w:val="20"/>
              </w:rPr>
              <w:t>…*%</w:t>
            </w:r>
          </w:p>
        </w:tc>
        <w:tc>
          <w:tcPr>
            <w:tcW w:w="744" w:type="dxa"/>
            <w:noWrap/>
            <w:hideMark/>
          </w:tcPr>
          <w:p w14:paraId="35A3A82B" w14:textId="4D2BB7CB" w:rsidR="00C22B37" w:rsidRPr="009A2FF7" w:rsidRDefault="00C22B37" w:rsidP="00C22B37">
            <w:pPr>
              <w:jc w:val="right"/>
              <w:rPr>
                <w:sz w:val="20"/>
                <w:szCs w:val="20"/>
              </w:rPr>
            </w:pPr>
            <w:r w:rsidRPr="0097270F">
              <w:rPr>
                <w:sz w:val="20"/>
                <w:szCs w:val="20"/>
              </w:rPr>
              <w:t>…*%</w:t>
            </w:r>
          </w:p>
        </w:tc>
        <w:tc>
          <w:tcPr>
            <w:tcW w:w="684" w:type="dxa"/>
            <w:noWrap/>
            <w:hideMark/>
          </w:tcPr>
          <w:p w14:paraId="62773BEE" w14:textId="6DCA528B" w:rsidR="00C22B37" w:rsidRPr="009A2FF7" w:rsidRDefault="00C22B37" w:rsidP="00C22B37">
            <w:pPr>
              <w:jc w:val="right"/>
              <w:rPr>
                <w:sz w:val="20"/>
                <w:szCs w:val="20"/>
              </w:rPr>
            </w:pPr>
            <w:r w:rsidRPr="00DD33AC">
              <w:rPr>
                <w:sz w:val="20"/>
                <w:szCs w:val="20"/>
              </w:rPr>
              <w:t>…*%</w:t>
            </w:r>
          </w:p>
        </w:tc>
        <w:tc>
          <w:tcPr>
            <w:tcW w:w="757" w:type="dxa"/>
            <w:noWrap/>
            <w:hideMark/>
          </w:tcPr>
          <w:p w14:paraId="13431027" w14:textId="5635F17E" w:rsidR="00C22B37" w:rsidRPr="009A2FF7" w:rsidRDefault="00C22B37" w:rsidP="00C22B37">
            <w:pPr>
              <w:jc w:val="right"/>
              <w:rPr>
                <w:sz w:val="20"/>
                <w:szCs w:val="20"/>
              </w:rPr>
            </w:pPr>
            <w:r w:rsidRPr="00DD33AC">
              <w:rPr>
                <w:sz w:val="20"/>
                <w:szCs w:val="20"/>
              </w:rPr>
              <w:t>…*%</w:t>
            </w:r>
          </w:p>
        </w:tc>
        <w:tc>
          <w:tcPr>
            <w:tcW w:w="1043" w:type="dxa"/>
            <w:noWrap/>
            <w:hideMark/>
          </w:tcPr>
          <w:p w14:paraId="0ECF50DB" w14:textId="66FA1353" w:rsidR="00C22B37" w:rsidRPr="009A2FF7" w:rsidRDefault="00C22B37" w:rsidP="00C22B37">
            <w:pPr>
              <w:jc w:val="right"/>
              <w:rPr>
                <w:sz w:val="20"/>
                <w:szCs w:val="20"/>
              </w:rPr>
            </w:pPr>
            <w:r w:rsidRPr="00DD33AC">
              <w:rPr>
                <w:sz w:val="20"/>
                <w:szCs w:val="20"/>
              </w:rPr>
              <w:t>…*%</w:t>
            </w:r>
          </w:p>
        </w:tc>
        <w:tc>
          <w:tcPr>
            <w:tcW w:w="832" w:type="dxa"/>
            <w:noWrap/>
            <w:hideMark/>
          </w:tcPr>
          <w:p w14:paraId="425DAD3D" w14:textId="555A466B" w:rsidR="00C22B37" w:rsidRPr="009A2FF7" w:rsidRDefault="00C22B37" w:rsidP="00C22B37">
            <w:pPr>
              <w:jc w:val="right"/>
              <w:rPr>
                <w:sz w:val="20"/>
                <w:szCs w:val="20"/>
              </w:rPr>
            </w:pPr>
            <w:r w:rsidRPr="00DD33AC">
              <w:rPr>
                <w:sz w:val="20"/>
                <w:szCs w:val="20"/>
              </w:rPr>
              <w:t>…*%</w:t>
            </w:r>
          </w:p>
        </w:tc>
        <w:tc>
          <w:tcPr>
            <w:tcW w:w="762" w:type="dxa"/>
            <w:noWrap/>
            <w:hideMark/>
          </w:tcPr>
          <w:p w14:paraId="1ECBC22C" w14:textId="264C1DDF" w:rsidR="00C22B37" w:rsidRPr="009A2FF7" w:rsidRDefault="00C22B37" w:rsidP="00C22B37">
            <w:pPr>
              <w:jc w:val="right"/>
              <w:rPr>
                <w:sz w:val="20"/>
                <w:szCs w:val="20"/>
              </w:rPr>
            </w:pPr>
            <w:r w:rsidRPr="00DD33AC">
              <w:rPr>
                <w:sz w:val="20"/>
                <w:szCs w:val="20"/>
              </w:rPr>
              <w:t>…*%</w:t>
            </w:r>
          </w:p>
        </w:tc>
      </w:tr>
      <w:tr w:rsidR="00C22B37" w:rsidRPr="006E317E" w14:paraId="78DD53AD" w14:textId="77777777" w:rsidTr="00FE198E">
        <w:trPr>
          <w:trHeight w:val="275"/>
        </w:trPr>
        <w:tc>
          <w:tcPr>
            <w:tcW w:w="2553" w:type="dxa"/>
            <w:noWrap/>
            <w:hideMark/>
          </w:tcPr>
          <w:p w14:paraId="5041563B" w14:textId="77777777" w:rsidR="00C22B37" w:rsidRPr="009A2FF7" w:rsidRDefault="00C22B37" w:rsidP="00C22B37">
            <w:pPr>
              <w:jc w:val="both"/>
              <w:rPr>
                <w:sz w:val="20"/>
                <w:szCs w:val="20"/>
              </w:rPr>
            </w:pPr>
            <w:r w:rsidRPr="009A2FF7">
              <w:rPr>
                <w:sz w:val="20"/>
                <w:szCs w:val="20"/>
              </w:rPr>
              <w:t xml:space="preserve">Tallinna Lasnamäe linnaosa </w:t>
            </w:r>
          </w:p>
        </w:tc>
        <w:tc>
          <w:tcPr>
            <w:tcW w:w="917" w:type="dxa"/>
            <w:noWrap/>
            <w:hideMark/>
          </w:tcPr>
          <w:p w14:paraId="7595F51D" w14:textId="77777777" w:rsidR="00C22B37" w:rsidRPr="009A2FF7" w:rsidRDefault="00C22B37" w:rsidP="00C22B37">
            <w:pPr>
              <w:jc w:val="right"/>
              <w:rPr>
                <w:sz w:val="20"/>
                <w:szCs w:val="20"/>
              </w:rPr>
            </w:pPr>
            <w:r w:rsidRPr="009A2FF7">
              <w:rPr>
                <w:sz w:val="20"/>
                <w:szCs w:val="20"/>
              </w:rPr>
              <w:t>57 005</w:t>
            </w:r>
          </w:p>
        </w:tc>
        <w:tc>
          <w:tcPr>
            <w:tcW w:w="834" w:type="dxa"/>
            <w:noWrap/>
            <w:hideMark/>
          </w:tcPr>
          <w:p w14:paraId="14E95804" w14:textId="1DB3081D" w:rsidR="00C22B37" w:rsidRPr="009A2FF7" w:rsidRDefault="00C22B37" w:rsidP="00C22B37">
            <w:pPr>
              <w:jc w:val="right"/>
              <w:rPr>
                <w:sz w:val="20"/>
                <w:szCs w:val="20"/>
              </w:rPr>
            </w:pPr>
            <w:r w:rsidRPr="00825744">
              <w:rPr>
                <w:sz w:val="20"/>
                <w:szCs w:val="20"/>
              </w:rPr>
              <w:t>…*%</w:t>
            </w:r>
          </w:p>
        </w:tc>
        <w:tc>
          <w:tcPr>
            <w:tcW w:w="744" w:type="dxa"/>
            <w:noWrap/>
            <w:hideMark/>
          </w:tcPr>
          <w:p w14:paraId="56E25C4E" w14:textId="4A67C49B" w:rsidR="00C22B37" w:rsidRPr="009A2FF7" w:rsidRDefault="00C22B37" w:rsidP="00C22B37">
            <w:pPr>
              <w:jc w:val="right"/>
              <w:rPr>
                <w:sz w:val="20"/>
                <w:szCs w:val="20"/>
              </w:rPr>
            </w:pPr>
            <w:r w:rsidRPr="0097270F">
              <w:rPr>
                <w:sz w:val="20"/>
                <w:szCs w:val="20"/>
              </w:rPr>
              <w:t>…*%</w:t>
            </w:r>
          </w:p>
        </w:tc>
        <w:tc>
          <w:tcPr>
            <w:tcW w:w="684" w:type="dxa"/>
            <w:noWrap/>
            <w:hideMark/>
          </w:tcPr>
          <w:p w14:paraId="44FC07C8" w14:textId="3C25CC96" w:rsidR="00C22B37" w:rsidRPr="009A2FF7" w:rsidRDefault="00C22B37" w:rsidP="00C22B37">
            <w:pPr>
              <w:jc w:val="right"/>
              <w:rPr>
                <w:sz w:val="20"/>
                <w:szCs w:val="20"/>
              </w:rPr>
            </w:pPr>
            <w:r w:rsidRPr="00DD33AC">
              <w:rPr>
                <w:sz w:val="20"/>
                <w:szCs w:val="20"/>
              </w:rPr>
              <w:t>…*%</w:t>
            </w:r>
          </w:p>
        </w:tc>
        <w:tc>
          <w:tcPr>
            <w:tcW w:w="757" w:type="dxa"/>
            <w:noWrap/>
            <w:hideMark/>
          </w:tcPr>
          <w:p w14:paraId="13C36FA2" w14:textId="00DC3C5F" w:rsidR="00C22B37" w:rsidRPr="009A2FF7" w:rsidRDefault="00C22B37" w:rsidP="00C22B37">
            <w:pPr>
              <w:jc w:val="right"/>
              <w:rPr>
                <w:sz w:val="20"/>
                <w:szCs w:val="20"/>
              </w:rPr>
            </w:pPr>
            <w:r w:rsidRPr="00DD33AC">
              <w:rPr>
                <w:sz w:val="20"/>
                <w:szCs w:val="20"/>
              </w:rPr>
              <w:t>…*%</w:t>
            </w:r>
          </w:p>
        </w:tc>
        <w:tc>
          <w:tcPr>
            <w:tcW w:w="1043" w:type="dxa"/>
            <w:noWrap/>
            <w:hideMark/>
          </w:tcPr>
          <w:p w14:paraId="4B9E4383" w14:textId="5CBAA4E2" w:rsidR="00C22B37" w:rsidRPr="009A2FF7" w:rsidRDefault="00C22B37" w:rsidP="00C22B37">
            <w:pPr>
              <w:jc w:val="right"/>
              <w:rPr>
                <w:sz w:val="20"/>
                <w:szCs w:val="20"/>
              </w:rPr>
            </w:pPr>
            <w:r w:rsidRPr="00DD33AC">
              <w:rPr>
                <w:sz w:val="20"/>
                <w:szCs w:val="20"/>
              </w:rPr>
              <w:t>…*%</w:t>
            </w:r>
          </w:p>
        </w:tc>
        <w:tc>
          <w:tcPr>
            <w:tcW w:w="832" w:type="dxa"/>
            <w:noWrap/>
            <w:hideMark/>
          </w:tcPr>
          <w:p w14:paraId="1190D222" w14:textId="21458D5A" w:rsidR="00C22B37" w:rsidRPr="009A2FF7" w:rsidRDefault="00C22B37" w:rsidP="00C22B37">
            <w:pPr>
              <w:jc w:val="right"/>
              <w:rPr>
                <w:sz w:val="20"/>
                <w:szCs w:val="20"/>
              </w:rPr>
            </w:pPr>
            <w:r w:rsidRPr="00DD33AC">
              <w:rPr>
                <w:sz w:val="20"/>
                <w:szCs w:val="20"/>
              </w:rPr>
              <w:t>…*%</w:t>
            </w:r>
          </w:p>
        </w:tc>
        <w:tc>
          <w:tcPr>
            <w:tcW w:w="762" w:type="dxa"/>
            <w:noWrap/>
            <w:hideMark/>
          </w:tcPr>
          <w:p w14:paraId="7BDA1826" w14:textId="3B8E406A" w:rsidR="00C22B37" w:rsidRPr="009A2FF7" w:rsidRDefault="00C22B37" w:rsidP="00C22B37">
            <w:pPr>
              <w:jc w:val="right"/>
              <w:rPr>
                <w:sz w:val="20"/>
                <w:szCs w:val="20"/>
              </w:rPr>
            </w:pPr>
            <w:r w:rsidRPr="00DD33AC">
              <w:rPr>
                <w:sz w:val="20"/>
                <w:szCs w:val="20"/>
              </w:rPr>
              <w:t>…*%</w:t>
            </w:r>
          </w:p>
        </w:tc>
      </w:tr>
      <w:tr w:rsidR="00C22B37" w:rsidRPr="006E317E" w14:paraId="42412893" w14:textId="77777777" w:rsidTr="00FE198E">
        <w:trPr>
          <w:trHeight w:val="275"/>
        </w:trPr>
        <w:tc>
          <w:tcPr>
            <w:tcW w:w="2553" w:type="dxa"/>
            <w:noWrap/>
            <w:hideMark/>
          </w:tcPr>
          <w:p w14:paraId="7679DEF8" w14:textId="77777777" w:rsidR="00C22B37" w:rsidRPr="009A2FF7" w:rsidRDefault="00C22B37" w:rsidP="00C22B37">
            <w:pPr>
              <w:jc w:val="both"/>
              <w:rPr>
                <w:sz w:val="20"/>
                <w:szCs w:val="20"/>
              </w:rPr>
            </w:pPr>
            <w:r w:rsidRPr="009A2FF7">
              <w:rPr>
                <w:sz w:val="20"/>
                <w:szCs w:val="20"/>
              </w:rPr>
              <w:t xml:space="preserve">Tallinna Mustamäe linnaosa </w:t>
            </w:r>
          </w:p>
        </w:tc>
        <w:tc>
          <w:tcPr>
            <w:tcW w:w="917" w:type="dxa"/>
            <w:noWrap/>
            <w:hideMark/>
          </w:tcPr>
          <w:p w14:paraId="3C6BCAFA" w14:textId="77777777" w:rsidR="00C22B37" w:rsidRPr="009A2FF7" w:rsidRDefault="00C22B37" w:rsidP="00C22B37">
            <w:pPr>
              <w:jc w:val="right"/>
              <w:rPr>
                <w:sz w:val="20"/>
                <w:szCs w:val="20"/>
              </w:rPr>
            </w:pPr>
            <w:r w:rsidRPr="009A2FF7">
              <w:rPr>
                <w:sz w:val="20"/>
                <w:szCs w:val="20"/>
              </w:rPr>
              <w:t>37 035</w:t>
            </w:r>
          </w:p>
        </w:tc>
        <w:tc>
          <w:tcPr>
            <w:tcW w:w="834" w:type="dxa"/>
            <w:noWrap/>
            <w:hideMark/>
          </w:tcPr>
          <w:p w14:paraId="0E56AE77" w14:textId="722EBE57" w:rsidR="00C22B37" w:rsidRPr="009A2FF7" w:rsidRDefault="00C22B37" w:rsidP="00C22B37">
            <w:pPr>
              <w:jc w:val="right"/>
              <w:rPr>
                <w:sz w:val="20"/>
                <w:szCs w:val="20"/>
              </w:rPr>
            </w:pPr>
            <w:r w:rsidRPr="00825744">
              <w:rPr>
                <w:sz w:val="20"/>
                <w:szCs w:val="20"/>
              </w:rPr>
              <w:t>…*%</w:t>
            </w:r>
          </w:p>
        </w:tc>
        <w:tc>
          <w:tcPr>
            <w:tcW w:w="744" w:type="dxa"/>
            <w:noWrap/>
            <w:hideMark/>
          </w:tcPr>
          <w:p w14:paraId="2E6FD64F" w14:textId="16FEF836" w:rsidR="00C22B37" w:rsidRPr="009A2FF7" w:rsidRDefault="00C22B37" w:rsidP="00C22B37">
            <w:pPr>
              <w:jc w:val="right"/>
              <w:rPr>
                <w:sz w:val="20"/>
                <w:szCs w:val="20"/>
              </w:rPr>
            </w:pPr>
            <w:r w:rsidRPr="0097270F">
              <w:rPr>
                <w:sz w:val="20"/>
                <w:szCs w:val="20"/>
              </w:rPr>
              <w:t>…*%</w:t>
            </w:r>
          </w:p>
        </w:tc>
        <w:tc>
          <w:tcPr>
            <w:tcW w:w="684" w:type="dxa"/>
            <w:noWrap/>
            <w:hideMark/>
          </w:tcPr>
          <w:p w14:paraId="137D6EB1" w14:textId="08D03427" w:rsidR="00C22B37" w:rsidRPr="009A2FF7" w:rsidRDefault="00C22B37" w:rsidP="00C22B37">
            <w:pPr>
              <w:jc w:val="right"/>
              <w:rPr>
                <w:sz w:val="20"/>
                <w:szCs w:val="20"/>
              </w:rPr>
            </w:pPr>
            <w:r w:rsidRPr="00DD33AC">
              <w:rPr>
                <w:sz w:val="20"/>
                <w:szCs w:val="20"/>
              </w:rPr>
              <w:t>…*%</w:t>
            </w:r>
          </w:p>
        </w:tc>
        <w:tc>
          <w:tcPr>
            <w:tcW w:w="757" w:type="dxa"/>
            <w:noWrap/>
            <w:hideMark/>
          </w:tcPr>
          <w:p w14:paraId="4E0C358C" w14:textId="7B8D3783" w:rsidR="00C22B37" w:rsidRPr="009A2FF7" w:rsidRDefault="00C22B37" w:rsidP="00C22B37">
            <w:pPr>
              <w:jc w:val="right"/>
              <w:rPr>
                <w:sz w:val="20"/>
                <w:szCs w:val="20"/>
              </w:rPr>
            </w:pPr>
            <w:r w:rsidRPr="00DD33AC">
              <w:rPr>
                <w:sz w:val="20"/>
                <w:szCs w:val="20"/>
              </w:rPr>
              <w:t>…*%</w:t>
            </w:r>
          </w:p>
        </w:tc>
        <w:tc>
          <w:tcPr>
            <w:tcW w:w="1043" w:type="dxa"/>
            <w:noWrap/>
            <w:hideMark/>
          </w:tcPr>
          <w:p w14:paraId="456F0D02" w14:textId="60BE450A" w:rsidR="00C22B37" w:rsidRPr="009A2FF7" w:rsidRDefault="00C22B37" w:rsidP="00C22B37">
            <w:pPr>
              <w:jc w:val="right"/>
              <w:rPr>
                <w:sz w:val="20"/>
                <w:szCs w:val="20"/>
              </w:rPr>
            </w:pPr>
            <w:r w:rsidRPr="00DD33AC">
              <w:rPr>
                <w:sz w:val="20"/>
                <w:szCs w:val="20"/>
              </w:rPr>
              <w:t>…*%</w:t>
            </w:r>
          </w:p>
        </w:tc>
        <w:tc>
          <w:tcPr>
            <w:tcW w:w="832" w:type="dxa"/>
            <w:noWrap/>
            <w:hideMark/>
          </w:tcPr>
          <w:p w14:paraId="5052D4B3" w14:textId="05E99D71" w:rsidR="00C22B37" w:rsidRPr="009A2FF7" w:rsidRDefault="00C22B37" w:rsidP="00C22B37">
            <w:pPr>
              <w:jc w:val="right"/>
              <w:rPr>
                <w:sz w:val="20"/>
                <w:szCs w:val="20"/>
              </w:rPr>
            </w:pPr>
            <w:r w:rsidRPr="00DD33AC">
              <w:rPr>
                <w:sz w:val="20"/>
                <w:szCs w:val="20"/>
              </w:rPr>
              <w:t>…*%</w:t>
            </w:r>
          </w:p>
        </w:tc>
        <w:tc>
          <w:tcPr>
            <w:tcW w:w="762" w:type="dxa"/>
            <w:noWrap/>
            <w:hideMark/>
          </w:tcPr>
          <w:p w14:paraId="14B6C21A" w14:textId="42487E26" w:rsidR="00C22B37" w:rsidRPr="009A2FF7" w:rsidRDefault="00C22B37" w:rsidP="00C22B37">
            <w:pPr>
              <w:jc w:val="right"/>
              <w:rPr>
                <w:sz w:val="20"/>
                <w:szCs w:val="20"/>
              </w:rPr>
            </w:pPr>
            <w:r w:rsidRPr="00DD33AC">
              <w:rPr>
                <w:sz w:val="20"/>
                <w:szCs w:val="20"/>
              </w:rPr>
              <w:t>…*%</w:t>
            </w:r>
          </w:p>
        </w:tc>
      </w:tr>
      <w:tr w:rsidR="00C22B37" w:rsidRPr="006E317E" w14:paraId="54F04F2C" w14:textId="77777777" w:rsidTr="00FE198E">
        <w:trPr>
          <w:trHeight w:val="275"/>
        </w:trPr>
        <w:tc>
          <w:tcPr>
            <w:tcW w:w="2553" w:type="dxa"/>
            <w:noWrap/>
            <w:hideMark/>
          </w:tcPr>
          <w:p w14:paraId="1D762E93" w14:textId="77777777" w:rsidR="00C22B37" w:rsidRPr="009A2FF7" w:rsidRDefault="00C22B37" w:rsidP="00C22B37">
            <w:pPr>
              <w:jc w:val="both"/>
              <w:rPr>
                <w:sz w:val="20"/>
                <w:szCs w:val="20"/>
              </w:rPr>
            </w:pPr>
            <w:r w:rsidRPr="009A2FF7">
              <w:rPr>
                <w:sz w:val="20"/>
                <w:szCs w:val="20"/>
              </w:rPr>
              <w:t>Põhja-Tallinna linnaosa</w:t>
            </w:r>
          </w:p>
        </w:tc>
        <w:tc>
          <w:tcPr>
            <w:tcW w:w="917" w:type="dxa"/>
            <w:noWrap/>
            <w:hideMark/>
          </w:tcPr>
          <w:p w14:paraId="59E584CF" w14:textId="77777777" w:rsidR="00C22B37" w:rsidRPr="009A2FF7" w:rsidRDefault="00C22B37" w:rsidP="00C22B37">
            <w:pPr>
              <w:jc w:val="right"/>
              <w:rPr>
                <w:sz w:val="20"/>
                <w:szCs w:val="20"/>
              </w:rPr>
            </w:pPr>
            <w:r w:rsidRPr="009A2FF7">
              <w:rPr>
                <w:sz w:val="20"/>
                <w:szCs w:val="20"/>
              </w:rPr>
              <w:t>35 565</w:t>
            </w:r>
          </w:p>
        </w:tc>
        <w:tc>
          <w:tcPr>
            <w:tcW w:w="834" w:type="dxa"/>
            <w:noWrap/>
            <w:hideMark/>
          </w:tcPr>
          <w:p w14:paraId="5524D702" w14:textId="3A8BD9FC" w:rsidR="00C22B37" w:rsidRPr="009A2FF7" w:rsidRDefault="00C22B37" w:rsidP="00C22B37">
            <w:pPr>
              <w:jc w:val="right"/>
              <w:rPr>
                <w:sz w:val="20"/>
                <w:szCs w:val="20"/>
              </w:rPr>
            </w:pPr>
            <w:r w:rsidRPr="00825744">
              <w:rPr>
                <w:sz w:val="20"/>
                <w:szCs w:val="20"/>
              </w:rPr>
              <w:t>…*%</w:t>
            </w:r>
          </w:p>
        </w:tc>
        <w:tc>
          <w:tcPr>
            <w:tcW w:w="744" w:type="dxa"/>
            <w:noWrap/>
            <w:hideMark/>
          </w:tcPr>
          <w:p w14:paraId="01595174" w14:textId="5AEF028E" w:rsidR="00C22B37" w:rsidRPr="009A2FF7" w:rsidRDefault="00C22B37" w:rsidP="00C22B37">
            <w:pPr>
              <w:jc w:val="right"/>
              <w:rPr>
                <w:sz w:val="20"/>
                <w:szCs w:val="20"/>
              </w:rPr>
            </w:pPr>
            <w:r w:rsidRPr="0097270F">
              <w:rPr>
                <w:sz w:val="20"/>
                <w:szCs w:val="20"/>
              </w:rPr>
              <w:t>…*%</w:t>
            </w:r>
          </w:p>
        </w:tc>
        <w:tc>
          <w:tcPr>
            <w:tcW w:w="684" w:type="dxa"/>
            <w:noWrap/>
            <w:hideMark/>
          </w:tcPr>
          <w:p w14:paraId="5A968DEE" w14:textId="1EF68367" w:rsidR="00C22B37" w:rsidRPr="009A2FF7" w:rsidRDefault="00C22B37" w:rsidP="00C22B37">
            <w:pPr>
              <w:jc w:val="right"/>
              <w:rPr>
                <w:sz w:val="20"/>
                <w:szCs w:val="20"/>
              </w:rPr>
            </w:pPr>
            <w:r w:rsidRPr="00DD33AC">
              <w:rPr>
                <w:sz w:val="20"/>
                <w:szCs w:val="20"/>
              </w:rPr>
              <w:t>…*%</w:t>
            </w:r>
          </w:p>
        </w:tc>
        <w:tc>
          <w:tcPr>
            <w:tcW w:w="757" w:type="dxa"/>
            <w:noWrap/>
            <w:hideMark/>
          </w:tcPr>
          <w:p w14:paraId="5CCFC58B" w14:textId="1A937787" w:rsidR="00C22B37" w:rsidRPr="009A2FF7" w:rsidRDefault="00C22B37" w:rsidP="00C22B37">
            <w:pPr>
              <w:jc w:val="right"/>
              <w:rPr>
                <w:sz w:val="20"/>
                <w:szCs w:val="20"/>
              </w:rPr>
            </w:pPr>
            <w:r w:rsidRPr="00DD33AC">
              <w:rPr>
                <w:sz w:val="20"/>
                <w:szCs w:val="20"/>
              </w:rPr>
              <w:t>…*%</w:t>
            </w:r>
          </w:p>
        </w:tc>
        <w:tc>
          <w:tcPr>
            <w:tcW w:w="1043" w:type="dxa"/>
            <w:noWrap/>
            <w:hideMark/>
          </w:tcPr>
          <w:p w14:paraId="29DA41E2" w14:textId="7BF71D92" w:rsidR="00C22B37" w:rsidRPr="009A2FF7" w:rsidRDefault="00C22B37" w:rsidP="00C22B37">
            <w:pPr>
              <w:jc w:val="right"/>
              <w:rPr>
                <w:sz w:val="20"/>
                <w:szCs w:val="20"/>
              </w:rPr>
            </w:pPr>
            <w:r w:rsidRPr="00DD33AC">
              <w:rPr>
                <w:sz w:val="20"/>
                <w:szCs w:val="20"/>
              </w:rPr>
              <w:t>…*%</w:t>
            </w:r>
          </w:p>
        </w:tc>
        <w:tc>
          <w:tcPr>
            <w:tcW w:w="832" w:type="dxa"/>
            <w:noWrap/>
            <w:hideMark/>
          </w:tcPr>
          <w:p w14:paraId="351E5385" w14:textId="1D4014F5" w:rsidR="00C22B37" w:rsidRPr="009A2FF7" w:rsidRDefault="00C22B37" w:rsidP="00C22B37">
            <w:pPr>
              <w:jc w:val="right"/>
              <w:rPr>
                <w:sz w:val="20"/>
                <w:szCs w:val="20"/>
              </w:rPr>
            </w:pPr>
            <w:r w:rsidRPr="00DD33AC">
              <w:rPr>
                <w:sz w:val="20"/>
                <w:szCs w:val="20"/>
              </w:rPr>
              <w:t>…*%</w:t>
            </w:r>
          </w:p>
        </w:tc>
        <w:tc>
          <w:tcPr>
            <w:tcW w:w="762" w:type="dxa"/>
            <w:noWrap/>
            <w:hideMark/>
          </w:tcPr>
          <w:p w14:paraId="6776D5AD" w14:textId="4280A39B" w:rsidR="00C22B37" w:rsidRPr="009A2FF7" w:rsidRDefault="00C22B37" w:rsidP="00C22B37">
            <w:pPr>
              <w:jc w:val="right"/>
              <w:rPr>
                <w:sz w:val="20"/>
                <w:szCs w:val="20"/>
              </w:rPr>
            </w:pPr>
            <w:r w:rsidRPr="00DD33AC">
              <w:rPr>
                <w:sz w:val="20"/>
                <w:szCs w:val="20"/>
              </w:rPr>
              <w:t>…*%</w:t>
            </w:r>
          </w:p>
        </w:tc>
      </w:tr>
      <w:tr w:rsidR="00C22B37" w:rsidRPr="006E317E" w14:paraId="57B299C5" w14:textId="77777777" w:rsidTr="00FE198E">
        <w:trPr>
          <w:trHeight w:val="275"/>
        </w:trPr>
        <w:tc>
          <w:tcPr>
            <w:tcW w:w="2553" w:type="dxa"/>
            <w:noWrap/>
            <w:hideMark/>
          </w:tcPr>
          <w:p w14:paraId="62F4A270" w14:textId="77777777" w:rsidR="00C22B37" w:rsidRPr="009A2FF7" w:rsidRDefault="00C22B37" w:rsidP="00C22B37">
            <w:pPr>
              <w:jc w:val="both"/>
              <w:rPr>
                <w:sz w:val="20"/>
                <w:szCs w:val="20"/>
              </w:rPr>
            </w:pPr>
            <w:r w:rsidRPr="009A2FF7">
              <w:rPr>
                <w:sz w:val="20"/>
                <w:szCs w:val="20"/>
              </w:rPr>
              <w:t xml:space="preserve">Jõhvi linn </w:t>
            </w:r>
          </w:p>
        </w:tc>
        <w:tc>
          <w:tcPr>
            <w:tcW w:w="917" w:type="dxa"/>
            <w:noWrap/>
            <w:hideMark/>
          </w:tcPr>
          <w:p w14:paraId="5E089CE5" w14:textId="77777777" w:rsidR="00C22B37" w:rsidRPr="009A2FF7" w:rsidRDefault="00C22B37" w:rsidP="00C22B37">
            <w:pPr>
              <w:jc w:val="right"/>
              <w:rPr>
                <w:sz w:val="20"/>
                <w:szCs w:val="20"/>
              </w:rPr>
            </w:pPr>
            <w:r w:rsidRPr="009A2FF7">
              <w:rPr>
                <w:sz w:val="20"/>
                <w:szCs w:val="20"/>
              </w:rPr>
              <w:t>7 328</w:t>
            </w:r>
          </w:p>
        </w:tc>
        <w:tc>
          <w:tcPr>
            <w:tcW w:w="834" w:type="dxa"/>
            <w:noWrap/>
            <w:hideMark/>
          </w:tcPr>
          <w:p w14:paraId="0B77E0D9" w14:textId="1AE0D365" w:rsidR="00C22B37" w:rsidRPr="009A2FF7" w:rsidRDefault="00C22B37" w:rsidP="00C22B37">
            <w:pPr>
              <w:jc w:val="right"/>
              <w:rPr>
                <w:sz w:val="20"/>
                <w:szCs w:val="20"/>
              </w:rPr>
            </w:pPr>
            <w:r w:rsidRPr="00825744">
              <w:rPr>
                <w:sz w:val="20"/>
                <w:szCs w:val="20"/>
              </w:rPr>
              <w:t>…*%</w:t>
            </w:r>
          </w:p>
        </w:tc>
        <w:tc>
          <w:tcPr>
            <w:tcW w:w="744" w:type="dxa"/>
            <w:noWrap/>
            <w:hideMark/>
          </w:tcPr>
          <w:p w14:paraId="10F9AEA4" w14:textId="5F49993E" w:rsidR="00C22B37" w:rsidRPr="009A2FF7" w:rsidRDefault="00C22B37" w:rsidP="00C22B37">
            <w:pPr>
              <w:jc w:val="right"/>
              <w:rPr>
                <w:sz w:val="20"/>
                <w:szCs w:val="20"/>
              </w:rPr>
            </w:pPr>
            <w:r w:rsidRPr="0097270F">
              <w:rPr>
                <w:sz w:val="20"/>
                <w:szCs w:val="20"/>
              </w:rPr>
              <w:t>…*%</w:t>
            </w:r>
          </w:p>
        </w:tc>
        <w:tc>
          <w:tcPr>
            <w:tcW w:w="684" w:type="dxa"/>
            <w:noWrap/>
            <w:hideMark/>
          </w:tcPr>
          <w:p w14:paraId="55AD79D5" w14:textId="2C80BA52" w:rsidR="00C22B37" w:rsidRPr="009A2FF7" w:rsidRDefault="00C22B37" w:rsidP="00C22B37">
            <w:pPr>
              <w:jc w:val="right"/>
              <w:rPr>
                <w:sz w:val="20"/>
                <w:szCs w:val="20"/>
              </w:rPr>
            </w:pPr>
            <w:r w:rsidRPr="00DD33AC">
              <w:rPr>
                <w:sz w:val="20"/>
                <w:szCs w:val="20"/>
              </w:rPr>
              <w:t>…*%</w:t>
            </w:r>
          </w:p>
        </w:tc>
        <w:tc>
          <w:tcPr>
            <w:tcW w:w="757" w:type="dxa"/>
            <w:noWrap/>
            <w:hideMark/>
          </w:tcPr>
          <w:p w14:paraId="7B27B951" w14:textId="627E3D6A" w:rsidR="00C22B37" w:rsidRPr="009A2FF7" w:rsidRDefault="00C22B37" w:rsidP="00C22B37">
            <w:pPr>
              <w:jc w:val="right"/>
              <w:rPr>
                <w:sz w:val="20"/>
                <w:szCs w:val="20"/>
              </w:rPr>
            </w:pPr>
            <w:r w:rsidRPr="00DD33AC">
              <w:rPr>
                <w:sz w:val="20"/>
                <w:szCs w:val="20"/>
              </w:rPr>
              <w:t>…*%</w:t>
            </w:r>
          </w:p>
        </w:tc>
        <w:tc>
          <w:tcPr>
            <w:tcW w:w="1043" w:type="dxa"/>
            <w:noWrap/>
            <w:hideMark/>
          </w:tcPr>
          <w:p w14:paraId="3DFD4991" w14:textId="0CA21DC2" w:rsidR="00C22B37" w:rsidRPr="009A2FF7" w:rsidRDefault="00C22B37" w:rsidP="00C22B37">
            <w:pPr>
              <w:jc w:val="right"/>
              <w:rPr>
                <w:sz w:val="20"/>
                <w:szCs w:val="20"/>
              </w:rPr>
            </w:pPr>
            <w:r w:rsidRPr="00DD33AC">
              <w:rPr>
                <w:sz w:val="20"/>
                <w:szCs w:val="20"/>
              </w:rPr>
              <w:t>…*%</w:t>
            </w:r>
          </w:p>
        </w:tc>
        <w:tc>
          <w:tcPr>
            <w:tcW w:w="832" w:type="dxa"/>
            <w:noWrap/>
            <w:hideMark/>
          </w:tcPr>
          <w:p w14:paraId="38FC244E" w14:textId="0460F0AB" w:rsidR="00C22B37" w:rsidRPr="009A2FF7" w:rsidRDefault="00C22B37" w:rsidP="00C22B37">
            <w:pPr>
              <w:jc w:val="right"/>
              <w:rPr>
                <w:sz w:val="20"/>
                <w:szCs w:val="20"/>
              </w:rPr>
            </w:pPr>
            <w:r w:rsidRPr="00DD33AC">
              <w:rPr>
                <w:sz w:val="20"/>
                <w:szCs w:val="20"/>
              </w:rPr>
              <w:t>…*%</w:t>
            </w:r>
          </w:p>
        </w:tc>
        <w:tc>
          <w:tcPr>
            <w:tcW w:w="762" w:type="dxa"/>
            <w:noWrap/>
            <w:hideMark/>
          </w:tcPr>
          <w:p w14:paraId="3C099C01" w14:textId="1F2EFA76" w:rsidR="00C22B37" w:rsidRPr="009A2FF7" w:rsidRDefault="00C22B37" w:rsidP="00C22B37">
            <w:pPr>
              <w:jc w:val="right"/>
              <w:rPr>
                <w:sz w:val="20"/>
                <w:szCs w:val="20"/>
              </w:rPr>
            </w:pPr>
            <w:r w:rsidRPr="00DD33AC">
              <w:rPr>
                <w:sz w:val="20"/>
                <w:szCs w:val="20"/>
              </w:rPr>
              <w:t>…*%</w:t>
            </w:r>
          </w:p>
        </w:tc>
      </w:tr>
      <w:tr w:rsidR="00C22B37" w:rsidRPr="006E317E" w14:paraId="17600CEA" w14:textId="77777777" w:rsidTr="00FE198E">
        <w:trPr>
          <w:trHeight w:val="275"/>
        </w:trPr>
        <w:tc>
          <w:tcPr>
            <w:tcW w:w="2553" w:type="dxa"/>
            <w:noWrap/>
            <w:hideMark/>
          </w:tcPr>
          <w:p w14:paraId="2162649A" w14:textId="77777777" w:rsidR="00C22B37" w:rsidRPr="009A2FF7" w:rsidRDefault="00C22B37" w:rsidP="00C22B37">
            <w:pPr>
              <w:jc w:val="both"/>
              <w:rPr>
                <w:sz w:val="20"/>
                <w:szCs w:val="20"/>
              </w:rPr>
            </w:pPr>
            <w:r w:rsidRPr="009A2FF7">
              <w:rPr>
                <w:sz w:val="20"/>
                <w:szCs w:val="20"/>
              </w:rPr>
              <w:t xml:space="preserve">Kohtla-Järve Ahtme linnaosa </w:t>
            </w:r>
          </w:p>
        </w:tc>
        <w:tc>
          <w:tcPr>
            <w:tcW w:w="917" w:type="dxa"/>
            <w:noWrap/>
            <w:hideMark/>
          </w:tcPr>
          <w:p w14:paraId="56BA26CF" w14:textId="77777777" w:rsidR="00C22B37" w:rsidRPr="009A2FF7" w:rsidRDefault="00C22B37" w:rsidP="00C22B37">
            <w:pPr>
              <w:jc w:val="right"/>
              <w:rPr>
                <w:sz w:val="20"/>
                <w:szCs w:val="20"/>
              </w:rPr>
            </w:pPr>
            <w:r w:rsidRPr="009A2FF7">
              <w:rPr>
                <w:sz w:val="20"/>
                <w:szCs w:val="20"/>
              </w:rPr>
              <w:t>11 303</w:t>
            </w:r>
          </w:p>
        </w:tc>
        <w:tc>
          <w:tcPr>
            <w:tcW w:w="834" w:type="dxa"/>
            <w:noWrap/>
            <w:hideMark/>
          </w:tcPr>
          <w:p w14:paraId="3E6FBC40" w14:textId="19660A9D" w:rsidR="00C22B37" w:rsidRPr="009A2FF7" w:rsidRDefault="00C22B37" w:rsidP="00C22B37">
            <w:pPr>
              <w:jc w:val="right"/>
              <w:rPr>
                <w:sz w:val="20"/>
                <w:szCs w:val="20"/>
              </w:rPr>
            </w:pPr>
            <w:r w:rsidRPr="00825744">
              <w:rPr>
                <w:sz w:val="20"/>
                <w:szCs w:val="20"/>
              </w:rPr>
              <w:t>…*%</w:t>
            </w:r>
          </w:p>
        </w:tc>
        <w:tc>
          <w:tcPr>
            <w:tcW w:w="744" w:type="dxa"/>
            <w:noWrap/>
            <w:hideMark/>
          </w:tcPr>
          <w:p w14:paraId="5F95B00D" w14:textId="0BDF7812" w:rsidR="00C22B37" w:rsidRPr="009A2FF7" w:rsidRDefault="00C22B37" w:rsidP="00C22B37">
            <w:pPr>
              <w:jc w:val="right"/>
              <w:rPr>
                <w:sz w:val="20"/>
                <w:szCs w:val="20"/>
              </w:rPr>
            </w:pPr>
            <w:r w:rsidRPr="0097270F">
              <w:rPr>
                <w:sz w:val="20"/>
                <w:szCs w:val="20"/>
              </w:rPr>
              <w:t>…*%</w:t>
            </w:r>
          </w:p>
        </w:tc>
        <w:tc>
          <w:tcPr>
            <w:tcW w:w="684" w:type="dxa"/>
            <w:noWrap/>
            <w:hideMark/>
          </w:tcPr>
          <w:p w14:paraId="0C8FC389" w14:textId="6F0AB117" w:rsidR="00C22B37" w:rsidRPr="009A2FF7" w:rsidRDefault="00C22B37" w:rsidP="00C22B37">
            <w:pPr>
              <w:jc w:val="right"/>
              <w:rPr>
                <w:sz w:val="20"/>
                <w:szCs w:val="20"/>
              </w:rPr>
            </w:pPr>
            <w:r w:rsidRPr="00DD33AC">
              <w:rPr>
                <w:sz w:val="20"/>
                <w:szCs w:val="20"/>
              </w:rPr>
              <w:t>…*%</w:t>
            </w:r>
          </w:p>
        </w:tc>
        <w:tc>
          <w:tcPr>
            <w:tcW w:w="757" w:type="dxa"/>
            <w:noWrap/>
            <w:hideMark/>
          </w:tcPr>
          <w:p w14:paraId="024D05F6" w14:textId="4445D13F" w:rsidR="00C22B37" w:rsidRPr="009A2FF7" w:rsidRDefault="00C22B37" w:rsidP="00C22B37">
            <w:pPr>
              <w:jc w:val="right"/>
              <w:rPr>
                <w:sz w:val="20"/>
                <w:szCs w:val="20"/>
              </w:rPr>
            </w:pPr>
            <w:r w:rsidRPr="00DD33AC">
              <w:rPr>
                <w:sz w:val="20"/>
                <w:szCs w:val="20"/>
              </w:rPr>
              <w:t>…*%</w:t>
            </w:r>
          </w:p>
        </w:tc>
        <w:tc>
          <w:tcPr>
            <w:tcW w:w="1043" w:type="dxa"/>
            <w:noWrap/>
            <w:hideMark/>
          </w:tcPr>
          <w:p w14:paraId="5FEA61C4" w14:textId="68CF6983" w:rsidR="00C22B37" w:rsidRPr="009A2FF7" w:rsidRDefault="00C22B37" w:rsidP="00C22B37">
            <w:pPr>
              <w:jc w:val="right"/>
              <w:rPr>
                <w:sz w:val="20"/>
                <w:szCs w:val="20"/>
              </w:rPr>
            </w:pPr>
            <w:r w:rsidRPr="00DD33AC">
              <w:rPr>
                <w:sz w:val="20"/>
                <w:szCs w:val="20"/>
              </w:rPr>
              <w:t>…*%</w:t>
            </w:r>
          </w:p>
        </w:tc>
        <w:tc>
          <w:tcPr>
            <w:tcW w:w="832" w:type="dxa"/>
            <w:noWrap/>
            <w:hideMark/>
          </w:tcPr>
          <w:p w14:paraId="3DB58D46" w14:textId="3B2F84ED" w:rsidR="00C22B37" w:rsidRPr="009A2FF7" w:rsidRDefault="00C22B37" w:rsidP="00C22B37">
            <w:pPr>
              <w:jc w:val="right"/>
              <w:rPr>
                <w:sz w:val="20"/>
                <w:szCs w:val="20"/>
              </w:rPr>
            </w:pPr>
            <w:r w:rsidRPr="00DD33AC">
              <w:rPr>
                <w:sz w:val="20"/>
                <w:szCs w:val="20"/>
              </w:rPr>
              <w:t>…*%</w:t>
            </w:r>
          </w:p>
        </w:tc>
        <w:tc>
          <w:tcPr>
            <w:tcW w:w="762" w:type="dxa"/>
            <w:noWrap/>
            <w:hideMark/>
          </w:tcPr>
          <w:p w14:paraId="78F98494" w14:textId="2A06CFEA" w:rsidR="00C22B37" w:rsidRPr="009A2FF7" w:rsidRDefault="00C22B37" w:rsidP="00C22B37">
            <w:pPr>
              <w:jc w:val="right"/>
              <w:rPr>
                <w:sz w:val="20"/>
                <w:szCs w:val="20"/>
              </w:rPr>
            </w:pPr>
            <w:r w:rsidRPr="00DD33AC">
              <w:rPr>
                <w:sz w:val="20"/>
                <w:szCs w:val="20"/>
              </w:rPr>
              <w:t>…*%</w:t>
            </w:r>
          </w:p>
        </w:tc>
      </w:tr>
      <w:tr w:rsidR="00C22B37" w:rsidRPr="006E317E" w14:paraId="4E6AB3ED" w14:textId="77777777" w:rsidTr="00FE198E">
        <w:trPr>
          <w:trHeight w:val="275"/>
        </w:trPr>
        <w:tc>
          <w:tcPr>
            <w:tcW w:w="2553" w:type="dxa"/>
            <w:noWrap/>
            <w:hideMark/>
          </w:tcPr>
          <w:p w14:paraId="4E26D50F" w14:textId="77777777" w:rsidR="00C22B37" w:rsidRPr="009A2FF7" w:rsidRDefault="00C22B37" w:rsidP="00C22B37">
            <w:pPr>
              <w:jc w:val="both"/>
              <w:rPr>
                <w:sz w:val="20"/>
                <w:szCs w:val="20"/>
              </w:rPr>
            </w:pPr>
            <w:r w:rsidRPr="009A2FF7">
              <w:rPr>
                <w:sz w:val="20"/>
                <w:szCs w:val="20"/>
              </w:rPr>
              <w:t xml:space="preserve">Kohtla-Järve Järve linnosa </w:t>
            </w:r>
          </w:p>
        </w:tc>
        <w:tc>
          <w:tcPr>
            <w:tcW w:w="917" w:type="dxa"/>
            <w:noWrap/>
            <w:hideMark/>
          </w:tcPr>
          <w:p w14:paraId="42C8703F" w14:textId="77777777" w:rsidR="00C22B37" w:rsidRPr="009A2FF7" w:rsidRDefault="00C22B37" w:rsidP="00C22B37">
            <w:pPr>
              <w:jc w:val="right"/>
              <w:rPr>
                <w:sz w:val="20"/>
                <w:szCs w:val="20"/>
              </w:rPr>
            </w:pPr>
            <w:r w:rsidRPr="009A2FF7">
              <w:rPr>
                <w:sz w:val="20"/>
                <w:szCs w:val="20"/>
              </w:rPr>
              <w:t>12 796</w:t>
            </w:r>
          </w:p>
        </w:tc>
        <w:tc>
          <w:tcPr>
            <w:tcW w:w="834" w:type="dxa"/>
            <w:noWrap/>
            <w:hideMark/>
          </w:tcPr>
          <w:p w14:paraId="1E870BE3" w14:textId="17CC5814" w:rsidR="00C22B37" w:rsidRPr="009A2FF7" w:rsidRDefault="00C22B37" w:rsidP="00C22B37">
            <w:pPr>
              <w:jc w:val="right"/>
              <w:rPr>
                <w:sz w:val="20"/>
                <w:szCs w:val="20"/>
              </w:rPr>
            </w:pPr>
            <w:r w:rsidRPr="00825744">
              <w:rPr>
                <w:sz w:val="20"/>
                <w:szCs w:val="20"/>
              </w:rPr>
              <w:t>…*%</w:t>
            </w:r>
          </w:p>
        </w:tc>
        <w:tc>
          <w:tcPr>
            <w:tcW w:w="744" w:type="dxa"/>
            <w:noWrap/>
            <w:hideMark/>
          </w:tcPr>
          <w:p w14:paraId="3DDFC5A1" w14:textId="0D5E2212" w:rsidR="00C22B37" w:rsidRPr="009A2FF7" w:rsidRDefault="00C22B37" w:rsidP="00C22B37">
            <w:pPr>
              <w:jc w:val="right"/>
              <w:rPr>
                <w:sz w:val="20"/>
                <w:szCs w:val="20"/>
              </w:rPr>
            </w:pPr>
            <w:r w:rsidRPr="0097270F">
              <w:rPr>
                <w:sz w:val="20"/>
                <w:szCs w:val="20"/>
              </w:rPr>
              <w:t>…*%</w:t>
            </w:r>
          </w:p>
        </w:tc>
        <w:tc>
          <w:tcPr>
            <w:tcW w:w="684" w:type="dxa"/>
            <w:noWrap/>
            <w:hideMark/>
          </w:tcPr>
          <w:p w14:paraId="4CAD73E0" w14:textId="7FE6930F" w:rsidR="00C22B37" w:rsidRPr="009A2FF7" w:rsidRDefault="00C22B37" w:rsidP="00C22B37">
            <w:pPr>
              <w:jc w:val="right"/>
              <w:rPr>
                <w:sz w:val="20"/>
                <w:szCs w:val="20"/>
              </w:rPr>
            </w:pPr>
            <w:r w:rsidRPr="00DD33AC">
              <w:rPr>
                <w:sz w:val="20"/>
                <w:szCs w:val="20"/>
              </w:rPr>
              <w:t>…*%</w:t>
            </w:r>
          </w:p>
        </w:tc>
        <w:tc>
          <w:tcPr>
            <w:tcW w:w="757" w:type="dxa"/>
            <w:noWrap/>
            <w:hideMark/>
          </w:tcPr>
          <w:p w14:paraId="35432FAB" w14:textId="53BB0A81" w:rsidR="00C22B37" w:rsidRPr="009A2FF7" w:rsidRDefault="00C22B37" w:rsidP="00C22B37">
            <w:pPr>
              <w:jc w:val="right"/>
              <w:rPr>
                <w:sz w:val="20"/>
                <w:szCs w:val="20"/>
              </w:rPr>
            </w:pPr>
            <w:r w:rsidRPr="00DD33AC">
              <w:rPr>
                <w:sz w:val="20"/>
                <w:szCs w:val="20"/>
              </w:rPr>
              <w:t>…*%</w:t>
            </w:r>
          </w:p>
        </w:tc>
        <w:tc>
          <w:tcPr>
            <w:tcW w:w="1043" w:type="dxa"/>
            <w:noWrap/>
            <w:hideMark/>
          </w:tcPr>
          <w:p w14:paraId="6D887E0C" w14:textId="0C1FBB67" w:rsidR="00C22B37" w:rsidRPr="009A2FF7" w:rsidRDefault="00C22B37" w:rsidP="00C22B37">
            <w:pPr>
              <w:jc w:val="right"/>
              <w:rPr>
                <w:sz w:val="20"/>
                <w:szCs w:val="20"/>
              </w:rPr>
            </w:pPr>
            <w:r w:rsidRPr="00DD33AC">
              <w:rPr>
                <w:sz w:val="20"/>
                <w:szCs w:val="20"/>
              </w:rPr>
              <w:t>…*%</w:t>
            </w:r>
          </w:p>
        </w:tc>
        <w:tc>
          <w:tcPr>
            <w:tcW w:w="832" w:type="dxa"/>
            <w:noWrap/>
            <w:hideMark/>
          </w:tcPr>
          <w:p w14:paraId="285884C7" w14:textId="2FFD50C3" w:rsidR="00C22B37" w:rsidRPr="009A2FF7" w:rsidRDefault="00C22B37" w:rsidP="00C22B37">
            <w:pPr>
              <w:jc w:val="right"/>
              <w:rPr>
                <w:sz w:val="20"/>
                <w:szCs w:val="20"/>
              </w:rPr>
            </w:pPr>
            <w:r w:rsidRPr="00DD33AC">
              <w:rPr>
                <w:sz w:val="20"/>
                <w:szCs w:val="20"/>
              </w:rPr>
              <w:t>…*%</w:t>
            </w:r>
          </w:p>
        </w:tc>
        <w:tc>
          <w:tcPr>
            <w:tcW w:w="762" w:type="dxa"/>
            <w:noWrap/>
            <w:hideMark/>
          </w:tcPr>
          <w:p w14:paraId="66EA87DA" w14:textId="0F26A363" w:rsidR="00C22B37" w:rsidRPr="009A2FF7" w:rsidRDefault="00C22B37" w:rsidP="00C22B37">
            <w:pPr>
              <w:jc w:val="right"/>
              <w:rPr>
                <w:sz w:val="20"/>
                <w:szCs w:val="20"/>
              </w:rPr>
            </w:pPr>
            <w:r w:rsidRPr="00DD33AC">
              <w:rPr>
                <w:sz w:val="20"/>
                <w:szCs w:val="20"/>
              </w:rPr>
              <w:t>…*%</w:t>
            </w:r>
          </w:p>
        </w:tc>
      </w:tr>
      <w:tr w:rsidR="00C22B37" w:rsidRPr="006E317E" w14:paraId="099306CE" w14:textId="77777777" w:rsidTr="00FE198E">
        <w:trPr>
          <w:trHeight w:val="275"/>
        </w:trPr>
        <w:tc>
          <w:tcPr>
            <w:tcW w:w="2553" w:type="dxa"/>
            <w:noWrap/>
            <w:hideMark/>
          </w:tcPr>
          <w:p w14:paraId="0D4D6A92" w14:textId="77777777" w:rsidR="00C22B37" w:rsidRPr="009A2FF7" w:rsidRDefault="00C22B37" w:rsidP="00C22B37">
            <w:pPr>
              <w:jc w:val="both"/>
              <w:rPr>
                <w:sz w:val="20"/>
                <w:szCs w:val="20"/>
              </w:rPr>
            </w:pPr>
            <w:r w:rsidRPr="009A2FF7">
              <w:rPr>
                <w:sz w:val="20"/>
                <w:szCs w:val="20"/>
              </w:rPr>
              <w:t xml:space="preserve">Narva linn </w:t>
            </w:r>
          </w:p>
        </w:tc>
        <w:tc>
          <w:tcPr>
            <w:tcW w:w="917" w:type="dxa"/>
            <w:noWrap/>
            <w:hideMark/>
          </w:tcPr>
          <w:p w14:paraId="6DFE24E6" w14:textId="77777777" w:rsidR="00C22B37" w:rsidRPr="009A2FF7" w:rsidRDefault="00C22B37" w:rsidP="00C22B37">
            <w:pPr>
              <w:jc w:val="right"/>
              <w:rPr>
                <w:sz w:val="20"/>
                <w:szCs w:val="20"/>
              </w:rPr>
            </w:pPr>
            <w:r w:rsidRPr="009A2FF7">
              <w:rPr>
                <w:sz w:val="20"/>
                <w:szCs w:val="20"/>
              </w:rPr>
              <w:t>37 487</w:t>
            </w:r>
          </w:p>
        </w:tc>
        <w:tc>
          <w:tcPr>
            <w:tcW w:w="834" w:type="dxa"/>
            <w:noWrap/>
            <w:hideMark/>
          </w:tcPr>
          <w:p w14:paraId="49DA7ECB" w14:textId="7B3BAF77" w:rsidR="00C22B37" w:rsidRPr="009A2FF7" w:rsidRDefault="00C22B37" w:rsidP="00C22B37">
            <w:pPr>
              <w:jc w:val="right"/>
              <w:rPr>
                <w:sz w:val="20"/>
                <w:szCs w:val="20"/>
              </w:rPr>
            </w:pPr>
            <w:r w:rsidRPr="00825744">
              <w:rPr>
                <w:sz w:val="20"/>
                <w:szCs w:val="20"/>
              </w:rPr>
              <w:t>…*%</w:t>
            </w:r>
          </w:p>
        </w:tc>
        <w:tc>
          <w:tcPr>
            <w:tcW w:w="744" w:type="dxa"/>
            <w:noWrap/>
            <w:hideMark/>
          </w:tcPr>
          <w:p w14:paraId="5E3F19AC" w14:textId="1525471E" w:rsidR="00C22B37" w:rsidRPr="009A2FF7" w:rsidRDefault="00C22B37" w:rsidP="00C22B37">
            <w:pPr>
              <w:jc w:val="right"/>
              <w:rPr>
                <w:sz w:val="20"/>
                <w:szCs w:val="20"/>
              </w:rPr>
            </w:pPr>
            <w:r w:rsidRPr="0097270F">
              <w:rPr>
                <w:sz w:val="20"/>
                <w:szCs w:val="20"/>
              </w:rPr>
              <w:t>…*%</w:t>
            </w:r>
          </w:p>
        </w:tc>
        <w:tc>
          <w:tcPr>
            <w:tcW w:w="684" w:type="dxa"/>
            <w:noWrap/>
            <w:hideMark/>
          </w:tcPr>
          <w:p w14:paraId="35C8B2DA" w14:textId="0896EF74" w:rsidR="00C22B37" w:rsidRPr="009A2FF7" w:rsidRDefault="00C22B37" w:rsidP="00C22B37">
            <w:pPr>
              <w:jc w:val="right"/>
              <w:rPr>
                <w:sz w:val="20"/>
                <w:szCs w:val="20"/>
              </w:rPr>
            </w:pPr>
            <w:r w:rsidRPr="00DD33AC">
              <w:rPr>
                <w:sz w:val="20"/>
                <w:szCs w:val="20"/>
              </w:rPr>
              <w:t>…*%</w:t>
            </w:r>
          </w:p>
        </w:tc>
        <w:tc>
          <w:tcPr>
            <w:tcW w:w="757" w:type="dxa"/>
            <w:noWrap/>
            <w:hideMark/>
          </w:tcPr>
          <w:p w14:paraId="6F822717" w14:textId="07A152CA" w:rsidR="00C22B37" w:rsidRPr="009A2FF7" w:rsidRDefault="00C22B37" w:rsidP="00C22B37">
            <w:pPr>
              <w:jc w:val="right"/>
              <w:rPr>
                <w:sz w:val="20"/>
                <w:szCs w:val="20"/>
              </w:rPr>
            </w:pPr>
            <w:r w:rsidRPr="00DD33AC">
              <w:rPr>
                <w:sz w:val="20"/>
                <w:szCs w:val="20"/>
              </w:rPr>
              <w:t>…*%</w:t>
            </w:r>
          </w:p>
        </w:tc>
        <w:tc>
          <w:tcPr>
            <w:tcW w:w="1043" w:type="dxa"/>
            <w:noWrap/>
            <w:hideMark/>
          </w:tcPr>
          <w:p w14:paraId="6F228BA6" w14:textId="17865A36" w:rsidR="00C22B37" w:rsidRPr="009A2FF7" w:rsidRDefault="00C22B37" w:rsidP="00C22B37">
            <w:pPr>
              <w:jc w:val="right"/>
              <w:rPr>
                <w:sz w:val="20"/>
                <w:szCs w:val="20"/>
              </w:rPr>
            </w:pPr>
            <w:r w:rsidRPr="00DD33AC">
              <w:rPr>
                <w:sz w:val="20"/>
                <w:szCs w:val="20"/>
              </w:rPr>
              <w:t>…*%</w:t>
            </w:r>
          </w:p>
        </w:tc>
        <w:tc>
          <w:tcPr>
            <w:tcW w:w="832" w:type="dxa"/>
            <w:noWrap/>
            <w:hideMark/>
          </w:tcPr>
          <w:p w14:paraId="1B544788" w14:textId="16382B1D" w:rsidR="00C22B37" w:rsidRPr="009A2FF7" w:rsidRDefault="00C22B37" w:rsidP="00C22B37">
            <w:pPr>
              <w:jc w:val="right"/>
              <w:rPr>
                <w:sz w:val="20"/>
                <w:szCs w:val="20"/>
              </w:rPr>
            </w:pPr>
            <w:r w:rsidRPr="00DD33AC">
              <w:rPr>
                <w:sz w:val="20"/>
                <w:szCs w:val="20"/>
              </w:rPr>
              <w:t>…*%</w:t>
            </w:r>
          </w:p>
        </w:tc>
        <w:tc>
          <w:tcPr>
            <w:tcW w:w="762" w:type="dxa"/>
            <w:noWrap/>
            <w:hideMark/>
          </w:tcPr>
          <w:p w14:paraId="0B48F95C" w14:textId="1457F2C2" w:rsidR="00C22B37" w:rsidRPr="009A2FF7" w:rsidRDefault="00C22B37" w:rsidP="00C22B37">
            <w:pPr>
              <w:jc w:val="right"/>
              <w:rPr>
                <w:sz w:val="20"/>
                <w:szCs w:val="20"/>
              </w:rPr>
            </w:pPr>
            <w:r w:rsidRPr="00DD33AC">
              <w:rPr>
                <w:sz w:val="20"/>
                <w:szCs w:val="20"/>
              </w:rPr>
              <w:t>…*%</w:t>
            </w:r>
          </w:p>
        </w:tc>
      </w:tr>
      <w:tr w:rsidR="00C22B37" w:rsidRPr="006E317E" w14:paraId="710847D9" w14:textId="77777777" w:rsidTr="00FE198E">
        <w:trPr>
          <w:trHeight w:val="284"/>
        </w:trPr>
        <w:tc>
          <w:tcPr>
            <w:tcW w:w="2553" w:type="dxa"/>
            <w:noWrap/>
            <w:hideMark/>
          </w:tcPr>
          <w:p w14:paraId="7E22AFF4" w14:textId="77777777" w:rsidR="00C22B37" w:rsidRPr="009A2FF7" w:rsidRDefault="00C22B37" w:rsidP="00C22B37">
            <w:pPr>
              <w:jc w:val="both"/>
              <w:rPr>
                <w:sz w:val="20"/>
                <w:szCs w:val="20"/>
              </w:rPr>
            </w:pPr>
            <w:r w:rsidRPr="009A2FF7">
              <w:rPr>
                <w:sz w:val="20"/>
                <w:szCs w:val="20"/>
              </w:rPr>
              <w:t xml:space="preserve">Sillamäe linn </w:t>
            </w:r>
          </w:p>
        </w:tc>
        <w:tc>
          <w:tcPr>
            <w:tcW w:w="917" w:type="dxa"/>
            <w:noWrap/>
            <w:hideMark/>
          </w:tcPr>
          <w:p w14:paraId="13C50DAB" w14:textId="77777777" w:rsidR="00C22B37" w:rsidRPr="009A2FF7" w:rsidRDefault="00C22B37" w:rsidP="00C22B37">
            <w:pPr>
              <w:jc w:val="right"/>
              <w:rPr>
                <w:sz w:val="20"/>
                <w:szCs w:val="20"/>
              </w:rPr>
            </w:pPr>
            <w:r w:rsidRPr="009A2FF7">
              <w:rPr>
                <w:sz w:val="20"/>
                <w:szCs w:val="20"/>
              </w:rPr>
              <w:t>9 191</w:t>
            </w:r>
          </w:p>
        </w:tc>
        <w:tc>
          <w:tcPr>
            <w:tcW w:w="834" w:type="dxa"/>
            <w:noWrap/>
            <w:hideMark/>
          </w:tcPr>
          <w:p w14:paraId="09AA0D80" w14:textId="6A54CF35" w:rsidR="00C22B37" w:rsidRPr="009A2FF7" w:rsidRDefault="00C22B37" w:rsidP="00C22B37">
            <w:pPr>
              <w:jc w:val="right"/>
              <w:rPr>
                <w:sz w:val="20"/>
                <w:szCs w:val="20"/>
              </w:rPr>
            </w:pPr>
            <w:r w:rsidRPr="00825744">
              <w:rPr>
                <w:sz w:val="20"/>
                <w:szCs w:val="20"/>
              </w:rPr>
              <w:t>…*%</w:t>
            </w:r>
          </w:p>
        </w:tc>
        <w:tc>
          <w:tcPr>
            <w:tcW w:w="744" w:type="dxa"/>
            <w:noWrap/>
            <w:hideMark/>
          </w:tcPr>
          <w:p w14:paraId="5BD499B3" w14:textId="1A41B1D6" w:rsidR="00C22B37" w:rsidRPr="009A2FF7" w:rsidRDefault="00C22B37" w:rsidP="00C22B37">
            <w:pPr>
              <w:jc w:val="right"/>
              <w:rPr>
                <w:sz w:val="20"/>
                <w:szCs w:val="20"/>
              </w:rPr>
            </w:pPr>
            <w:r w:rsidRPr="0097270F">
              <w:rPr>
                <w:sz w:val="20"/>
                <w:szCs w:val="20"/>
              </w:rPr>
              <w:t>…*%</w:t>
            </w:r>
          </w:p>
        </w:tc>
        <w:tc>
          <w:tcPr>
            <w:tcW w:w="684" w:type="dxa"/>
            <w:noWrap/>
            <w:hideMark/>
          </w:tcPr>
          <w:p w14:paraId="06195CB2" w14:textId="69FF68C0" w:rsidR="00C22B37" w:rsidRPr="009A2FF7" w:rsidRDefault="00C22B37" w:rsidP="00C22B37">
            <w:pPr>
              <w:jc w:val="right"/>
              <w:rPr>
                <w:sz w:val="20"/>
                <w:szCs w:val="20"/>
              </w:rPr>
            </w:pPr>
            <w:r w:rsidRPr="00DD33AC">
              <w:rPr>
                <w:sz w:val="20"/>
                <w:szCs w:val="20"/>
              </w:rPr>
              <w:t>…*%</w:t>
            </w:r>
          </w:p>
        </w:tc>
        <w:tc>
          <w:tcPr>
            <w:tcW w:w="757" w:type="dxa"/>
            <w:noWrap/>
            <w:hideMark/>
          </w:tcPr>
          <w:p w14:paraId="1605C506" w14:textId="2073FC18" w:rsidR="00C22B37" w:rsidRPr="009A2FF7" w:rsidRDefault="00C22B37" w:rsidP="00C22B37">
            <w:pPr>
              <w:jc w:val="right"/>
              <w:rPr>
                <w:sz w:val="20"/>
                <w:szCs w:val="20"/>
              </w:rPr>
            </w:pPr>
            <w:r w:rsidRPr="00DD33AC">
              <w:rPr>
                <w:sz w:val="20"/>
                <w:szCs w:val="20"/>
              </w:rPr>
              <w:t>…*%</w:t>
            </w:r>
          </w:p>
        </w:tc>
        <w:tc>
          <w:tcPr>
            <w:tcW w:w="1043" w:type="dxa"/>
            <w:noWrap/>
            <w:hideMark/>
          </w:tcPr>
          <w:p w14:paraId="76643F08" w14:textId="5A076CDA" w:rsidR="00C22B37" w:rsidRPr="009A2FF7" w:rsidRDefault="00C22B37" w:rsidP="00C22B37">
            <w:pPr>
              <w:jc w:val="right"/>
              <w:rPr>
                <w:sz w:val="20"/>
                <w:szCs w:val="20"/>
              </w:rPr>
            </w:pPr>
            <w:r w:rsidRPr="00DD33AC">
              <w:rPr>
                <w:sz w:val="20"/>
                <w:szCs w:val="20"/>
              </w:rPr>
              <w:t>…*%</w:t>
            </w:r>
          </w:p>
        </w:tc>
        <w:tc>
          <w:tcPr>
            <w:tcW w:w="832" w:type="dxa"/>
            <w:noWrap/>
            <w:hideMark/>
          </w:tcPr>
          <w:p w14:paraId="7ED31D86" w14:textId="7B0CB3A6" w:rsidR="00C22B37" w:rsidRPr="009A2FF7" w:rsidRDefault="00C22B37" w:rsidP="00C22B37">
            <w:pPr>
              <w:jc w:val="right"/>
              <w:rPr>
                <w:sz w:val="20"/>
                <w:szCs w:val="20"/>
              </w:rPr>
            </w:pPr>
            <w:r w:rsidRPr="00DD33AC">
              <w:rPr>
                <w:sz w:val="20"/>
                <w:szCs w:val="20"/>
              </w:rPr>
              <w:t>…*%</w:t>
            </w:r>
          </w:p>
        </w:tc>
        <w:tc>
          <w:tcPr>
            <w:tcW w:w="762" w:type="dxa"/>
            <w:noWrap/>
            <w:hideMark/>
          </w:tcPr>
          <w:p w14:paraId="04209532" w14:textId="238C1BB5" w:rsidR="00C22B37" w:rsidRPr="009A2FF7" w:rsidRDefault="00C22B37" w:rsidP="00C22B37">
            <w:pPr>
              <w:jc w:val="right"/>
              <w:rPr>
                <w:sz w:val="20"/>
                <w:szCs w:val="20"/>
              </w:rPr>
            </w:pPr>
            <w:r w:rsidRPr="00DD33AC">
              <w:rPr>
                <w:sz w:val="20"/>
                <w:szCs w:val="20"/>
              </w:rPr>
              <w:t>…*%</w:t>
            </w:r>
          </w:p>
        </w:tc>
      </w:tr>
    </w:tbl>
    <w:p w14:paraId="65B941DF" w14:textId="4459F1D9" w:rsidR="00EC24B2" w:rsidRPr="006E317E" w:rsidRDefault="009A2FF7" w:rsidP="00AA241E">
      <w:pPr>
        <w:pStyle w:val="Pealdis"/>
        <w:spacing w:before="0" w:after="0"/>
        <w:jc w:val="both"/>
      </w:pPr>
      <w:r>
        <w:lastRenderedPageBreak/>
        <w:t xml:space="preserve">Tabel </w:t>
      </w:r>
      <w:r>
        <w:fldChar w:fldCharType="begin"/>
      </w:r>
      <w:r>
        <w:instrText xml:space="preserve"> SEQ Tabel \* ARABIC </w:instrText>
      </w:r>
      <w:r>
        <w:fldChar w:fldCharType="separate"/>
      </w:r>
      <w:r w:rsidR="00247D84">
        <w:rPr>
          <w:noProof/>
        </w:rPr>
        <w:t>27</w:t>
      </w:r>
      <w:r>
        <w:fldChar w:fldCharType="end"/>
      </w:r>
      <w:r>
        <w:t xml:space="preserve"> </w:t>
      </w:r>
      <w:r w:rsidR="00EC24B2" w:rsidRPr="006E317E">
        <w:t xml:space="preserve">A piirkonnas tegutsevate side ettevõtjate sidevõrkude katvus </w:t>
      </w:r>
      <w:r w:rsidR="00A3232C">
        <w:t>valguskaabelvõrgu</w:t>
      </w:r>
      <w:r w:rsidR="00FE198E" w:rsidRPr="006E317E">
        <w:t xml:space="preserve"> jaetasandi internetiühenduste tootetur</w:t>
      </w:r>
      <w:r w:rsidR="00FE198E">
        <w:t>ul</w:t>
      </w:r>
    </w:p>
    <w:p w14:paraId="0F20F38A" w14:textId="11CC04AB" w:rsidR="00EC24B2" w:rsidRPr="006E317E" w:rsidRDefault="00EC24B2" w:rsidP="00AA241E">
      <w:pPr>
        <w:spacing w:after="0"/>
        <w:jc w:val="both"/>
      </w:pPr>
      <w:r w:rsidRPr="006E317E">
        <w:t xml:space="preserve">Üheski teises Eesti linnas ei ole nii palju FTTH ja FTTB interneti püsiteenuse pakkujaid kui Tallinnas ehk 10 teenuse osutajat, kellest kuus on väga lokaalsed ja väiksed teenuse osutajad ning neid analüüsis ei käsitleta. Tallinna linnosades, Maardus ja Ida-Virumaa viies linnas on teenuseosutajad oma elektroonilise side võrke arendanud järk-järgult, mille tulemusena viitavad praegused turuosad tõhusale konkurentsile. Seega on takistused elektroonilise side turule sisenemisel ja laiendamisel A piirkonnas </w:t>
      </w:r>
      <w:r w:rsidR="00A3232C">
        <w:t>valguskaabelvõrgu</w:t>
      </w:r>
      <w:r w:rsidR="00FE198E" w:rsidRPr="006E317E">
        <w:t xml:space="preserve"> jaetasandi internetiühenduste tootetur</w:t>
      </w:r>
      <w:r w:rsidR="00FE198E">
        <w:t xml:space="preserve">ul </w:t>
      </w:r>
      <w:r w:rsidRPr="006E317E">
        <w:t xml:space="preserve">nüüdseks teataval määral ületatud. Hoolimata asjaolust, et A piirkonnas on FTTH ja FTTB osakaal suurim, kuid A piirkondades endiselt suhteliselt suur arv leibkondi (12-27%), kellel ei ole FTTH või FTTB aktiivset ühenduse võimalust. Selle üheks põhjuseks on endiselt eksisteerivad tõkked turule sisenemisel ja eelkõige takistused elektroonilise side võrgu </w:t>
      </w:r>
      <w:r w:rsidR="00EC1D2A">
        <w:t>katvuse</w:t>
      </w:r>
      <w:r w:rsidRPr="006E317E">
        <w:t xml:space="preserve"> laiendamisel ka A  piirkonnas.</w:t>
      </w:r>
    </w:p>
    <w:p w14:paraId="7E2B9B58" w14:textId="0D2F378D" w:rsidR="00EC24B2" w:rsidRDefault="00EC24B2" w:rsidP="00AA241E">
      <w:pPr>
        <w:spacing w:after="0"/>
        <w:jc w:val="both"/>
      </w:pPr>
      <w:r w:rsidRPr="006E317E">
        <w:t xml:space="preserve">Mis puudutab Eesti territooriumi B piirkonnas, siis seal on mõningane infrastruktuuripõhine konkurents. Peamiselt linnades on peamiselt suuremate üle Eesti teenuseid osutavate Telia ja Elisa operaatoritega konkureerivad väikesed kohalikud operaatorid, kelle elektroonilise side võrgu leviala on piiratud, mis aga avaldab turgu valitsevale operaatorile teatavat konkurentsisurvet. Turuosad näitavad siiski, et alternatiivsed operaatorid ei ole suutnud oma positsiooni </w:t>
      </w:r>
      <w:r w:rsidR="000B3A91" w:rsidRPr="006E317E">
        <w:t>jae sektoris</w:t>
      </w:r>
      <w:r w:rsidRPr="006E317E">
        <w:t xml:space="preserve"> piisavalt tugevdada. Viieteistkümnes maa piirkonnas ei ole territoorium tihedalt asustatud ja kulud võrgu rajamiseks aadressiobjekti kohta on suured, samuti on elektroonilise side võrgu leviala selliste väikeste teenuse osutajate jaoks piiratud. Alternatiivide puudumisel on ainus Interneti-teenuse pakkuja Telia. (Tabel</w:t>
      </w:r>
      <w:r w:rsidR="00FD58A8">
        <w:t>id</w:t>
      </w:r>
      <w:r w:rsidRPr="006E317E">
        <w:t xml:space="preserve"> </w:t>
      </w:r>
      <w:r w:rsidR="00FD58A8">
        <w:t>2</w:t>
      </w:r>
      <w:r w:rsidR="00346D5D">
        <w:t>8</w:t>
      </w:r>
      <w:r w:rsidR="00FD58A8">
        <w:t xml:space="preserve"> ja 2</w:t>
      </w:r>
      <w:r w:rsidR="00346D5D">
        <w:t>9</w:t>
      </w:r>
      <w:r w:rsidRPr="006E317E">
        <w:t>)</w:t>
      </w:r>
    </w:p>
    <w:tbl>
      <w:tblPr>
        <w:tblStyle w:val="Kontuurtabel1"/>
        <w:tblW w:w="5000" w:type="pct"/>
        <w:tblLook w:val="0600" w:firstRow="0" w:lastRow="0" w:firstColumn="0" w:lastColumn="0" w:noHBand="1" w:noVBand="1"/>
      </w:tblPr>
      <w:tblGrid>
        <w:gridCol w:w="2869"/>
        <w:gridCol w:w="926"/>
        <w:gridCol w:w="729"/>
        <w:gridCol w:w="718"/>
        <w:gridCol w:w="692"/>
        <w:gridCol w:w="823"/>
        <w:gridCol w:w="823"/>
        <w:gridCol w:w="770"/>
        <w:gridCol w:w="1000"/>
      </w:tblGrid>
      <w:tr w:rsidR="005C5C85" w:rsidRPr="002E30B8" w14:paraId="2C13E289" w14:textId="77777777" w:rsidTr="007F7A07">
        <w:trPr>
          <w:trHeight w:val="345"/>
        </w:trPr>
        <w:tc>
          <w:tcPr>
            <w:tcW w:w="1534" w:type="pct"/>
            <w:shd w:val="clear" w:color="auto" w:fill="92D050"/>
            <w:noWrap/>
            <w:hideMark/>
          </w:tcPr>
          <w:p w14:paraId="69F3713B" w14:textId="045499D4" w:rsidR="00EC24B2" w:rsidRPr="005C5C85" w:rsidRDefault="002E30B8" w:rsidP="00AA241E">
            <w:pPr>
              <w:jc w:val="both"/>
              <w:rPr>
                <w:b/>
                <w:bCs/>
                <w:sz w:val="20"/>
                <w:szCs w:val="20"/>
              </w:rPr>
            </w:pPr>
            <w:r w:rsidRPr="005C5C85">
              <w:rPr>
                <w:b/>
                <w:bCs/>
                <w:sz w:val="20"/>
                <w:szCs w:val="20"/>
              </w:rPr>
              <w:t>Piirkond</w:t>
            </w:r>
          </w:p>
        </w:tc>
        <w:tc>
          <w:tcPr>
            <w:tcW w:w="495" w:type="pct"/>
            <w:shd w:val="clear" w:color="auto" w:fill="92D050"/>
            <w:noWrap/>
            <w:hideMark/>
          </w:tcPr>
          <w:p w14:paraId="3B4BE4C9" w14:textId="1C277AEF" w:rsidR="00EC24B2" w:rsidRPr="005C5C85" w:rsidRDefault="002E30B8" w:rsidP="00AA241E">
            <w:pPr>
              <w:jc w:val="both"/>
              <w:rPr>
                <w:b/>
                <w:bCs/>
                <w:sz w:val="20"/>
                <w:szCs w:val="20"/>
              </w:rPr>
            </w:pPr>
            <w:r w:rsidRPr="005C5C85">
              <w:rPr>
                <w:b/>
                <w:bCs/>
                <w:sz w:val="20"/>
                <w:szCs w:val="20"/>
              </w:rPr>
              <w:t>Ruume</w:t>
            </w:r>
          </w:p>
        </w:tc>
        <w:tc>
          <w:tcPr>
            <w:tcW w:w="390" w:type="pct"/>
            <w:shd w:val="clear" w:color="auto" w:fill="92D050"/>
            <w:noWrap/>
            <w:hideMark/>
          </w:tcPr>
          <w:p w14:paraId="6994D2A0" w14:textId="77777777" w:rsidR="00EC24B2" w:rsidRPr="005C5C85" w:rsidRDefault="00EC24B2" w:rsidP="00AA241E">
            <w:pPr>
              <w:jc w:val="both"/>
              <w:rPr>
                <w:b/>
                <w:bCs/>
                <w:sz w:val="20"/>
                <w:szCs w:val="20"/>
              </w:rPr>
            </w:pPr>
            <w:r w:rsidRPr="005C5C85">
              <w:rPr>
                <w:b/>
                <w:bCs/>
                <w:sz w:val="20"/>
                <w:szCs w:val="20"/>
              </w:rPr>
              <w:t>Telia</w:t>
            </w:r>
          </w:p>
        </w:tc>
        <w:tc>
          <w:tcPr>
            <w:tcW w:w="384" w:type="pct"/>
            <w:shd w:val="clear" w:color="auto" w:fill="92D050"/>
            <w:noWrap/>
            <w:hideMark/>
          </w:tcPr>
          <w:p w14:paraId="0D613BA4" w14:textId="77777777" w:rsidR="00EC24B2" w:rsidRPr="005C5C85" w:rsidRDefault="00EC24B2" w:rsidP="00AA241E">
            <w:pPr>
              <w:jc w:val="both"/>
              <w:rPr>
                <w:b/>
                <w:bCs/>
                <w:sz w:val="20"/>
                <w:szCs w:val="20"/>
              </w:rPr>
            </w:pPr>
            <w:r w:rsidRPr="005C5C85">
              <w:rPr>
                <w:b/>
                <w:bCs/>
                <w:sz w:val="20"/>
                <w:szCs w:val="20"/>
              </w:rPr>
              <w:t>Elisa</w:t>
            </w:r>
          </w:p>
        </w:tc>
        <w:tc>
          <w:tcPr>
            <w:tcW w:w="370" w:type="pct"/>
            <w:shd w:val="clear" w:color="auto" w:fill="92D050"/>
            <w:noWrap/>
            <w:hideMark/>
          </w:tcPr>
          <w:p w14:paraId="6639AB30" w14:textId="77777777" w:rsidR="00EC24B2" w:rsidRPr="005C5C85" w:rsidRDefault="00EC24B2" w:rsidP="00AA241E">
            <w:pPr>
              <w:jc w:val="both"/>
              <w:rPr>
                <w:b/>
                <w:bCs/>
                <w:sz w:val="20"/>
                <w:szCs w:val="20"/>
              </w:rPr>
            </w:pPr>
            <w:r w:rsidRPr="005C5C85">
              <w:rPr>
                <w:b/>
                <w:bCs/>
                <w:sz w:val="20"/>
                <w:szCs w:val="20"/>
              </w:rPr>
              <w:t>STV</w:t>
            </w:r>
          </w:p>
        </w:tc>
        <w:tc>
          <w:tcPr>
            <w:tcW w:w="440" w:type="pct"/>
            <w:shd w:val="clear" w:color="auto" w:fill="92D050"/>
            <w:noWrap/>
            <w:hideMark/>
          </w:tcPr>
          <w:p w14:paraId="4D693B82" w14:textId="77777777" w:rsidR="00EC24B2" w:rsidRPr="005C5C85" w:rsidRDefault="00EC24B2" w:rsidP="00AA241E">
            <w:pPr>
              <w:jc w:val="both"/>
              <w:rPr>
                <w:b/>
                <w:bCs/>
                <w:sz w:val="20"/>
                <w:szCs w:val="20"/>
              </w:rPr>
            </w:pPr>
            <w:r w:rsidRPr="005C5C85">
              <w:rPr>
                <w:b/>
                <w:bCs/>
                <w:sz w:val="20"/>
                <w:szCs w:val="20"/>
              </w:rPr>
              <w:t>Telset</w:t>
            </w:r>
          </w:p>
        </w:tc>
        <w:tc>
          <w:tcPr>
            <w:tcW w:w="440" w:type="pct"/>
            <w:shd w:val="clear" w:color="auto" w:fill="92D050"/>
            <w:noWrap/>
            <w:hideMark/>
          </w:tcPr>
          <w:p w14:paraId="591CD9B8" w14:textId="77777777" w:rsidR="00EC24B2" w:rsidRPr="005C5C85" w:rsidRDefault="00EC24B2" w:rsidP="00AA241E">
            <w:pPr>
              <w:jc w:val="both"/>
              <w:rPr>
                <w:b/>
                <w:bCs/>
                <w:sz w:val="20"/>
                <w:szCs w:val="20"/>
              </w:rPr>
            </w:pPr>
            <w:r w:rsidRPr="005C5C85">
              <w:rPr>
                <w:b/>
                <w:bCs/>
                <w:sz w:val="20"/>
                <w:szCs w:val="20"/>
              </w:rPr>
              <w:t>Enefit</w:t>
            </w:r>
          </w:p>
        </w:tc>
        <w:tc>
          <w:tcPr>
            <w:tcW w:w="412" w:type="pct"/>
            <w:shd w:val="clear" w:color="auto" w:fill="92D050"/>
            <w:noWrap/>
            <w:hideMark/>
          </w:tcPr>
          <w:p w14:paraId="42D94C79" w14:textId="77777777" w:rsidR="00EC24B2" w:rsidRPr="005C5C85" w:rsidRDefault="00EC24B2" w:rsidP="00AA241E">
            <w:pPr>
              <w:jc w:val="both"/>
              <w:rPr>
                <w:b/>
                <w:bCs/>
                <w:sz w:val="20"/>
                <w:szCs w:val="20"/>
              </w:rPr>
            </w:pPr>
            <w:r w:rsidRPr="005C5C85">
              <w:rPr>
                <w:b/>
                <w:bCs/>
                <w:sz w:val="20"/>
                <w:szCs w:val="20"/>
              </w:rPr>
              <w:t>Corle</w:t>
            </w:r>
          </w:p>
        </w:tc>
        <w:tc>
          <w:tcPr>
            <w:tcW w:w="535" w:type="pct"/>
            <w:shd w:val="clear" w:color="auto" w:fill="92D050"/>
            <w:noWrap/>
            <w:hideMark/>
          </w:tcPr>
          <w:p w14:paraId="255795A0" w14:textId="11DEC8FA" w:rsidR="00EC24B2" w:rsidRPr="005C5C85" w:rsidRDefault="00EC24B2" w:rsidP="00AA241E">
            <w:pPr>
              <w:jc w:val="both"/>
              <w:rPr>
                <w:b/>
                <w:bCs/>
                <w:sz w:val="20"/>
                <w:szCs w:val="20"/>
              </w:rPr>
            </w:pPr>
            <w:r w:rsidRPr="005C5C85">
              <w:rPr>
                <w:b/>
                <w:bCs/>
                <w:sz w:val="20"/>
                <w:szCs w:val="20"/>
              </w:rPr>
              <w:t>ELA</w:t>
            </w:r>
            <w:r w:rsidR="00403A74">
              <w:rPr>
                <w:b/>
                <w:bCs/>
                <w:sz w:val="20"/>
                <w:szCs w:val="20"/>
              </w:rPr>
              <w:t xml:space="preserve"> </w:t>
            </w:r>
            <w:r w:rsidRPr="005C5C85">
              <w:rPr>
                <w:b/>
                <w:bCs/>
                <w:sz w:val="20"/>
                <w:szCs w:val="20"/>
              </w:rPr>
              <w:t>SA</w:t>
            </w:r>
          </w:p>
        </w:tc>
      </w:tr>
      <w:tr w:rsidR="00C22B37" w:rsidRPr="002E30B8" w14:paraId="41681E29" w14:textId="77777777" w:rsidTr="007F7A07">
        <w:trPr>
          <w:trHeight w:val="223"/>
        </w:trPr>
        <w:tc>
          <w:tcPr>
            <w:tcW w:w="1534" w:type="pct"/>
            <w:noWrap/>
            <w:hideMark/>
          </w:tcPr>
          <w:p w14:paraId="11E65938" w14:textId="3C9DFF1B" w:rsidR="00C22B37" w:rsidRPr="002E30B8" w:rsidRDefault="00C22B37" w:rsidP="00C22B37">
            <w:pPr>
              <w:jc w:val="both"/>
              <w:rPr>
                <w:sz w:val="20"/>
                <w:szCs w:val="20"/>
              </w:rPr>
            </w:pPr>
            <w:r w:rsidRPr="002E30B8">
              <w:rPr>
                <w:sz w:val="20"/>
                <w:szCs w:val="20"/>
              </w:rPr>
              <w:t>Keila linn</w:t>
            </w:r>
          </w:p>
        </w:tc>
        <w:tc>
          <w:tcPr>
            <w:tcW w:w="495" w:type="pct"/>
            <w:noWrap/>
            <w:hideMark/>
          </w:tcPr>
          <w:p w14:paraId="4CF97CB4" w14:textId="77777777" w:rsidR="00C22B37" w:rsidRPr="002E30B8" w:rsidRDefault="00C22B37" w:rsidP="00C22B37">
            <w:pPr>
              <w:jc w:val="right"/>
              <w:rPr>
                <w:sz w:val="20"/>
                <w:szCs w:val="20"/>
              </w:rPr>
            </w:pPr>
            <w:r w:rsidRPr="002E30B8">
              <w:rPr>
                <w:sz w:val="20"/>
                <w:szCs w:val="20"/>
              </w:rPr>
              <w:t>5 387</w:t>
            </w:r>
          </w:p>
        </w:tc>
        <w:tc>
          <w:tcPr>
            <w:tcW w:w="390" w:type="pct"/>
            <w:noWrap/>
            <w:hideMark/>
          </w:tcPr>
          <w:p w14:paraId="1A31EA8C" w14:textId="6FBE28C5" w:rsidR="00C22B37" w:rsidRPr="002E30B8" w:rsidRDefault="00C22B37" w:rsidP="00C22B37">
            <w:pPr>
              <w:jc w:val="right"/>
              <w:rPr>
                <w:sz w:val="20"/>
                <w:szCs w:val="20"/>
              </w:rPr>
            </w:pPr>
            <w:r w:rsidRPr="001320AF">
              <w:rPr>
                <w:sz w:val="20"/>
                <w:szCs w:val="20"/>
              </w:rPr>
              <w:t>…*%</w:t>
            </w:r>
          </w:p>
        </w:tc>
        <w:tc>
          <w:tcPr>
            <w:tcW w:w="384" w:type="pct"/>
            <w:noWrap/>
            <w:hideMark/>
          </w:tcPr>
          <w:p w14:paraId="07FFB895" w14:textId="588BA65F" w:rsidR="00C22B37" w:rsidRPr="002E30B8" w:rsidRDefault="00C22B37" w:rsidP="00C22B37">
            <w:pPr>
              <w:jc w:val="right"/>
              <w:rPr>
                <w:sz w:val="20"/>
                <w:szCs w:val="20"/>
              </w:rPr>
            </w:pPr>
            <w:r w:rsidRPr="00CC095C">
              <w:rPr>
                <w:sz w:val="20"/>
                <w:szCs w:val="20"/>
              </w:rPr>
              <w:t>…*%</w:t>
            </w:r>
          </w:p>
        </w:tc>
        <w:tc>
          <w:tcPr>
            <w:tcW w:w="370" w:type="pct"/>
            <w:noWrap/>
            <w:hideMark/>
          </w:tcPr>
          <w:p w14:paraId="7858D6AF" w14:textId="395FA0FE" w:rsidR="00C22B37" w:rsidRPr="002E30B8" w:rsidRDefault="00C22B37" w:rsidP="00C22B37">
            <w:pPr>
              <w:jc w:val="right"/>
              <w:rPr>
                <w:sz w:val="20"/>
                <w:szCs w:val="20"/>
              </w:rPr>
            </w:pPr>
            <w:r w:rsidRPr="00CC095C">
              <w:rPr>
                <w:sz w:val="20"/>
                <w:szCs w:val="20"/>
              </w:rPr>
              <w:t>…*%</w:t>
            </w:r>
          </w:p>
        </w:tc>
        <w:tc>
          <w:tcPr>
            <w:tcW w:w="440" w:type="pct"/>
            <w:noWrap/>
            <w:hideMark/>
          </w:tcPr>
          <w:p w14:paraId="0330FE60" w14:textId="0C1D21B6" w:rsidR="00C22B37" w:rsidRPr="002E30B8" w:rsidRDefault="00C22B37" w:rsidP="00C22B37">
            <w:pPr>
              <w:jc w:val="right"/>
              <w:rPr>
                <w:sz w:val="20"/>
                <w:szCs w:val="20"/>
              </w:rPr>
            </w:pPr>
            <w:r w:rsidRPr="00CC095C">
              <w:rPr>
                <w:sz w:val="20"/>
                <w:szCs w:val="20"/>
              </w:rPr>
              <w:t>…*%</w:t>
            </w:r>
          </w:p>
        </w:tc>
        <w:tc>
          <w:tcPr>
            <w:tcW w:w="440" w:type="pct"/>
            <w:noWrap/>
            <w:hideMark/>
          </w:tcPr>
          <w:p w14:paraId="099B53AA" w14:textId="13872EC9" w:rsidR="00C22B37" w:rsidRPr="002E30B8" w:rsidRDefault="00C22B37" w:rsidP="00C22B37">
            <w:pPr>
              <w:jc w:val="right"/>
              <w:rPr>
                <w:sz w:val="20"/>
                <w:szCs w:val="20"/>
              </w:rPr>
            </w:pPr>
            <w:r w:rsidRPr="00CC095C">
              <w:rPr>
                <w:sz w:val="20"/>
                <w:szCs w:val="20"/>
              </w:rPr>
              <w:t>…*%</w:t>
            </w:r>
          </w:p>
        </w:tc>
        <w:tc>
          <w:tcPr>
            <w:tcW w:w="412" w:type="pct"/>
            <w:noWrap/>
            <w:hideMark/>
          </w:tcPr>
          <w:p w14:paraId="26E54960" w14:textId="0570051C" w:rsidR="00C22B37" w:rsidRPr="002E30B8" w:rsidRDefault="00C22B37" w:rsidP="00C22B37">
            <w:pPr>
              <w:jc w:val="right"/>
              <w:rPr>
                <w:sz w:val="20"/>
                <w:szCs w:val="20"/>
              </w:rPr>
            </w:pPr>
            <w:r w:rsidRPr="00CC095C">
              <w:rPr>
                <w:sz w:val="20"/>
                <w:szCs w:val="20"/>
              </w:rPr>
              <w:t>…*%</w:t>
            </w:r>
          </w:p>
        </w:tc>
        <w:tc>
          <w:tcPr>
            <w:tcW w:w="535" w:type="pct"/>
            <w:noWrap/>
            <w:hideMark/>
          </w:tcPr>
          <w:p w14:paraId="453C9D37" w14:textId="328621BD" w:rsidR="00C22B37" w:rsidRPr="002E30B8" w:rsidRDefault="00C22B37" w:rsidP="00C22B37">
            <w:pPr>
              <w:jc w:val="right"/>
              <w:rPr>
                <w:sz w:val="20"/>
                <w:szCs w:val="20"/>
              </w:rPr>
            </w:pPr>
            <w:r w:rsidRPr="00CC095C">
              <w:rPr>
                <w:sz w:val="20"/>
                <w:szCs w:val="20"/>
              </w:rPr>
              <w:t>…*%</w:t>
            </w:r>
          </w:p>
        </w:tc>
      </w:tr>
      <w:tr w:rsidR="00C22B37" w:rsidRPr="002E30B8" w14:paraId="32F6C391" w14:textId="77777777" w:rsidTr="007F7A07">
        <w:trPr>
          <w:trHeight w:val="157"/>
        </w:trPr>
        <w:tc>
          <w:tcPr>
            <w:tcW w:w="1534" w:type="pct"/>
            <w:noWrap/>
            <w:hideMark/>
          </w:tcPr>
          <w:p w14:paraId="5259DE84" w14:textId="14508547" w:rsidR="00C22B37" w:rsidRPr="002E30B8" w:rsidRDefault="00C22B37" w:rsidP="00C22B37">
            <w:pPr>
              <w:jc w:val="both"/>
              <w:rPr>
                <w:sz w:val="20"/>
                <w:szCs w:val="20"/>
              </w:rPr>
            </w:pPr>
            <w:r w:rsidRPr="002E30B8">
              <w:rPr>
                <w:sz w:val="20"/>
                <w:szCs w:val="20"/>
              </w:rPr>
              <w:t>Saue linn</w:t>
            </w:r>
          </w:p>
        </w:tc>
        <w:tc>
          <w:tcPr>
            <w:tcW w:w="495" w:type="pct"/>
            <w:noWrap/>
            <w:hideMark/>
          </w:tcPr>
          <w:p w14:paraId="5CBA3CB4" w14:textId="77777777" w:rsidR="00C22B37" w:rsidRPr="002E30B8" w:rsidRDefault="00C22B37" w:rsidP="00C22B37">
            <w:pPr>
              <w:jc w:val="right"/>
              <w:rPr>
                <w:sz w:val="20"/>
                <w:szCs w:val="20"/>
              </w:rPr>
            </w:pPr>
            <w:r w:rsidRPr="002E30B8">
              <w:rPr>
                <w:sz w:val="20"/>
                <w:szCs w:val="20"/>
              </w:rPr>
              <w:t>2 746</w:t>
            </w:r>
          </w:p>
        </w:tc>
        <w:tc>
          <w:tcPr>
            <w:tcW w:w="390" w:type="pct"/>
            <w:noWrap/>
            <w:hideMark/>
          </w:tcPr>
          <w:p w14:paraId="6FB79B8E" w14:textId="3E27F33B" w:rsidR="00C22B37" w:rsidRPr="002E30B8" w:rsidRDefault="00C22B37" w:rsidP="00C22B37">
            <w:pPr>
              <w:jc w:val="right"/>
              <w:rPr>
                <w:sz w:val="20"/>
                <w:szCs w:val="20"/>
              </w:rPr>
            </w:pPr>
            <w:r w:rsidRPr="001320AF">
              <w:rPr>
                <w:sz w:val="20"/>
                <w:szCs w:val="20"/>
              </w:rPr>
              <w:t>…*%</w:t>
            </w:r>
          </w:p>
        </w:tc>
        <w:tc>
          <w:tcPr>
            <w:tcW w:w="384" w:type="pct"/>
            <w:noWrap/>
            <w:hideMark/>
          </w:tcPr>
          <w:p w14:paraId="71D79271" w14:textId="75D55AEB" w:rsidR="00C22B37" w:rsidRPr="002E30B8" w:rsidRDefault="00C22B37" w:rsidP="00C22B37">
            <w:pPr>
              <w:jc w:val="right"/>
              <w:rPr>
                <w:sz w:val="20"/>
                <w:szCs w:val="20"/>
              </w:rPr>
            </w:pPr>
            <w:r w:rsidRPr="00CC095C">
              <w:rPr>
                <w:sz w:val="20"/>
                <w:szCs w:val="20"/>
              </w:rPr>
              <w:t>…*%</w:t>
            </w:r>
          </w:p>
        </w:tc>
        <w:tc>
          <w:tcPr>
            <w:tcW w:w="370" w:type="pct"/>
            <w:noWrap/>
            <w:hideMark/>
          </w:tcPr>
          <w:p w14:paraId="7619DCA1" w14:textId="0FF9B24A" w:rsidR="00C22B37" w:rsidRPr="002E30B8" w:rsidRDefault="00C22B37" w:rsidP="00C22B37">
            <w:pPr>
              <w:jc w:val="right"/>
              <w:rPr>
                <w:sz w:val="20"/>
                <w:szCs w:val="20"/>
              </w:rPr>
            </w:pPr>
            <w:r w:rsidRPr="00CC095C">
              <w:rPr>
                <w:sz w:val="20"/>
                <w:szCs w:val="20"/>
              </w:rPr>
              <w:t>…*%</w:t>
            </w:r>
          </w:p>
        </w:tc>
        <w:tc>
          <w:tcPr>
            <w:tcW w:w="440" w:type="pct"/>
            <w:noWrap/>
            <w:hideMark/>
          </w:tcPr>
          <w:p w14:paraId="5931F5C3" w14:textId="0C9882D9" w:rsidR="00C22B37" w:rsidRPr="002E30B8" w:rsidRDefault="00C22B37" w:rsidP="00C22B37">
            <w:pPr>
              <w:jc w:val="right"/>
              <w:rPr>
                <w:sz w:val="20"/>
                <w:szCs w:val="20"/>
              </w:rPr>
            </w:pPr>
            <w:r w:rsidRPr="00CC095C">
              <w:rPr>
                <w:sz w:val="20"/>
                <w:szCs w:val="20"/>
              </w:rPr>
              <w:t>…*%</w:t>
            </w:r>
          </w:p>
        </w:tc>
        <w:tc>
          <w:tcPr>
            <w:tcW w:w="440" w:type="pct"/>
            <w:noWrap/>
            <w:hideMark/>
          </w:tcPr>
          <w:p w14:paraId="6CAE1B9E" w14:textId="4C0C9E1D" w:rsidR="00C22B37" w:rsidRPr="002E30B8" w:rsidRDefault="00C22B37" w:rsidP="00C22B37">
            <w:pPr>
              <w:jc w:val="right"/>
              <w:rPr>
                <w:sz w:val="20"/>
                <w:szCs w:val="20"/>
              </w:rPr>
            </w:pPr>
            <w:r w:rsidRPr="00CC095C">
              <w:rPr>
                <w:sz w:val="20"/>
                <w:szCs w:val="20"/>
              </w:rPr>
              <w:t>…*%</w:t>
            </w:r>
          </w:p>
        </w:tc>
        <w:tc>
          <w:tcPr>
            <w:tcW w:w="412" w:type="pct"/>
            <w:noWrap/>
            <w:hideMark/>
          </w:tcPr>
          <w:p w14:paraId="6E667E2C" w14:textId="27811DBE" w:rsidR="00C22B37" w:rsidRPr="002E30B8" w:rsidRDefault="00C22B37" w:rsidP="00C22B37">
            <w:pPr>
              <w:jc w:val="right"/>
              <w:rPr>
                <w:sz w:val="20"/>
                <w:szCs w:val="20"/>
              </w:rPr>
            </w:pPr>
            <w:r w:rsidRPr="00CC095C">
              <w:rPr>
                <w:sz w:val="20"/>
                <w:szCs w:val="20"/>
              </w:rPr>
              <w:t>…*%</w:t>
            </w:r>
          </w:p>
        </w:tc>
        <w:tc>
          <w:tcPr>
            <w:tcW w:w="535" w:type="pct"/>
            <w:noWrap/>
            <w:hideMark/>
          </w:tcPr>
          <w:p w14:paraId="6D034EE6" w14:textId="6275B145" w:rsidR="00C22B37" w:rsidRPr="002E30B8" w:rsidRDefault="00C22B37" w:rsidP="00C22B37">
            <w:pPr>
              <w:jc w:val="right"/>
              <w:rPr>
                <w:sz w:val="20"/>
                <w:szCs w:val="20"/>
              </w:rPr>
            </w:pPr>
            <w:r w:rsidRPr="00CC095C">
              <w:rPr>
                <w:sz w:val="20"/>
                <w:szCs w:val="20"/>
              </w:rPr>
              <w:t>…*%</w:t>
            </w:r>
          </w:p>
        </w:tc>
      </w:tr>
      <w:tr w:rsidR="00C22B37" w:rsidRPr="002E30B8" w14:paraId="291FEF88" w14:textId="77777777" w:rsidTr="007F7A07">
        <w:trPr>
          <w:trHeight w:val="219"/>
        </w:trPr>
        <w:tc>
          <w:tcPr>
            <w:tcW w:w="1534" w:type="pct"/>
            <w:noWrap/>
            <w:hideMark/>
          </w:tcPr>
          <w:p w14:paraId="3FB96ED0" w14:textId="7015BFCB" w:rsidR="00C22B37" w:rsidRPr="002E30B8" w:rsidRDefault="00C22B37" w:rsidP="00C22B37">
            <w:pPr>
              <w:jc w:val="both"/>
              <w:rPr>
                <w:sz w:val="20"/>
                <w:szCs w:val="20"/>
              </w:rPr>
            </w:pPr>
            <w:r w:rsidRPr="002E30B8">
              <w:rPr>
                <w:sz w:val="20"/>
                <w:szCs w:val="20"/>
              </w:rPr>
              <w:t>Tallinna Kesklinna linnaosa</w:t>
            </w:r>
          </w:p>
        </w:tc>
        <w:tc>
          <w:tcPr>
            <w:tcW w:w="495" w:type="pct"/>
            <w:noWrap/>
            <w:hideMark/>
          </w:tcPr>
          <w:p w14:paraId="47DCF2EF" w14:textId="77777777" w:rsidR="00C22B37" w:rsidRPr="002E30B8" w:rsidRDefault="00C22B37" w:rsidP="00C22B37">
            <w:pPr>
              <w:jc w:val="right"/>
              <w:rPr>
                <w:sz w:val="20"/>
                <w:szCs w:val="20"/>
              </w:rPr>
            </w:pPr>
            <w:r w:rsidRPr="002E30B8">
              <w:rPr>
                <w:sz w:val="20"/>
                <w:szCs w:val="20"/>
              </w:rPr>
              <w:t>44 615</w:t>
            </w:r>
          </w:p>
        </w:tc>
        <w:tc>
          <w:tcPr>
            <w:tcW w:w="390" w:type="pct"/>
            <w:noWrap/>
            <w:hideMark/>
          </w:tcPr>
          <w:p w14:paraId="02609EB5" w14:textId="44061B76" w:rsidR="00C22B37" w:rsidRPr="002E30B8" w:rsidRDefault="00C22B37" w:rsidP="00C22B37">
            <w:pPr>
              <w:jc w:val="right"/>
              <w:rPr>
                <w:sz w:val="20"/>
                <w:szCs w:val="20"/>
              </w:rPr>
            </w:pPr>
            <w:r w:rsidRPr="001320AF">
              <w:rPr>
                <w:sz w:val="20"/>
                <w:szCs w:val="20"/>
              </w:rPr>
              <w:t>…*%</w:t>
            </w:r>
          </w:p>
        </w:tc>
        <w:tc>
          <w:tcPr>
            <w:tcW w:w="384" w:type="pct"/>
            <w:noWrap/>
            <w:hideMark/>
          </w:tcPr>
          <w:p w14:paraId="4FB53E19" w14:textId="53111ABD" w:rsidR="00C22B37" w:rsidRPr="002E30B8" w:rsidRDefault="00C22B37" w:rsidP="00C22B37">
            <w:pPr>
              <w:jc w:val="right"/>
              <w:rPr>
                <w:sz w:val="20"/>
                <w:szCs w:val="20"/>
              </w:rPr>
            </w:pPr>
            <w:r w:rsidRPr="00CC095C">
              <w:rPr>
                <w:sz w:val="20"/>
                <w:szCs w:val="20"/>
              </w:rPr>
              <w:t>…*%</w:t>
            </w:r>
          </w:p>
        </w:tc>
        <w:tc>
          <w:tcPr>
            <w:tcW w:w="370" w:type="pct"/>
            <w:noWrap/>
            <w:hideMark/>
          </w:tcPr>
          <w:p w14:paraId="771C35B3" w14:textId="2C685CA3" w:rsidR="00C22B37" w:rsidRPr="002E30B8" w:rsidRDefault="00C22B37" w:rsidP="00C22B37">
            <w:pPr>
              <w:jc w:val="right"/>
              <w:rPr>
                <w:sz w:val="20"/>
                <w:szCs w:val="20"/>
              </w:rPr>
            </w:pPr>
            <w:r w:rsidRPr="00CC095C">
              <w:rPr>
                <w:sz w:val="20"/>
                <w:szCs w:val="20"/>
              </w:rPr>
              <w:t>…*%</w:t>
            </w:r>
          </w:p>
        </w:tc>
        <w:tc>
          <w:tcPr>
            <w:tcW w:w="440" w:type="pct"/>
            <w:noWrap/>
            <w:hideMark/>
          </w:tcPr>
          <w:p w14:paraId="10450519" w14:textId="2C7F5C00" w:rsidR="00C22B37" w:rsidRPr="002E30B8" w:rsidRDefault="00C22B37" w:rsidP="00C22B37">
            <w:pPr>
              <w:jc w:val="right"/>
              <w:rPr>
                <w:sz w:val="20"/>
                <w:szCs w:val="20"/>
              </w:rPr>
            </w:pPr>
            <w:r w:rsidRPr="00CC095C">
              <w:rPr>
                <w:sz w:val="20"/>
                <w:szCs w:val="20"/>
              </w:rPr>
              <w:t>…*%</w:t>
            </w:r>
          </w:p>
        </w:tc>
        <w:tc>
          <w:tcPr>
            <w:tcW w:w="440" w:type="pct"/>
            <w:noWrap/>
            <w:hideMark/>
          </w:tcPr>
          <w:p w14:paraId="42E1474E" w14:textId="6848960B" w:rsidR="00C22B37" w:rsidRPr="002E30B8" w:rsidRDefault="00C22B37" w:rsidP="00C22B37">
            <w:pPr>
              <w:jc w:val="right"/>
              <w:rPr>
                <w:sz w:val="20"/>
                <w:szCs w:val="20"/>
              </w:rPr>
            </w:pPr>
            <w:r w:rsidRPr="00CC095C">
              <w:rPr>
                <w:sz w:val="20"/>
                <w:szCs w:val="20"/>
              </w:rPr>
              <w:t>…*%</w:t>
            </w:r>
          </w:p>
        </w:tc>
        <w:tc>
          <w:tcPr>
            <w:tcW w:w="412" w:type="pct"/>
            <w:noWrap/>
            <w:hideMark/>
          </w:tcPr>
          <w:p w14:paraId="57795027" w14:textId="143CA96F" w:rsidR="00C22B37" w:rsidRPr="002E30B8" w:rsidRDefault="00C22B37" w:rsidP="00C22B37">
            <w:pPr>
              <w:jc w:val="right"/>
              <w:rPr>
                <w:sz w:val="20"/>
                <w:szCs w:val="20"/>
              </w:rPr>
            </w:pPr>
            <w:r w:rsidRPr="00CC095C">
              <w:rPr>
                <w:sz w:val="20"/>
                <w:szCs w:val="20"/>
              </w:rPr>
              <w:t>…*%</w:t>
            </w:r>
          </w:p>
        </w:tc>
        <w:tc>
          <w:tcPr>
            <w:tcW w:w="535" w:type="pct"/>
            <w:noWrap/>
            <w:hideMark/>
          </w:tcPr>
          <w:p w14:paraId="6404D9AF" w14:textId="286035F5" w:rsidR="00C22B37" w:rsidRPr="002E30B8" w:rsidRDefault="00C22B37" w:rsidP="00C22B37">
            <w:pPr>
              <w:jc w:val="right"/>
              <w:rPr>
                <w:sz w:val="20"/>
                <w:szCs w:val="20"/>
              </w:rPr>
            </w:pPr>
            <w:r w:rsidRPr="00CC095C">
              <w:rPr>
                <w:sz w:val="20"/>
                <w:szCs w:val="20"/>
              </w:rPr>
              <w:t>…*%</w:t>
            </w:r>
          </w:p>
        </w:tc>
      </w:tr>
      <w:tr w:rsidR="00C22B37" w:rsidRPr="002E30B8" w14:paraId="570D8015" w14:textId="77777777" w:rsidTr="007F7A07">
        <w:trPr>
          <w:trHeight w:val="345"/>
        </w:trPr>
        <w:tc>
          <w:tcPr>
            <w:tcW w:w="1534" w:type="pct"/>
            <w:noWrap/>
            <w:hideMark/>
          </w:tcPr>
          <w:p w14:paraId="49350FE5" w14:textId="0D6BC822" w:rsidR="00C22B37" w:rsidRPr="002E30B8" w:rsidRDefault="00C22B37" w:rsidP="00C22B37">
            <w:pPr>
              <w:jc w:val="both"/>
              <w:rPr>
                <w:sz w:val="20"/>
                <w:szCs w:val="20"/>
              </w:rPr>
            </w:pPr>
            <w:r w:rsidRPr="002E30B8">
              <w:rPr>
                <w:sz w:val="20"/>
                <w:szCs w:val="20"/>
              </w:rPr>
              <w:t>Tallinna Kristiine linnaosa</w:t>
            </w:r>
          </w:p>
        </w:tc>
        <w:tc>
          <w:tcPr>
            <w:tcW w:w="495" w:type="pct"/>
            <w:noWrap/>
            <w:hideMark/>
          </w:tcPr>
          <w:p w14:paraId="13AF95B7" w14:textId="77777777" w:rsidR="00C22B37" w:rsidRPr="002E30B8" w:rsidRDefault="00C22B37" w:rsidP="00C22B37">
            <w:pPr>
              <w:jc w:val="right"/>
              <w:rPr>
                <w:sz w:val="20"/>
                <w:szCs w:val="20"/>
              </w:rPr>
            </w:pPr>
            <w:r w:rsidRPr="002E30B8">
              <w:rPr>
                <w:sz w:val="20"/>
                <w:szCs w:val="20"/>
              </w:rPr>
              <w:t>20 325</w:t>
            </w:r>
          </w:p>
        </w:tc>
        <w:tc>
          <w:tcPr>
            <w:tcW w:w="390" w:type="pct"/>
            <w:noWrap/>
            <w:hideMark/>
          </w:tcPr>
          <w:p w14:paraId="520F58EF" w14:textId="0F00F738" w:rsidR="00C22B37" w:rsidRPr="002E30B8" w:rsidRDefault="00C22B37" w:rsidP="00C22B37">
            <w:pPr>
              <w:jc w:val="right"/>
              <w:rPr>
                <w:sz w:val="20"/>
                <w:szCs w:val="20"/>
              </w:rPr>
            </w:pPr>
            <w:r w:rsidRPr="001320AF">
              <w:rPr>
                <w:sz w:val="20"/>
                <w:szCs w:val="20"/>
              </w:rPr>
              <w:t>…*%</w:t>
            </w:r>
          </w:p>
        </w:tc>
        <w:tc>
          <w:tcPr>
            <w:tcW w:w="384" w:type="pct"/>
            <w:noWrap/>
            <w:hideMark/>
          </w:tcPr>
          <w:p w14:paraId="31D39F4B" w14:textId="57BA5DF3" w:rsidR="00C22B37" w:rsidRPr="002E30B8" w:rsidRDefault="00C22B37" w:rsidP="00C22B37">
            <w:pPr>
              <w:jc w:val="right"/>
              <w:rPr>
                <w:sz w:val="20"/>
                <w:szCs w:val="20"/>
              </w:rPr>
            </w:pPr>
            <w:r w:rsidRPr="00CC095C">
              <w:rPr>
                <w:sz w:val="20"/>
                <w:szCs w:val="20"/>
              </w:rPr>
              <w:t>…*%</w:t>
            </w:r>
          </w:p>
        </w:tc>
        <w:tc>
          <w:tcPr>
            <w:tcW w:w="370" w:type="pct"/>
            <w:noWrap/>
            <w:hideMark/>
          </w:tcPr>
          <w:p w14:paraId="1E92CB40" w14:textId="0DB53520" w:rsidR="00C22B37" w:rsidRPr="002E30B8" w:rsidRDefault="00C22B37" w:rsidP="00C22B37">
            <w:pPr>
              <w:jc w:val="right"/>
              <w:rPr>
                <w:sz w:val="20"/>
                <w:szCs w:val="20"/>
              </w:rPr>
            </w:pPr>
            <w:r w:rsidRPr="00CC095C">
              <w:rPr>
                <w:sz w:val="20"/>
                <w:szCs w:val="20"/>
              </w:rPr>
              <w:t>…*%</w:t>
            </w:r>
          </w:p>
        </w:tc>
        <w:tc>
          <w:tcPr>
            <w:tcW w:w="440" w:type="pct"/>
            <w:noWrap/>
            <w:hideMark/>
          </w:tcPr>
          <w:p w14:paraId="008C2946" w14:textId="6E8C6238" w:rsidR="00C22B37" w:rsidRPr="002E30B8" w:rsidRDefault="00C22B37" w:rsidP="00C22B37">
            <w:pPr>
              <w:jc w:val="right"/>
              <w:rPr>
                <w:sz w:val="20"/>
                <w:szCs w:val="20"/>
              </w:rPr>
            </w:pPr>
            <w:r w:rsidRPr="00CC095C">
              <w:rPr>
                <w:sz w:val="20"/>
                <w:szCs w:val="20"/>
              </w:rPr>
              <w:t>…*%</w:t>
            </w:r>
          </w:p>
        </w:tc>
        <w:tc>
          <w:tcPr>
            <w:tcW w:w="440" w:type="pct"/>
            <w:noWrap/>
            <w:hideMark/>
          </w:tcPr>
          <w:p w14:paraId="1C181FCC" w14:textId="79BBB8C1" w:rsidR="00C22B37" w:rsidRPr="002E30B8" w:rsidRDefault="00C22B37" w:rsidP="00C22B37">
            <w:pPr>
              <w:jc w:val="right"/>
              <w:rPr>
                <w:sz w:val="20"/>
                <w:szCs w:val="20"/>
              </w:rPr>
            </w:pPr>
            <w:r w:rsidRPr="00CC095C">
              <w:rPr>
                <w:sz w:val="20"/>
                <w:szCs w:val="20"/>
              </w:rPr>
              <w:t>…*%</w:t>
            </w:r>
          </w:p>
        </w:tc>
        <w:tc>
          <w:tcPr>
            <w:tcW w:w="412" w:type="pct"/>
            <w:noWrap/>
            <w:hideMark/>
          </w:tcPr>
          <w:p w14:paraId="6488A5E2" w14:textId="16CDCE7F" w:rsidR="00C22B37" w:rsidRPr="002E30B8" w:rsidRDefault="00C22B37" w:rsidP="00C22B37">
            <w:pPr>
              <w:jc w:val="right"/>
              <w:rPr>
                <w:sz w:val="20"/>
                <w:szCs w:val="20"/>
              </w:rPr>
            </w:pPr>
            <w:r w:rsidRPr="00CC095C">
              <w:rPr>
                <w:sz w:val="20"/>
                <w:szCs w:val="20"/>
              </w:rPr>
              <w:t>…*%</w:t>
            </w:r>
          </w:p>
        </w:tc>
        <w:tc>
          <w:tcPr>
            <w:tcW w:w="535" w:type="pct"/>
            <w:noWrap/>
            <w:hideMark/>
          </w:tcPr>
          <w:p w14:paraId="6950AD19" w14:textId="1CDA4169" w:rsidR="00C22B37" w:rsidRPr="002E30B8" w:rsidRDefault="00C22B37" w:rsidP="00C22B37">
            <w:pPr>
              <w:jc w:val="right"/>
              <w:rPr>
                <w:sz w:val="20"/>
                <w:szCs w:val="20"/>
              </w:rPr>
            </w:pPr>
            <w:r w:rsidRPr="00CC095C">
              <w:rPr>
                <w:sz w:val="20"/>
                <w:szCs w:val="20"/>
              </w:rPr>
              <w:t>…*%</w:t>
            </w:r>
          </w:p>
        </w:tc>
      </w:tr>
      <w:tr w:rsidR="00C22B37" w:rsidRPr="002E30B8" w14:paraId="1D52BECC" w14:textId="77777777" w:rsidTr="007F7A07">
        <w:trPr>
          <w:trHeight w:val="229"/>
        </w:trPr>
        <w:tc>
          <w:tcPr>
            <w:tcW w:w="1534" w:type="pct"/>
            <w:noWrap/>
            <w:hideMark/>
          </w:tcPr>
          <w:p w14:paraId="3BF783F7" w14:textId="7AE97DB7" w:rsidR="00C22B37" w:rsidRPr="002E30B8" w:rsidRDefault="00C22B37" w:rsidP="00C22B37">
            <w:pPr>
              <w:jc w:val="both"/>
              <w:rPr>
                <w:sz w:val="20"/>
                <w:szCs w:val="20"/>
              </w:rPr>
            </w:pPr>
            <w:r w:rsidRPr="002E30B8">
              <w:rPr>
                <w:sz w:val="20"/>
                <w:szCs w:val="20"/>
              </w:rPr>
              <w:t>Tallinna Nõmme linnaosa</w:t>
            </w:r>
          </w:p>
        </w:tc>
        <w:tc>
          <w:tcPr>
            <w:tcW w:w="495" w:type="pct"/>
            <w:noWrap/>
            <w:hideMark/>
          </w:tcPr>
          <w:p w14:paraId="218E6882" w14:textId="77777777" w:rsidR="00C22B37" w:rsidRPr="002E30B8" w:rsidRDefault="00C22B37" w:rsidP="00C22B37">
            <w:pPr>
              <w:jc w:val="right"/>
              <w:rPr>
                <w:sz w:val="20"/>
                <w:szCs w:val="20"/>
              </w:rPr>
            </w:pPr>
            <w:r w:rsidRPr="002E30B8">
              <w:rPr>
                <w:sz w:val="20"/>
                <w:szCs w:val="20"/>
              </w:rPr>
              <w:t>16 812</w:t>
            </w:r>
          </w:p>
        </w:tc>
        <w:tc>
          <w:tcPr>
            <w:tcW w:w="390" w:type="pct"/>
            <w:noWrap/>
            <w:hideMark/>
          </w:tcPr>
          <w:p w14:paraId="6F4C0B88" w14:textId="5C7EBB63" w:rsidR="00C22B37" w:rsidRPr="002E30B8" w:rsidRDefault="00C22B37" w:rsidP="00C22B37">
            <w:pPr>
              <w:jc w:val="right"/>
              <w:rPr>
                <w:sz w:val="20"/>
                <w:szCs w:val="20"/>
              </w:rPr>
            </w:pPr>
            <w:r w:rsidRPr="001320AF">
              <w:rPr>
                <w:sz w:val="20"/>
                <w:szCs w:val="20"/>
              </w:rPr>
              <w:t>…*%</w:t>
            </w:r>
          </w:p>
        </w:tc>
        <w:tc>
          <w:tcPr>
            <w:tcW w:w="384" w:type="pct"/>
            <w:noWrap/>
            <w:hideMark/>
          </w:tcPr>
          <w:p w14:paraId="5363451C" w14:textId="2A60C32A" w:rsidR="00C22B37" w:rsidRPr="002E30B8" w:rsidRDefault="00C22B37" w:rsidP="00C22B37">
            <w:pPr>
              <w:jc w:val="right"/>
              <w:rPr>
                <w:sz w:val="20"/>
                <w:szCs w:val="20"/>
              </w:rPr>
            </w:pPr>
            <w:r w:rsidRPr="00CC095C">
              <w:rPr>
                <w:sz w:val="20"/>
                <w:szCs w:val="20"/>
              </w:rPr>
              <w:t>…*%</w:t>
            </w:r>
          </w:p>
        </w:tc>
        <w:tc>
          <w:tcPr>
            <w:tcW w:w="370" w:type="pct"/>
            <w:noWrap/>
            <w:hideMark/>
          </w:tcPr>
          <w:p w14:paraId="225F21CF" w14:textId="1E6B859B" w:rsidR="00C22B37" w:rsidRPr="002E30B8" w:rsidRDefault="00C22B37" w:rsidP="00C22B37">
            <w:pPr>
              <w:jc w:val="right"/>
              <w:rPr>
                <w:sz w:val="20"/>
                <w:szCs w:val="20"/>
              </w:rPr>
            </w:pPr>
            <w:r w:rsidRPr="00CC095C">
              <w:rPr>
                <w:sz w:val="20"/>
                <w:szCs w:val="20"/>
              </w:rPr>
              <w:t>…*%</w:t>
            </w:r>
          </w:p>
        </w:tc>
        <w:tc>
          <w:tcPr>
            <w:tcW w:w="440" w:type="pct"/>
            <w:noWrap/>
            <w:hideMark/>
          </w:tcPr>
          <w:p w14:paraId="36A0C57C" w14:textId="2BE502F5" w:rsidR="00C22B37" w:rsidRPr="002E30B8" w:rsidRDefault="00C22B37" w:rsidP="00C22B37">
            <w:pPr>
              <w:jc w:val="right"/>
              <w:rPr>
                <w:sz w:val="20"/>
                <w:szCs w:val="20"/>
              </w:rPr>
            </w:pPr>
            <w:r w:rsidRPr="00CC095C">
              <w:rPr>
                <w:sz w:val="20"/>
                <w:szCs w:val="20"/>
              </w:rPr>
              <w:t>…*%</w:t>
            </w:r>
          </w:p>
        </w:tc>
        <w:tc>
          <w:tcPr>
            <w:tcW w:w="440" w:type="pct"/>
            <w:noWrap/>
            <w:hideMark/>
          </w:tcPr>
          <w:p w14:paraId="50C5043B" w14:textId="23A2FFAD" w:rsidR="00C22B37" w:rsidRPr="002E30B8" w:rsidRDefault="00C22B37" w:rsidP="00C22B37">
            <w:pPr>
              <w:jc w:val="right"/>
              <w:rPr>
                <w:sz w:val="20"/>
                <w:szCs w:val="20"/>
              </w:rPr>
            </w:pPr>
            <w:r w:rsidRPr="00CC095C">
              <w:rPr>
                <w:sz w:val="20"/>
                <w:szCs w:val="20"/>
              </w:rPr>
              <w:t>…*%</w:t>
            </w:r>
          </w:p>
        </w:tc>
        <w:tc>
          <w:tcPr>
            <w:tcW w:w="412" w:type="pct"/>
            <w:noWrap/>
            <w:hideMark/>
          </w:tcPr>
          <w:p w14:paraId="314031A3" w14:textId="3681810D" w:rsidR="00C22B37" w:rsidRPr="002E30B8" w:rsidRDefault="00C22B37" w:rsidP="00C22B37">
            <w:pPr>
              <w:jc w:val="right"/>
              <w:rPr>
                <w:sz w:val="20"/>
                <w:szCs w:val="20"/>
              </w:rPr>
            </w:pPr>
            <w:r w:rsidRPr="00CC095C">
              <w:rPr>
                <w:sz w:val="20"/>
                <w:szCs w:val="20"/>
              </w:rPr>
              <w:t>…*%</w:t>
            </w:r>
          </w:p>
        </w:tc>
        <w:tc>
          <w:tcPr>
            <w:tcW w:w="535" w:type="pct"/>
            <w:noWrap/>
            <w:hideMark/>
          </w:tcPr>
          <w:p w14:paraId="06BD0AC4" w14:textId="785DBE20" w:rsidR="00C22B37" w:rsidRPr="002E30B8" w:rsidRDefault="00C22B37" w:rsidP="00C22B37">
            <w:pPr>
              <w:jc w:val="right"/>
              <w:rPr>
                <w:sz w:val="20"/>
                <w:szCs w:val="20"/>
              </w:rPr>
            </w:pPr>
            <w:r w:rsidRPr="00CC095C">
              <w:rPr>
                <w:sz w:val="20"/>
                <w:szCs w:val="20"/>
              </w:rPr>
              <w:t>…*%</w:t>
            </w:r>
          </w:p>
        </w:tc>
      </w:tr>
      <w:tr w:rsidR="00C22B37" w:rsidRPr="002E30B8" w14:paraId="3A748009" w14:textId="77777777" w:rsidTr="007F7A07">
        <w:trPr>
          <w:trHeight w:val="149"/>
        </w:trPr>
        <w:tc>
          <w:tcPr>
            <w:tcW w:w="1534" w:type="pct"/>
            <w:noWrap/>
            <w:hideMark/>
          </w:tcPr>
          <w:p w14:paraId="0A6E576D" w14:textId="6A88CC9D" w:rsidR="00C22B37" w:rsidRPr="002E30B8" w:rsidRDefault="00C22B37" w:rsidP="00C22B37">
            <w:pPr>
              <w:jc w:val="both"/>
              <w:rPr>
                <w:sz w:val="20"/>
                <w:szCs w:val="20"/>
              </w:rPr>
            </w:pPr>
            <w:r w:rsidRPr="002E30B8">
              <w:rPr>
                <w:sz w:val="20"/>
                <w:szCs w:val="20"/>
              </w:rPr>
              <w:t>Tallinna Pirita linnaosa</w:t>
            </w:r>
          </w:p>
        </w:tc>
        <w:tc>
          <w:tcPr>
            <w:tcW w:w="495" w:type="pct"/>
            <w:noWrap/>
            <w:hideMark/>
          </w:tcPr>
          <w:p w14:paraId="461CB6BB" w14:textId="77777777" w:rsidR="00C22B37" w:rsidRPr="002E30B8" w:rsidRDefault="00C22B37" w:rsidP="00C22B37">
            <w:pPr>
              <w:jc w:val="right"/>
              <w:rPr>
                <w:sz w:val="20"/>
                <w:szCs w:val="20"/>
              </w:rPr>
            </w:pPr>
            <w:r w:rsidRPr="002E30B8">
              <w:rPr>
                <w:sz w:val="20"/>
                <w:szCs w:val="20"/>
              </w:rPr>
              <w:t>7 536</w:t>
            </w:r>
          </w:p>
        </w:tc>
        <w:tc>
          <w:tcPr>
            <w:tcW w:w="390" w:type="pct"/>
            <w:noWrap/>
            <w:hideMark/>
          </w:tcPr>
          <w:p w14:paraId="569AFE5F" w14:textId="4816F03A" w:rsidR="00C22B37" w:rsidRPr="002E30B8" w:rsidRDefault="00C22B37" w:rsidP="00C22B37">
            <w:pPr>
              <w:jc w:val="right"/>
              <w:rPr>
                <w:sz w:val="20"/>
                <w:szCs w:val="20"/>
              </w:rPr>
            </w:pPr>
            <w:r w:rsidRPr="001320AF">
              <w:rPr>
                <w:sz w:val="20"/>
                <w:szCs w:val="20"/>
              </w:rPr>
              <w:t>…*%</w:t>
            </w:r>
          </w:p>
        </w:tc>
        <w:tc>
          <w:tcPr>
            <w:tcW w:w="384" w:type="pct"/>
            <w:noWrap/>
            <w:hideMark/>
          </w:tcPr>
          <w:p w14:paraId="131D6592" w14:textId="762EF968" w:rsidR="00C22B37" w:rsidRPr="002E30B8" w:rsidRDefault="00C22B37" w:rsidP="00C22B37">
            <w:pPr>
              <w:jc w:val="right"/>
              <w:rPr>
                <w:sz w:val="20"/>
                <w:szCs w:val="20"/>
              </w:rPr>
            </w:pPr>
            <w:r w:rsidRPr="00CC095C">
              <w:rPr>
                <w:sz w:val="20"/>
                <w:szCs w:val="20"/>
              </w:rPr>
              <w:t>…*%</w:t>
            </w:r>
          </w:p>
        </w:tc>
        <w:tc>
          <w:tcPr>
            <w:tcW w:w="370" w:type="pct"/>
            <w:noWrap/>
            <w:hideMark/>
          </w:tcPr>
          <w:p w14:paraId="69CE4A75" w14:textId="4B24F524" w:rsidR="00C22B37" w:rsidRPr="002E30B8" w:rsidRDefault="00C22B37" w:rsidP="00C22B37">
            <w:pPr>
              <w:jc w:val="right"/>
              <w:rPr>
                <w:sz w:val="20"/>
                <w:szCs w:val="20"/>
              </w:rPr>
            </w:pPr>
            <w:r w:rsidRPr="00CC095C">
              <w:rPr>
                <w:sz w:val="20"/>
                <w:szCs w:val="20"/>
              </w:rPr>
              <w:t>…*%</w:t>
            </w:r>
          </w:p>
        </w:tc>
        <w:tc>
          <w:tcPr>
            <w:tcW w:w="440" w:type="pct"/>
            <w:noWrap/>
            <w:hideMark/>
          </w:tcPr>
          <w:p w14:paraId="2A0B6217" w14:textId="5CB7CA95" w:rsidR="00C22B37" w:rsidRPr="002E30B8" w:rsidRDefault="00C22B37" w:rsidP="00C22B37">
            <w:pPr>
              <w:jc w:val="right"/>
              <w:rPr>
                <w:sz w:val="20"/>
                <w:szCs w:val="20"/>
              </w:rPr>
            </w:pPr>
            <w:r w:rsidRPr="00CC095C">
              <w:rPr>
                <w:sz w:val="20"/>
                <w:szCs w:val="20"/>
              </w:rPr>
              <w:t>…*%</w:t>
            </w:r>
          </w:p>
        </w:tc>
        <w:tc>
          <w:tcPr>
            <w:tcW w:w="440" w:type="pct"/>
            <w:noWrap/>
            <w:hideMark/>
          </w:tcPr>
          <w:p w14:paraId="11BEE24D" w14:textId="4B123FCB" w:rsidR="00C22B37" w:rsidRPr="002E30B8" w:rsidRDefault="00C22B37" w:rsidP="00C22B37">
            <w:pPr>
              <w:jc w:val="right"/>
              <w:rPr>
                <w:sz w:val="20"/>
                <w:szCs w:val="20"/>
              </w:rPr>
            </w:pPr>
            <w:r w:rsidRPr="00CC095C">
              <w:rPr>
                <w:sz w:val="20"/>
                <w:szCs w:val="20"/>
              </w:rPr>
              <w:t>…*%</w:t>
            </w:r>
          </w:p>
        </w:tc>
        <w:tc>
          <w:tcPr>
            <w:tcW w:w="412" w:type="pct"/>
            <w:noWrap/>
            <w:hideMark/>
          </w:tcPr>
          <w:p w14:paraId="62FC648F" w14:textId="496DC2B5" w:rsidR="00C22B37" w:rsidRPr="002E30B8" w:rsidRDefault="00C22B37" w:rsidP="00C22B37">
            <w:pPr>
              <w:jc w:val="right"/>
              <w:rPr>
                <w:sz w:val="20"/>
                <w:szCs w:val="20"/>
              </w:rPr>
            </w:pPr>
            <w:r w:rsidRPr="00CC095C">
              <w:rPr>
                <w:sz w:val="20"/>
                <w:szCs w:val="20"/>
              </w:rPr>
              <w:t>…*%</w:t>
            </w:r>
          </w:p>
        </w:tc>
        <w:tc>
          <w:tcPr>
            <w:tcW w:w="535" w:type="pct"/>
            <w:noWrap/>
            <w:hideMark/>
          </w:tcPr>
          <w:p w14:paraId="07AAB1D2" w14:textId="0BB71A03" w:rsidR="00C22B37" w:rsidRPr="002E30B8" w:rsidRDefault="00C22B37" w:rsidP="00C22B37">
            <w:pPr>
              <w:jc w:val="right"/>
              <w:rPr>
                <w:sz w:val="20"/>
                <w:szCs w:val="20"/>
              </w:rPr>
            </w:pPr>
            <w:r w:rsidRPr="00CC095C">
              <w:rPr>
                <w:sz w:val="20"/>
                <w:szCs w:val="20"/>
              </w:rPr>
              <w:t>…*%</w:t>
            </w:r>
          </w:p>
        </w:tc>
      </w:tr>
      <w:tr w:rsidR="00C22B37" w:rsidRPr="002E30B8" w14:paraId="56CD142E" w14:textId="77777777" w:rsidTr="007F7A07">
        <w:trPr>
          <w:trHeight w:val="70"/>
        </w:trPr>
        <w:tc>
          <w:tcPr>
            <w:tcW w:w="1534" w:type="pct"/>
            <w:noWrap/>
            <w:hideMark/>
          </w:tcPr>
          <w:p w14:paraId="22609C55" w14:textId="1D1E9C0C" w:rsidR="00C22B37" w:rsidRPr="002E30B8" w:rsidRDefault="00C22B37" w:rsidP="00C22B37">
            <w:pPr>
              <w:jc w:val="both"/>
              <w:rPr>
                <w:sz w:val="20"/>
                <w:szCs w:val="20"/>
              </w:rPr>
            </w:pPr>
            <w:r w:rsidRPr="002E30B8">
              <w:rPr>
                <w:sz w:val="20"/>
                <w:szCs w:val="20"/>
              </w:rPr>
              <w:t>Viimsi vald</w:t>
            </w:r>
          </w:p>
        </w:tc>
        <w:tc>
          <w:tcPr>
            <w:tcW w:w="495" w:type="pct"/>
            <w:noWrap/>
            <w:hideMark/>
          </w:tcPr>
          <w:p w14:paraId="6F5A3228" w14:textId="77777777" w:rsidR="00C22B37" w:rsidRPr="002E30B8" w:rsidRDefault="00C22B37" w:rsidP="00C22B37">
            <w:pPr>
              <w:jc w:val="right"/>
              <w:rPr>
                <w:sz w:val="20"/>
                <w:szCs w:val="20"/>
              </w:rPr>
            </w:pPr>
            <w:r w:rsidRPr="002E30B8">
              <w:rPr>
                <w:sz w:val="20"/>
                <w:szCs w:val="20"/>
              </w:rPr>
              <w:t>11 128</w:t>
            </w:r>
          </w:p>
        </w:tc>
        <w:tc>
          <w:tcPr>
            <w:tcW w:w="390" w:type="pct"/>
            <w:noWrap/>
            <w:hideMark/>
          </w:tcPr>
          <w:p w14:paraId="72431B18" w14:textId="3ECB01A5" w:rsidR="00C22B37" w:rsidRPr="002E30B8" w:rsidRDefault="00C22B37" w:rsidP="00C22B37">
            <w:pPr>
              <w:jc w:val="right"/>
              <w:rPr>
                <w:sz w:val="20"/>
                <w:szCs w:val="20"/>
              </w:rPr>
            </w:pPr>
            <w:r w:rsidRPr="001320AF">
              <w:rPr>
                <w:sz w:val="20"/>
                <w:szCs w:val="20"/>
              </w:rPr>
              <w:t>…*%</w:t>
            </w:r>
          </w:p>
        </w:tc>
        <w:tc>
          <w:tcPr>
            <w:tcW w:w="384" w:type="pct"/>
            <w:noWrap/>
            <w:hideMark/>
          </w:tcPr>
          <w:p w14:paraId="13735D96" w14:textId="6EC8C0FD" w:rsidR="00C22B37" w:rsidRPr="002E30B8" w:rsidRDefault="00C22B37" w:rsidP="00C22B37">
            <w:pPr>
              <w:jc w:val="right"/>
              <w:rPr>
                <w:sz w:val="20"/>
                <w:szCs w:val="20"/>
              </w:rPr>
            </w:pPr>
            <w:r w:rsidRPr="00CC095C">
              <w:rPr>
                <w:sz w:val="20"/>
                <w:szCs w:val="20"/>
              </w:rPr>
              <w:t>…*%</w:t>
            </w:r>
          </w:p>
        </w:tc>
        <w:tc>
          <w:tcPr>
            <w:tcW w:w="370" w:type="pct"/>
            <w:noWrap/>
            <w:hideMark/>
          </w:tcPr>
          <w:p w14:paraId="4BD9EC54" w14:textId="382F3FF6" w:rsidR="00C22B37" w:rsidRPr="002E30B8" w:rsidRDefault="00C22B37" w:rsidP="00C22B37">
            <w:pPr>
              <w:jc w:val="right"/>
              <w:rPr>
                <w:sz w:val="20"/>
                <w:szCs w:val="20"/>
              </w:rPr>
            </w:pPr>
            <w:r w:rsidRPr="00CC095C">
              <w:rPr>
                <w:sz w:val="20"/>
                <w:szCs w:val="20"/>
              </w:rPr>
              <w:t>…*%</w:t>
            </w:r>
          </w:p>
        </w:tc>
        <w:tc>
          <w:tcPr>
            <w:tcW w:w="440" w:type="pct"/>
            <w:noWrap/>
            <w:hideMark/>
          </w:tcPr>
          <w:p w14:paraId="024C2C22" w14:textId="63C33B7F" w:rsidR="00C22B37" w:rsidRPr="002E30B8" w:rsidRDefault="00C22B37" w:rsidP="00C22B37">
            <w:pPr>
              <w:jc w:val="right"/>
              <w:rPr>
                <w:sz w:val="20"/>
                <w:szCs w:val="20"/>
              </w:rPr>
            </w:pPr>
            <w:r w:rsidRPr="00CC095C">
              <w:rPr>
                <w:sz w:val="20"/>
                <w:szCs w:val="20"/>
              </w:rPr>
              <w:t>…*%</w:t>
            </w:r>
          </w:p>
        </w:tc>
        <w:tc>
          <w:tcPr>
            <w:tcW w:w="440" w:type="pct"/>
            <w:noWrap/>
            <w:hideMark/>
          </w:tcPr>
          <w:p w14:paraId="3F45D11E" w14:textId="4EB98DA4" w:rsidR="00C22B37" w:rsidRPr="002E30B8" w:rsidRDefault="00C22B37" w:rsidP="00C22B37">
            <w:pPr>
              <w:jc w:val="right"/>
              <w:rPr>
                <w:sz w:val="20"/>
                <w:szCs w:val="20"/>
              </w:rPr>
            </w:pPr>
            <w:r w:rsidRPr="00CC095C">
              <w:rPr>
                <w:sz w:val="20"/>
                <w:szCs w:val="20"/>
              </w:rPr>
              <w:t>…*%</w:t>
            </w:r>
          </w:p>
        </w:tc>
        <w:tc>
          <w:tcPr>
            <w:tcW w:w="412" w:type="pct"/>
            <w:noWrap/>
            <w:hideMark/>
          </w:tcPr>
          <w:p w14:paraId="747451A7" w14:textId="55AD1864" w:rsidR="00C22B37" w:rsidRPr="002E30B8" w:rsidRDefault="00C22B37" w:rsidP="00C22B37">
            <w:pPr>
              <w:jc w:val="right"/>
              <w:rPr>
                <w:sz w:val="20"/>
                <w:szCs w:val="20"/>
              </w:rPr>
            </w:pPr>
            <w:r w:rsidRPr="00CC095C">
              <w:rPr>
                <w:sz w:val="20"/>
                <w:szCs w:val="20"/>
              </w:rPr>
              <w:t>…*%</w:t>
            </w:r>
          </w:p>
        </w:tc>
        <w:tc>
          <w:tcPr>
            <w:tcW w:w="535" w:type="pct"/>
            <w:noWrap/>
            <w:hideMark/>
          </w:tcPr>
          <w:p w14:paraId="2D6D57C6" w14:textId="277A7BC2" w:rsidR="00C22B37" w:rsidRPr="002E30B8" w:rsidRDefault="00C22B37" w:rsidP="00C22B37">
            <w:pPr>
              <w:jc w:val="right"/>
              <w:rPr>
                <w:sz w:val="20"/>
                <w:szCs w:val="20"/>
              </w:rPr>
            </w:pPr>
            <w:r w:rsidRPr="00CC095C">
              <w:rPr>
                <w:sz w:val="20"/>
                <w:szCs w:val="20"/>
              </w:rPr>
              <w:t>…*%</w:t>
            </w:r>
          </w:p>
        </w:tc>
      </w:tr>
      <w:tr w:rsidR="00C22B37" w:rsidRPr="002E30B8" w14:paraId="3B29317A" w14:textId="77777777" w:rsidTr="007F7A07">
        <w:trPr>
          <w:trHeight w:val="146"/>
        </w:trPr>
        <w:tc>
          <w:tcPr>
            <w:tcW w:w="1534" w:type="pct"/>
            <w:noWrap/>
            <w:hideMark/>
          </w:tcPr>
          <w:p w14:paraId="148C0CF8" w14:textId="3A55393F" w:rsidR="00C22B37" w:rsidRPr="002E30B8" w:rsidRDefault="00C22B37" w:rsidP="00C22B37">
            <w:pPr>
              <w:jc w:val="both"/>
              <w:rPr>
                <w:sz w:val="20"/>
                <w:szCs w:val="20"/>
              </w:rPr>
            </w:pPr>
            <w:r w:rsidRPr="002E30B8">
              <w:rPr>
                <w:sz w:val="20"/>
                <w:szCs w:val="20"/>
              </w:rPr>
              <w:t>Kärdla linn</w:t>
            </w:r>
          </w:p>
        </w:tc>
        <w:tc>
          <w:tcPr>
            <w:tcW w:w="495" w:type="pct"/>
            <w:noWrap/>
            <w:hideMark/>
          </w:tcPr>
          <w:p w14:paraId="5BDA3AEB" w14:textId="77777777" w:rsidR="00C22B37" w:rsidRPr="002E30B8" w:rsidRDefault="00C22B37" w:rsidP="00C22B37">
            <w:pPr>
              <w:jc w:val="right"/>
              <w:rPr>
                <w:sz w:val="20"/>
                <w:szCs w:val="20"/>
              </w:rPr>
            </w:pPr>
            <w:r w:rsidRPr="002E30B8">
              <w:rPr>
                <w:sz w:val="20"/>
                <w:szCs w:val="20"/>
              </w:rPr>
              <w:t>1 902</w:t>
            </w:r>
          </w:p>
        </w:tc>
        <w:tc>
          <w:tcPr>
            <w:tcW w:w="390" w:type="pct"/>
            <w:noWrap/>
            <w:hideMark/>
          </w:tcPr>
          <w:p w14:paraId="5E132562" w14:textId="74AA9E05" w:rsidR="00C22B37" w:rsidRPr="002E30B8" w:rsidRDefault="00C22B37" w:rsidP="00C22B37">
            <w:pPr>
              <w:jc w:val="right"/>
              <w:rPr>
                <w:sz w:val="20"/>
                <w:szCs w:val="20"/>
              </w:rPr>
            </w:pPr>
            <w:r w:rsidRPr="001320AF">
              <w:rPr>
                <w:sz w:val="20"/>
                <w:szCs w:val="20"/>
              </w:rPr>
              <w:t>…*%</w:t>
            </w:r>
          </w:p>
        </w:tc>
        <w:tc>
          <w:tcPr>
            <w:tcW w:w="384" w:type="pct"/>
            <w:noWrap/>
            <w:hideMark/>
          </w:tcPr>
          <w:p w14:paraId="1F8DFC8A" w14:textId="7ADC381A" w:rsidR="00C22B37" w:rsidRPr="002E30B8" w:rsidRDefault="00C22B37" w:rsidP="00C22B37">
            <w:pPr>
              <w:jc w:val="right"/>
              <w:rPr>
                <w:sz w:val="20"/>
                <w:szCs w:val="20"/>
              </w:rPr>
            </w:pPr>
            <w:r w:rsidRPr="00CC095C">
              <w:rPr>
                <w:sz w:val="20"/>
                <w:szCs w:val="20"/>
              </w:rPr>
              <w:t>…*%</w:t>
            </w:r>
          </w:p>
        </w:tc>
        <w:tc>
          <w:tcPr>
            <w:tcW w:w="370" w:type="pct"/>
            <w:noWrap/>
            <w:hideMark/>
          </w:tcPr>
          <w:p w14:paraId="251E0F1A" w14:textId="5A37D3F6" w:rsidR="00C22B37" w:rsidRPr="002E30B8" w:rsidRDefault="00C22B37" w:rsidP="00C22B37">
            <w:pPr>
              <w:jc w:val="right"/>
              <w:rPr>
                <w:sz w:val="20"/>
                <w:szCs w:val="20"/>
              </w:rPr>
            </w:pPr>
            <w:r w:rsidRPr="00CC095C">
              <w:rPr>
                <w:sz w:val="20"/>
                <w:szCs w:val="20"/>
              </w:rPr>
              <w:t>…*%</w:t>
            </w:r>
          </w:p>
        </w:tc>
        <w:tc>
          <w:tcPr>
            <w:tcW w:w="440" w:type="pct"/>
            <w:noWrap/>
            <w:hideMark/>
          </w:tcPr>
          <w:p w14:paraId="0D36318A" w14:textId="2CEB79A8" w:rsidR="00C22B37" w:rsidRPr="002E30B8" w:rsidRDefault="00C22B37" w:rsidP="00C22B37">
            <w:pPr>
              <w:jc w:val="right"/>
              <w:rPr>
                <w:sz w:val="20"/>
                <w:szCs w:val="20"/>
              </w:rPr>
            </w:pPr>
            <w:r w:rsidRPr="00CC095C">
              <w:rPr>
                <w:sz w:val="20"/>
                <w:szCs w:val="20"/>
              </w:rPr>
              <w:t>…*%</w:t>
            </w:r>
          </w:p>
        </w:tc>
        <w:tc>
          <w:tcPr>
            <w:tcW w:w="440" w:type="pct"/>
            <w:noWrap/>
            <w:hideMark/>
          </w:tcPr>
          <w:p w14:paraId="73172D7B" w14:textId="06897E97" w:rsidR="00C22B37" w:rsidRPr="002E30B8" w:rsidRDefault="00C22B37" w:rsidP="00C22B37">
            <w:pPr>
              <w:jc w:val="right"/>
              <w:rPr>
                <w:sz w:val="20"/>
                <w:szCs w:val="20"/>
              </w:rPr>
            </w:pPr>
            <w:r w:rsidRPr="00CC095C">
              <w:rPr>
                <w:sz w:val="20"/>
                <w:szCs w:val="20"/>
              </w:rPr>
              <w:t>…*%</w:t>
            </w:r>
          </w:p>
        </w:tc>
        <w:tc>
          <w:tcPr>
            <w:tcW w:w="412" w:type="pct"/>
            <w:noWrap/>
            <w:hideMark/>
          </w:tcPr>
          <w:p w14:paraId="5B38CA48" w14:textId="0C2F6955" w:rsidR="00C22B37" w:rsidRPr="002E30B8" w:rsidRDefault="00C22B37" w:rsidP="00C22B37">
            <w:pPr>
              <w:jc w:val="right"/>
              <w:rPr>
                <w:sz w:val="20"/>
                <w:szCs w:val="20"/>
              </w:rPr>
            </w:pPr>
            <w:r w:rsidRPr="00CC095C">
              <w:rPr>
                <w:sz w:val="20"/>
                <w:szCs w:val="20"/>
              </w:rPr>
              <w:t>…*%</w:t>
            </w:r>
          </w:p>
        </w:tc>
        <w:tc>
          <w:tcPr>
            <w:tcW w:w="535" w:type="pct"/>
            <w:noWrap/>
            <w:hideMark/>
          </w:tcPr>
          <w:p w14:paraId="2CB51D13" w14:textId="6010C9BB" w:rsidR="00C22B37" w:rsidRPr="002E30B8" w:rsidRDefault="00C22B37" w:rsidP="00C22B37">
            <w:pPr>
              <w:jc w:val="right"/>
              <w:rPr>
                <w:sz w:val="20"/>
                <w:szCs w:val="20"/>
              </w:rPr>
            </w:pPr>
            <w:r w:rsidRPr="00CC095C">
              <w:rPr>
                <w:sz w:val="20"/>
                <w:szCs w:val="20"/>
              </w:rPr>
              <w:t>…*%</w:t>
            </w:r>
          </w:p>
        </w:tc>
      </w:tr>
      <w:tr w:rsidR="00C22B37" w:rsidRPr="002E30B8" w14:paraId="0FAC4415" w14:textId="77777777" w:rsidTr="007F7A07">
        <w:trPr>
          <w:trHeight w:val="79"/>
        </w:trPr>
        <w:tc>
          <w:tcPr>
            <w:tcW w:w="1534" w:type="pct"/>
            <w:noWrap/>
            <w:hideMark/>
          </w:tcPr>
          <w:p w14:paraId="365BEB6A" w14:textId="72820B43" w:rsidR="00C22B37" w:rsidRPr="002E30B8" w:rsidRDefault="00C22B37" w:rsidP="00C22B37">
            <w:pPr>
              <w:jc w:val="both"/>
              <w:rPr>
                <w:sz w:val="20"/>
                <w:szCs w:val="20"/>
              </w:rPr>
            </w:pPr>
            <w:r w:rsidRPr="002E30B8">
              <w:rPr>
                <w:sz w:val="20"/>
                <w:szCs w:val="20"/>
              </w:rPr>
              <w:t>Jõgeva linn</w:t>
            </w:r>
          </w:p>
        </w:tc>
        <w:tc>
          <w:tcPr>
            <w:tcW w:w="495" w:type="pct"/>
            <w:noWrap/>
            <w:hideMark/>
          </w:tcPr>
          <w:p w14:paraId="7F631007" w14:textId="77777777" w:rsidR="00C22B37" w:rsidRPr="002E30B8" w:rsidRDefault="00C22B37" w:rsidP="00C22B37">
            <w:pPr>
              <w:jc w:val="right"/>
              <w:rPr>
                <w:sz w:val="20"/>
                <w:szCs w:val="20"/>
              </w:rPr>
            </w:pPr>
            <w:r w:rsidRPr="002E30B8">
              <w:rPr>
                <w:sz w:val="20"/>
                <w:szCs w:val="20"/>
              </w:rPr>
              <w:t>3 207</w:t>
            </w:r>
          </w:p>
        </w:tc>
        <w:tc>
          <w:tcPr>
            <w:tcW w:w="390" w:type="pct"/>
            <w:noWrap/>
            <w:hideMark/>
          </w:tcPr>
          <w:p w14:paraId="166AEA89" w14:textId="6A11B79E" w:rsidR="00C22B37" w:rsidRPr="002E30B8" w:rsidRDefault="00C22B37" w:rsidP="00C22B37">
            <w:pPr>
              <w:jc w:val="right"/>
              <w:rPr>
                <w:sz w:val="20"/>
                <w:szCs w:val="20"/>
              </w:rPr>
            </w:pPr>
            <w:r w:rsidRPr="001320AF">
              <w:rPr>
                <w:sz w:val="20"/>
                <w:szCs w:val="20"/>
              </w:rPr>
              <w:t>…*%</w:t>
            </w:r>
          </w:p>
        </w:tc>
        <w:tc>
          <w:tcPr>
            <w:tcW w:w="384" w:type="pct"/>
            <w:noWrap/>
            <w:hideMark/>
          </w:tcPr>
          <w:p w14:paraId="1EB44557" w14:textId="47D72BD8" w:rsidR="00C22B37" w:rsidRPr="002E30B8" w:rsidRDefault="00C22B37" w:rsidP="00C22B37">
            <w:pPr>
              <w:jc w:val="right"/>
              <w:rPr>
                <w:sz w:val="20"/>
                <w:szCs w:val="20"/>
              </w:rPr>
            </w:pPr>
            <w:r w:rsidRPr="00CC095C">
              <w:rPr>
                <w:sz w:val="20"/>
                <w:szCs w:val="20"/>
              </w:rPr>
              <w:t>…*%</w:t>
            </w:r>
          </w:p>
        </w:tc>
        <w:tc>
          <w:tcPr>
            <w:tcW w:w="370" w:type="pct"/>
            <w:noWrap/>
            <w:hideMark/>
          </w:tcPr>
          <w:p w14:paraId="04D4DD98" w14:textId="5B5675F8" w:rsidR="00C22B37" w:rsidRPr="002E30B8" w:rsidRDefault="00C22B37" w:rsidP="00C22B37">
            <w:pPr>
              <w:jc w:val="right"/>
              <w:rPr>
                <w:sz w:val="20"/>
                <w:szCs w:val="20"/>
              </w:rPr>
            </w:pPr>
            <w:r w:rsidRPr="00CC095C">
              <w:rPr>
                <w:sz w:val="20"/>
                <w:szCs w:val="20"/>
              </w:rPr>
              <w:t>…*%</w:t>
            </w:r>
          </w:p>
        </w:tc>
        <w:tc>
          <w:tcPr>
            <w:tcW w:w="440" w:type="pct"/>
            <w:noWrap/>
            <w:hideMark/>
          </w:tcPr>
          <w:p w14:paraId="7545D287" w14:textId="00D74EAA" w:rsidR="00C22B37" w:rsidRPr="002E30B8" w:rsidRDefault="00C22B37" w:rsidP="00C22B37">
            <w:pPr>
              <w:jc w:val="right"/>
              <w:rPr>
                <w:sz w:val="20"/>
                <w:szCs w:val="20"/>
              </w:rPr>
            </w:pPr>
            <w:r w:rsidRPr="00CC095C">
              <w:rPr>
                <w:sz w:val="20"/>
                <w:szCs w:val="20"/>
              </w:rPr>
              <w:t>…*%</w:t>
            </w:r>
          </w:p>
        </w:tc>
        <w:tc>
          <w:tcPr>
            <w:tcW w:w="440" w:type="pct"/>
            <w:noWrap/>
            <w:hideMark/>
          </w:tcPr>
          <w:p w14:paraId="12AA7BBC" w14:textId="59C0334D" w:rsidR="00C22B37" w:rsidRPr="002E30B8" w:rsidRDefault="00C22B37" w:rsidP="00C22B37">
            <w:pPr>
              <w:jc w:val="right"/>
              <w:rPr>
                <w:sz w:val="20"/>
                <w:szCs w:val="20"/>
              </w:rPr>
            </w:pPr>
            <w:r w:rsidRPr="00CC095C">
              <w:rPr>
                <w:sz w:val="20"/>
                <w:szCs w:val="20"/>
              </w:rPr>
              <w:t>…*%</w:t>
            </w:r>
          </w:p>
        </w:tc>
        <w:tc>
          <w:tcPr>
            <w:tcW w:w="412" w:type="pct"/>
            <w:noWrap/>
            <w:hideMark/>
          </w:tcPr>
          <w:p w14:paraId="315983FC" w14:textId="2482810A" w:rsidR="00C22B37" w:rsidRPr="002E30B8" w:rsidRDefault="00C22B37" w:rsidP="00C22B37">
            <w:pPr>
              <w:jc w:val="right"/>
              <w:rPr>
                <w:sz w:val="20"/>
                <w:szCs w:val="20"/>
              </w:rPr>
            </w:pPr>
            <w:r w:rsidRPr="00CC095C">
              <w:rPr>
                <w:sz w:val="20"/>
                <w:szCs w:val="20"/>
              </w:rPr>
              <w:t>…*%</w:t>
            </w:r>
          </w:p>
        </w:tc>
        <w:tc>
          <w:tcPr>
            <w:tcW w:w="535" w:type="pct"/>
            <w:noWrap/>
            <w:hideMark/>
          </w:tcPr>
          <w:p w14:paraId="52292639" w14:textId="541D612D" w:rsidR="00C22B37" w:rsidRPr="002E30B8" w:rsidRDefault="00C22B37" w:rsidP="00C22B37">
            <w:pPr>
              <w:jc w:val="right"/>
              <w:rPr>
                <w:sz w:val="20"/>
                <w:szCs w:val="20"/>
              </w:rPr>
            </w:pPr>
            <w:r w:rsidRPr="00CC095C">
              <w:rPr>
                <w:sz w:val="20"/>
                <w:szCs w:val="20"/>
              </w:rPr>
              <w:t>…*%</w:t>
            </w:r>
          </w:p>
        </w:tc>
      </w:tr>
      <w:tr w:rsidR="00C22B37" w:rsidRPr="002E30B8" w14:paraId="06DB197B" w14:textId="77777777" w:rsidTr="007F7A07">
        <w:trPr>
          <w:trHeight w:val="283"/>
        </w:trPr>
        <w:tc>
          <w:tcPr>
            <w:tcW w:w="1534" w:type="pct"/>
            <w:noWrap/>
            <w:hideMark/>
          </w:tcPr>
          <w:p w14:paraId="5EBC9844" w14:textId="01F70055" w:rsidR="00C22B37" w:rsidRPr="002E30B8" w:rsidRDefault="00C22B37" w:rsidP="00C22B37">
            <w:pPr>
              <w:jc w:val="both"/>
              <w:rPr>
                <w:sz w:val="20"/>
                <w:szCs w:val="20"/>
              </w:rPr>
            </w:pPr>
            <w:r w:rsidRPr="002E30B8">
              <w:rPr>
                <w:sz w:val="20"/>
                <w:szCs w:val="20"/>
              </w:rPr>
              <w:t>Paide linn</w:t>
            </w:r>
          </w:p>
        </w:tc>
        <w:tc>
          <w:tcPr>
            <w:tcW w:w="495" w:type="pct"/>
            <w:noWrap/>
            <w:hideMark/>
          </w:tcPr>
          <w:p w14:paraId="042A6337" w14:textId="77777777" w:rsidR="00C22B37" w:rsidRPr="002E30B8" w:rsidRDefault="00C22B37" w:rsidP="00C22B37">
            <w:pPr>
              <w:jc w:val="right"/>
              <w:rPr>
                <w:sz w:val="20"/>
                <w:szCs w:val="20"/>
              </w:rPr>
            </w:pPr>
            <w:r w:rsidRPr="002E30B8">
              <w:rPr>
                <w:sz w:val="20"/>
                <w:szCs w:val="20"/>
              </w:rPr>
              <w:t>5 027</w:t>
            </w:r>
          </w:p>
        </w:tc>
        <w:tc>
          <w:tcPr>
            <w:tcW w:w="390" w:type="pct"/>
            <w:noWrap/>
            <w:hideMark/>
          </w:tcPr>
          <w:p w14:paraId="692CE7C8" w14:textId="494605E0" w:rsidR="00C22B37" w:rsidRPr="002E30B8" w:rsidRDefault="00C22B37" w:rsidP="00C22B37">
            <w:pPr>
              <w:jc w:val="right"/>
              <w:rPr>
                <w:sz w:val="20"/>
                <w:szCs w:val="20"/>
              </w:rPr>
            </w:pPr>
            <w:r w:rsidRPr="001320AF">
              <w:rPr>
                <w:sz w:val="20"/>
                <w:szCs w:val="20"/>
              </w:rPr>
              <w:t>…*%</w:t>
            </w:r>
          </w:p>
        </w:tc>
        <w:tc>
          <w:tcPr>
            <w:tcW w:w="384" w:type="pct"/>
            <w:noWrap/>
            <w:hideMark/>
          </w:tcPr>
          <w:p w14:paraId="7AC4C356" w14:textId="0AF2A771" w:rsidR="00C22B37" w:rsidRPr="002E30B8" w:rsidRDefault="00C22B37" w:rsidP="00C22B37">
            <w:pPr>
              <w:jc w:val="right"/>
              <w:rPr>
                <w:sz w:val="20"/>
                <w:szCs w:val="20"/>
              </w:rPr>
            </w:pPr>
            <w:r w:rsidRPr="00CC095C">
              <w:rPr>
                <w:sz w:val="20"/>
                <w:szCs w:val="20"/>
              </w:rPr>
              <w:t>…*%</w:t>
            </w:r>
          </w:p>
        </w:tc>
        <w:tc>
          <w:tcPr>
            <w:tcW w:w="370" w:type="pct"/>
            <w:noWrap/>
            <w:hideMark/>
          </w:tcPr>
          <w:p w14:paraId="6986B8B8" w14:textId="42E1EA87" w:rsidR="00C22B37" w:rsidRPr="002E30B8" w:rsidRDefault="00C22B37" w:rsidP="00C22B37">
            <w:pPr>
              <w:jc w:val="right"/>
              <w:rPr>
                <w:sz w:val="20"/>
                <w:szCs w:val="20"/>
              </w:rPr>
            </w:pPr>
            <w:r w:rsidRPr="00CC095C">
              <w:rPr>
                <w:sz w:val="20"/>
                <w:szCs w:val="20"/>
              </w:rPr>
              <w:t>…*%</w:t>
            </w:r>
          </w:p>
        </w:tc>
        <w:tc>
          <w:tcPr>
            <w:tcW w:w="440" w:type="pct"/>
            <w:noWrap/>
            <w:hideMark/>
          </w:tcPr>
          <w:p w14:paraId="70695C0F" w14:textId="6F282A4A" w:rsidR="00C22B37" w:rsidRPr="002E30B8" w:rsidRDefault="00C22B37" w:rsidP="00C22B37">
            <w:pPr>
              <w:jc w:val="right"/>
              <w:rPr>
                <w:sz w:val="20"/>
                <w:szCs w:val="20"/>
              </w:rPr>
            </w:pPr>
            <w:r w:rsidRPr="00CC095C">
              <w:rPr>
                <w:sz w:val="20"/>
                <w:szCs w:val="20"/>
              </w:rPr>
              <w:t>…*%</w:t>
            </w:r>
          </w:p>
        </w:tc>
        <w:tc>
          <w:tcPr>
            <w:tcW w:w="440" w:type="pct"/>
            <w:noWrap/>
            <w:hideMark/>
          </w:tcPr>
          <w:p w14:paraId="14FD96E6" w14:textId="7F87B9DB" w:rsidR="00C22B37" w:rsidRPr="002E30B8" w:rsidRDefault="00C22B37" w:rsidP="00C22B37">
            <w:pPr>
              <w:jc w:val="right"/>
              <w:rPr>
                <w:sz w:val="20"/>
                <w:szCs w:val="20"/>
              </w:rPr>
            </w:pPr>
            <w:r w:rsidRPr="00CC095C">
              <w:rPr>
                <w:sz w:val="20"/>
                <w:szCs w:val="20"/>
              </w:rPr>
              <w:t>…*%</w:t>
            </w:r>
          </w:p>
        </w:tc>
        <w:tc>
          <w:tcPr>
            <w:tcW w:w="412" w:type="pct"/>
            <w:noWrap/>
            <w:hideMark/>
          </w:tcPr>
          <w:p w14:paraId="5F92BB50" w14:textId="521A5ED2" w:rsidR="00C22B37" w:rsidRPr="002E30B8" w:rsidRDefault="00C22B37" w:rsidP="00C22B37">
            <w:pPr>
              <w:jc w:val="right"/>
              <w:rPr>
                <w:sz w:val="20"/>
                <w:szCs w:val="20"/>
              </w:rPr>
            </w:pPr>
            <w:r w:rsidRPr="00CC095C">
              <w:rPr>
                <w:sz w:val="20"/>
                <w:szCs w:val="20"/>
              </w:rPr>
              <w:t>…*%</w:t>
            </w:r>
          </w:p>
        </w:tc>
        <w:tc>
          <w:tcPr>
            <w:tcW w:w="535" w:type="pct"/>
            <w:noWrap/>
            <w:hideMark/>
          </w:tcPr>
          <w:p w14:paraId="1B28CA06" w14:textId="76700D16" w:rsidR="00C22B37" w:rsidRPr="002E30B8" w:rsidRDefault="00C22B37" w:rsidP="00C22B37">
            <w:pPr>
              <w:jc w:val="right"/>
              <w:rPr>
                <w:sz w:val="20"/>
                <w:szCs w:val="20"/>
              </w:rPr>
            </w:pPr>
            <w:r w:rsidRPr="00CC095C">
              <w:rPr>
                <w:sz w:val="20"/>
                <w:szCs w:val="20"/>
              </w:rPr>
              <w:t>…*%</w:t>
            </w:r>
          </w:p>
        </w:tc>
      </w:tr>
      <w:tr w:rsidR="00C22B37" w:rsidRPr="002E30B8" w14:paraId="474F9E18" w14:textId="77777777" w:rsidTr="007F7A07">
        <w:trPr>
          <w:trHeight w:val="218"/>
        </w:trPr>
        <w:tc>
          <w:tcPr>
            <w:tcW w:w="1534" w:type="pct"/>
            <w:noWrap/>
            <w:hideMark/>
          </w:tcPr>
          <w:p w14:paraId="1E6D3A3C" w14:textId="7BD45B12" w:rsidR="00C22B37" w:rsidRPr="002E30B8" w:rsidRDefault="00C22B37" w:rsidP="00C22B37">
            <w:pPr>
              <w:jc w:val="both"/>
              <w:rPr>
                <w:sz w:val="20"/>
                <w:szCs w:val="20"/>
              </w:rPr>
            </w:pPr>
            <w:r w:rsidRPr="002E30B8">
              <w:rPr>
                <w:sz w:val="20"/>
                <w:szCs w:val="20"/>
              </w:rPr>
              <w:t>Türi linn</w:t>
            </w:r>
          </w:p>
        </w:tc>
        <w:tc>
          <w:tcPr>
            <w:tcW w:w="495" w:type="pct"/>
            <w:noWrap/>
            <w:hideMark/>
          </w:tcPr>
          <w:p w14:paraId="5F5FCC43" w14:textId="77777777" w:rsidR="00C22B37" w:rsidRPr="002E30B8" w:rsidRDefault="00C22B37" w:rsidP="00C22B37">
            <w:pPr>
              <w:jc w:val="right"/>
              <w:rPr>
                <w:sz w:val="20"/>
                <w:szCs w:val="20"/>
              </w:rPr>
            </w:pPr>
            <w:r w:rsidRPr="002E30B8">
              <w:rPr>
                <w:sz w:val="20"/>
                <w:szCs w:val="20"/>
              </w:rPr>
              <w:t>3 467</w:t>
            </w:r>
          </w:p>
        </w:tc>
        <w:tc>
          <w:tcPr>
            <w:tcW w:w="390" w:type="pct"/>
            <w:noWrap/>
            <w:hideMark/>
          </w:tcPr>
          <w:p w14:paraId="792C1694" w14:textId="51DE0E67" w:rsidR="00C22B37" w:rsidRPr="002E30B8" w:rsidRDefault="00C22B37" w:rsidP="00C22B37">
            <w:pPr>
              <w:jc w:val="right"/>
              <w:rPr>
                <w:sz w:val="20"/>
                <w:szCs w:val="20"/>
              </w:rPr>
            </w:pPr>
            <w:r w:rsidRPr="001320AF">
              <w:rPr>
                <w:sz w:val="20"/>
                <w:szCs w:val="20"/>
              </w:rPr>
              <w:t>…*%</w:t>
            </w:r>
          </w:p>
        </w:tc>
        <w:tc>
          <w:tcPr>
            <w:tcW w:w="384" w:type="pct"/>
            <w:noWrap/>
            <w:hideMark/>
          </w:tcPr>
          <w:p w14:paraId="2B6B2FB7" w14:textId="3084D3F1" w:rsidR="00C22B37" w:rsidRPr="002E30B8" w:rsidRDefault="00C22B37" w:rsidP="00C22B37">
            <w:pPr>
              <w:jc w:val="right"/>
              <w:rPr>
                <w:sz w:val="20"/>
                <w:szCs w:val="20"/>
              </w:rPr>
            </w:pPr>
            <w:r w:rsidRPr="00CC095C">
              <w:rPr>
                <w:sz w:val="20"/>
                <w:szCs w:val="20"/>
              </w:rPr>
              <w:t>…*%</w:t>
            </w:r>
          </w:p>
        </w:tc>
        <w:tc>
          <w:tcPr>
            <w:tcW w:w="370" w:type="pct"/>
            <w:noWrap/>
            <w:hideMark/>
          </w:tcPr>
          <w:p w14:paraId="4A125460" w14:textId="3F3A1136" w:rsidR="00C22B37" w:rsidRPr="002E30B8" w:rsidRDefault="00C22B37" w:rsidP="00C22B37">
            <w:pPr>
              <w:jc w:val="right"/>
              <w:rPr>
                <w:sz w:val="20"/>
                <w:szCs w:val="20"/>
              </w:rPr>
            </w:pPr>
            <w:r w:rsidRPr="00CC095C">
              <w:rPr>
                <w:sz w:val="20"/>
                <w:szCs w:val="20"/>
              </w:rPr>
              <w:t>…*%</w:t>
            </w:r>
          </w:p>
        </w:tc>
        <w:tc>
          <w:tcPr>
            <w:tcW w:w="440" w:type="pct"/>
            <w:noWrap/>
            <w:hideMark/>
          </w:tcPr>
          <w:p w14:paraId="3C3BB8FF" w14:textId="4A04AFE5" w:rsidR="00C22B37" w:rsidRPr="002E30B8" w:rsidRDefault="00C22B37" w:rsidP="00C22B37">
            <w:pPr>
              <w:jc w:val="right"/>
              <w:rPr>
                <w:sz w:val="20"/>
                <w:szCs w:val="20"/>
              </w:rPr>
            </w:pPr>
            <w:r w:rsidRPr="00CC095C">
              <w:rPr>
                <w:sz w:val="20"/>
                <w:szCs w:val="20"/>
              </w:rPr>
              <w:t>…*%</w:t>
            </w:r>
          </w:p>
        </w:tc>
        <w:tc>
          <w:tcPr>
            <w:tcW w:w="440" w:type="pct"/>
            <w:noWrap/>
            <w:hideMark/>
          </w:tcPr>
          <w:p w14:paraId="5A34EB79" w14:textId="23A6DC6A" w:rsidR="00C22B37" w:rsidRPr="002E30B8" w:rsidRDefault="00C22B37" w:rsidP="00C22B37">
            <w:pPr>
              <w:jc w:val="right"/>
              <w:rPr>
                <w:sz w:val="20"/>
                <w:szCs w:val="20"/>
              </w:rPr>
            </w:pPr>
            <w:r w:rsidRPr="00CC095C">
              <w:rPr>
                <w:sz w:val="20"/>
                <w:szCs w:val="20"/>
              </w:rPr>
              <w:t>…*%</w:t>
            </w:r>
          </w:p>
        </w:tc>
        <w:tc>
          <w:tcPr>
            <w:tcW w:w="412" w:type="pct"/>
            <w:noWrap/>
            <w:hideMark/>
          </w:tcPr>
          <w:p w14:paraId="3B3A5CD2" w14:textId="1E20DF49" w:rsidR="00C22B37" w:rsidRPr="002E30B8" w:rsidRDefault="00C22B37" w:rsidP="00C22B37">
            <w:pPr>
              <w:jc w:val="right"/>
              <w:rPr>
                <w:sz w:val="20"/>
                <w:szCs w:val="20"/>
              </w:rPr>
            </w:pPr>
            <w:r w:rsidRPr="00CC095C">
              <w:rPr>
                <w:sz w:val="20"/>
                <w:szCs w:val="20"/>
              </w:rPr>
              <w:t>…*%</w:t>
            </w:r>
          </w:p>
        </w:tc>
        <w:tc>
          <w:tcPr>
            <w:tcW w:w="535" w:type="pct"/>
            <w:noWrap/>
            <w:hideMark/>
          </w:tcPr>
          <w:p w14:paraId="4907B24A" w14:textId="4517A9B4" w:rsidR="00C22B37" w:rsidRPr="002E30B8" w:rsidRDefault="00C22B37" w:rsidP="00C22B37">
            <w:pPr>
              <w:jc w:val="right"/>
              <w:rPr>
                <w:sz w:val="20"/>
                <w:szCs w:val="20"/>
              </w:rPr>
            </w:pPr>
            <w:r w:rsidRPr="00CC095C">
              <w:rPr>
                <w:sz w:val="20"/>
                <w:szCs w:val="20"/>
              </w:rPr>
              <w:t>…*%</w:t>
            </w:r>
          </w:p>
        </w:tc>
      </w:tr>
      <w:tr w:rsidR="00C22B37" w:rsidRPr="002E30B8" w14:paraId="2D060111" w14:textId="77777777" w:rsidTr="007F7A07">
        <w:trPr>
          <w:trHeight w:val="70"/>
        </w:trPr>
        <w:tc>
          <w:tcPr>
            <w:tcW w:w="1534" w:type="pct"/>
            <w:noWrap/>
            <w:hideMark/>
          </w:tcPr>
          <w:p w14:paraId="5470D70F" w14:textId="1CB6C977" w:rsidR="00C22B37" w:rsidRPr="002E30B8" w:rsidRDefault="00C22B37" w:rsidP="00C22B37">
            <w:pPr>
              <w:jc w:val="both"/>
              <w:rPr>
                <w:sz w:val="20"/>
                <w:szCs w:val="20"/>
              </w:rPr>
            </w:pPr>
            <w:r w:rsidRPr="002E30B8">
              <w:rPr>
                <w:sz w:val="20"/>
                <w:szCs w:val="20"/>
              </w:rPr>
              <w:t>Haapsalu linn</w:t>
            </w:r>
          </w:p>
        </w:tc>
        <w:tc>
          <w:tcPr>
            <w:tcW w:w="495" w:type="pct"/>
            <w:noWrap/>
            <w:hideMark/>
          </w:tcPr>
          <w:p w14:paraId="07F73A36" w14:textId="77777777" w:rsidR="00C22B37" w:rsidRPr="002E30B8" w:rsidRDefault="00C22B37" w:rsidP="00C22B37">
            <w:pPr>
              <w:jc w:val="right"/>
              <w:rPr>
                <w:sz w:val="20"/>
                <w:szCs w:val="20"/>
              </w:rPr>
            </w:pPr>
            <w:r w:rsidRPr="002E30B8">
              <w:rPr>
                <w:sz w:val="20"/>
                <w:szCs w:val="20"/>
              </w:rPr>
              <w:t>7 354</w:t>
            </w:r>
          </w:p>
        </w:tc>
        <w:tc>
          <w:tcPr>
            <w:tcW w:w="390" w:type="pct"/>
            <w:noWrap/>
            <w:hideMark/>
          </w:tcPr>
          <w:p w14:paraId="3280E257" w14:textId="5420F346" w:rsidR="00C22B37" w:rsidRPr="002E30B8" w:rsidRDefault="00C22B37" w:rsidP="00C22B37">
            <w:pPr>
              <w:jc w:val="right"/>
              <w:rPr>
                <w:sz w:val="20"/>
                <w:szCs w:val="20"/>
              </w:rPr>
            </w:pPr>
            <w:r w:rsidRPr="001320AF">
              <w:rPr>
                <w:sz w:val="20"/>
                <w:szCs w:val="20"/>
              </w:rPr>
              <w:t>…*%</w:t>
            </w:r>
          </w:p>
        </w:tc>
        <w:tc>
          <w:tcPr>
            <w:tcW w:w="384" w:type="pct"/>
            <w:noWrap/>
            <w:hideMark/>
          </w:tcPr>
          <w:p w14:paraId="1577EA57" w14:textId="5480C0EE" w:rsidR="00C22B37" w:rsidRPr="002E30B8" w:rsidRDefault="00C22B37" w:rsidP="00C22B37">
            <w:pPr>
              <w:jc w:val="right"/>
              <w:rPr>
                <w:sz w:val="20"/>
                <w:szCs w:val="20"/>
              </w:rPr>
            </w:pPr>
            <w:r w:rsidRPr="00CC095C">
              <w:rPr>
                <w:sz w:val="20"/>
                <w:szCs w:val="20"/>
              </w:rPr>
              <w:t>…*%</w:t>
            </w:r>
          </w:p>
        </w:tc>
        <w:tc>
          <w:tcPr>
            <w:tcW w:w="370" w:type="pct"/>
            <w:noWrap/>
            <w:hideMark/>
          </w:tcPr>
          <w:p w14:paraId="3465D111" w14:textId="3C516675" w:rsidR="00C22B37" w:rsidRPr="002E30B8" w:rsidRDefault="00C22B37" w:rsidP="00C22B37">
            <w:pPr>
              <w:jc w:val="right"/>
              <w:rPr>
                <w:sz w:val="20"/>
                <w:szCs w:val="20"/>
              </w:rPr>
            </w:pPr>
            <w:r w:rsidRPr="00CC095C">
              <w:rPr>
                <w:sz w:val="20"/>
                <w:szCs w:val="20"/>
              </w:rPr>
              <w:t>…*%</w:t>
            </w:r>
          </w:p>
        </w:tc>
        <w:tc>
          <w:tcPr>
            <w:tcW w:w="440" w:type="pct"/>
            <w:noWrap/>
            <w:hideMark/>
          </w:tcPr>
          <w:p w14:paraId="41123B43" w14:textId="1E595741" w:rsidR="00C22B37" w:rsidRPr="002E30B8" w:rsidRDefault="00C22B37" w:rsidP="00C22B37">
            <w:pPr>
              <w:jc w:val="right"/>
              <w:rPr>
                <w:sz w:val="20"/>
                <w:szCs w:val="20"/>
              </w:rPr>
            </w:pPr>
            <w:r w:rsidRPr="00CC095C">
              <w:rPr>
                <w:sz w:val="20"/>
                <w:szCs w:val="20"/>
              </w:rPr>
              <w:t>…*%</w:t>
            </w:r>
          </w:p>
        </w:tc>
        <w:tc>
          <w:tcPr>
            <w:tcW w:w="440" w:type="pct"/>
            <w:noWrap/>
            <w:hideMark/>
          </w:tcPr>
          <w:p w14:paraId="73785B1E" w14:textId="07D07350" w:rsidR="00C22B37" w:rsidRPr="002E30B8" w:rsidRDefault="00C22B37" w:rsidP="00C22B37">
            <w:pPr>
              <w:jc w:val="right"/>
              <w:rPr>
                <w:sz w:val="20"/>
                <w:szCs w:val="20"/>
              </w:rPr>
            </w:pPr>
            <w:r w:rsidRPr="00CC095C">
              <w:rPr>
                <w:sz w:val="20"/>
                <w:szCs w:val="20"/>
              </w:rPr>
              <w:t>…*%</w:t>
            </w:r>
          </w:p>
        </w:tc>
        <w:tc>
          <w:tcPr>
            <w:tcW w:w="412" w:type="pct"/>
            <w:noWrap/>
            <w:hideMark/>
          </w:tcPr>
          <w:p w14:paraId="6B4C8FAC" w14:textId="42679691" w:rsidR="00C22B37" w:rsidRPr="002E30B8" w:rsidRDefault="00C22B37" w:rsidP="00C22B37">
            <w:pPr>
              <w:jc w:val="right"/>
              <w:rPr>
                <w:sz w:val="20"/>
                <w:szCs w:val="20"/>
              </w:rPr>
            </w:pPr>
            <w:r w:rsidRPr="00CC095C">
              <w:rPr>
                <w:sz w:val="20"/>
                <w:szCs w:val="20"/>
              </w:rPr>
              <w:t>…*%</w:t>
            </w:r>
          </w:p>
        </w:tc>
        <w:tc>
          <w:tcPr>
            <w:tcW w:w="535" w:type="pct"/>
            <w:noWrap/>
            <w:hideMark/>
          </w:tcPr>
          <w:p w14:paraId="7330AA66" w14:textId="32F281AE" w:rsidR="00C22B37" w:rsidRPr="002E30B8" w:rsidRDefault="00C22B37" w:rsidP="00C22B37">
            <w:pPr>
              <w:jc w:val="right"/>
              <w:rPr>
                <w:sz w:val="20"/>
                <w:szCs w:val="20"/>
              </w:rPr>
            </w:pPr>
            <w:r w:rsidRPr="00CC095C">
              <w:rPr>
                <w:sz w:val="20"/>
                <w:szCs w:val="20"/>
              </w:rPr>
              <w:t>…*%</w:t>
            </w:r>
          </w:p>
        </w:tc>
      </w:tr>
      <w:tr w:rsidR="00C22B37" w:rsidRPr="002E30B8" w14:paraId="452AB2F4" w14:textId="77777777" w:rsidTr="007F7A07">
        <w:trPr>
          <w:trHeight w:val="72"/>
        </w:trPr>
        <w:tc>
          <w:tcPr>
            <w:tcW w:w="1534" w:type="pct"/>
            <w:noWrap/>
            <w:hideMark/>
          </w:tcPr>
          <w:p w14:paraId="5A63C64F" w14:textId="2B5B9174" w:rsidR="00C22B37" w:rsidRPr="002E30B8" w:rsidRDefault="00C22B37" w:rsidP="00C22B37">
            <w:pPr>
              <w:jc w:val="both"/>
              <w:rPr>
                <w:sz w:val="20"/>
                <w:szCs w:val="20"/>
              </w:rPr>
            </w:pPr>
            <w:r w:rsidRPr="002E30B8">
              <w:rPr>
                <w:sz w:val="20"/>
                <w:szCs w:val="20"/>
              </w:rPr>
              <w:t>Rakvere linn</w:t>
            </w:r>
          </w:p>
        </w:tc>
        <w:tc>
          <w:tcPr>
            <w:tcW w:w="495" w:type="pct"/>
            <w:noWrap/>
            <w:hideMark/>
          </w:tcPr>
          <w:p w14:paraId="40BBBC6F" w14:textId="77777777" w:rsidR="00C22B37" w:rsidRPr="002E30B8" w:rsidRDefault="00C22B37" w:rsidP="00C22B37">
            <w:pPr>
              <w:jc w:val="right"/>
              <w:rPr>
                <w:sz w:val="20"/>
                <w:szCs w:val="20"/>
              </w:rPr>
            </w:pPr>
            <w:r w:rsidRPr="002E30B8">
              <w:rPr>
                <w:sz w:val="20"/>
                <w:szCs w:val="20"/>
              </w:rPr>
              <w:t>9 807</w:t>
            </w:r>
          </w:p>
        </w:tc>
        <w:tc>
          <w:tcPr>
            <w:tcW w:w="390" w:type="pct"/>
            <w:noWrap/>
            <w:hideMark/>
          </w:tcPr>
          <w:p w14:paraId="7D38D233" w14:textId="176E327E" w:rsidR="00C22B37" w:rsidRPr="002E30B8" w:rsidRDefault="00C22B37" w:rsidP="00C22B37">
            <w:pPr>
              <w:jc w:val="right"/>
              <w:rPr>
                <w:sz w:val="20"/>
                <w:szCs w:val="20"/>
              </w:rPr>
            </w:pPr>
            <w:r w:rsidRPr="001320AF">
              <w:rPr>
                <w:sz w:val="20"/>
                <w:szCs w:val="20"/>
              </w:rPr>
              <w:t>…*%</w:t>
            </w:r>
          </w:p>
        </w:tc>
        <w:tc>
          <w:tcPr>
            <w:tcW w:w="384" w:type="pct"/>
            <w:noWrap/>
            <w:hideMark/>
          </w:tcPr>
          <w:p w14:paraId="07E4F39B" w14:textId="5A5FDF04" w:rsidR="00C22B37" w:rsidRPr="002E30B8" w:rsidRDefault="00C22B37" w:rsidP="00C22B37">
            <w:pPr>
              <w:jc w:val="right"/>
              <w:rPr>
                <w:sz w:val="20"/>
                <w:szCs w:val="20"/>
              </w:rPr>
            </w:pPr>
            <w:r w:rsidRPr="00CC095C">
              <w:rPr>
                <w:sz w:val="20"/>
                <w:szCs w:val="20"/>
              </w:rPr>
              <w:t>…*%</w:t>
            </w:r>
          </w:p>
        </w:tc>
        <w:tc>
          <w:tcPr>
            <w:tcW w:w="370" w:type="pct"/>
            <w:noWrap/>
            <w:hideMark/>
          </w:tcPr>
          <w:p w14:paraId="75622532" w14:textId="04AA7FDF" w:rsidR="00C22B37" w:rsidRPr="002E30B8" w:rsidRDefault="00C22B37" w:rsidP="00C22B37">
            <w:pPr>
              <w:jc w:val="right"/>
              <w:rPr>
                <w:sz w:val="20"/>
                <w:szCs w:val="20"/>
              </w:rPr>
            </w:pPr>
            <w:r w:rsidRPr="00CC095C">
              <w:rPr>
                <w:sz w:val="20"/>
                <w:szCs w:val="20"/>
              </w:rPr>
              <w:t>…*%</w:t>
            </w:r>
          </w:p>
        </w:tc>
        <w:tc>
          <w:tcPr>
            <w:tcW w:w="440" w:type="pct"/>
            <w:noWrap/>
            <w:hideMark/>
          </w:tcPr>
          <w:p w14:paraId="5139EF97" w14:textId="7C547DE2" w:rsidR="00C22B37" w:rsidRPr="002E30B8" w:rsidRDefault="00C22B37" w:rsidP="00C22B37">
            <w:pPr>
              <w:jc w:val="right"/>
              <w:rPr>
                <w:sz w:val="20"/>
                <w:szCs w:val="20"/>
              </w:rPr>
            </w:pPr>
            <w:r w:rsidRPr="00CC095C">
              <w:rPr>
                <w:sz w:val="20"/>
                <w:szCs w:val="20"/>
              </w:rPr>
              <w:t>…*%</w:t>
            </w:r>
          </w:p>
        </w:tc>
        <w:tc>
          <w:tcPr>
            <w:tcW w:w="440" w:type="pct"/>
            <w:noWrap/>
            <w:hideMark/>
          </w:tcPr>
          <w:p w14:paraId="36A95A95" w14:textId="739985FB" w:rsidR="00C22B37" w:rsidRPr="002E30B8" w:rsidRDefault="00C22B37" w:rsidP="00C22B37">
            <w:pPr>
              <w:jc w:val="right"/>
              <w:rPr>
                <w:sz w:val="20"/>
                <w:szCs w:val="20"/>
              </w:rPr>
            </w:pPr>
            <w:r w:rsidRPr="00CC095C">
              <w:rPr>
                <w:sz w:val="20"/>
                <w:szCs w:val="20"/>
              </w:rPr>
              <w:t>…*%</w:t>
            </w:r>
          </w:p>
        </w:tc>
        <w:tc>
          <w:tcPr>
            <w:tcW w:w="412" w:type="pct"/>
            <w:noWrap/>
            <w:hideMark/>
          </w:tcPr>
          <w:p w14:paraId="1A04E118" w14:textId="20E6162D" w:rsidR="00C22B37" w:rsidRPr="002E30B8" w:rsidRDefault="00C22B37" w:rsidP="00C22B37">
            <w:pPr>
              <w:jc w:val="right"/>
              <w:rPr>
                <w:sz w:val="20"/>
                <w:szCs w:val="20"/>
              </w:rPr>
            </w:pPr>
            <w:r w:rsidRPr="00CC095C">
              <w:rPr>
                <w:sz w:val="20"/>
                <w:szCs w:val="20"/>
              </w:rPr>
              <w:t>…*%</w:t>
            </w:r>
          </w:p>
        </w:tc>
        <w:tc>
          <w:tcPr>
            <w:tcW w:w="535" w:type="pct"/>
            <w:noWrap/>
            <w:hideMark/>
          </w:tcPr>
          <w:p w14:paraId="483C1CD3" w14:textId="075B8E07" w:rsidR="00C22B37" w:rsidRPr="002E30B8" w:rsidRDefault="00C22B37" w:rsidP="00C22B37">
            <w:pPr>
              <w:jc w:val="right"/>
              <w:rPr>
                <w:sz w:val="20"/>
                <w:szCs w:val="20"/>
              </w:rPr>
            </w:pPr>
            <w:r w:rsidRPr="00CC095C">
              <w:rPr>
                <w:sz w:val="20"/>
                <w:szCs w:val="20"/>
              </w:rPr>
              <w:t>…*%</w:t>
            </w:r>
          </w:p>
        </w:tc>
      </w:tr>
      <w:tr w:rsidR="00C22B37" w:rsidRPr="002E30B8" w14:paraId="434579C3" w14:textId="77777777" w:rsidTr="007F7A07">
        <w:trPr>
          <w:trHeight w:val="70"/>
        </w:trPr>
        <w:tc>
          <w:tcPr>
            <w:tcW w:w="1534" w:type="pct"/>
            <w:noWrap/>
            <w:hideMark/>
          </w:tcPr>
          <w:p w14:paraId="12200E7D" w14:textId="72E7E3F5" w:rsidR="00C22B37" w:rsidRPr="002E30B8" w:rsidRDefault="00C22B37" w:rsidP="00C22B37">
            <w:pPr>
              <w:jc w:val="both"/>
              <w:rPr>
                <w:sz w:val="20"/>
                <w:szCs w:val="20"/>
              </w:rPr>
            </w:pPr>
            <w:r w:rsidRPr="002E30B8">
              <w:rPr>
                <w:sz w:val="20"/>
                <w:szCs w:val="20"/>
              </w:rPr>
              <w:t>Tapa linn</w:t>
            </w:r>
          </w:p>
        </w:tc>
        <w:tc>
          <w:tcPr>
            <w:tcW w:w="495" w:type="pct"/>
            <w:noWrap/>
            <w:hideMark/>
          </w:tcPr>
          <w:p w14:paraId="72D88EB3" w14:textId="77777777" w:rsidR="00C22B37" w:rsidRPr="002E30B8" w:rsidRDefault="00C22B37" w:rsidP="00C22B37">
            <w:pPr>
              <w:jc w:val="right"/>
              <w:rPr>
                <w:sz w:val="20"/>
                <w:szCs w:val="20"/>
              </w:rPr>
            </w:pPr>
            <w:r w:rsidRPr="002E30B8">
              <w:rPr>
                <w:sz w:val="20"/>
                <w:szCs w:val="20"/>
              </w:rPr>
              <w:t>3 763</w:t>
            </w:r>
          </w:p>
        </w:tc>
        <w:tc>
          <w:tcPr>
            <w:tcW w:w="390" w:type="pct"/>
            <w:noWrap/>
            <w:hideMark/>
          </w:tcPr>
          <w:p w14:paraId="78E75931" w14:textId="34B52512" w:rsidR="00C22B37" w:rsidRPr="002E30B8" w:rsidRDefault="00C22B37" w:rsidP="00C22B37">
            <w:pPr>
              <w:jc w:val="right"/>
              <w:rPr>
                <w:sz w:val="20"/>
                <w:szCs w:val="20"/>
              </w:rPr>
            </w:pPr>
            <w:r w:rsidRPr="001320AF">
              <w:rPr>
                <w:sz w:val="20"/>
                <w:szCs w:val="20"/>
              </w:rPr>
              <w:t>…*%</w:t>
            </w:r>
          </w:p>
        </w:tc>
        <w:tc>
          <w:tcPr>
            <w:tcW w:w="384" w:type="pct"/>
            <w:noWrap/>
            <w:hideMark/>
          </w:tcPr>
          <w:p w14:paraId="5E55A9DB" w14:textId="0F658559" w:rsidR="00C22B37" w:rsidRPr="002E30B8" w:rsidRDefault="00C22B37" w:rsidP="00C22B37">
            <w:pPr>
              <w:jc w:val="right"/>
              <w:rPr>
                <w:sz w:val="20"/>
                <w:szCs w:val="20"/>
              </w:rPr>
            </w:pPr>
            <w:r w:rsidRPr="00CC095C">
              <w:rPr>
                <w:sz w:val="20"/>
                <w:szCs w:val="20"/>
              </w:rPr>
              <w:t>…*%</w:t>
            </w:r>
          </w:p>
        </w:tc>
        <w:tc>
          <w:tcPr>
            <w:tcW w:w="370" w:type="pct"/>
            <w:noWrap/>
            <w:hideMark/>
          </w:tcPr>
          <w:p w14:paraId="1762168B" w14:textId="1CD5B704" w:rsidR="00C22B37" w:rsidRPr="002E30B8" w:rsidRDefault="00C22B37" w:rsidP="00C22B37">
            <w:pPr>
              <w:jc w:val="right"/>
              <w:rPr>
                <w:sz w:val="20"/>
                <w:szCs w:val="20"/>
              </w:rPr>
            </w:pPr>
            <w:r w:rsidRPr="00CC095C">
              <w:rPr>
                <w:sz w:val="20"/>
                <w:szCs w:val="20"/>
              </w:rPr>
              <w:t>…*%</w:t>
            </w:r>
          </w:p>
        </w:tc>
        <w:tc>
          <w:tcPr>
            <w:tcW w:w="440" w:type="pct"/>
            <w:noWrap/>
            <w:hideMark/>
          </w:tcPr>
          <w:p w14:paraId="2907A020" w14:textId="2F9025A8" w:rsidR="00C22B37" w:rsidRPr="002E30B8" w:rsidRDefault="00C22B37" w:rsidP="00C22B37">
            <w:pPr>
              <w:jc w:val="right"/>
              <w:rPr>
                <w:sz w:val="20"/>
                <w:szCs w:val="20"/>
              </w:rPr>
            </w:pPr>
            <w:r w:rsidRPr="00CC095C">
              <w:rPr>
                <w:sz w:val="20"/>
                <w:szCs w:val="20"/>
              </w:rPr>
              <w:t>…*%</w:t>
            </w:r>
          </w:p>
        </w:tc>
        <w:tc>
          <w:tcPr>
            <w:tcW w:w="440" w:type="pct"/>
            <w:noWrap/>
            <w:hideMark/>
          </w:tcPr>
          <w:p w14:paraId="2496A5FF" w14:textId="53C3D217" w:rsidR="00C22B37" w:rsidRPr="002E30B8" w:rsidRDefault="00C22B37" w:rsidP="00C22B37">
            <w:pPr>
              <w:jc w:val="right"/>
              <w:rPr>
                <w:sz w:val="20"/>
                <w:szCs w:val="20"/>
              </w:rPr>
            </w:pPr>
            <w:r w:rsidRPr="00CC095C">
              <w:rPr>
                <w:sz w:val="20"/>
                <w:szCs w:val="20"/>
              </w:rPr>
              <w:t>…*%</w:t>
            </w:r>
          </w:p>
        </w:tc>
        <w:tc>
          <w:tcPr>
            <w:tcW w:w="412" w:type="pct"/>
            <w:noWrap/>
            <w:hideMark/>
          </w:tcPr>
          <w:p w14:paraId="426AEE38" w14:textId="75994D43" w:rsidR="00C22B37" w:rsidRPr="002E30B8" w:rsidRDefault="00C22B37" w:rsidP="00C22B37">
            <w:pPr>
              <w:jc w:val="right"/>
              <w:rPr>
                <w:sz w:val="20"/>
                <w:szCs w:val="20"/>
              </w:rPr>
            </w:pPr>
            <w:r w:rsidRPr="00CC095C">
              <w:rPr>
                <w:sz w:val="20"/>
                <w:szCs w:val="20"/>
              </w:rPr>
              <w:t>…*%</w:t>
            </w:r>
          </w:p>
        </w:tc>
        <w:tc>
          <w:tcPr>
            <w:tcW w:w="535" w:type="pct"/>
            <w:noWrap/>
            <w:hideMark/>
          </w:tcPr>
          <w:p w14:paraId="1B41B83B" w14:textId="4C24D9E4" w:rsidR="00C22B37" w:rsidRPr="002E30B8" w:rsidRDefault="00C22B37" w:rsidP="00C22B37">
            <w:pPr>
              <w:jc w:val="right"/>
              <w:rPr>
                <w:sz w:val="20"/>
                <w:szCs w:val="20"/>
              </w:rPr>
            </w:pPr>
            <w:r w:rsidRPr="00CC095C">
              <w:rPr>
                <w:sz w:val="20"/>
                <w:szCs w:val="20"/>
              </w:rPr>
              <w:t>…*%</w:t>
            </w:r>
          </w:p>
        </w:tc>
      </w:tr>
      <w:tr w:rsidR="00C22B37" w:rsidRPr="002E30B8" w14:paraId="4E811247" w14:textId="77777777" w:rsidTr="007F7A07">
        <w:trPr>
          <w:trHeight w:val="70"/>
        </w:trPr>
        <w:tc>
          <w:tcPr>
            <w:tcW w:w="1534" w:type="pct"/>
            <w:noWrap/>
            <w:hideMark/>
          </w:tcPr>
          <w:p w14:paraId="5B5D0EDF" w14:textId="45211F85" w:rsidR="00C22B37" w:rsidRPr="002E30B8" w:rsidRDefault="00C22B37" w:rsidP="00C22B37">
            <w:pPr>
              <w:jc w:val="both"/>
              <w:rPr>
                <w:sz w:val="20"/>
                <w:szCs w:val="20"/>
              </w:rPr>
            </w:pPr>
            <w:r w:rsidRPr="002E30B8">
              <w:rPr>
                <w:sz w:val="20"/>
                <w:szCs w:val="20"/>
              </w:rPr>
              <w:t>Põlva linn</w:t>
            </w:r>
          </w:p>
        </w:tc>
        <w:tc>
          <w:tcPr>
            <w:tcW w:w="495" w:type="pct"/>
            <w:noWrap/>
            <w:hideMark/>
          </w:tcPr>
          <w:p w14:paraId="1C106378" w14:textId="77777777" w:rsidR="00C22B37" w:rsidRPr="002E30B8" w:rsidRDefault="00C22B37" w:rsidP="00C22B37">
            <w:pPr>
              <w:jc w:val="right"/>
              <w:rPr>
                <w:sz w:val="20"/>
                <w:szCs w:val="20"/>
              </w:rPr>
            </w:pPr>
            <w:r w:rsidRPr="002E30B8">
              <w:rPr>
                <w:sz w:val="20"/>
                <w:szCs w:val="20"/>
              </w:rPr>
              <w:t>3 184</w:t>
            </w:r>
          </w:p>
        </w:tc>
        <w:tc>
          <w:tcPr>
            <w:tcW w:w="390" w:type="pct"/>
            <w:noWrap/>
            <w:hideMark/>
          </w:tcPr>
          <w:p w14:paraId="3BC4BFFF" w14:textId="74097277" w:rsidR="00C22B37" w:rsidRPr="002E30B8" w:rsidRDefault="00C22B37" w:rsidP="00C22B37">
            <w:pPr>
              <w:jc w:val="right"/>
              <w:rPr>
                <w:sz w:val="20"/>
                <w:szCs w:val="20"/>
              </w:rPr>
            </w:pPr>
            <w:r w:rsidRPr="001320AF">
              <w:rPr>
                <w:sz w:val="20"/>
                <w:szCs w:val="20"/>
              </w:rPr>
              <w:t>…*%</w:t>
            </w:r>
          </w:p>
        </w:tc>
        <w:tc>
          <w:tcPr>
            <w:tcW w:w="384" w:type="pct"/>
            <w:noWrap/>
            <w:hideMark/>
          </w:tcPr>
          <w:p w14:paraId="06066578" w14:textId="168A011D" w:rsidR="00C22B37" w:rsidRPr="002E30B8" w:rsidRDefault="00C22B37" w:rsidP="00C22B37">
            <w:pPr>
              <w:jc w:val="right"/>
              <w:rPr>
                <w:sz w:val="20"/>
                <w:szCs w:val="20"/>
              </w:rPr>
            </w:pPr>
            <w:r w:rsidRPr="00CC095C">
              <w:rPr>
                <w:sz w:val="20"/>
                <w:szCs w:val="20"/>
              </w:rPr>
              <w:t>…*%</w:t>
            </w:r>
          </w:p>
        </w:tc>
        <w:tc>
          <w:tcPr>
            <w:tcW w:w="370" w:type="pct"/>
            <w:noWrap/>
            <w:hideMark/>
          </w:tcPr>
          <w:p w14:paraId="3E6F592D" w14:textId="6167D6C3" w:rsidR="00C22B37" w:rsidRPr="002E30B8" w:rsidRDefault="00C22B37" w:rsidP="00C22B37">
            <w:pPr>
              <w:jc w:val="right"/>
              <w:rPr>
                <w:sz w:val="20"/>
                <w:szCs w:val="20"/>
              </w:rPr>
            </w:pPr>
            <w:r w:rsidRPr="00CC095C">
              <w:rPr>
                <w:sz w:val="20"/>
                <w:szCs w:val="20"/>
              </w:rPr>
              <w:t>…*%</w:t>
            </w:r>
          </w:p>
        </w:tc>
        <w:tc>
          <w:tcPr>
            <w:tcW w:w="440" w:type="pct"/>
            <w:noWrap/>
            <w:hideMark/>
          </w:tcPr>
          <w:p w14:paraId="50BCF01C" w14:textId="78F6737C" w:rsidR="00C22B37" w:rsidRPr="002E30B8" w:rsidRDefault="00C22B37" w:rsidP="00C22B37">
            <w:pPr>
              <w:jc w:val="right"/>
              <w:rPr>
                <w:sz w:val="20"/>
                <w:szCs w:val="20"/>
              </w:rPr>
            </w:pPr>
            <w:r w:rsidRPr="00CC095C">
              <w:rPr>
                <w:sz w:val="20"/>
                <w:szCs w:val="20"/>
              </w:rPr>
              <w:t>…*%</w:t>
            </w:r>
          </w:p>
        </w:tc>
        <w:tc>
          <w:tcPr>
            <w:tcW w:w="440" w:type="pct"/>
            <w:noWrap/>
            <w:hideMark/>
          </w:tcPr>
          <w:p w14:paraId="7B543710" w14:textId="6150DF7B" w:rsidR="00C22B37" w:rsidRPr="002E30B8" w:rsidRDefault="00C22B37" w:rsidP="00C22B37">
            <w:pPr>
              <w:jc w:val="right"/>
              <w:rPr>
                <w:sz w:val="20"/>
                <w:szCs w:val="20"/>
              </w:rPr>
            </w:pPr>
            <w:r w:rsidRPr="00CC095C">
              <w:rPr>
                <w:sz w:val="20"/>
                <w:szCs w:val="20"/>
              </w:rPr>
              <w:t>…*%</w:t>
            </w:r>
          </w:p>
        </w:tc>
        <w:tc>
          <w:tcPr>
            <w:tcW w:w="412" w:type="pct"/>
            <w:noWrap/>
            <w:hideMark/>
          </w:tcPr>
          <w:p w14:paraId="68D1594C" w14:textId="54B1378D" w:rsidR="00C22B37" w:rsidRPr="002E30B8" w:rsidRDefault="00C22B37" w:rsidP="00C22B37">
            <w:pPr>
              <w:jc w:val="right"/>
              <w:rPr>
                <w:sz w:val="20"/>
                <w:szCs w:val="20"/>
              </w:rPr>
            </w:pPr>
            <w:r w:rsidRPr="00CC095C">
              <w:rPr>
                <w:sz w:val="20"/>
                <w:szCs w:val="20"/>
              </w:rPr>
              <w:t>…*%</w:t>
            </w:r>
          </w:p>
        </w:tc>
        <w:tc>
          <w:tcPr>
            <w:tcW w:w="535" w:type="pct"/>
            <w:noWrap/>
            <w:hideMark/>
          </w:tcPr>
          <w:p w14:paraId="425B9572" w14:textId="5A3E238F" w:rsidR="00C22B37" w:rsidRPr="002E30B8" w:rsidRDefault="00C22B37" w:rsidP="00C22B37">
            <w:pPr>
              <w:jc w:val="right"/>
              <w:rPr>
                <w:sz w:val="20"/>
                <w:szCs w:val="20"/>
              </w:rPr>
            </w:pPr>
            <w:r w:rsidRPr="00CC095C">
              <w:rPr>
                <w:sz w:val="20"/>
                <w:szCs w:val="20"/>
              </w:rPr>
              <w:t>…*%</w:t>
            </w:r>
          </w:p>
        </w:tc>
      </w:tr>
      <w:tr w:rsidR="00C22B37" w:rsidRPr="002E30B8" w14:paraId="21436DC8" w14:textId="77777777" w:rsidTr="007F7A07">
        <w:trPr>
          <w:trHeight w:val="143"/>
        </w:trPr>
        <w:tc>
          <w:tcPr>
            <w:tcW w:w="1534" w:type="pct"/>
            <w:noWrap/>
            <w:hideMark/>
          </w:tcPr>
          <w:p w14:paraId="48A6FBCB" w14:textId="22C3125A" w:rsidR="00C22B37" w:rsidRPr="002E30B8" w:rsidRDefault="00C22B37" w:rsidP="00C22B37">
            <w:pPr>
              <w:jc w:val="both"/>
              <w:rPr>
                <w:sz w:val="20"/>
                <w:szCs w:val="20"/>
              </w:rPr>
            </w:pPr>
            <w:r w:rsidRPr="002E30B8">
              <w:rPr>
                <w:sz w:val="20"/>
                <w:szCs w:val="20"/>
              </w:rPr>
              <w:t>Pärnu linn</w:t>
            </w:r>
          </w:p>
        </w:tc>
        <w:tc>
          <w:tcPr>
            <w:tcW w:w="495" w:type="pct"/>
            <w:noWrap/>
            <w:hideMark/>
          </w:tcPr>
          <w:p w14:paraId="491677F5" w14:textId="77777777" w:rsidR="00C22B37" w:rsidRPr="002E30B8" w:rsidRDefault="00C22B37" w:rsidP="00C22B37">
            <w:pPr>
              <w:jc w:val="right"/>
              <w:rPr>
                <w:sz w:val="20"/>
                <w:szCs w:val="20"/>
              </w:rPr>
            </w:pPr>
            <w:r w:rsidRPr="002E30B8">
              <w:rPr>
                <w:sz w:val="20"/>
                <w:szCs w:val="20"/>
              </w:rPr>
              <w:t>24 904</w:t>
            </w:r>
          </w:p>
        </w:tc>
        <w:tc>
          <w:tcPr>
            <w:tcW w:w="390" w:type="pct"/>
            <w:noWrap/>
            <w:hideMark/>
          </w:tcPr>
          <w:p w14:paraId="7E04CA57" w14:textId="298F2D93" w:rsidR="00C22B37" w:rsidRPr="002E30B8" w:rsidRDefault="00C22B37" w:rsidP="00C22B37">
            <w:pPr>
              <w:jc w:val="right"/>
              <w:rPr>
                <w:sz w:val="20"/>
                <w:szCs w:val="20"/>
              </w:rPr>
            </w:pPr>
            <w:r w:rsidRPr="001320AF">
              <w:rPr>
                <w:sz w:val="20"/>
                <w:szCs w:val="20"/>
              </w:rPr>
              <w:t>…*%</w:t>
            </w:r>
          </w:p>
        </w:tc>
        <w:tc>
          <w:tcPr>
            <w:tcW w:w="384" w:type="pct"/>
            <w:noWrap/>
            <w:hideMark/>
          </w:tcPr>
          <w:p w14:paraId="18D371BB" w14:textId="4F3D85CF" w:rsidR="00C22B37" w:rsidRPr="002E30B8" w:rsidRDefault="00C22B37" w:rsidP="00C22B37">
            <w:pPr>
              <w:jc w:val="right"/>
              <w:rPr>
                <w:sz w:val="20"/>
                <w:szCs w:val="20"/>
              </w:rPr>
            </w:pPr>
            <w:r w:rsidRPr="00CC095C">
              <w:rPr>
                <w:sz w:val="20"/>
                <w:szCs w:val="20"/>
              </w:rPr>
              <w:t>…*%</w:t>
            </w:r>
          </w:p>
        </w:tc>
        <w:tc>
          <w:tcPr>
            <w:tcW w:w="370" w:type="pct"/>
            <w:noWrap/>
            <w:hideMark/>
          </w:tcPr>
          <w:p w14:paraId="02BECBCF" w14:textId="0A4C3F16" w:rsidR="00C22B37" w:rsidRPr="002E30B8" w:rsidRDefault="00C22B37" w:rsidP="00C22B37">
            <w:pPr>
              <w:jc w:val="right"/>
              <w:rPr>
                <w:sz w:val="20"/>
                <w:szCs w:val="20"/>
              </w:rPr>
            </w:pPr>
            <w:r w:rsidRPr="00CC095C">
              <w:rPr>
                <w:sz w:val="20"/>
                <w:szCs w:val="20"/>
              </w:rPr>
              <w:t>…*%</w:t>
            </w:r>
          </w:p>
        </w:tc>
        <w:tc>
          <w:tcPr>
            <w:tcW w:w="440" w:type="pct"/>
            <w:noWrap/>
            <w:hideMark/>
          </w:tcPr>
          <w:p w14:paraId="6C9D7281" w14:textId="5F906F82" w:rsidR="00C22B37" w:rsidRPr="002E30B8" w:rsidRDefault="00C22B37" w:rsidP="00C22B37">
            <w:pPr>
              <w:jc w:val="right"/>
              <w:rPr>
                <w:sz w:val="20"/>
                <w:szCs w:val="20"/>
              </w:rPr>
            </w:pPr>
            <w:r w:rsidRPr="00CC095C">
              <w:rPr>
                <w:sz w:val="20"/>
                <w:szCs w:val="20"/>
              </w:rPr>
              <w:t>…*%</w:t>
            </w:r>
          </w:p>
        </w:tc>
        <w:tc>
          <w:tcPr>
            <w:tcW w:w="440" w:type="pct"/>
            <w:noWrap/>
            <w:hideMark/>
          </w:tcPr>
          <w:p w14:paraId="6F3EA271" w14:textId="18AF0116" w:rsidR="00C22B37" w:rsidRPr="002E30B8" w:rsidRDefault="00C22B37" w:rsidP="00C22B37">
            <w:pPr>
              <w:jc w:val="right"/>
              <w:rPr>
                <w:sz w:val="20"/>
                <w:szCs w:val="20"/>
              </w:rPr>
            </w:pPr>
            <w:r w:rsidRPr="00CC095C">
              <w:rPr>
                <w:sz w:val="20"/>
                <w:szCs w:val="20"/>
              </w:rPr>
              <w:t>…*%</w:t>
            </w:r>
          </w:p>
        </w:tc>
        <w:tc>
          <w:tcPr>
            <w:tcW w:w="412" w:type="pct"/>
            <w:noWrap/>
            <w:hideMark/>
          </w:tcPr>
          <w:p w14:paraId="50EAC941" w14:textId="61F51820" w:rsidR="00C22B37" w:rsidRPr="002E30B8" w:rsidRDefault="00C22B37" w:rsidP="00C22B37">
            <w:pPr>
              <w:jc w:val="right"/>
              <w:rPr>
                <w:sz w:val="20"/>
                <w:szCs w:val="20"/>
              </w:rPr>
            </w:pPr>
            <w:r w:rsidRPr="00CC095C">
              <w:rPr>
                <w:sz w:val="20"/>
                <w:szCs w:val="20"/>
              </w:rPr>
              <w:t>…*%</w:t>
            </w:r>
          </w:p>
        </w:tc>
        <w:tc>
          <w:tcPr>
            <w:tcW w:w="535" w:type="pct"/>
            <w:noWrap/>
            <w:hideMark/>
          </w:tcPr>
          <w:p w14:paraId="5A37945C" w14:textId="6686E902" w:rsidR="00C22B37" w:rsidRPr="002E30B8" w:rsidRDefault="00C22B37" w:rsidP="00C22B37">
            <w:pPr>
              <w:jc w:val="right"/>
              <w:rPr>
                <w:sz w:val="20"/>
                <w:szCs w:val="20"/>
              </w:rPr>
            </w:pPr>
            <w:r w:rsidRPr="00CC095C">
              <w:rPr>
                <w:sz w:val="20"/>
                <w:szCs w:val="20"/>
              </w:rPr>
              <w:t>…*%</w:t>
            </w:r>
          </w:p>
        </w:tc>
      </w:tr>
      <w:tr w:rsidR="00C22B37" w:rsidRPr="002E30B8" w14:paraId="0D75A580" w14:textId="77777777" w:rsidTr="007F7A07">
        <w:trPr>
          <w:trHeight w:val="219"/>
        </w:trPr>
        <w:tc>
          <w:tcPr>
            <w:tcW w:w="1534" w:type="pct"/>
            <w:noWrap/>
            <w:hideMark/>
          </w:tcPr>
          <w:p w14:paraId="32D75BC3" w14:textId="30A3C2CA" w:rsidR="00C22B37" w:rsidRPr="002E30B8" w:rsidRDefault="00C22B37" w:rsidP="00C22B37">
            <w:pPr>
              <w:jc w:val="both"/>
              <w:rPr>
                <w:sz w:val="20"/>
                <w:szCs w:val="20"/>
              </w:rPr>
            </w:pPr>
            <w:r w:rsidRPr="002E30B8">
              <w:rPr>
                <w:sz w:val="20"/>
                <w:szCs w:val="20"/>
              </w:rPr>
              <w:t>Rapla linn</w:t>
            </w:r>
          </w:p>
        </w:tc>
        <w:tc>
          <w:tcPr>
            <w:tcW w:w="495" w:type="pct"/>
            <w:noWrap/>
            <w:hideMark/>
          </w:tcPr>
          <w:p w14:paraId="0AE813F8" w14:textId="77777777" w:rsidR="00C22B37" w:rsidRPr="002E30B8" w:rsidRDefault="00C22B37" w:rsidP="00C22B37">
            <w:pPr>
              <w:jc w:val="right"/>
              <w:rPr>
                <w:sz w:val="20"/>
                <w:szCs w:val="20"/>
              </w:rPr>
            </w:pPr>
            <w:r w:rsidRPr="002E30B8">
              <w:rPr>
                <w:sz w:val="20"/>
                <w:szCs w:val="20"/>
              </w:rPr>
              <w:t>3 021</w:t>
            </w:r>
          </w:p>
        </w:tc>
        <w:tc>
          <w:tcPr>
            <w:tcW w:w="390" w:type="pct"/>
            <w:noWrap/>
            <w:hideMark/>
          </w:tcPr>
          <w:p w14:paraId="0452D98E" w14:textId="0BFF1762" w:rsidR="00C22B37" w:rsidRPr="002E30B8" w:rsidRDefault="00C22B37" w:rsidP="00C22B37">
            <w:pPr>
              <w:jc w:val="right"/>
              <w:rPr>
                <w:sz w:val="20"/>
                <w:szCs w:val="20"/>
              </w:rPr>
            </w:pPr>
            <w:r w:rsidRPr="001320AF">
              <w:rPr>
                <w:sz w:val="20"/>
                <w:szCs w:val="20"/>
              </w:rPr>
              <w:t>…*%</w:t>
            </w:r>
          </w:p>
        </w:tc>
        <w:tc>
          <w:tcPr>
            <w:tcW w:w="384" w:type="pct"/>
            <w:noWrap/>
            <w:hideMark/>
          </w:tcPr>
          <w:p w14:paraId="7970C27F" w14:textId="5B4EB907" w:rsidR="00C22B37" w:rsidRPr="002E30B8" w:rsidRDefault="00C22B37" w:rsidP="00C22B37">
            <w:pPr>
              <w:jc w:val="right"/>
              <w:rPr>
                <w:sz w:val="20"/>
                <w:szCs w:val="20"/>
              </w:rPr>
            </w:pPr>
            <w:r w:rsidRPr="00CC095C">
              <w:rPr>
                <w:sz w:val="20"/>
                <w:szCs w:val="20"/>
              </w:rPr>
              <w:t>…*%</w:t>
            </w:r>
          </w:p>
        </w:tc>
        <w:tc>
          <w:tcPr>
            <w:tcW w:w="370" w:type="pct"/>
            <w:noWrap/>
            <w:hideMark/>
          </w:tcPr>
          <w:p w14:paraId="75E27EE4" w14:textId="32E3935A" w:rsidR="00C22B37" w:rsidRPr="002E30B8" w:rsidRDefault="00C22B37" w:rsidP="00C22B37">
            <w:pPr>
              <w:jc w:val="right"/>
              <w:rPr>
                <w:sz w:val="20"/>
                <w:szCs w:val="20"/>
              </w:rPr>
            </w:pPr>
            <w:r w:rsidRPr="00CC095C">
              <w:rPr>
                <w:sz w:val="20"/>
                <w:szCs w:val="20"/>
              </w:rPr>
              <w:t>…*%</w:t>
            </w:r>
          </w:p>
        </w:tc>
        <w:tc>
          <w:tcPr>
            <w:tcW w:w="440" w:type="pct"/>
            <w:noWrap/>
            <w:hideMark/>
          </w:tcPr>
          <w:p w14:paraId="0D2ADB4E" w14:textId="41FC555A" w:rsidR="00C22B37" w:rsidRPr="002E30B8" w:rsidRDefault="00C22B37" w:rsidP="00C22B37">
            <w:pPr>
              <w:jc w:val="right"/>
              <w:rPr>
                <w:sz w:val="20"/>
                <w:szCs w:val="20"/>
              </w:rPr>
            </w:pPr>
            <w:r w:rsidRPr="00CC095C">
              <w:rPr>
                <w:sz w:val="20"/>
                <w:szCs w:val="20"/>
              </w:rPr>
              <w:t>…*%</w:t>
            </w:r>
          </w:p>
        </w:tc>
        <w:tc>
          <w:tcPr>
            <w:tcW w:w="440" w:type="pct"/>
            <w:noWrap/>
            <w:hideMark/>
          </w:tcPr>
          <w:p w14:paraId="402BF728" w14:textId="267C9BC8" w:rsidR="00C22B37" w:rsidRPr="002E30B8" w:rsidRDefault="00C22B37" w:rsidP="00C22B37">
            <w:pPr>
              <w:jc w:val="right"/>
              <w:rPr>
                <w:sz w:val="20"/>
                <w:szCs w:val="20"/>
              </w:rPr>
            </w:pPr>
            <w:r w:rsidRPr="00CC095C">
              <w:rPr>
                <w:sz w:val="20"/>
                <w:szCs w:val="20"/>
              </w:rPr>
              <w:t>…*%</w:t>
            </w:r>
          </w:p>
        </w:tc>
        <w:tc>
          <w:tcPr>
            <w:tcW w:w="412" w:type="pct"/>
            <w:noWrap/>
            <w:hideMark/>
          </w:tcPr>
          <w:p w14:paraId="71B59FBB" w14:textId="56A5A7F1" w:rsidR="00C22B37" w:rsidRPr="002E30B8" w:rsidRDefault="00C22B37" w:rsidP="00C22B37">
            <w:pPr>
              <w:jc w:val="right"/>
              <w:rPr>
                <w:sz w:val="20"/>
                <w:szCs w:val="20"/>
              </w:rPr>
            </w:pPr>
            <w:r w:rsidRPr="00CC095C">
              <w:rPr>
                <w:sz w:val="20"/>
                <w:szCs w:val="20"/>
              </w:rPr>
              <w:t>…*%</w:t>
            </w:r>
          </w:p>
        </w:tc>
        <w:tc>
          <w:tcPr>
            <w:tcW w:w="535" w:type="pct"/>
            <w:noWrap/>
            <w:hideMark/>
          </w:tcPr>
          <w:p w14:paraId="5FBDBFD8" w14:textId="557094F9" w:rsidR="00C22B37" w:rsidRPr="002E30B8" w:rsidRDefault="00C22B37" w:rsidP="00C22B37">
            <w:pPr>
              <w:jc w:val="right"/>
              <w:rPr>
                <w:sz w:val="20"/>
                <w:szCs w:val="20"/>
              </w:rPr>
            </w:pPr>
            <w:r w:rsidRPr="00CC095C">
              <w:rPr>
                <w:sz w:val="20"/>
                <w:szCs w:val="20"/>
              </w:rPr>
              <w:t>…*%</w:t>
            </w:r>
          </w:p>
        </w:tc>
      </w:tr>
      <w:tr w:rsidR="00C22B37" w:rsidRPr="002E30B8" w14:paraId="592EA83C" w14:textId="77777777" w:rsidTr="007F7A07">
        <w:trPr>
          <w:trHeight w:val="123"/>
        </w:trPr>
        <w:tc>
          <w:tcPr>
            <w:tcW w:w="1534" w:type="pct"/>
            <w:noWrap/>
            <w:hideMark/>
          </w:tcPr>
          <w:p w14:paraId="755AE5C8" w14:textId="15748CC9" w:rsidR="00C22B37" w:rsidRPr="002E30B8" w:rsidRDefault="00C22B37" w:rsidP="00C22B37">
            <w:pPr>
              <w:jc w:val="both"/>
              <w:rPr>
                <w:sz w:val="20"/>
                <w:szCs w:val="20"/>
              </w:rPr>
            </w:pPr>
            <w:r w:rsidRPr="002E30B8">
              <w:rPr>
                <w:sz w:val="20"/>
                <w:szCs w:val="20"/>
              </w:rPr>
              <w:t>Kuressaare linn</w:t>
            </w:r>
          </w:p>
        </w:tc>
        <w:tc>
          <w:tcPr>
            <w:tcW w:w="495" w:type="pct"/>
            <w:noWrap/>
            <w:hideMark/>
          </w:tcPr>
          <w:p w14:paraId="3B2E1208" w14:textId="77777777" w:rsidR="00C22B37" w:rsidRPr="002E30B8" w:rsidRDefault="00C22B37" w:rsidP="00C22B37">
            <w:pPr>
              <w:jc w:val="right"/>
              <w:rPr>
                <w:sz w:val="20"/>
                <w:szCs w:val="20"/>
              </w:rPr>
            </w:pPr>
            <w:r w:rsidRPr="002E30B8">
              <w:rPr>
                <w:sz w:val="20"/>
                <w:szCs w:val="20"/>
              </w:rPr>
              <w:t>7 545</w:t>
            </w:r>
          </w:p>
        </w:tc>
        <w:tc>
          <w:tcPr>
            <w:tcW w:w="390" w:type="pct"/>
            <w:noWrap/>
            <w:hideMark/>
          </w:tcPr>
          <w:p w14:paraId="717697CB" w14:textId="6AC57048" w:rsidR="00C22B37" w:rsidRPr="002E30B8" w:rsidRDefault="00C22B37" w:rsidP="00C22B37">
            <w:pPr>
              <w:jc w:val="right"/>
              <w:rPr>
                <w:sz w:val="20"/>
                <w:szCs w:val="20"/>
              </w:rPr>
            </w:pPr>
            <w:r w:rsidRPr="001320AF">
              <w:rPr>
                <w:sz w:val="20"/>
                <w:szCs w:val="20"/>
              </w:rPr>
              <w:t>…*%</w:t>
            </w:r>
          </w:p>
        </w:tc>
        <w:tc>
          <w:tcPr>
            <w:tcW w:w="384" w:type="pct"/>
            <w:noWrap/>
            <w:hideMark/>
          </w:tcPr>
          <w:p w14:paraId="6DAA2D3F" w14:textId="565708C5" w:rsidR="00C22B37" w:rsidRPr="002E30B8" w:rsidRDefault="00C22B37" w:rsidP="00C22B37">
            <w:pPr>
              <w:jc w:val="right"/>
              <w:rPr>
                <w:sz w:val="20"/>
                <w:szCs w:val="20"/>
              </w:rPr>
            </w:pPr>
            <w:r w:rsidRPr="00CC095C">
              <w:rPr>
                <w:sz w:val="20"/>
                <w:szCs w:val="20"/>
              </w:rPr>
              <w:t>…*%</w:t>
            </w:r>
          </w:p>
        </w:tc>
        <w:tc>
          <w:tcPr>
            <w:tcW w:w="370" w:type="pct"/>
            <w:noWrap/>
            <w:hideMark/>
          </w:tcPr>
          <w:p w14:paraId="3496B64F" w14:textId="7E7BA72B" w:rsidR="00C22B37" w:rsidRPr="002E30B8" w:rsidRDefault="00C22B37" w:rsidP="00C22B37">
            <w:pPr>
              <w:jc w:val="right"/>
              <w:rPr>
                <w:sz w:val="20"/>
                <w:szCs w:val="20"/>
              </w:rPr>
            </w:pPr>
            <w:r w:rsidRPr="00CC095C">
              <w:rPr>
                <w:sz w:val="20"/>
                <w:szCs w:val="20"/>
              </w:rPr>
              <w:t>…*%</w:t>
            </w:r>
          </w:p>
        </w:tc>
        <w:tc>
          <w:tcPr>
            <w:tcW w:w="440" w:type="pct"/>
            <w:noWrap/>
            <w:hideMark/>
          </w:tcPr>
          <w:p w14:paraId="14DCC83F" w14:textId="5FA447F8" w:rsidR="00C22B37" w:rsidRPr="002E30B8" w:rsidRDefault="00C22B37" w:rsidP="00C22B37">
            <w:pPr>
              <w:jc w:val="right"/>
              <w:rPr>
                <w:sz w:val="20"/>
                <w:szCs w:val="20"/>
              </w:rPr>
            </w:pPr>
            <w:r w:rsidRPr="00CC095C">
              <w:rPr>
                <w:sz w:val="20"/>
                <w:szCs w:val="20"/>
              </w:rPr>
              <w:t>…*%</w:t>
            </w:r>
          </w:p>
        </w:tc>
        <w:tc>
          <w:tcPr>
            <w:tcW w:w="440" w:type="pct"/>
            <w:noWrap/>
            <w:hideMark/>
          </w:tcPr>
          <w:p w14:paraId="74FAE0AA" w14:textId="2D39382D" w:rsidR="00C22B37" w:rsidRPr="002E30B8" w:rsidRDefault="00C22B37" w:rsidP="00C22B37">
            <w:pPr>
              <w:jc w:val="right"/>
              <w:rPr>
                <w:sz w:val="20"/>
                <w:szCs w:val="20"/>
              </w:rPr>
            </w:pPr>
            <w:r w:rsidRPr="00CC095C">
              <w:rPr>
                <w:sz w:val="20"/>
                <w:szCs w:val="20"/>
              </w:rPr>
              <w:t>…*%</w:t>
            </w:r>
          </w:p>
        </w:tc>
        <w:tc>
          <w:tcPr>
            <w:tcW w:w="412" w:type="pct"/>
            <w:noWrap/>
            <w:hideMark/>
          </w:tcPr>
          <w:p w14:paraId="5789DA69" w14:textId="2CBCD595" w:rsidR="00C22B37" w:rsidRPr="002E30B8" w:rsidRDefault="00C22B37" w:rsidP="00C22B37">
            <w:pPr>
              <w:jc w:val="right"/>
              <w:rPr>
                <w:sz w:val="20"/>
                <w:szCs w:val="20"/>
              </w:rPr>
            </w:pPr>
            <w:r w:rsidRPr="00CC095C">
              <w:rPr>
                <w:sz w:val="20"/>
                <w:szCs w:val="20"/>
              </w:rPr>
              <w:t>…*%</w:t>
            </w:r>
          </w:p>
        </w:tc>
        <w:tc>
          <w:tcPr>
            <w:tcW w:w="535" w:type="pct"/>
            <w:noWrap/>
            <w:hideMark/>
          </w:tcPr>
          <w:p w14:paraId="5E8CC356" w14:textId="0F88B084" w:rsidR="00C22B37" w:rsidRPr="002E30B8" w:rsidRDefault="00C22B37" w:rsidP="00C22B37">
            <w:pPr>
              <w:jc w:val="right"/>
              <w:rPr>
                <w:sz w:val="20"/>
                <w:szCs w:val="20"/>
              </w:rPr>
            </w:pPr>
            <w:r w:rsidRPr="00CC095C">
              <w:rPr>
                <w:sz w:val="20"/>
                <w:szCs w:val="20"/>
              </w:rPr>
              <w:t>…*%</w:t>
            </w:r>
          </w:p>
        </w:tc>
      </w:tr>
      <w:tr w:rsidR="00C22B37" w:rsidRPr="002E30B8" w14:paraId="6EA65CC2" w14:textId="77777777" w:rsidTr="007F7A07">
        <w:trPr>
          <w:trHeight w:val="70"/>
        </w:trPr>
        <w:tc>
          <w:tcPr>
            <w:tcW w:w="1534" w:type="pct"/>
            <w:noWrap/>
            <w:hideMark/>
          </w:tcPr>
          <w:p w14:paraId="6DF8F882" w14:textId="3349C6D9" w:rsidR="00C22B37" w:rsidRPr="002E30B8" w:rsidRDefault="00C22B37" w:rsidP="00C22B37">
            <w:pPr>
              <w:jc w:val="both"/>
              <w:rPr>
                <w:sz w:val="20"/>
                <w:szCs w:val="20"/>
              </w:rPr>
            </w:pPr>
            <w:r w:rsidRPr="002E30B8">
              <w:rPr>
                <w:sz w:val="20"/>
                <w:szCs w:val="20"/>
              </w:rPr>
              <w:t>Tartu linn</w:t>
            </w:r>
          </w:p>
        </w:tc>
        <w:tc>
          <w:tcPr>
            <w:tcW w:w="495" w:type="pct"/>
            <w:noWrap/>
            <w:hideMark/>
          </w:tcPr>
          <w:p w14:paraId="036296F4" w14:textId="77777777" w:rsidR="00C22B37" w:rsidRPr="002E30B8" w:rsidRDefault="00C22B37" w:rsidP="00C22B37">
            <w:pPr>
              <w:jc w:val="right"/>
              <w:rPr>
                <w:sz w:val="20"/>
                <w:szCs w:val="20"/>
              </w:rPr>
            </w:pPr>
            <w:r w:rsidRPr="002E30B8">
              <w:rPr>
                <w:sz w:val="20"/>
                <w:szCs w:val="20"/>
              </w:rPr>
              <w:t>55 267</w:t>
            </w:r>
          </w:p>
        </w:tc>
        <w:tc>
          <w:tcPr>
            <w:tcW w:w="390" w:type="pct"/>
            <w:noWrap/>
            <w:hideMark/>
          </w:tcPr>
          <w:p w14:paraId="7845CEB4" w14:textId="23AF2A53" w:rsidR="00C22B37" w:rsidRPr="002E30B8" w:rsidRDefault="00C22B37" w:rsidP="00C22B37">
            <w:pPr>
              <w:jc w:val="right"/>
              <w:rPr>
                <w:sz w:val="20"/>
                <w:szCs w:val="20"/>
              </w:rPr>
            </w:pPr>
            <w:r w:rsidRPr="001320AF">
              <w:rPr>
                <w:sz w:val="20"/>
                <w:szCs w:val="20"/>
              </w:rPr>
              <w:t>…*%</w:t>
            </w:r>
          </w:p>
        </w:tc>
        <w:tc>
          <w:tcPr>
            <w:tcW w:w="384" w:type="pct"/>
            <w:noWrap/>
            <w:hideMark/>
          </w:tcPr>
          <w:p w14:paraId="2917B4D8" w14:textId="4B338046" w:rsidR="00C22B37" w:rsidRPr="002E30B8" w:rsidRDefault="00C22B37" w:rsidP="00C22B37">
            <w:pPr>
              <w:jc w:val="right"/>
              <w:rPr>
                <w:sz w:val="20"/>
                <w:szCs w:val="20"/>
              </w:rPr>
            </w:pPr>
            <w:r w:rsidRPr="00CC095C">
              <w:rPr>
                <w:sz w:val="20"/>
                <w:szCs w:val="20"/>
              </w:rPr>
              <w:t>…*%</w:t>
            </w:r>
          </w:p>
        </w:tc>
        <w:tc>
          <w:tcPr>
            <w:tcW w:w="370" w:type="pct"/>
            <w:noWrap/>
            <w:hideMark/>
          </w:tcPr>
          <w:p w14:paraId="0D819A37" w14:textId="037DFDC5" w:rsidR="00C22B37" w:rsidRPr="002E30B8" w:rsidRDefault="00C22B37" w:rsidP="00C22B37">
            <w:pPr>
              <w:jc w:val="right"/>
              <w:rPr>
                <w:sz w:val="20"/>
                <w:szCs w:val="20"/>
              </w:rPr>
            </w:pPr>
            <w:r w:rsidRPr="00CC095C">
              <w:rPr>
                <w:sz w:val="20"/>
                <w:szCs w:val="20"/>
              </w:rPr>
              <w:t>…*%</w:t>
            </w:r>
          </w:p>
        </w:tc>
        <w:tc>
          <w:tcPr>
            <w:tcW w:w="440" w:type="pct"/>
            <w:noWrap/>
            <w:hideMark/>
          </w:tcPr>
          <w:p w14:paraId="4005D7FE" w14:textId="43680AA9" w:rsidR="00C22B37" w:rsidRPr="002E30B8" w:rsidRDefault="00C22B37" w:rsidP="00C22B37">
            <w:pPr>
              <w:jc w:val="right"/>
              <w:rPr>
                <w:sz w:val="20"/>
                <w:szCs w:val="20"/>
              </w:rPr>
            </w:pPr>
            <w:r w:rsidRPr="00CC095C">
              <w:rPr>
                <w:sz w:val="20"/>
                <w:szCs w:val="20"/>
              </w:rPr>
              <w:t>…*%</w:t>
            </w:r>
          </w:p>
        </w:tc>
        <w:tc>
          <w:tcPr>
            <w:tcW w:w="440" w:type="pct"/>
            <w:noWrap/>
            <w:hideMark/>
          </w:tcPr>
          <w:p w14:paraId="3B3C04F7" w14:textId="605246C4" w:rsidR="00C22B37" w:rsidRPr="002E30B8" w:rsidRDefault="00C22B37" w:rsidP="00C22B37">
            <w:pPr>
              <w:jc w:val="right"/>
              <w:rPr>
                <w:sz w:val="20"/>
                <w:szCs w:val="20"/>
              </w:rPr>
            </w:pPr>
            <w:r w:rsidRPr="00CC095C">
              <w:rPr>
                <w:sz w:val="20"/>
                <w:szCs w:val="20"/>
              </w:rPr>
              <w:t>…*%</w:t>
            </w:r>
          </w:p>
        </w:tc>
        <w:tc>
          <w:tcPr>
            <w:tcW w:w="412" w:type="pct"/>
            <w:noWrap/>
            <w:hideMark/>
          </w:tcPr>
          <w:p w14:paraId="08973B78" w14:textId="1FF5A244" w:rsidR="00C22B37" w:rsidRPr="002E30B8" w:rsidRDefault="00C22B37" w:rsidP="00C22B37">
            <w:pPr>
              <w:jc w:val="right"/>
              <w:rPr>
                <w:sz w:val="20"/>
                <w:szCs w:val="20"/>
              </w:rPr>
            </w:pPr>
            <w:r w:rsidRPr="00CC095C">
              <w:rPr>
                <w:sz w:val="20"/>
                <w:szCs w:val="20"/>
              </w:rPr>
              <w:t>…*%</w:t>
            </w:r>
          </w:p>
        </w:tc>
        <w:tc>
          <w:tcPr>
            <w:tcW w:w="535" w:type="pct"/>
            <w:noWrap/>
            <w:hideMark/>
          </w:tcPr>
          <w:p w14:paraId="2CD125DD" w14:textId="33011D0F" w:rsidR="00C22B37" w:rsidRPr="002E30B8" w:rsidRDefault="00C22B37" w:rsidP="00C22B37">
            <w:pPr>
              <w:jc w:val="right"/>
              <w:rPr>
                <w:sz w:val="20"/>
                <w:szCs w:val="20"/>
              </w:rPr>
            </w:pPr>
            <w:r w:rsidRPr="00CC095C">
              <w:rPr>
                <w:sz w:val="20"/>
                <w:szCs w:val="20"/>
              </w:rPr>
              <w:t>…*%</w:t>
            </w:r>
          </w:p>
        </w:tc>
      </w:tr>
      <w:tr w:rsidR="00C22B37" w:rsidRPr="002E30B8" w14:paraId="227475F8" w14:textId="77777777" w:rsidTr="007F7A07">
        <w:trPr>
          <w:trHeight w:val="70"/>
        </w:trPr>
        <w:tc>
          <w:tcPr>
            <w:tcW w:w="1534" w:type="pct"/>
            <w:noWrap/>
            <w:hideMark/>
          </w:tcPr>
          <w:p w14:paraId="7F4177A2" w14:textId="305E45C7" w:rsidR="00C22B37" w:rsidRPr="002E30B8" w:rsidRDefault="00C22B37" w:rsidP="00C22B37">
            <w:pPr>
              <w:jc w:val="both"/>
              <w:rPr>
                <w:sz w:val="20"/>
                <w:szCs w:val="20"/>
              </w:rPr>
            </w:pPr>
            <w:r w:rsidRPr="002E30B8">
              <w:rPr>
                <w:sz w:val="20"/>
                <w:szCs w:val="20"/>
              </w:rPr>
              <w:t>Elva linn</w:t>
            </w:r>
          </w:p>
        </w:tc>
        <w:tc>
          <w:tcPr>
            <w:tcW w:w="495" w:type="pct"/>
            <w:noWrap/>
            <w:hideMark/>
          </w:tcPr>
          <w:p w14:paraId="0D97771E" w14:textId="77777777" w:rsidR="00C22B37" w:rsidRPr="002E30B8" w:rsidRDefault="00C22B37" w:rsidP="00C22B37">
            <w:pPr>
              <w:jc w:val="right"/>
              <w:rPr>
                <w:sz w:val="20"/>
                <w:szCs w:val="20"/>
              </w:rPr>
            </w:pPr>
            <w:r w:rsidRPr="002E30B8">
              <w:rPr>
                <w:sz w:val="20"/>
                <w:szCs w:val="20"/>
              </w:rPr>
              <w:t>3 039</w:t>
            </w:r>
          </w:p>
        </w:tc>
        <w:tc>
          <w:tcPr>
            <w:tcW w:w="390" w:type="pct"/>
            <w:noWrap/>
            <w:hideMark/>
          </w:tcPr>
          <w:p w14:paraId="06C177B8" w14:textId="5FA5CDBF" w:rsidR="00C22B37" w:rsidRPr="002E30B8" w:rsidRDefault="00C22B37" w:rsidP="00C22B37">
            <w:pPr>
              <w:jc w:val="right"/>
              <w:rPr>
                <w:sz w:val="20"/>
                <w:szCs w:val="20"/>
              </w:rPr>
            </w:pPr>
            <w:r w:rsidRPr="001320AF">
              <w:rPr>
                <w:sz w:val="20"/>
                <w:szCs w:val="20"/>
              </w:rPr>
              <w:t>…*%</w:t>
            </w:r>
          </w:p>
        </w:tc>
        <w:tc>
          <w:tcPr>
            <w:tcW w:w="384" w:type="pct"/>
            <w:noWrap/>
            <w:hideMark/>
          </w:tcPr>
          <w:p w14:paraId="471A7BB3" w14:textId="7C316F4D" w:rsidR="00C22B37" w:rsidRPr="002E30B8" w:rsidRDefault="00C22B37" w:rsidP="00C22B37">
            <w:pPr>
              <w:jc w:val="right"/>
              <w:rPr>
                <w:sz w:val="20"/>
                <w:szCs w:val="20"/>
              </w:rPr>
            </w:pPr>
            <w:r w:rsidRPr="00CC095C">
              <w:rPr>
                <w:sz w:val="20"/>
                <w:szCs w:val="20"/>
              </w:rPr>
              <w:t>…*%</w:t>
            </w:r>
          </w:p>
        </w:tc>
        <w:tc>
          <w:tcPr>
            <w:tcW w:w="370" w:type="pct"/>
            <w:noWrap/>
            <w:hideMark/>
          </w:tcPr>
          <w:p w14:paraId="5E086229" w14:textId="41E6394C" w:rsidR="00C22B37" w:rsidRPr="002E30B8" w:rsidRDefault="00C22B37" w:rsidP="00C22B37">
            <w:pPr>
              <w:jc w:val="right"/>
              <w:rPr>
                <w:sz w:val="20"/>
                <w:szCs w:val="20"/>
              </w:rPr>
            </w:pPr>
            <w:r w:rsidRPr="00CC095C">
              <w:rPr>
                <w:sz w:val="20"/>
                <w:szCs w:val="20"/>
              </w:rPr>
              <w:t>…*%</w:t>
            </w:r>
          </w:p>
        </w:tc>
        <w:tc>
          <w:tcPr>
            <w:tcW w:w="440" w:type="pct"/>
            <w:noWrap/>
            <w:hideMark/>
          </w:tcPr>
          <w:p w14:paraId="02AA9A76" w14:textId="51CB83F7" w:rsidR="00C22B37" w:rsidRPr="002E30B8" w:rsidRDefault="00C22B37" w:rsidP="00C22B37">
            <w:pPr>
              <w:jc w:val="right"/>
              <w:rPr>
                <w:sz w:val="20"/>
                <w:szCs w:val="20"/>
              </w:rPr>
            </w:pPr>
            <w:r w:rsidRPr="00CC095C">
              <w:rPr>
                <w:sz w:val="20"/>
                <w:szCs w:val="20"/>
              </w:rPr>
              <w:t>…*%</w:t>
            </w:r>
          </w:p>
        </w:tc>
        <w:tc>
          <w:tcPr>
            <w:tcW w:w="440" w:type="pct"/>
            <w:noWrap/>
            <w:hideMark/>
          </w:tcPr>
          <w:p w14:paraId="65F452FE" w14:textId="57F3CDB7" w:rsidR="00C22B37" w:rsidRPr="002E30B8" w:rsidRDefault="00C22B37" w:rsidP="00C22B37">
            <w:pPr>
              <w:jc w:val="right"/>
              <w:rPr>
                <w:sz w:val="20"/>
                <w:szCs w:val="20"/>
              </w:rPr>
            </w:pPr>
            <w:r w:rsidRPr="00CC095C">
              <w:rPr>
                <w:sz w:val="20"/>
                <w:szCs w:val="20"/>
              </w:rPr>
              <w:t>…*%</w:t>
            </w:r>
          </w:p>
        </w:tc>
        <w:tc>
          <w:tcPr>
            <w:tcW w:w="412" w:type="pct"/>
            <w:noWrap/>
            <w:hideMark/>
          </w:tcPr>
          <w:p w14:paraId="6920C7F8" w14:textId="28424A69" w:rsidR="00C22B37" w:rsidRPr="002E30B8" w:rsidRDefault="00C22B37" w:rsidP="00C22B37">
            <w:pPr>
              <w:jc w:val="right"/>
              <w:rPr>
                <w:sz w:val="20"/>
                <w:szCs w:val="20"/>
              </w:rPr>
            </w:pPr>
            <w:r w:rsidRPr="00CC095C">
              <w:rPr>
                <w:sz w:val="20"/>
                <w:szCs w:val="20"/>
              </w:rPr>
              <w:t>…*%</w:t>
            </w:r>
          </w:p>
        </w:tc>
        <w:tc>
          <w:tcPr>
            <w:tcW w:w="535" w:type="pct"/>
            <w:noWrap/>
            <w:hideMark/>
          </w:tcPr>
          <w:p w14:paraId="29A462F1" w14:textId="2C737B00" w:rsidR="00C22B37" w:rsidRPr="002E30B8" w:rsidRDefault="00C22B37" w:rsidP="00C22B37">
            <w:pPr>
              <w:jc w:val="right"/>
              <w:rPr>
                <w:sz w:val="20"/>
                <w:szCs w:val="20"/>
              </w:rPr>
            </w:pPr>
            <w:r w:rsidRPr="00CC095C">
              <w:rPr>
                <w:sz w:val="20"/>
                <w:szCs w:val="20"/>
              </w:rPr>
              <w:t>…*%</w:t>
            </w:r>
          </w:p>
        </w:tc>
      </w:tr>
      <w:tr w:rsidR="00C22B37" w:rsidRPr="002E30B8" w14:paraId="6A24D4B7" w14:textId="77777777" w:rsidTr="007F7A07">
        <w:trPr>
          <w:trHeight w:val="142"/>
        </w:trPr>
        <w:tc>
          <w:tcPr>
            <w:tcW w:w="1534" w:type="pct"/>
            <w:noWrap/>
            <w:hideMark/>
          </w:tcPr>
          <w:p w14:paraId="68DE6A55" w14:textId="2BA7C00E" w:rsidR="00C22B37" w:rsidRPr="002E30B8" w:rsidRDefault="00C22B37" w:rsidP="00C22B37">
            <w:pPr>
              <w:jc w:val="both"/>
              <w:rPr>
                <w:sz w:val="20"/>
                <w:szCs w:val="20"/>
              </w:rPr>
            </w:pPr>
            <w:r w:rsidRPr="002E30B8">
              <w:rPr>
                <w:sz w:val="20"/>
                <w:szCs w:val="20"/>
              </w:rPr>
              <w:t>Valga linn</w:t>
            </w:r>
          </w:p>
        </w:tc>
        <w:tc>
          <w:tcPr>
            <w:tcW w:w="495" w:type="pct"/>
            <w:noWrap/>
            <w:hideMark/>
          </w:tcPr>
          <w:p w14:paraId="37A22468" w14:textId="77777777" w:rsidR="00C22B37" w:rsidRPr="002E30B8" w:rsidRDefault="00C22B37" w:rsidP="00C22B37">
            <w:pPr>
              <w:jc w:val="right"/>
              <w:rPr>
                <w:sz w:val="20"/>
                <w:szCs w:val="20"/>
              </w:rPr>
            </w:pPr>
            <w:r w:rsidRPr="002E30B8">
              <w:rPr>
                <w:sz w:val="20"/>
                <w:szCs w:val="20"/>
              </w:rPr>
              <w:t>7 584</w:t>
            </w:r>
          </w:p>
        </w:tc>
        <w:tc>
          <w:tcPr>
            <w:tcW w:w="390" w:type="pct"/>
            <w:noWrap/>
            <w:hideMark/>
          </w:tcPr>
          <w:p w14:paraId="625B8857" w14:textId="1938637D" w:rsidR="00C22B37" w:rsidRPr="002E30B8" w:rsidRDefault="00C22B37" w:rsidP="00C22B37">
            <w:pPr>
              <w:jc w:val="right"/>
              <w:rPr>
                <w:sz w:val="20"/>
                <w:szCs w:val="20"/>
              </w:rPr>
            </w:pPr>
            <w:r w:rsidRPr="001320AF">
              <w:rPr>
                <w:sz w:val="20"/>
                <w:szCs w:val="20"/>
              </w:rPr>
              <w:t>…*%</w:t>
            </w:r>
          </w:p>
        </w:tc>
        <w:tc>
          <w:tcPr>
            <w:tcW w:w="384" w:type="pct"/>
            <w:noWrap/>
            <w:hideMark/>
          </w:tcPr>
          <w:p w14:paraId="6C8A5449" w14:textId="6A53D80F" w:rsidR="00C22B37" w:rsidRPr="002E30B8" w:rsidRDefault="00C22B37" w:rsidP="00C22B37">
            <w:pPr>
              <w:jc w:val="right"/>
              <w:rPr>
                <w:sz w:val="20"/>
                <w:szCs w:val="20"/>
              </w:rPr>
            </w:pPr>
            <w:r w:rsidRPr="00CC095C">
              <w:rPr>
                <w:sz w:val="20"/>
                <w:szCs w:val="20"/>
              </w:rPr>
              <w:t>…*%</w:t>
            </w:r>
          </w:p>
        </w:tc>
        <w:tc>
          <w:tcPr>
            <w:tcW w:w="370" w:type="pct"/>
            <w:noWrap/>
            <w:hideMark/>
          </w:tcPr>
          <w:p w14:paraId="11D056D4" w14:textId="4AB201DA" w:rsidR="00C22B37" w:rsidRPr="002E30B8" w:rsidRDefault="00C22B37" w:rsidP="00C22B37">
            <w:pPr>
              <w:jc w:val="right"/>
              <w:rPr>
                <w:sz w:val="20"/>
                <w:szCs w:val="20"/>
              </w:rPr>
            </w:pPr>
            <w:r w:rsidRPr="00CC095C">
              <w:rPr>
                <w:sz w:val="20"/>
                <w:szCs w:val="20"/>
              </w:rPr>
              <w:t>…*%</w:t>
            </w:r>
          </w:p>
        </w:tc>
        <w:tc>
          <w:tcPr>
            <w:tcW w:w="440" w:type="pct"/>
            <w:noWrap/>
            <w:hideMark/>
          </w:tcPr>
          <w:p w14:paraId="009FC27C" w14:textId="17780342" w:rsidR="00C22B37" w:rsidRPr="002E30B8" w:rsidRDefault="00C22B37" w:rsidP="00C22B37">
            <w:pPr>
              <w:jc w:val="right"/>
              <w:rPr>
                <w:sz w:val="20"/>
                <w:szCs w:val="20"/>
              </w:rPr>
            </w:pPr>
            <w:r w:rsidRPr="00CC095C">
              <w:rPr>
                <w:sz w:val="20"/>
                <w:szCs w:val="20"/>
              </w:rPr>
              <w:t>…*%</w:t>
            </w:r>
          </w:p>
        </w:tc>
        <w:tc>
          <w:tcPr>
            <w:tcW w:w="440" w:type="pct"/>
            <w:noWrap/>
            <w:hideMark/>
          </w:tcPr>
          <w:p w14:paraId="0BF4BCC2" w14:textId="7641D7A9" w:rsidR="00C22B37" w:rsidRPr="002E30B8" w:rsidRDefault="00C22B37" w:rsidP="00C22B37">
            <w:pPr>
              <w:jc w:val="right"/>
              <w:rPr>
                <w:sz w:val="20"/>
                <w:szCs w:val="20"/>
              </w:rPr>
            </w:pPr>
            <w:r w:rsidRPr="00CC095C">
              <w:rPr>
                <w:sz w:val="20"/>
                <w:szCs w:val="20"/>
              </w:rPr>
              <w:t>…*%</w:t>
            </w:r>
          </w:p>
        </w:tc>
        <w:tc>
          <w:tcPr>
            <w:tcW w:w="412" w:type="pct"/>
            <w:noWrap/>
            <w:hideMark/>
          </w:tcPr>
          <w:p w14:paraId="46FA0A50" w14:textId="6FF46EAE" w:rsidR="00C22B37" w:rsidRPr="002E30B8" w:rsidRDefault="00C22B37" w:rsidP="00C22B37">
            <w:pPr>
              <w:jc w:val="right"/>
              <w:rPr>
                <w:sz w:val="20"/>
                <w:szCs w:val="20"/>
              </w:rPr>
            </w:pPr>
            <w:r w:rsidRPr="00CC095C">
              <w:rPr>
                <w:sz w:val="20"/>
                <w:szCs w:val="20"/>
              </w:rPr>
              <w:t>…*%</w:t>
            </w:r>
          </w:p>
        </w:tc>
        <w:tc>
          <w:tcPr>
            <w:tcW w:w="535" w:type="pct"/>
            <w:noWrap/>
            <w:hideMark/>
          </w:tcPr>
          <w:p w14:paraId="016A6802" w14:textId="407500B9" w:rsidR="00C22B37" w:rsidRPr="002E30B8" w:rsidRDefault="00C22B37" w:rsidP="00C22B37">
            <w:pPr>
              <w:jc w:val="right"/>
              <w:rPr>
                <w:sz w:val="20"/>
                <w:szCs w:val="20"/>
              </w:rPr>
            </w:pPr>
            <w:r w:rsidRPr="00CC095C">
              <w:rPr>
                <w:sz w:val="20"/>
                <w:szCs w:val="20"/>
              </w:rPr>
              <w:t>…*%</w:t>
            </w:r>
          </w:p>
        </w:tc>
      </w:tr>
      <w:tr w:rsidR="00C22B37" w:rsidRPr="002E30B8" w14:paraId="7CA72B41" w14:textId="77777777" w:rsidTr="007F7A07">
        <w:trPr>
          <w:trHeight w:val="204"/>
        </w:trPr>
        <w:tc>
          <w:tcPr>
            <w:tcW w:w="1534" w:type="pct"/>
            <w:noWrap/>
            <w:hideMark/>
          </w:tcPr>
          <w:p w14:paraId="22014EF8" w14:textId="77777777" w:rsidR="00C22B37" w:rsidRPr="002E30B8" w:rsidRDefault="00C22B37" w:rsidP="00C22B37">
            <w:pPr>
              <w:jc w:val="both"/>
              <w:rPr>
                <w:sz w:val="20"/>
                <w:szCs w:val="20"/>
              </w:rPr>
            </w:pPr>
            <w:r w:rsidRPr="002E30B8">
              <w:rPr>
                <w:sz w:val="20"/>
                <w:szCs w:val="20"/>
              </w:rPr>
              <w:t>Viljandi linn</w:t>
            </w:r>
          </w:p>
        </w:tc>
        <w:tc>
          <w:tcPr>
            <w:tcW w:w="495" w:type="pct"/>
            <w:noWrap/>
            <w:hideMark/>
          </w:tcPr>
          <w:p w14:paraId="273F40E9" w14:textId="77777777" w:rsidR="00C22B37" w:rsidRPr="002E30B8" w:rsidRDefault="00C22B37" w:rsidP="00C22B37">
            <w:pPr>
              <w:jc w:val="right"/>
              <w:rPr>
                <w:sz w:val="20"/>
                <w:szCs w:val="20"/>
              </w:rPr>
            </w:pPr>
            <w:r w:rsidRPr="002E30B8">
              <w:rPr>
                <w:sz w:val="20"/>
                <w:szCs w:val="20"/>
              </w:rPr>
              <w:t>10 285</w:t>
            </w:r>
          </w:p>
        </w:tc>
        <w:tc>
          <w:tcPr>
            <w:tcW w:w="390" w:type="pct"/>
            <w:noWrap/>
            <w:hideMark/>
          </w:tcPr>
          <w:p w14:paraId="40A9E2B1" w14:textId="6F721749" w:rsidR="00C22B37" w:rsidRPr="002E30B8" w:rsidRDefault="00C22B37" w:rsidP="00C22B37">
            <w:pPr>
              <w:jc w:val="right"/>
              <w:rPr>
                <w:sz w:val="20"/>
                <w:szCs w:val="20"/>
              </w:rPr>
            </w:pPr>
            <w:r w:rsidRPr="001320AF">
              <w:rPr>
                <w:sz w:val="20"/>
                <w:szCs w:val="20"/>
              </w:rPr>
              <w:t>…*%</w:t>
            </w:r>
          </w:p>
        </w:tc>
        <w:tc>
          <w:tcPr>
            <w:tcW w:w="384" w:type="pct"/>
            <w:noWrap/>
            <w:hideMark/>
          </w:tcPr>
          <w:p w14:paraId="506A750B" w14:textId="22C8AA53" w:rsidR="00C22B37" w:rsidRPr="002E30B8" w:rsidRDefault="00C22B37" w:rsidP="00C22B37">
            <w:pPr>
              <w:jc w:val="right"/>
              <w:rPr>
                <w:sz w:val="20"/>
                <w:szCs w:val="20"/>
              </w:rPr>
            </w:pPr>
            <w:r w:rsidRPr="00EB485B">
              <w:rPr>
                <w:sz w:val="20"/>
                <w:szCs w:val="20"/>
              </w:rPr>
              <w:t>…*%</w:t>
            </w:r>
          </w:p>
        </w:tc>
        <w:tc>
          <w:tcPr>
            <w:tcW w:w="370" w:type="pct"/>
            <w:noWrap/>
            <w:hideMark/>
          </w:tcPr>
          <w:p w14:paraId="1F19118C" w14:textId="421BE6CF" w:rsidR="00C22B37" w:rsidRPr="002E30B8" w:rsidRDefault="00C22B37" w:rsidP="00C22B37">
            <w:pPr>
              <w:jc w:val="right"/>
              <w:rPr>
                <w:sz w:val="20"/>
                <w:szCs w:val="20"/>
              </w:rPr>
            </w:pPr>
            <w:r w:rsidRPr="00EB485B">
              <w:rPr>
                <w:sz w:val="20"/>
                <w:szCs w:val="20"/>
              </w:rPr>
              <w:t>…*%</w:t>
            </w:r>
          </w:p>
        </w:tc>
        <w:tc>
          <w:tcPr>
            <w:tcW w:w="440" w:type="pct"/>
            <w:noWrap/>
            <w:hideMark/>
          </w:tcPr>
          <w:p w14:paraId="1FC2E694" w14:textId="674EB5A9" w:rsidR="00C22B37" w:rsidRPr="002E30B8" w:rsidRDefault="00C22B37" w:rsidP="00C22B37">
            <w:pPr>
              <w:jc w:val="right"/>
              <w:rPr>
                <w:sz w:val="20"/>
                <w:szCs w:val="20"/>
              </w:rPr>
            </w:pPr>
            <w:r w:rsidRPr="00EB485B">
              <w:rPr>
                <w:sz w:val="20"/>
                <w:szCs w:val="20"/>
              </w:rPr>
              <w:t>…*%</w:t>
            </w:r>
          </w:p>
        </w:tc>
        <w:tc>
          <w:tcPr>
            <w:tcW w:w="440" w:type="pct"/>
            <w:noWrap/>
            <w:hideMark/>
          </w:tcPr>
          <w:p w14:paraId="13147085" w14:textId="3A27D711" w:rsidR="00C22B37" w:rsidRPr="002E30B8" w:rsidRDefault="00C22B37" w:rsidP="00C22B37">
            <w:pPr>
              <w:jc w:val="right"/>
              <w:rPr>
                <w:sz w:val="20"/>
                <w:szCs w:val="20"/>
              </w:rPr>
            </w:pPr>
            <w:r w:rsidRPr="00EB485B">
              <w:rPr>
                <w:sz w:val="20"/>
                <w:szCs w:val="20"/>
              </w:rPr>
              <w:t>…*%</w:t>
            </w:r>
          </w:p>
        </w:tc>
        <w:tc>
          <w:tcPr>
            <w:tcW w:w="412" w:type="pct"/>
            <w:noWrap/>
            <w:hideMark/>
          </w:tcPr>
          <w:p w14:paraId="122D4D00" w14:textId="60352590" w:rsidR="00C22B37" w:rsidRPr="002E30B8" w:rsidRDefault="00C22B37" w:rsidP="00C22B37">
            <w:pPr>
              <w:jc w:val="right"/>
              <w:rPr>
                <w:sz w:val="20"/>
                <w:szCs w:val="20"/>
              </w:rPr>
            </w:pPr>
            <w:r w:rsidRPr="00EB485B">
              <w:rPr>
                <w:sz w:val="20"/>
                <w:szCs w:val="20"/>
              </w:rPr>
              <w:t>…*%</w:t>
            </w:r>
          </w:p>
        </w:tc>
        <w:tc>
          <w:tcPr>
            <w:tcW w:w="535" w:type="pct"/>
            <w:noWrap/>
            <w:hideMark/>
          </w:tcPr>
          <w:p w14:paraId="6EEFB2B1" w14:textId="1EC5A1D6" w:rsidR="00C22B37" w:rsidRPr="002E30B8" w:rsidRDefault="00C22B37" w:rsidP="00C22B37">
            <w:pPr>
              <w:jc w:val="right"/>
              <w:rPr>
                <w:sz w:val="20"/>
                <w:szCs w:val="20"/>
              </w:rPr>
            </w:pPr>
            <w:r w:rsidRPr="00EB485B">
              <w:rPr>
                <w:sz w:val="20"/>
                <w:szCs w:val="20"/>
              </w:rPr>
              <w:t>…*%</w:t>
            </w:r>
          </w:p>
        </w:tc>
      </w:tr>
      <w:tr w:rsidR="00C22B37" w:rsidRPr="002E30B8" w14:paraId="3EDE3DEF" w14:textId="77777777" w:rsidTr="007F7A07">
        <w:trPr>
          <w:trHeight w:val="70"/>
        </w:trPr>
        <w:tc>
          <w:tcPr>
            <w:tcW w:w="1534" w:type="pct"/>
            <w:noWrap/>
            <w:hideMark/>
          </w:tcPr>
          <w:p w14:paraId="34335FAA" w14:textId="5D7FADFA" w:rsidR="00C22B37" w:rsidRPr="002E30B8" w:rsidRDefault="00C22B37" w:rsidP="00C22B37">
            <w:pPr>
              <w:jc w:val="both"/>
              <w:rPr>
                <w:sz w:val="20"/>
                <w:szCs w:val="20"/>
              </w:rPr>
            </w:pPr>
            <w:r w:rsidRPr="002E30B8">
              <w:rPr>
                <w:sz w:val="20"/>
                <w:szCs w:val="20"/>
              </w:rPr>
              <w:t>Võru linn</w:t>
            </w:r>
          </w:p>
        </w:tc>
        <w:tc>
          <w:tcPr>
            <w:tcW w:w="495" w:type="pct"/>
            <w:noWrap/>
            <w:hideMark/>
          </w:tcPr>
          <w:p w14:paraId="31E9CAC2" w14:textId="77777777" w:rsidR="00C22B37" w:rsidRPr="002E30B8" w:rsidRDefault="00C22B37" w:rsidP="00C22B37">
            <w:pPr>
              <w:jc w:val="right"/>
              <w:rPr>
                <w:sz w:val="20"/>
                <w:szCs w:val="20"/>
              </w:rPr>
            </w:pPr>
            <w:r w:rsidRPr="002E30B8">
              <w:rPr>
                <w:sz w:val="20"/>
                <w:szCs w:val="20"/>
              </w:rPr>
              <w:t>8 723</w:t>
            </w:r>
          </w:p>
        </w:tc>
        <w:tc>
          <w:tcPr>
            <w:tcW w:w="390" w:type="pct"/>
            <w:noWrap/>
            <w:hideMark/>
          </w:tcPr>
          <w:p w14:paraId="711451AF" w14:textId="60AE7C21" w:rsidR="00C22B37" w:rsidRPr="002E30B8" w:rsidRDefault="00C22B37" w:rsidP="00C22B37">
            <w:pPr>
              <w:jc w:val="right"/>
              <w:rPr>
                <w:sz w:val="20"/>
                <w:szCs w:val="20"/>
              </w:rPr>
            </w:pPr>
            <w:r w:rsidRPr="001320AF">
              <w:rPr>
                <w:sz w:val="20"/>
                <w:szCs w:val="20"/>
              </w:rPr>
              <w:t>…*%</w:t>
            </w:r>
          </w:p>
        </w:tc>
        <w:tc>
          <w:tcPr>
            <w:tcW w:w="384" w:type="pct"/>
            <w:noWrap/>
            <w:hideMark/>
          </w:tcPr>
          <w:p w14:paraId="338EA547" w14:textId="7ACCF48B" w:rsidR="00C22B37" w:rsidRPr="002E30B8" w:rsidRDefault="00C22B37" w:rsidP="00C22B37">
            <w:pPr>
              <w:jc w:val="right"/>
              <w:rPr>
                <w:sz w:val="20"/>
                <w:szCs w:val="20"/>
              </w:rPr>
            </w:pPr>
            <w:r w:rsidRPr="00EB485B">
              <w:rPr>
                <w:sz w:val="20"/>
                <w:szCs w:val="20"/>
              </w:rPr>
              <w:t>…*%</w:t>
            </w:r>
          </w:p>
        </w:tc>
        <w:tc>
          <w:tcPr>
            <w:tcW w:w="370" w:type="pct"/>
            <w:noWrap/>
            <w:hideMark/>
          </w:tcPr>
          <w:p w14:paraId="026774A1" w14:textId="15A32344" w:rsidR="00C22B37" w:rsidRPr="002E30B8" w:rsidRDefault="00C22B37" w:rsidP="00C22B37">
            <w:pPr>
              <w:jc w:val="right"/>
              <w:rPr>
                <w:sz w:val="20"/>
                <w:szCs w:val="20"/>
              </w:rPr>
            </w:pPr>
            <w:r w:rsidRPr="00EB485B">
              <w:rPr>
                <w:sz w:val="20"/>
                <w:szCs w:val="20"/>
              </w:rPr>
              <w:t>…*%</w:t>
            </w:r>
          </w:p>
        </w:tc>
        <w:tc>
          <w:tcPr>
            <w:tcW w:w="440" w:type="pct"/>
            <w:noWrap/>
            <w:hideMark/>
          </w:tcPr>
          <w:p w14:paraId="55F2042D" w14:textId="6811CE51" w:rsidR="00C22B37" w:rsidRPr="002E30B8" w:rsidRDefault="00C22B37" w:rsidP="00C22B37">
            <w:pPr>
              <w:jc w:val="right"/>
              <w:rPr>
                <w:sz w:val="20"/>
                <w:szCs w:val="20"/>
              </w:rPr>
            </w:pPr>
            <w:r w:rsidRPr="00EB485B">
              <w:rPr>
                <w:sz w:val="20"/>
                <w:szCs w:val="20"/>
              </w:rPr>
              <w:t>…*%</w:t>
            </w:r>
          </w:p>
        </w:tc>
        <w:tc>
          <w:tcPr>
            <w:tcW w:w="440" w:type="pct"/>
            <w:noWrap/>
            <w:hideMark/>
          </w:tcPr>
          <w:p w14:paraId="40971B53" w14:textId="35F45ACE" w:rsidR="00C22B37" w:rsidRPr="002E30B8" w:rsidRDefault="00C22B37" w:rsidP="00C22B37">
            <w:pPr>
              <w:jc w:val="right"/>
              <w:rPr>
                <w:sz w:val="20"/>
                <w:szCs w:val="20"/>
              </w:rPr>
            </w:pPr>
            <w:r w:rsidRPr="00EB485B">
              <w:rPr>
                <w:sz w:val="20"/>
                <w:szCs w:val="20"/>
              </w:rPr>
              <w:t>…*%</w:t>
            </w:r>
          </w:p>
        </w:tc>
        <w:tc>
          <w:tcPr>
            <w:tcW w:w="412" w:type="pct"/>
            <w:noWrap/>
            <w:hideMark/>
          </w:tcPr>
          <w:p w14:paraId="00001BFE" w14:textId="74FC20F0" w:rsidR="00C22B37" w:rsidRPr="002E30B8" w:rsidRDefault="00C22B37" w:rsidP="00C22B37">
            <w:pPr>
              <w:jc w:val="right"/>
              <w:rPr>
                <w:sz w:val="20"/>
                <w:szCs w:val="20"/>
              </w:rPr>
            </w:pPr>
            <w:r w:rsidRPr="00EB485B">
              <w:rPr>
                <w:sz w:val="20"/>
                <w:szCs w:val="20"/>
              </w:rPr>
              <w:t>…*%</w:t>
            </w:r>
          </w:p>
        </w:tc>
        <w:tc>
          <w:tcPr>
            <w:tcW w:w="535" w:type="pct"/>
            <w:noWrap/>
            <w:hideMark/>
          </w:tcPr>
          <w:p w14:paraId="1F3E94C6" w14:textId="508245CC" w:rsidR="00C22B37" w:rsidRPr="002E30B8" w:rsidRDefault="00C22B37" w:rsidP="00C22B37">
            <w:pPr>
              <w:jc w:val="right"/>
              <w:rPr>
                <w:sz w:val="20"/>
                <w:szCs w:val="20"/>
              </w:rPr>
            </w:pPr>
            <w:r w:rsidRPr="00EB485B">
              <w:rPr>
                <w:sz w:val="20"/>
                <w:szCs w:val="20"/>
              </w:rPr>
              <w:t>…*%</w:t>
            </w:r>
          </w:p>
        </w:tc>
      </w:tr>
    </w:tbl>
    <w:p w14:paraId="6EFABE75" w14:textId="2449B044" w:rsidR="00EC24B2" w:rsidRPr="006E317E" w:rsidRDefault="002E30B8" w:rsidP="00AA241E">
      <w:pPr>
        <w:pStyle w:val="Pealdis"/>
        <w:jc w:val="both"/>
      </w:pPr>
      <w:r>
        <w:lastRenderedPageBreak/>
        <w:t xml:space="preserve">Tabel </w:t>
      </w:r>
      <w:r>
        <w:fldChar w:fldCharType="begin"/>
      </w:r>
      <w:r>
        <w:instrText xml:space="preserve"> SEQ Tabel \* ARABIC </w:instrText>
      </w:r>
      <w:r>
        <w:fldChar w:fldCharType="separate"/>
      </w:r>
      <w:r w:rsidR="00247D84">
        <w:rPr>
          <w:noProof/>
        </w:rPr>
        <w:t>28</w:t>
      </w:r>
      <w:r>
        <w:fldChar w:fldCharType="end"/>
      </w:r>
      <w:r w:rsidR="00EC24B2" w:rsidRPr="006E317E">
        <w:t xml:space="preserve">  B piirkonna linnades tegutsevate side ettevõtjate sidevõrkude katvus valguskaabli alamturul</w:t>
      </w:r>
    </w:p>
    <w:p w14:paraId="24697708" w14:textId="77777777" w:rsidR="00EC24B2" w:rsidRPr="006E317E" w:rsidRDefault="00EC24B2" w:rsidP="00AA241E">
      <w:pPr>
        <w:jc w:val="both"/>
      </w:pPr>
      <w:r w:rsidRPr="006E317E">
        <w:t>Kuna maakondades on valguskaabelvõrkude rajamine jaeteenuse osutajatele väga kulukas, siis ärilistel alustel nende rajamine ei ole jae ettevõtjate poolt põhjendatud. Tagamaks, et valguskaabelvõrkude juurdepääs oleks tagatud enamusele eluruumidele maapiirkondades ja aadressiobjektidele, kelle ei ole tagatud andmeedastuskiirus üle 30 Mbit/s, on riik kuulutanud need piikonnad „valgeks alaks“ ja alustanud riigiabi korras vastavates piirkondades juurdepääsuvõrkude rajamist. Riik otsustas aastast 2017 hakata toetama valguskaabel-juurdepääsuvõrkude rajamist valgetes alades, vähendab vaadeldud turul uute turule sisenejate alginvesteeringu vajadusi ja seega vähenevad turule sisenemise riskid. Riigi abiga on kaetud valguskaabel-juurdepääsuvõrkude rajamise projektide maksumus kas täies ulatuses või teatud protsendi ulatuses projekti kogu maksumusest. Riik on viimase viie aasta jooksul toetanud valguskaabel-juurdepääsuvõrkude rajamist B piirkonna maakondlikes haldusüksustes 20 miljoni euro ulatuses ja kavatseb lähema viie aasta jooksul veel investeerida erinevatesse valguskaabel-juurdepääsu riigiabi projektidesse ca 80 miljonit eurot.</w:t>
      </w:r>
    </w:p>
    <w:p w14:paraId="7D08305D" w14:textId="2AD0DE96" w:rsidR="00EC24B2" w:rsidRPr="006E317E" w:rsidRDefault="00EC24B2" w:rsidP="00AA241E">
      <w:pPr>
        <w:jc w:val="both"/>
      </w:pPr>
      <w:r w:rsidRPr="006E317E">
        <w:t>Tänu riigiabi projektidele on kolme viimase aastaga kohaliku juurdepääsu turule sisenenud kolm uut valguskaabel-juurdepääsuvõrgu omanikku ja juurdepääsu hulgiteenuse osutajat Enefit, Corle ja ELA</w:t>
      </w:r>
      <w:r w:rsidR="00403A74">
        <w:t xml:space="preserve"> </w:t>
      </w:r>
      <w:r w:rsidRPr="006E317E">
        <w:t>SA. Kavandatavate riigiabi projektide raames võib vaadeldavale turule veel siseneda ca 7-8 arvestatavat valguskaabel-juurdepääsuvõrgu omaniku ja vaadeldaval turul teenuse osutajat. Nende võrgud on jaeteenuse osutamise kontekstis operaatorineutraalsed, on saavutanud lühikese ajaga (ca 3 aastaga) olulise valguskaabelvõrgu katvuse ning muutunud suurimaks hulgiteenuse osutajaks turul 1.</w:t>
      </w:r>
    </w:p>
    <w:p w14:paraId="3E346469" w14:textId="16A50D76" w:rsidR="00EC24B2" w:rsidRPr="006E317E" w:rsidRDefault="00EC24B2" w:rsidP="00AA241E">
      <w:pPr>
        <w:spacing w:after="0"/>
        <w:jc w:val="both"/>
      </w:pPr>
      <w:r w:rsidRPr="006E317E">
        <w:t xml:space="preserve">B piirkonnas endiselt väga palju leibkondi/aadressiobjekte linnades (22-78%) vaata tabel </w:t>
      </w:r>
      <w:r w:rsidR="00FD58A8">
        <w:t>2</w:t>
      </w:r>
      <w:r w:rsidR="00346D5D">
        <w:t>8</w:t>
      </w:r>
      <w:r w:rsidRPr="006E317E">
        <w:t xml:space="preserve"> ja B piirkonna maapiirkondades (55-93%) (vaata tabel </w:t>
      </w:r>
      <w:r w:rsidR="00412B0F">
        <w:t>2</w:t>
      </w:r>
      <w:r w:rsidR="00346D5D">
        <w:t>9</w:t>
      </w:r>
      <w:r w:rsidRPr="006E317E">
        <w:t>),  kellel ei ole FTTH ja FTTB aktiivset ühendust. Üks põhjus on turule sisenemise tõkete olemasolu ja eelkõige takistused elektroonilise side võrgu leviala laiendamisel. Seega on FTTH ja FTTB katvuse edendamine B piirkonnas on asjakohane.</w:t>
      </w:r>
    </w:p>
    <w:tbl>
      <w:tblPr>
        <w:tblStyle w:val="Kontuurtabel1"/>
        <w:tblW w:w="9559" w:type="dxa"/>
        <w:tblLook w:val="04A0" w:firstRow="1" w:lastRow="0" w:firstColumn="1" w:lastColumn="0" w:noHBand="0" w:noVBand="1"/>
      </w:tblPr>
      <w:tblGrid>
        <w:gridCol w:w="3397"/>
        <w:gridCol w:w="839"/>
        <w:gridCol w:w="725"/>
        <w:gridCol w:w="746"/>
        <w:gridCol w:w="686"/>
        <w:gridCol w:w="761"/>
        <w:gridCol w:w="761"/>
        <w:gridCol w:w="711"/>
        <w:gridCol w:w="933"/>
      </w:tblGrid>
      <w:tr w:rsidR="005C5C85" w:rsidRPr="005C5C85" w14:paraId="57260681" w14:textId="77777777" w:rsidTr="00A43E3F">
        <w:trPr>
          <w:trHeight w:val="32"/>
        </w:trPr>
        <w:tc>
          <w:tcPr>
            <w:tcW w:w="3397" w:type="dxa"/>
            <w:shd w:val="clear" w:color="auto" w:fill="92D050"/>
            <w:noWrap/>
            <w:hideMark/>
          </w:tcPr>
          <w:p w14:paraId="7AFCD719" w14:textId="444603DF" w:rsidR="00EC24B2" w:rsidRPr="005C5C85" w:rsidRDefault="005C5C85" w:rsidP="00AA241E">
            <w:pPr>
              <w:jc w:val="both"/>
              <w:rPr>
                <w:b/>
                <w:bCs/>
                <w:sz w:val="20"/>
                <w:szCs w:val="20"/>
              </w:rPr>
            </w:pPr>
            <w:r w:rsidRPr="005C5C85">
              <w:rPr>
                <w:b/>
                <w:bCs/>
                <w:sz w:val="20"/>
                <w:szCs w:val="20"/>
              </w:rPr>
              <w:t>Piirkond</w:t>
            </w:r>
          </w:p>
        </w:tc>
        <w:tc>
          <w:tcPr>
            <w:tcW w:w="839" w:type="dxa"/>
            <w:shd w:val="clear" w:color="auto" w:fill="92D050"/>
            <w:noWrap/>
            <w:hideMark/>
          </w:tcPr>
          <w:p w14:paraId="50D4DACF" w14:textId="621B222A" w:rsidR="00EC24B2" w:rsidRPr="005C5C85" w:rsidRDefault="005C5C85" w:rsidP="00AA241E">
            <w:pPr>
              <w:jc w:val="both"/>
              <w:rPr>
                <w:b/>
                <w:bCs/>
                <w:sz w:val="20"/>
                <w:szCs w:val="20"/>
              </w:rPr>
            </w:pPr>
            <w:r w:rsidRPr="005C5C85">
              <w:rPr>
                <w:b/>
                <w:bCs/>
                <w:sz w:val="20"/>
                <w:szCs w:val="20"/>
              </w:rPr>
              <w:t>Ruume</w:t>
            </w:r>
          </w:p>
        </w:tc>
        <w:tc>
          <w:tcPr>
            <w:tcW w:w="725" w:type="dxa"/>
            <w:shd w:val="clear" w:color="auto" w:fill="92D050"/>
            <w:noWrap/>
            <w:hideMark/>
          </w:tcPr>
          <w:p w14:paraId="10DB1370" w14:textId="77777777" w:rsidR="00EC24B2" w:rsidRPr="005C5C85" w:rsidRDefault="00EC24B2" w:rsidP="00AA241E">
            <w:pPr>
              <w:jc w:val="both"/>
              <w:rPr>
                <w:b/>
                <w:bCs/>
                <w:sz w:val="20"/>
                <w:szCs w:val="20"/>
              </w:rPr>
            </w:pPr>
            <w:r w:rsidRPr="005C5C85">
              <w:rPr>
                <w:b/>
                <w:bCs/>
                <w:sz w:val="20"/>
                <w:szCs w:val="20"/>
              </w:rPr>
              <w:t>Telia</w:t>
            </w:r>
          </w:p>
        </w:tc>
        <w:tc>
          <w:tcPr>
            <w:tcW w:w="746" w:type="dxa"/>
            <w:shd w:val="clear" w:color="auto" w:fill="92D050"/>
            <w:noWrap/>
            <w:hideMark/>
          </w:tcPr>
          <w:p w14:paraId="3F857A2B" w14:textId="77777777" w:rsidR="00EC24B2" w:rsidRPr="005C5C85" w:rsidRDefault="00EC24B2" w:rsidP="00AA241E">
            <w:pPr>
              <w:jc w:val="both"/>
              <w:rPr>
                <w:b/>
                <w:bCs/>
                <w:sz w:val="20"/>
                <w:szCs w:val="20"/>
              </w:rPr>
            </w:pPr>
            <w:r w:rsidRPr="005C5C85">
              <w:rPr>
                <w:b/>
                <w:bCs/>
                <w:sz w:val="20"/>
                <w:szCs w:val="20"/>
              </w:rPr>
              <w:t>Elisa</w:t>
            </w:r>
          </w:p>
        </w:tc>
        <w:tc>
          <w:tcPr>
            <w:tcW w:w="686" w:type="dxa"/>
            <w:shd w:val="clear" w:color="auto" w:fill="92D050"/>
            <w:noWrap/>
            <w:hideMark/>
          </w:tcPr>
          <w:p w14:paraId="7EAC8C39" w14:textId="77777777" w:rsidR="00EC24B2" w:rsidRPr="005C5C85" w:rsidRDefault="00EC24B2" w:rsidP="00AA241E">
            <w:pPr>
              <w:jc w:val="both"/>
              <w:rPr>
                <w:b/>
                <w:bCs/>
                <w:sz w:val="20"/>
                <w:szCs w:val="20"/>
              </w:rPr>
            </w:pPr>
            <w:r w:rsidRPr="005C5C85">
              <w:rPr>
                <w:b/>
                <w:bCs/>
                <w:sz w:val="20"/>
                <w:szCs w:val="20"/>
              </w:rPr>
              <w:t>STV</w:t>
            </w:r>
          </w:p>
        </w:tc>
        <w:tc>
          <w:tcPr>
            <w:tcW w:w="761" w:type="dxa"/>
            <w:shd w:val="clear" w:color="auto" w:fill="92D050"/>
            <w:noWrap/>
            <w:hideMark/>
          </w:tcPr>
          <w:p w14:paraId="3C8C6749" w14:textId="77777777" w:rsidR="00EC24B2" w:rsidRPr="005C5C85" w:rsidRDefault="00EC24B2" w:rsidP="00AA241E">
            <w:pPr>
              <w:jc w:val="both"/>
              <w:rPr>
                <w:b/>
                <w:bCs/>
                <w:sz w:val="20"/>
                <w:szCs w:val="20"/>
              </w:rPr>
            </w:pPr>
            <w:r w:rsidRPr="005C5C85">
              <w:rPr>
                <w:b/>
                <w:bCs/>
                <w:sz w:val="20"/>
                <w:szCs w:val="20"/>
              </w:rPr>
              <w:t>Telset</w:t>
            </w:r>
          </w:p>
        </w:tc>
        <w:tc>
          <w:tcPr>
            <w:tcW w:w="761" w:type="dxa"/>
            <w:shd w:val="clear" w:color="auto" w:fill="92D050"/>
            <w:noWrap/>
            <w:hideMark/>
          </w:tcPr>
          <w:p w14:paraId="716329AB" w14:textId="77777777" w:rsidR="00EC24B2" w:rsidRPr="005C5C85" w:rsidRDefault="00EC24B2" w:rsidP="00AA241E">
            <w:pPr>
              <w:jc w:val="both"/>
              <w:rPr>
                <w:b/>
                <w:bCs/>
                <w:sz w:val="20"/>
                <w:szCs w:val="20"/>
              </w:rPr>
            </w:pPr>
            <w:r w:rsidRPr="005C5C85">
              <w:rPr>
                <w:b/>
                <w:bCs/>
                <w:sz w:val="20"/>
                <w:szCs w:val="20"/>
              </w:rPr>
              <w:t>Enefit</w:t>
            </w:r>
          </w:p>
        </w:tc>
        <w:tc>
          <w:tcPr>
            <w:tcW w:w="711" w:type="dxa"/>
            <w:shd w:val="clear" w:color="auto" w:fill="92D050"/>
            <w:noWrap/>
            <w:hideMark/>
          </w:tcPr>
          <w:p w14:paraId="04427046" w14:textId="77777777" w:rsidR="00EC24B2" w:rsidRPr="005C5C85" w:rsidRDefault="00EC24B2" w:rsidP="00AA241E">
            <w:pPr>
              <w:jc w:val="both"/>
              <w:rPr>
                <w:b/>
                <w:bCs/>
                <w:sz w:val="20"/>
                <w:szCs w:val="20"/>
              </w:rPr>
            </w:pPr>
            <w:r w:rsidRPr="005C5C85">
              <w:rPr>
                <w:b/>
                <w:bCs/>
                <w:sz w:val="20"/>
                <w:szCs w:val="20"/>
              </w:rPr>
              <w:t>Corle</w:t>
            </w:r>
          </w:p>
        </w:tc>
        <w:tc>
          <w:tcPr>
            <w:tcW w:w="933" w:type="dxa"/>
            <w:shd w:val="clear" w:color="auto" w:fill="92D050"/>
            <w:noWrap/>
            <w:hideMark/>
          </w:tcPr>
          <w:p w14:paraId="03D9D752" w14:textId="78495204" w:rsidR="00EC24B2" w:rsidRPr="005C5C85" w:rsidRDefault="00EC24B2" w:rsidP="00AA241E">
            <w:pPr>
              <w:jc w:val="both"/>
              <w:rPr>
                <w:b/>
                <w:bCs/>
                <w:sz w:val="20"/>
                <w:szCs w:val="20"/>
              </w:rPr>
            </w:pPr>
            <w:r w:rsidRPr="005C5C85">
              <w:rPr>
                <w:b/>
                <w:bCs/>
                <w:sz w:val="20"/>
                <w:szCs w:val="20"/>
              </w:rPr>
              <w:t>ELA</w:t>
            </w:r>
            <w:r w:rsidR="00403A74">
              <w:rPr>
                <w:b/>
                <w:bCs/>
                <w:sz w:val="20"/>
                <w:szCs w:val="20"/>
              </w:rPr>
              <w:t xml:space="preserve"> </w:t>
            </w:r>
            <w:r w:rsidRPr="005C5C85">
              <w:rPr>
                <w:b/>
                <w:bCs/>
                <w:sz w:val="20"/>
                <w:szCs w:val="20"/>
              </w:rPr>
              <w:t>SA</w:t>
            </w:r>
          </w:p>
        </w:tc>
      </w:tr>
      <w:tr w:rsidR="00C22B37" w:rsidRPr="005C5C85" w14:paraId="03731856" w14:textId="77777777" w:rsidTr="00A43E3F">
        <w:trPr>
          <w:trHeight w:val="32"/>
        </w:trPr>
        <w:tc>
          <w:tcPr>
            <w:tcW w:w="3397" w:type="dxa"/>
            <w:noWrap/>
            <w:hideMark/>
          </w:tcPr>
          <w:p w14:paraId="68D47906" w14:textId="77777777" w:rsidR="00C22B37" w:rsidRPr="005C5C85" w:rsidRDefault="00C22B37" w:rsidP="00C22B37">
            <w:pPr>
              <w:jc w:val="both"/>
              <w:rPr>
                <w:sz w:val="20"/>
                <w:szCs w:val="20"/>
              </w:rPr>
            </w:pPr>
            <w:r w:rsidRPr="005C5C85">
              <w:rPr>
                <w:sz w:val="20"/>
                <w:szCs w:val="20"/>
              </w:rPr>
              <w:t>Harju maakond v.a linnad</w:t>
            </w:r>
          </w:p>
        </w:tc>
        <w:tc>
          <w:tcPr>
            <w:tcW w:w="839" w:type="dxa"/>
            <w:noWrap/>
            <w:hideMark/>
          </w:tcPr>
          <w:p w14:paraId="3A33C62E" w14:textId="77777777" w:rsidR="00C22B37" w:rsidRPr="005C5C85" w:rsidRDefault="00C22B37" w:rsidP="00C22B37">
            <w:pPr>
              <w:jc w:val="both"/>
              <w:rPr>
                <w:sz w:val="20"/>
                <w:szCs w:val="20"/>
              </w:rPr>
            </w:pPr>
            <w:r w:rsidRPr="005C5C85">
              <w:rPr>
                <w:sz w:val="20"/>
                <w:szCs w:val="20"/>
              </w:rPr>
              <w:t>91 127</w:t>
            </w:r>
          </w:p>
        </w:tc>
        <w:tc>
          <w:tcPr>
            <w:tcW w:w="725" w:type="dxa"/>
            <w:noWrap/>
            <w:hideMark/>
          </w:tcPr>
          <w:p w14:paraId="6F4694DF" w14:textId="77CCD0E5" w:rsidR="00C22B37" w:rsidRPr="005C5C85" w:rsidRDefault="00C22B37" w:rsidP="00C22B37">
            <w:pPr>
              <w:jc w:val="right"/>
              <w:rPr>
                <w:sz w:val="20"/>
                <w:szCs w:val="20"/>
              </w:rPr>
            </w:pPr>
            <w:r w:rsidRPr="00E8272C">
              <w:rPr>
                <w:sz w:val="20"/>
                <w:szCs w:val="20"/>
              </w:rPr>
              <w:t>…*%</w:t>
            </w:r>
          </w:p>
        </w:tc>
        <w:tc>
          <w:tcPr>
            <w:tcW w:w="746" w:type="dxa"/>
            <w:noWrap/>
            <w:hideMark/>
          </w:tcPr>
          <w:p w14:paraId="01CA17C4" w14:textId="4280084A" w:rsidR="00C22B37" w:rsidRPr="005C5C85" w:rsidRDefault="00C22B37" w:rsidP="00C22B37">
            <w:pPr>
              <w:jc w:val="right"/>
              <w:rPr>
                <w:sz w:val="20"/>
                <w:szCs w:val="20"/>
              </w:rPr>
            </w:pPr>
            <w:r w:rsidRPr="005E47D3">
              <w:rPr>
                <w:sz w:val="20"/>
                <w:szCs w:val="20"/>
              </w:rPr>
              <w:t>…*%</w:t>
            </w:r>
          </w:p>
        </w:tc>
        <w:tc>
          <w:tcPr>
            <w:tcW w:w="686" w:type="dxa"/>
            <w:noWrap/>
            <w:hideMark/>
          </w:tcPr>
          <w:p w14:paraId="40FE6B48" w14:textId="0EE48346" w:rsidR="00C22B37" w:rsidRPr="005C5C85" w:rsidRDefault="00C22B37" w:rsidP="00C22B37">
            <w:pPr>
              <w:jc w:val="right"/>
              <w:rPr>
                <w:sz w:val="20"/>
                <w:szCs w:val="20"/>
              </w:rPr>
            </w:pPr>
            <w:r w:rsidRPr="005E47D3">
              <w:rPr>
                <w:sz w:val="20"/>
                <w:szCs w:val="20"/>
              </w:rPr>
              <w:t>…*%</w:t>
            </w:r>
          </w:p>
        </w:tc>
        <w:tc>
          <w:tcPr>
            <w:tcW w:w="761" w:type="dxa"/>
            <w:noWrap/>
            <w:hideMark/>
          </w:tcPr>
          <w:p w14:paraId="7B668205" w14:textId="0C5ABDE0" w:rsidR="00C22B37" w:rsidRPr="005C5C85" w:rsidRDefault="00C22B37" w:rsidP="00C22B37">
            <w:pPr>
              <w:jc w:val="right"/>
              <w:rPr>
                <w:sz w:val="20"/>
                <w:szCs w:val="20"/>
              </w:rPr>
            </w:pPr>
            <w:r w:rsidRPr="005E47D3">
              <w:rPr>
                <w:sz w:val="20"/>
                <w:szCs w:val="20"/>
              </w:rPr>
              <w:t>…*%</w:t>
            </w:r>
          </w:p>
        </w:tc>
        <w:tc>
          <w:tcPr>
            <w:tcW w:w="761" w:type="dxa"/>
            <w:noWrap/>
            <w:hideMark/>
          </w:tcPr>
          <w:p w14:paraId="2696FAFF" w14:textId="6F218A4B" w:rsidR="00C22B37" w:rsidRPr="005C5C85" w:rsidRDefault="00C22B37" w:rsidP="00C22B37">
            <w:pPr>
              <w:jc w:val="right"/>
              <w:rPr>
                <w:sz w:val="20"/>
                <w:szCs w:val="20"/>
              </w:rPr>
            </w:pPr>
            <w:r w:rsidRPr="005E47D3">
              <w:rPr>
                <w:sz w:val="20"/>
                <w:szCs w:val="20"/>
              </w:rPr>
              <w:t>…*%</w:t>
            </w:r>
          </w:p>
        </w:tc>
        <w:tc>
          <w:tcPr>
            <w:tcW w:w="711" w:type="dxa"/>
            <w:noWrap/>
            <w:hideMark/>
          </w:tcPr>
          <w:p w14:paraId="0927C1D0" w14:textId="2DB8B53E" w:rsidR="00C22B37" w:rsidRPr="005C5C85" w:rsidRDefault="00C22B37" w:rsidP="00C22B37">
            <w:pPr>
              <w:jc w:val="right"/>
              <w:rPr>
                <w:sz w:val="20"/>
                <w:szCs w:val="20"/>
              </w:rPr>
            </w:pPr>
            <w:r w:rsidRPr="005E47D3">
              <w:rPr>
                <w:sz w:val="20"/>
                <w:szCs w:val="20"/>
              </w:rPr>
              <w:t>…*%</w:t>
            </w:r>
          </w:p>
        </w:tc>
        <w:tc>
          <w:tcPr>
            <w:tcW w:w="933" w:type="dxa"/>
            <w:noWrap/>
            <w:hideMark/>
          </w:tcPr>
          <w:p w14:paraId="5542EC61" w14:textId="08559DA1" w:rsidR="00C22B37" w:rsidRPr="005C5C85" w:rsidRDefault="00C22B37" w:rsidP="00C22B37">
            <w:pPr>
              <w:jc w:val="right"/>
              <w:rPr>
                <w:sz w:val="20"/>
                <w:szCs w:val="20"/>
              </w:rPr>
            </w:pPr>
            <w:r w:rsidRPr="005E47D3">
              <w:rPr>
                <w:sz w:val="20"/>
                <w:szCs w:val="20"/>
              </w:rPr>
              <w:t>…*%</w:t>
            </w:r>
          </w:p>
        </w:tc>
      </w:tr>
      <w:tr w:rsidR="00C22B37" w:rsidRPr="005C5C85" w14:paraId="503D6869" w14:textId="77777777" w:rsidTr="00A43E3F">
        <w:trPr>
          <w:trHeight w:val="32"/>
        </w:trPr>
        <w:tc>
          <w:tcPr>
            <w:tcW w:w="3397" w:type="dxa"/>
            <w:noWrap/>
            <w:hideMark/>
          </w:tcPr>
          <w:p w14:paraId="71795F93" w14:textId="77777777" w:rsidR="00C22B37" w:rsidRPr="005C5C85" w:rsidRDefault="00C22B37" w:rsidP="00C22B37">
            <w:pPr>
              <w:jc w:val="both"/>
              <w:rPr>
                <w:sz w:val="20"/>
                <w:szCs w:val="20"/>
              </w:rPr>
            </w:pPr>
            <w:r w:rsidRPr="005C5C85">
              <w:rPr>
                <w:sz w:val="20"/>
                <w:szCs w:val="20"/>
              </w:rPr>
              <w:t>Hiiu maakond v.a linna</w:t>
            </w:r>
          </w:p>
        </w:tc>
        <w:tc>
          <w:tcPr>
            <w:tcW w:w="839" w:type="dxa"/>
            <w:noWrap/>
            <w:hideMark/>
          </w:tcPr>
          <w:p w14:paraId="58547D6B" w14:textId="77777777" w:rsidR="00C22B37" w:rsidRPr="005C5C85" w:rsidRDefault="00C22B37" w:rsidP="00C22B37">
            <w:pPr>
              <w:jc w:val="both"/>
              <w:rPr>
                <w:sz w:val="20"/>
                <w:szCs w:val="20"/>
              </w:rPr>
            </w:pPr>
            <w:r w:rsidRPr="005C5C85">
              <w:rPr>
                <w:sz w:val="20"/>
                <w:szCs w:val="20"/>
              </w:rPr>
              <w:t>4 432</w:t>
            </w:r>
          </w:p>
        </w:tc>
        <w:tc>
          <w:tcPr>
            <w:tcW w:w="725" w:type="dxa"/>
            <w:noWrap/>
            <w:hideMark/>
          </w:tcPr>
          <w:p w14:paraId="3C5C44D1" w14:textId="784CBF04" w:rsidR="00C22B37" w:rsidRPr="005C5C85" w:rsidRDefault="00C22B37" w:rsidP="00C22B37">
            <w:pPr>
              <w:jc w:val="right"/>
              <w:rPr>
                <w:sz w:val="20"/>
                <w:szCs w:val="20"/>
              </w:rPr>
            </w:pPr>
            <w:r w:rsidRPr="00E8272C">
              <w:rPr>
                <w:sz w:val="20"/>
                <w:szCs w:val="20"/>
              </w:rPr>
              <w:t>…*%</w:t>
            </w:r>
          </w:p>
        </w:tc>
        <w:tc>
          <w:tcPr>
            <w:tcW w:w="746" w:type="dxa"/>
            <w:noWrap/>
            <w:hideMark/>
          </w:tcPr>
          <w:p w14:paraId="3AC8E2B0" w14:textId="33C0F033" w:rsidR="00C22B37" w:rsidRPr="005C5C85" w:rsidRDefault="00C22B37" w:rsidP="00C22B37">
            <w:pPr>
              <w:jc w:val="right"/>
              <w:rPr>
                <w:sz w:val="20"/>
                <w:szCs w:val="20"/>
              </w:rPr>
            </w:pPr>
            <w:r w:rsidRPr="005E47D3">
              <w:rPr>
                <w:sz w:val="20"/>
                <w:szCs w:val="20"/>
              </w:rPr>
              <w:t>…*%</w:t>
            </w:r>
          </w:p>
        </w:tc>
        <w:tc>
          <w:tcPr>
            <w:tcW w:w="686" w:type="dxa"/>
            <w:noWrap/>
            <w:hideMark/>
          </w:tcPr>
          <w:p w14:paraId="47AD4ED5" w14:textId="07119EA1" w:rsidR="00C22B37" w:rsidRPr="005C5C85" w:rsidRDefault="00C22B37" w:rsidP="00C22B37">
            <w:pPr>
              <w:jc w:val="right"/>
              <w:rPr>
                <w:sz w:val="20"/>
                <w:szCs w:val="20"/>
              </w:rPr>
            </w:pPr>
            <w:r w:rsidRPr="005E47D3">
              <w:rPr>
                <w:sz w:val="20"/>
                <w:szCs w:val="20"/>
              </w:rPr>
              <w:t>…*%</w:t>
            </w:r>
          </w:p>
        </w:tc>
        <w:tc>
          <w:tcPr>
            <w:tcW w:w="761" w:type="dxa"/>
            <w:noWrap/>
            <w:hideMark/>
          </w:tcPr>
          <w:p w14:paraId="5EB61380" w14:textId="0EF7FD8F" w:rsidR="00C22B37" w:rsidRPr="005C5C85" w:rsidRDefault="00C22B37" w:rsidP="00C22B37">
            <w:pPr>
              <w:jc w:val="right"/>
              <w:rPr>
                <w:sz w:val="20"/>
                <w:szCs w:val="20"/>
              </w:rPr>
            </w:pPr>
            <w:r w:rsidRPr="005E47D3">
              <w:rPr>
                <w:sz w:val="20"/>
                <w:szCs w:val="20"/>
              </w:rPr>
              <w:t>…*%</w:t>
            </w:r>
          </w:p>
        </w:tc>
        <w:tc>
          <w:tcPr>
            <w:tcW w:w="761" w:type="dxa"/>
            <w:noWrap/>
            <w:hideMark/>
          </w:tcPr>
          <w:p w14:paraId="0A16F257" w14:textId="0306F500" w:rsidR="00C22B37" w:rsidRPr="005C5C85" w:rsidRDefault="00C22B37" w:rsidP="00C22B37">
            <w:pPr>
              <w:jc w:val="right"/>
              <w:rPr>
                <w:sz w:val="20"/>
                <w:szCs w:val="20"/>
              </w:rPr>
            </w:pPr>
            <w:r w:rsidRPr="005E47D3">
              <w:rPr>
                <w:sz w:val="20"/>
                <w:szCs w:val="20"/>
              </w:rPr>
              <w:t>…*%</w:t>
            </w:r>
          </w:p>
        </w:tc>
        <w:tc>
          <w:tcPr>
            <w:tcW w:w="711" w:type="dxa"/>
            <w:noWrap/>
            <w:hideMark/>
          </w:tcPr>
          <w:p w14:paraId="2D5BA91B" w14:textId="076CF5C8" w:rsidR="00C22B37" w:rsidRPr="005C5C85" w:rsidRDefault="00C22B37" w:rsidP="00C22B37">
            <w:pPr>
              <w:jc w:val="right"/>
              <w:rPr>
                <w:sz w:val="20"/>
                <w:szCs w:val="20"/>
              </w:rPr>
            </w:pPr>
            <w:r w:rsidRPr="005E47D3">
              <w:rPr>
                <w:sz w:val="20"/>
                <w:szCs w:val="20"/>
              </w:rPr>
              <w:t>…*%</w:t>
            </w:r>
          </w:p>
        </w:tc>
        <w:tc>
          <w:tcPr>
            <w:tcW w:w="933" w:type="dxa"/>
            <w:noWrap/>
            <w:hideMark/>
          </w:tcPr>
          <w:p w14:paraId="30733ECF" w14:textId="50C3CFE3" w:rsidR="00C22B37" w:rsidRPr="005C5C85" w:rsidRDefault="00C22B37" w:rsidP="00C22B37">
            <w:pPr>
              <w:jc w:val="right"/>
              <w:rPr>
                <w:sz w:val="20"/>
                <w:szCs w:val="20"/>
              </w:rPr>
            </w:pPr>
            <w:r w:rsidRPr="005E47D3">
              <w:rPr>
                <w:sz w:val="20"/>
                <w:szCs w:val="20"/>
              </w:rPr>
              <w:t>…*%</w:t>
            </w:r>
          </w:p>
        </w:tc>
      </w:tr>
      <w:tr w:rsidR="00C22B37" w:rsidRPr="005C5C85" w14:paraId="02F7491C" w14:textId="77777777" w:rsidTr="00A43E3F">
        <w:trPr>
          <w:trHeight w:val="32"/>
        </w:trPr>
        <w:tc>
          <w:tcPr>
            <w:tcW w:w="3397" w:type="dxa"/>
            <w:noWrap/>
            <w:hideMark/>
          </w:tcPr>
          <w:p w14:paraId="5EDB5C7C" w14:textId="77777777" w:rsidR="00C22B37" w:rsidRPr="005C5C85" w:rsidRDefault="00C22B37" w:rsidP="00C22B37">
            <w:pPr>
              <w:jc w:val="both"/>
              <w:rPr>
                <w:sz w:val="20"/>
                <w:szCs w:val="20"/>
              </w:rPr>
            </w:pPr>
            <w:r w:rsidRPr="005C5C85">
              <w:rPr>
                <w:sz w:val="20"/>
                <w:szCs w:val="20"/>
              </w:rPr>
              <w:t>Ida-Viru maakond v.a linnad</w:t>
            </w:r>
          </w:p>
        </w:tc>
        <w:tc>
          <w:tcPr>
            <w:tcW w:w="839" w:type="dxa"/>
            <w:noWrap/>
            <w:hideMark/>
          </w:tcPr>
          <w:p w14:paraId="2077E0CF" w14:textId="77777777" w:rsidR="00C22B37" w:rsidRPr="005C5C85" w:rsidRDefault="00C22B37" w:rsidP="00C22B37">
            <w:pPr>
              <w:jc w:val="both"/>
              <w:rPr>
                <w:sz w:val="20"/>
                <w:szCs w:val="20"/>
              </w:rPr>
            </w:pPr>
            <w:r w:rsidRPr="005C5C85">
              <w:rPr>
                <w:sz w:val="20"/>
                <w:szCs w:val="20"/>
              </w:rPr>
              <w:t>23 421</w:t>
            </w:r>
          </w:p>
        </w:tc>
        <w:tc>
          <w:tcPr>
            <w:tcW w:w="725" w:type="dxa"/>
            <w:noWrap/>
            <w:hideMark/>
          </w:tcPr>
          <w:p w14:paraId="31F81DEC" w14:textId="12032B81" w:rsidR="00C22B37" w:rsidRPr="005C5C85" w:rsidRDefault="00C22B37" w:rsidP="00C22B37">
            <w:pPr>
              <w:jc w:val="right"/>
              <w:rPr>
                <w:sz w:val="20"/>
                <w:szCs w:val="20"/>
              </w:rPr>
            </w:pPr>
            <w:r w:rsidRPr="00E8272C">
              <w:rPr>
                <w:sz w:val="20"/>
                <w:szCs w:val="20"/>
              </w:rPr>
              <w:t>…*%</w:t>
            </w:r>
          </w:p>
        </w:tc>
        <w:tc>
          <w:tcPr>
            <w:tcW w:w="746" w:type="dxa"/>
            <w:noWrap/>
            <w:hideMark/>
          </w:tcPr>
          <w:p w14:paraId="16A0AD78" w14:textId="203ABA55" w:rsidR="00C22B37" w:rsidRPr="005C5C85" w:rsidRDefault="00C22B37" w:rsidP="00C22B37">
            <w:pPr>
              <w:jc w:val="right"/>
              <w:rPr>
                <w:sz w:val="20"/>
                <w:szCs w:val="20"/>
              </w:rPr>
            </w:pPr>
            <w:r w:rsidRPr="005E47D3">
              <w:rPr>
                <w:sz w:val="20"/>
                <w:szCs w:val="20"/>
              </w:rPr>
              <w:t>…*%</w:t>
            </w:r>
          </w:p>
        </w:tc>
        <w:tc>
          <w:tcPr>
            <w:tcW w:w="686" w:type="dxa"/>
            <w:noWrap/>
            <w:hideMark/>
          </w:tcPr>
          <w:p w14:paraId="2D2B9A0E" w14:textId="5FB006C8" w:rsidR="00C22B37" w:rsidRPr="005C5C85" w:rsidRDefault="00C22B37" w:rsidP="00C22B37">
            <w:pPr>
              <w:jc w:val="right"/>
              <w:rPr>
                <w:sz w:val="20"/>
                <w:szCs w:val="20"/>
              </w:rPr>
            </w:pPr>
            <w:r w:rsidRPr="005E47D3">
              <w:rPr>
                <w:sz w:val="20"/>
                <w:szCs w:val="20"/>
              </w:rPr>
              <w:t>…*%</w:t>
            </w:r>
          </w:p>
        </w:tc>
        <w:tc>
          <w:tcPr>
            <w:tcW w:w="761" w:type="dxa"/>
            <w:noWrap/>
            <w:hideMark/>
          </w:tcPr>
          <w:p w14:paraId="7CC1CD2B" w14:textId="1FB716FB" w:rsidR="00C22B37" w:rsidRPr="005C5C85" w:rsidRDefault="00C22B37" w:rsidP="00C22B37">
            <w:pPr>
              <w:jc w:val="right"/>
              <w:rPr>
                <w:sz w:val="20"/>
                <w:szCs w:val="20"/>
              </w:rPr>
            </w:pPr>
            <w:r w:rsidRPr="005E47D3">
              <w:rPr>
                <w:sz w:val="20"/>
                <w:szCs w:val="20"/>
              </w:rPr>
              <w:t>…*%</w:t>
            </w:r>
          </w:p>
        </w:tc>
        <w:tc>
          <w:tcPr>
            <w:tcW w:w="761" w:type="dxa"/>
            <w:noWrap/>
            <w:hideMark/>
          </w:tcPr>
          <w:p w14:paraId="31E8F2C4" w14:textId="1C91E16F" w:rsidR="00C22B37" w:rsidRPr="005C5C85" w:rsidRDefault="00C22B37" w:rsidP="00C22B37">
            <w:pPr>
              <w:jc w:val="right"/>
              <w:rPr>
                <w:sz w:val="20"/>
                <w:szCs w:val="20"/>
              </w:rPr>
            </w:pPr>
            <w:r w:rsidRPr="005E47D3">
              <w:rPr>
                <w:sz w:val="20"/>
                <w:szCs w:val="20"/>
              </w:rPr>
              <w:t>…*%</w:t>
            </w:r>
          </w:p>
        </w:tc>
        <w:tc>
          <w:tcPr>
            <w:tcW w:w="711" w:type="dxa"/>
            <w:noWrap/>
            <w:hideMark/>
          </w:tcPr>
          <w:p w14:paraId="50B624B1" w14:textId="6285D08E" w:rsidR="00C22B37" w:rsidRPr="005C5C85" w:rsidRDefault="00C22B37" w:rsidP="00C22B37">
            <w:pPr>
              <w:jc w:val="right"/>
              <w:rPr>
                <w:sz w:val="20"/>
                <w:szCs w:val="20"/>
              </w:rPr>
            </w:pPr>
            <w:r w:rsidRPr="005E47D3">
              <w:rPr>
                <w:sz w:val="20"/>
                <w:szCs w:val="20"/>
              </w:rPr>
              <w:t>…*%</w:t>
            </w:r>
          </w:p>
        </w:tc>
        <w:tc>
          <w:tcPr>
            <w:tcW w:w="933" w:type="dxa"/>
            <w:noWrap/>
            <w:hideMark/>
          </w:tcPr>
          <w:p w14:paraId="76AA6BD2" w14:textId="5AC06DB7" w:rsidR="00C22B37" w:rsidRPr="005C5C85" w:rsidRDefault="00C22B37" w:rsidP="00C22B37">
            <w:pPr>
              <w:jc w:val="right"/>
              <w:rPr>
                <w:sz w:val="20"/>
                <w:szCs w:val="20"/>
              </w:rPr>
            </w:pPr>
            <w:r w:rsidRPr="005E47D3">
              <w:rPr>
                <w:sz w:val="20"/>
                <w:szCs w:val="20"/>
              </w:rPr>
              <w:t>…*%</w:t>
            </w:r>
          </w:p>
        </w:tc>
      </w:tr>
      <w:tr w:rsidR="00C22B37" w:rsidRPr="005C5C85" w14:paraId="221B1215" w14:textId="77777777" w:rsidTr="00A43E3F">
        <w:trPr>
          <w:trHeight w:val="32"/>
        </w:trPr>
        <w:tc>
          <w:tcPr>
            <w:tcW w:w="3397" w:type="dxa"/>
            <w:noWrap/>
            <w:hideMark/>
          </w:tcPr>
          <w:p w14:paraId="63BC6759" w14:textId="77777777" w:rsidR="00C22B37" w:rsidRPr="005C5C85" w:rsidRDefault="00C22B37" w:rsidP="00C22B37">
            <w:pPr>
              <w:jc w:val="both"/>
              <w:rPr>
                <w:sz w:val="20"/>
                <w:szCs w:val="20"/>
              </w:rPr>
            </w:pPr>
            <w:r w:rsidRPr="005C5C85">
              <w:rPr>
                <w:sz w:val="20"/>
                <w:szCs w:val="20"/>
              </w:rPr>
              <w:t>Jõgeva maakond v.a linn</w:t>
            </w:r>
          </w:p>
        </w:tc>
        <w:tc>
          <w:tcPr>
            <w:tcW w:w="839" w:type="dxa"/>
            <w:noWrap/>
            <w:hideMark/>
          </w:tcPr>
          <w:p w14:paraId="4DD5B9AB" w14:textId="77777777" w:rsidR="00C22B37" w:rsidRPr="005C5C85" w:rsidRDefault="00C22B37" w:rsidP="00C22B37">
            <w:pPr>
              <w:jc w:val="both"/>
              <w:rPr>
                <w:sz w:val="20"/>
                <w:szCs w:val="20"/>
              </w:rPr>
            </w:pPr>
            <w:r w:rsidRPr="005C5C85">
              <w:rPr>
                <w:sz w:val="20"/>
                <w:szCs w:val="20"/>
              </w:rPr>
              <w:t>16 030</w:t>
            </w:r>
          </w:p>
        </w:tc>
        <w:tc>
          <w:tcPr>
            <w:tcW w:w="725" w:type="dxa"/>
            <w:noWrap/>
            <w:hideMark/>
          </w:tcPr>
          <w:p w14:paraId="1B40BB07" w14:textId="4684ADA6" w:rsidR="00C22B37" w:rsidRPr="005C5C85" w:rsidRDefault="00C22B37" w:rsidP="00C22B37">
            <w:pPr>
              <w:jc w:val="right"/>
              <w:rPr>
                <w:sz w:val="20"/>
                <w:szCs w:val="20"/>
              </w:rPr>
            </w:pPr>
            <w:r w:rsidRPr="00E8272C">
              <w:rPr>
                <w:sz w:val="20"/>
                <w:szCs w:val="20"/>
              </w:rPr>
              <w:t>…*%</w:t>
            </w:r>
          </w:p>
        </w:tc>
        <w:tc>
          <w:tcPr>
            <w:tcW w:w="746" w:type="dxa"/>
            <w:noWrap/>
            <w:hideMark/>
          </w:tcPr>
          <w:p w14:paraId="1D53B038" w14:textId="29E788EA" w:rsidR="00C22B37" w:rsidRPr="005C5C85" w:rsidRDefault="00C22B37" w:rsidP="00C22B37">
            <w:pPr>
              <w:jc w:val="right"/>
              <w:rPr>
                <w:sz w:val="20"/>
                <w:szCs w:val="20"/>
              </w:rPr>
            </w:pPr>
            <w:r w:rsidRPr="005E47D3">
              <w:rPr>
                <w:sz w:val="20"/>
                <w:szCs w:val="20"/>
              </w:rPr>
              <w:t>…*%</w:t>
            </w:r>
          </w:p>
        </w:tc>
        <w:tc>
          <w:tcPr>
            <w:tcW w:w="686" w:type="dxa"/>
            <w:noWrap/>
            <w:hideMark/>
          </w:tcPr>
          <w:p w14:paraId="2E9C226C" w14:textId="64601B1A" w:rsidR="00C22B37" w:rsidRPr="005C5C85" w:rsidRDefault="00C22B37" w:rsidP="00C22B37">
            <w:pPr>
              <w:jc w:val="right"/>
              <w:rPr>
                <w:sz w:val="20"/>
                <w:szCs w:val="20"/>
              </w:rPr>
            </w:pPr>
            <w:r w:rsidRPr="005E47D3">
              <w:rPr>
                <w:sz w:val="20"/>
                <w:szCs w:val="20"/>
              </w:rPr>
              <w:t>…*%</w:t>
            </w:r>
          </w:p>
        </w:tc>
        <w:tc>
          <w:tcPr>
            <w:tcW w:w="761" w:type="dxa"/>
            <w:noWrap/>
            <w:hideMark/>
          </w:tcPr>
          <w:p w14:paraId="36E1470D" w14:textId="7273623C" w:rsidR="00C22B37" w:rsidRPr="005C5C85" w:rsidRDefault="00C22B37" w:rsidP="00C22B37">
            <w:pPr>
              <w:jc w:val="right"/>
              <w:rPr>
                <w:sz w:val="20"/>
                <w:szCs w:val="20"/>
              </w:rPr>
            </w:pPr>
            <w:r w:rsidRPr="005E47D3">
              <w:rPr>
                <w:sz w:val="20"/>
                <w:szCs w:val="20"/>
              </w:rPr>
              <w:t>…*%</w:t>
            </w:r>
          </w:p>
        </w:tc>
        <w:tc>
          <w:tcPr>
            <w:tcW w:w="761" w:type="dxa"/>
            <w:noWrap/>
            <w:hideMark/>
          </w:tcPr>
          <w:p w14:paraId="7B6F91F0" w14:textId="5037B2B9" w:rsidR="00C22B37" w:rsidRPr="005C5C85" w:rsidRDefault="00C22B37" w:rsidP="00C22B37">
            <w:pPr>
              <w:jc w:val="right"/>
              <w:rPr>
                <w:sz w:val="20"/>
                <w:szCs w:val="20"/>
              </w:rPr>
            </w:pPr>
            <w:r w:rsidRPr="005E47D3">
              <w:rPr>
                <w:sz w:val="20"/>
                <w:szCs w:val="20"/>
              </w:rPr>
              <w:t>…*%</w:t>
            </w:r>
          </w:p>
        </w:tc>
        <w:tc>
          <w:tcPr>
            <w:tcW w:w="711" w:type="dxa"/>
            <w:noWrap/>
            <w:hideMark/>
          </w:tcPr>
          <w:p w14:paraId="023EAAB0" w14:textId="61FFFB1B" w:rsidR="00C22B37" w:rsidRPr="005C5C85" w:rsidRDefault="00C22B37" w:rsidP="00C22B37">
            <w:pPr>
              <w:jc w:val="right"/>
              <w:rPr>
                <w:sz w:val="20"/>
                <w:szCs w:val="20"/>
              </w:rPr>
            </w:pPr>
            <w:r w:rsidRPr="005E47D3">
              <w:rPr>
                <w:sz w:val="20"/>
                <w:szCs w:val="20"/>
              </w:rPr>
              <w:t>…*%</w:t>
            </w:r>
          </w:p>
        </w:tc>
        <w:tc>
          <w:tcPr>
            <w:tcW w:w="933" w:type="dxa"/>
            <w:noWrap/>
            <w:hideMark/>
          </w:tcPr>
          <w:p w14:paraId="3926D736" w14:textId="172EBB28" w:rsidR="00C22B37" w:rsidRPr="005C5C85" w:rsidRDefault="00C22B37" w:rsidP="00C22B37">
            <w:pPr>
              <w:jc w:val="right"/>
              <w:rPr>
                <w:sz w:val="20"/>
                <w:szCs w:val="20"/>
              </w:rPr>
            </w:pPr>
            <w:r w:rsidRPr="005E47D3">
              <w:rPr>
                <w:sz w:val="20"/>
                <w:szCs w:val="20"/>
              </w:rPr>
              <w:t>…*%</w:t>
            </w:r>
          </w:p>
        </w:tc>
      </w:tr>
      <w:tr w:rsidR="00C22B37" w:rsidRPr="005C5C85" w14:paraId="73368B9D" w14:textId="77777777" w:rsidTr="00A43E3F">
        <w:trPr>
          <w:trHeight w:val="32"/>
        </w:trPr>
        <w:tc>
          <w:tcPr>
            <w:tcW w:w="3397" w:type="dxa"/>
            <w:noWrap/>
            <w:hideMark/>
          </w:tcPr>
          <w:p w14:paraId="0391637C" w14:textId="77777777" w:rsidR="00C22B37" w:rsidRPr="005C5C85" w:rsidRDefault="00C22B37" w:rsidP="00C22B37">
            <w:pPr>
              <w:jc w:val="both"/>
              <w:rPr>
                <w:sz w:val="20"/>
                <w:szCs w:val="20"/>
              </w:rPr>
            </w:pPr>
            <w:r w:rsidRPr="005C5C85">
              <w:rPr>
                <w:sz w:val="20"/>
                <w:szCs w:val="20"/>
              </w:rPr>
              <w:t>Järva maakond v.a linnad</w:t>
            </w:r>
          </w:p>
        </w:tc>
        <w:tc>
          <w:tcPr>
            <w:tcW w:w="839" w:type="dxa"/>
            <w:noWrap/>
            <w:hideMark/>
          </w:tcPr>
          <w:p w14:paraId="7BA233D5" w14:textId="77777777" w:rsidR="00C22B37" w:rsidRPr="005C5C85" w:rsidRDefault="00C22B37" w:rsidP="00C22B37">
            <w:pPr>
              <w:jc w:val="both"/>
              <w:rPr>
                <w:sz w:val="20"/>
                <w:szCs w:val="20"/>
              </w:rPr>
            </w:pPr>
            <w:r w:rsidRPr="005C5C85">
              <w:rPr>
                <w:sz w:val="20"/>
                <w:szCs w:val="20"/>
              </w:rPr>
              <w:t>12 210</w:t>
            </w:r>
          </w:p>
        </w:tc>
        <w:tc>
          <w:tcPr>
            <w:tcW w:w="725" w:type="dxa"/>
            <w:noWrap/>
            <w:hideMark/>
          </w:tcPr>
          <w:p w14:paraId="18AB5D87" w14:textId="76EB9CBD" w:rsidR="00C22B37" w:rsidRPr="005C5C85" w:rsidRDefault="00C22B37" w:rsidP="00C22B37">
            <w:pPr>
              <w:jc w:val="right"/>
              <w:rPr>
                <w:sz w:val="20"/>
                <w:szCs w:val="20"/>
              </w:rPr>
            </w:pPr>
            <w:r w:rsidRPr="00E8272C">
              <w:rPr>
                <w:sz w:val="20"/>
                <w:szCs w:val="20"/>
              </w:rPr>
              <w:t>…*%</w:t>
            </w:r>
          </w:p>
        </w:tc>
        <w:tc>
          <w:tcPr>
            <w:tcW w:w="746" w:type="dxa"/>
            <w:noWrap/>
            <w:hideMark/>
          </w:tcPr>
          <w:p w14:paraId="012FD44C" w14:textId="61A67880" w:rsidR="00C22B37" w:rsidRPr="005C5C85" w:rsidRDefault="00C22B37" w:rsidP="00C22B37">
            <w:pPr>
              <w:jc w:val="right"/>
              <w:rPr>
                <w:sz w:val="20"/>
                <w:szCs w:val="20"/>
              </w:rPr>
            </w:pPr>
            <w:r w:rsidRPr="005E47D3">
              <w:rPr>
                <w:sz w:val="20"/>
                <w:szCs w:val="20"/>
              </w:rPr>
              <w:t>…*%</w:t>
            </w:r>
          </w:p>
        </w:tc>
        <w:tc>
          <w:tcPr>
            <w:tcW w:w="686" w:type="dxa"/>
            <w:noWrap/>
            <w:hideMark/>
          </w:tcPr>
          <w:p w14:paraId="22F00954" w14:textId="5547540D" w:rsidR="00C22B37" w:rsidRPr="005C5C85" w:rsidRDefault="00C22B37" w:rsidP="00C22B37">
            <w:pPr>
              <w:jc w:val="right"/>
              <w:rPr>
                <w:sz w:val="20"/>
                <w:szCs w:val="20"/>
              </w:rPr>
            </w:pPr>
            <w:r w:rsidRPr="005E47D3">
              <w:rPr>
                <w:sz w:val="20"/>
                <w:szCs w:val="20"/>
              </w:rPr>
              <w:t>…*%</w:t>
            </w:r>
          </w:p>
        </w:tc>
        <w:tc>
          <w:tcPr>
            <w:tcW w:w="761" w:type="dxa"/>
            <w:noWrap/>
            <w:hideMark/>
          </w:tcPr>
          <w:p w14:paraId="6DA2AB50" w14:textId="5C06F3E8" w:rsidR="00C22B37" w:rsidRPr="005C5C85" w:rsidRDefault="00C22B37" w:rsidP="00C22B37">
            <w:pPr>
              <w:jc w:val="right"/>
              <w:rPr>
                <w:sz w:val="20"/>
                <w:szCs w:val="20"/>
              </w:rPr>
            </w:pPr>
            <w:r w:rsidRPr="005E47D3">
              <w:rPr>
                <w:sz w:val="20"/>
                <w:szCs w:val="20"/>
              </w:rPr>
              <w:t>…*%</w:t>
            </w:r>
          </w:p>
        </w:tc>
        <w:tc>
          <w:tcPr>
            <w:tcW w:w="761" w:type="dxa"/>
            <w:noWrap/>
            <w:hideMark/>
          </w:tcPr>
          <w:p w14:paraId="14931291" w14:textId="65A633D5" w:rsidR="00C22B37" w:rsidRPr="005C5C85" w:rsidRDefault="00C22B37" w:rsidP="00C22B37">
            <w:pPr>
              <w:jc w:val="right"/>
              <w:rPr>
                <w:sz w:val="20"/>
                <w:szCs w:val="20"/>
              </w:rPr>
            </w:pPr>
            <w:r w:rsidRPr="005E47D3">
              <w:rPr>
                <w:sz w:val="20"/>
                <w:szCs w:val="20"/>
              </w:rPr>
              <w:t>…*%</w:t>
            </w:r>
          </w:p>
        </w:tc>
        <w:tc>
          <w:tcPr>
            <w:tcW w:w="711" w:type="dxa"/>
            <w:noWrap/>
            <w:hideMark/>
          </w:tcPr>
          <w:p w14:paraId="693BEF28" w14:textId="287D545B" w:rsidR="00C22B37" w:rsidRPr="005C5C85" w:rsidRDefault="00C22B37" w:rsidP="00C22B37">
            <w:pPr>
              <w:jc w:val="right"/>
              <w:rPr>
                <w:sz w:val="20"/>
                <w:szCs w:val="20"/>
              </w:rPr>
            </w:pPr>
            <w:r w:rsidRPr="005E47D3">
              <w:rPr>
                <w:sz w:val="20"/>
                <w:szCs w:val="20"/>
              </w:rPr>
              <w:t>…*%</w:t>
            </w:r>
          </w:p>
        </w:tc>
        <w:tc>
          <w:tcPr>
            <w:tcW w:w="933" w:type="dxa"/>
            <w:noWrap/>
            <w:hideMark/>
          </w:tcPr>
          <w:p w14:paraId="3B52D15C" w14:textId="72C3DBB6" w:rsidR="00C22B37" w:rsidRPr="005C5C85" w:rsidRDefault="00C22B37" w:rsidP="00C22B37">
            <w:pPr>
              <w:jc w:val="right"/>
              <w:rPr>
                <w:sz w:val="20"/>
                <w:szCs w:val="20"/>
              </w:rPr>
            </w:pPr>
            <w:r w:rsidRPr="005E47D3">
              <w:rPr>
                <w:sz w:val="20"/>
                <w:szCs w:val="20"/>
              </w:rPr>
              <w:t>…*%</w:t>
            </w:r>
          </w:p>
        </w:tc>
      </w:tr>
      <w:tr w:rsidR="00C22B37" w:rsidRPr="005C5C85" w14:paraId="46539B36" w14:textId="77777777" w:rsidTr="00A43E3F">
        <w:trPr>
          <w:trHeight w:val="32"/>
        </w:trPr>
        <w:tc>
          <w:tcPr>
            <w:tcW w:w="3397" w:type="dxa"/>
            <w:noWrap/>
            <w:hideMark/>
          </w:tcPr>
          <w:p w14:paraId="0E96F409" w14:textId="77777777" w:rsidR="00C22B37" w:rsidRPr="005C5C85" w:rsidRDefault="00C22B37" w:rsidP="00C22B37">
            <w:pPr>
              <w:jc w:val="both"/>
              <w:rPr>
                <w:sz w:val="20"/>
                <w:szCs w:val="20"/>
              </w:rPr>
            </w:pPr>
            <w:r w:rsidRPr="005C5C85">
              <w:rPr>
                <w:sz w:val="20"/>
                <w:szCs w:val="20"/>
              </w:rPr>
              <w:t>Lääne maakond v.a linn</w:t>
            </w:r>
          </w:p>
        </w:tc>
        <w:tc>
          <w:tcPr>
            <w:tcW w:w="839" w:type="dxa"/>
            <w:noWrap/>
            <w:hideMark/>
          </w:tcPr>
          <w:p w14:paraId="501CA342" w14:textId="77777777" w:rsidR="00C22B37" w:rsidRPr="005C5C85" w:rsidRDefault="00C22B37" w:rsidP="00C22B37">
            <w:pPr>
              <w:jc w:val="both"/>
              <w:rPr>
                <w:sz w:val="20"/>
                <w:szCs w:val="20"/>
              </w:rPr>
            </w:pPr>
            <w:r w:rsidRPr="005C5C85">
              <w:rPr>
                <w:sz w:val="20"/>
                <w:szCs w:val="20"/>
              </w:rPr>
              <w:t>8 914</w:t>
            </w:r>
          </w:p>
        </w:tc>
        <w:tc>
          <w:tcPr>
            <w:tcW w:w="725" w:type="dxa"/>
            <w:noWrap/>
            <w:hideMark/>
          </w:tcPr>
          <w:p w14:paraId="75AFF856" w14:textId="4FC2BED3" w:rsidR="00C22B37" w:rsidRPr="005C5C85" w:rsidRDefault="00C22B37" w:rsidP="00C22B37">
            <w:pPr>
              <w:jc w:val="right"/>
              <w:rPr>
                <w:sz w:val="20"/>
                <w:szCs w:val="20"/>
              </w:rPr>
            </w:pPr>
            <w:r w:rsidRPr="00E8272C">
              <w:rPr>
                <w:sz w:val="20"/>
                <w:szCs w:val="20"/>
              </w:rPr>
              <w:t>…*%</w:t>
            </w:r>
          </w:p>
        </w:tc>
        <w:tc>
          <w:tcPr>
            <w:tcW w:w="746" w:type="dxa"/>
            <w:noWrap/>
            <w:hideMark/>
          </w:tcPr>
          <w:p w14:paraId="7AD6E184" w14:textId="541BBA0A" w:rsidR="00C22B37" w:rsidRPr="005C5C85" w:rsidRDefault="00C22B37" w:rsidP="00C22B37">
            <w:pPr>
              <w:jc w:val="right"/>
              <w:rPr>
                <w:sz w:val="20"/>
                <w:szCs w:val="20"/>
              </w:rPr>
            </w:pPr>
            <w:r w:rsidRPr="005E47D3">
              <w:rPr>
                <w:sz w:val="20"/>
                <w:szCs w:val="20"/>
              </w:rPr>
              <w:t>…*%</w:t>
            </w:r>
          </w:p>
        </w:tc>
        <w:tc>
          <w:tcPr>
            <w:tcW w:w="686" w:type="dxa"/>
            <w:noWrap/>
            <w:hideMark/>
          </w:tcPr>
          <w:p w14:paraId="209682E9" w14:textId="6EFA1183" w:rsidR="00C22B37" w:rsidRPr="005C5C85" w:rsidRDefault="00C22B37" w:rsidP="00C22B37">
            <w:pPr>
              <w:jc w:val="right"/>
              <w:rPr>
                <w:sz w:val="20"/>
                <w:szCs w:val="20"/>
              </w:rPr>
            </w:pPr>
            <w:r w:rsidRPr="005E47D3">
              <w:rPr>
                <w:sz w:val="20"/>
                <w:szCs w:val="20"/>
              </w:rPr>
              <w:t>…*%</w:t>
            </w:r>
          </w:p>
        </w:tc>
        <w:tc>
          <w:tcPr>
            <w:tcW w:w="761" w:type="dxa"/>
            <w:noWrap/>
            <w:hideMark/>
          </w:tcPr>
          <w:p w14:paraId="4928E528" w14:textId="3DC47B64" w:rsidR="00C22B37" w:rsidRPr="005C5C85" w:rsidRDefault="00C22B37" w:rsidP="00C22B37">
            <w:pPr>
              <w:jc w:val="right"/>
              <w:rPr>
                <w:sz w:val="20"/>
                <w:szCs w:val="20"/>
              </w:rPr>
            </w:pPr>
            <w:r w:rsidRPr="005E47D3">
              <w:rPr>
                <w:sz w:val="20"/>
                <w:szCs w:val="20"/>
              </w:rPr>
              <w:t>…*%</w:t>
            </w:r>
          </w:p>
        </w:tc>
        <w:tc>
          <w:tcPr>
            <w:tcW w:w="761" w:type="dxa"/>
            <w:noWrap/>
            <w:hideMark/>
          </w:tcPr>
          <w:p w14:paraId="40EC186E" w14:textId="3350C8C3" w:rsidR="00C22B37" w:rsidRPr="005C5C85" w:rsidRDefault="00C22B37" w:rsidP="00C22B37">
            <w:pPr>
              <w:jc w:val="right"/>
              <w:rPr>
                <w:sz w:val="20"/>
                <w:szCs w:val="20"/>
              </w:rPr>
            </w:pPr>
            <w:r w:rsidRPr="005E47D3">
              <w:rPr>
                <w:sz w:val="20"/>
                <w:szCs w:val="20"/>
              </w:rPr>
              <w:t>…*%</w:t>
            </w:r>
          </w:p>
        </w:tc>
        <w:tc>
          <w:tcPr>
            <w:tcW w:w="711" w:type="dxa"/>
            <w:noWrap/>
            <w:hideMark/>
          </w:tcPr>
          <w:p w14:paraId="3C721931" w14:textId="5A37C78F" w:rsidR="00C22B37" w:rsidRPr="005C5C85" w:rsidRDefault="00C22B37" w:rsidP="00C22B37">
            <w:pPr>
              <w:jc w:val="right"/>
              <w:rPr>
                <w:sz w:val="20"/>
                <w:szCs w:val="20"/>
              </w:rPr>
            </w:pPr>
            <w:r w:rsidRPr="005E47D3">
              <w:rPr>
                <w:sz w:val="20"/>
                <w:szCs w:val="20"/>
              </w:rPr>
              <w:t>…*%</w:t>
            </w:r>
          </w:p>
        </w:tc>
        <w:tc>
          <w:tcPr>
            <w:tcW w:w="933" w:type="dxa"/>
            <w:noWrap/>
            <w:hideMark/>
          </w:tcPr>
          <w:p w14:paraId="003D2F7E" w14:textId="0AB19244" w:rsidR="00C22B37" w:rsidRPr="005C5C85" w:rsidRDefault="00C22B37" w:rsidP="00C22B37">
            <w:pPr>
              <w:jc w:val="right"/>
              <w:rPr>
                <w:sz w:val="20"/>
                <w:szCs w:val="20"/>
              </w:rPr>
            </w:pPr>
            <w:r w:rsidRPr="005E47D3">
              <w:rPr>
                <w:sz w:val="20"/>
                <w:szCs w:val="20"/>
              </w:rPr>
              <w:t>…*%</w:t>
            </w:r>
          </w:p>
        </w:tc>
      </w:tr>
      <w:tr w:rsidR="00C22B37" w:rsidRPr="005C5C85" w14:paraId="57502D8E" w14:textId="77777777" w:rsidTr="00A43E3F">
        <w:trPr>
          <w:trHeight w:val="32"/>
        </w:trPr>
        <w:tc>
          <w:tcPr>
            <w:tcW w:w="3397" w:type="dxa"/>
            <w:noWrap/>
            <w:hideMark/>
          </w:tcPr>
          <w:p w14:paraId="1076476E" w14:textId="77777777" w:rsidR="00C22B37" w:rsidRPr="005C5C85" w:rsidRDefault="00C22B37" w:rsidP="00C22B37">
            <w:pPr>
              <w:jc w:val="both"/>
              <w:rPr>
                <w:sz w:val="20"/>
                <w:szCs w:val="20"/>
              </w:rPr>
            </w:pPr>
            <w:r w:rsidRPr="005C5C85">
              <w:rPr>
                <w:sz w:val="20"/>
                <w:szCs w:val="20"/>
              </w:rPr>
              <w:t>Lääne-Viru maakond v.a linnad</w:t>
            </w:r>
          </w:p>
        </w:tc>
        <w:tc>
          <w:tcPr>
            <w:tcW w:w="839" w:type="dxa"/>
            <w:noWrap/>
            <w:hideMark/>
          </w:tcPr>
          <w:p w14:paraId="249EFC89" w14:textId="77777777" w:rsidR="00C22B37" w:rsidRPr="005C5C85" w:rsidRDefault="00C22B37" w:rsidP="00C22B37">
            <w:pPr>
              <w:jc w:val="both"/>
              <w:rPr>
                <w:sz w:val="20"/>
                <w:szCs w:val="20"/>
              </w:rPr>
            </w:pPr>
            <w:r w:rsidRPr="005C5C85">
              <w:rPr>
                <w:sz w:val="20"/>
                <w:szCs w:val="20"/>
              </w:rPr>
              <w:t>29 455</w:t>
            </w:r>
          </w:p>
        </w:tc>
        <w:tc>
          <w:tcPr>
            <w:tcW w:w="725" w:type="dxa"/>
            <w:noWrap/>
            <w:hideMark/>
          </w:tcPr>
          <w:p w14:paraId="024AE8BE" w14:textId="3EFEFA05" w:rsidR="00C22B37" w:rsidRPr="005C5C85" w:rsidRDefault="00C22B37" w:rsidP="00C22B37">
            <w:pPr>
              <w:jc w:val="right"/>
              <w:rPr>
                <w:sz w:val="20"/>
                <w:szCs w:val="20"/>
              </w:rPr>
            </w:pPr>
            <w:r w:rsidRPr="00E8272C">
              <w:rPr>
                <w:sz w:val="20"/>
                <w:szCs w:val="20"/>
              </w:rPr>
              <w:t>…*%</w:t>
            </w:r>
          </w:p>
        </w:tc>
        <w:tc>
          <w:tcPr>
            <w:tcW w:w="746" w:type="dxa"/>
            <w:noWrap/>
            <w:hideMark/>
          </w:tcPr>
          <w:p w14:paraId="0ECF73C1" w14:textId="5AD2D969" w:rsidR="00C22B37" w:rsidRPr="005C5C85" w:rsidRDefault="00C22B37" w:rsidP="00C22B37">
            <w:pPr>
              <w:jc w:val="right"/>
              <w:rPr>
                <w:sz w:val="20"/>
                <w:szCs w:val="20"/>
              </w:rPr>
            </w:pPr>
            <w:r w:rsidRPr="005E47D3">
              <w:rPr>
                <w:sz w:val="20"/>
                <w:szCs w:val="20"/>
              </w:rPr>
              <w:t>…*%</w:t>
            </w:r>
          </w:p>
        </w:tc>
        <w:tc>
          <w:tcPr>
            <w:tcW w:w="686" w:type="dxa"/>
            <w:noWrap/>
            <w:hideMark/>
          </w:tcPr>
          <w:p w14:paraId="47986578" w14:textId="3C0FA7AB" w:rsidR="00C22B37" w:rsidRPr="005C5C85" w:rsidRDefault="00C22B37" w:rsidP="00C22B37">
            <w:pPr>
              <w:jc w:val="right"/>
              <w:rPr>
                <w:sz w:val="20"/>
                <w:szCs w:val="20"/>
              </w:rPr>
            </w:pPr>
            <w:r w:rsidRPr="005E47D3">
              <w:rPr>
                <w:sz w:val="20"/>
                <w:szCs w:val="20"/>
              </w:rPr>
              <w:t>…*%</w:t>
            </w:r>
          </w:p>
        </w:tc>
        <w:tc>
          <w:tcPr>
            <w:tcW w:w="761" w:type="dxa"/>
            <w:noWrap/>
            <w:hideMark/>
          </w:tcPr>
          <w:p w14:paraId="3C797979" w14:textId="668C50DF" w:rsidR="00C22B37" w:rsidRPr="005C5C85" w:rsidRDefault="00C22B37" w:rsidP="00C22B37">
            <w:pPr>
              <w:jc w:val="right"/>
              <w:rPr>
                <w:sz w:val="20"/>
                <w:szCs w:val="20"/>
              </w:rPr>
            </w:pPr>
            <w:r w:rsidRPr="005E47D3">
              <w:rPr>
                <w:sz w:val="20"/>
                <w:szCs w:val="20"/>
              </w:rPr>
              <w:t>…*%</w:t>
            </w:r>
          </w:p>
        </w:tc>
        <w:tc>
          <w:tcPr>
            <w:tcW w:w="761" w:type="dxa"/>
            <w:noWrap/>
            <w:hideMark/>
          </w:tcPr>
          <w:p w14:paraId="1B35D85F" w14:textId="5C956960" w:rsidR="00C22B37" w:rsidRPr="005C5C85" w:rsidRDefault="00C22B37" w:rsidP="00C22B37">
            <w:pPr>
              <w:jc w:val="right"/>
              <w:rPr>
                <w:sz w:val="20"/>
                <w:szCs w:val="20"/>
              </w:rPr>
            </w:pPr>
            <w:r w:rsidRPr="005E47D3">
              <w:rPr>
                <w:sz w:val="20"/>
                <w:szCs w:val="20"/>
              </w:rPr>
              <w:t>…*%</w:t>
            </w:r>
          </w:p>
        </w:tc>
        <w:tc>
          <w:tcPr>
            <w:tcW w:w="711" w:type="dxa"/>
            <w:noWrap/>
            <w:hideMark/>
          </w:tcPr>
          <w:p w14:paraId="7BBA7DF0" w14:textId="0E45EE5D" w:rsidR="00C22B37" w:rsidRPr="005C5C85" w:rsidRDefault="00C22B37" w:rsidP="00C22B37">
            <w:pPr>
              <w:jc w:val="right"/>
              <w:rPr>
                <w:sz w:val="20"/>
                <w:szCs w:val="20"/>
              </w:rPr>
            </w:pPr>
            <w:r w:rsidRPr="005E47D3">
              <w:rPr>
                <w:sz w:val="20"/>
                <w:szCs w:val="20"/>
              </w:rPr>
              <w:t>…*%</w:t>
            </w:r>
          </w:p>
        </w:tc>
        <w:tc>
          <w:tcPr>
            <w:tcW w:w="933" w:type="dxa"/>
            <w:noWrap/>
            <w:hideMark/>
          </w:tcPr>
          <w:p w14:paraId="3C7E60B1" w14:textId="45B13E07" w:rsidR="00C22B37" w:rsidRPr="005C5C85" w:rsidRDefault="00C22B37" w:rsidP="00C22B37">
            <w:pPr>
              <w:jc w:val="right"/>
              <w:rPr>
                <w:sz w:val="20"/>
                <w:szCs w:val="20"/>
              </w:rPr>
            </w:pPr>
            <w:r w:rsidRPr="005E47D3">
              <w:rPr>
                <w:sz w:val="20"/>
                <w:szCs w:val="20"/>
              </w:rPr>
              <w:t>…*%</w:t>
            </w:r>
          </w:p>
        </w:tc>
      </w:tr>
      <w:tr w:rsidR="00C22B37" w:rsidRPr="005C5C85" w14:paraId="31118C15" w14:textId="77777777" w:rsidTr="00A43E3F">
        <w:trPr>
          <w:trHeight w:val="32"/>
        </w:trPr>
        <w:tc>
          <w:tcPr>
            <w:tcW w:w="3397" w:type="dxa"/>
            <w:noWrap/>
            <w:hideMark/>
          </w:tcPr>
          <w:p w14:paraId="39F096D3" w14:textId="77777777" w:rsidR="00C22B37" w:rsidRPr="005C5C85" w:rsidRDefault="00C22B37" w:rsidP="00C22B37">
            <w:pPr>
              <w:jc w:val="both"/>
              <w:rPr>
                <w:sz w:val="20"/>
                <w:szCs w:val="20"/>
              </w:rPr>
            </w:pPr>
            <w:r w:rsidRPr="005C5C85">
              <w:rPr>
                <w:sz w:val="20"/>
                <w:szCs w:val="20"/>
              </w:rPr>
              <w:t>Põlva maakond v.a linna</w:t>
            </w:r>
          </w:p>
        </w:tc>
        <w:tc>
          <w:tcPr>
            <w:tcW w:w="839" w:type="dxa"/>
            <w:noWrap/>
            <w:hideMark/>
          </w:tcPr>
          <w:p w14:paraId="5DD6E841" w14:textId="77777777" w:rsidR="00C22B37" w:rsidRPr="005C5C85" w:rsidRDefault="00C22B37" w:rsidP="00C22B37">
            <w:pPr>
              <w:jc w:val="both"/>
              <w:rPr>
                <w:sz w:val="20"/>
                <w:szCs w:val="20"/>
              </w:rPr>
            </w:pPr>
            <w:r w:rsidRPr="005C5C85">
              <w:rPr>
                <w:sz w:val="20"/>
                <w:szCs w:val="20"/>
              </w:rPr>
              <w:t>12 645</w:t>
            </w:r>
          </w:p>
        </w:tc>
        <w:tc>
          <w:tcPr>
            <w:tcW w:w="725" w:type="dxa"/>
            <w:noWrap/>
            <w:hideMark/>
          </w:tcPr>
          <w:p w14:paraId="1898EA05" w14:textId="2DEA2535" w:rsidR="00C22B37" w:rsidRPr="005C5C85" w:rsidRDefault="00C22B37" w:rsidP="00C22B37">
            <w:pPr>
              <w:jc w:val="right"/>
              <w:rPr>
                <w:sz w:val="20"/>
                <w:szCs w:val="20"/>
              </w:rPr>
            </w:pPr>
            <w:r w:rsidRPr="00E8272C">
              <w:rPr>
                <w:sz w:val="20"/>
                <w:szCs w:val="20"/>
              </w:rPr>
              <w:t>…*%</w:t>
            </w:r>
          </w:p>
        </w:tc>
        <w:tc>
          <w:tcPr>
            <w:tcW w:w="746" w:type="dxa"/>
            <w:noWrap/>
            <w:hideMark/>
          </w:tcPr>
          <w:p w14:paraId="3D568494" w14:textId="13B07482" w:rsidR="00C22B37" w:rsidRPr="005C5C85" w:rsidRDefault="00C22B37" w:rsidP="00C22B37">
            <w:pPr>
              <w:jc w:val="right"/>
              <w:rPr>
                <w:sz w:val="20"/>
                <w:szCs w:val="20"/>
              </w:rPr>
            </w:pPr>
            <w:r w:rsidRPr="005E47D3">
              <w:rPr>
                <w:sz w:val="20"/>
                <w:szCs w:val="20"/>
              </w:rPr>
              <w:t>…*%</w:t>
            </w:r>
          </w:p>
        </w:tc>
        <w:tc>
          <w:tcPr>
            <w:tcW w:w="686" w:type="dxa"/>
            <w:noWrap/>
            <w:hideMark/>
          </w:tcPr>
          <w:p w14:paraId="3B28F589" w14:textId="7D4C67D2" w:rsidR="00C22B37" w:rsidRPr="005C5C85" w:rsidRDefault="00C22B37" w:rsidP="00C22B37">
            <w:pPr>
              <w:jc w:val="right"/>
              <w:rPr>
                <w:sz w:val="20"/>
                <w:szCs w:val="20"/>
              </w:rPr>
            </w:pPr>
            <w:r w:rsidRPr="005E47D3">
              <w:rPr>
                <w:sz w:val="20"/>
                <w:szCs w:val="20"/>
              </w:rPr>
              <w:t>…*%</w:t>
            </w:r>
          </w:p>
        </w:tc>
        <w:tc>
          <w:tcPr>
            <w:tcW w:w="761" w:type="dxa"/>
            <w:noWrap/>
            <w:hideMark/>
          </w:tcPr>
          <w:p w14:paraId="2D606575" w14:textId="287F30A1" w:rsidR="00C22B37" w:rsidRPr="005C5C85" w:rsidRDefault="00C22B37" w:rsidP="00C22B37">
            <w:pPr>
              <w:jc w:val="right"/>
              <w:rPr>
                <w:sz w:val="20"/>
                <w:szCs w:val="20"/>
              </w:rPr>
            </w:pPr>
            <w:r w:rsidRPr="005E47D3">
              <w:rPr>
                <w:sz w:val="20"/>
                <w:szCs w:val="20"/>
              </w:rPr>
              <w:t>…*%</w:t>
            </w:r>
          </w:p>
        </w:tc>
        <w:tc>
          <w:tcPr>
            <w:tcW w:w="761" w:type="dxa"/>
            <w:noWrap/>
            <w:hideMark/>
          </w:tcPr>
          <w:p w14:paraId="6621076D" w14:textId="57CC0400" w:rsidR="00C22B37" w:rsidRPr="005C5C85" w:rsidRDefault="00C22B37" w:rsidP="00C22B37">
            <w:pPr>
              <w:jc w:val="right"/>
              <w:rPr>
                <w:sz w:val="20"/>
                <w:szCs w:val="20"/>
              </w:rPr>
            </w:pPr>
            <w:r w:rsidRPr="005E47D3">
              <w:rPr>
                <w:sz w:val="20"/>
                <w:szCs w:val="20"/>
              </w:rPr>
              <w:t>…*%</w:t>
            </w:r>
          </w:p>
        </w:tc>
        <w:tc>
          <w:tcPr>
            <w:tcW w:w="711" w:type="dxa"/>
            <w:noWrap/>
            <w:hideMark/>
          </w:tcPr>
          <w:p w14:paraId="1C26DD35" w14:textId="4EE1B908" w:rsidR="00C22B37" w:rsidRPr="005C5C85" w:rsidRDefault="00C22B37" w:rsidP="00C22B37">
            <w:pPr>
              <w:jc w:val="right"/>
              <w:rPr>
                <w:sz w:val="20"/>
                <w:szCs w:val="20"/>
              </w:rPr>
            </w:pPr>
            <w:r w:rsidRPr="005E47D3">
              <w:rPr>
                <w:sz w:val="20"/>
                <w:szCs w:val="20"/>
              </w:rPr>
              <w:t>…*%</w:t>
            </w:r>
          </w:p>
        </w:tc>
        <w:tc>
          <w:tcPr>
            <w:tcW w:w="933" w:type="dxa"/>
            <w:noWrap/>
            <w:hideMark/>
          </w:tcPr>
          <w:p w14:paraId="1A00F05B" w14:textId="549A9901" w:rsidR="00C22B37" w:rsidRPr="005C5C85" w:rsidRDefault="00C22B37" w:rsidP="00C22B37">
            <w:pPr>
              <w:jc w:val="right"/>
              <w:rPr>
                <w:sz w:val="20"/>
                <w:szCs w:val="20"/>
              </w:rPr>
            </w:pPr>
            <w:r w:rsidRPr="005E47D3">
              <w:rPr>
                <w:sz w:val="20"/>
                <w:szCs w:val="20"/>
              </w:rPr>
              <w:t>…*%</w:t>
            </w:r>
          </w:p>
        </w:tc>
      </w:tr>
      <w:tr w:rsidR="00C22B37" w:rsidRPr="005C5C85" w14:paraId="44B73E7C" w14:textId="77777777" w:rsidTr="00A43E3F">
        <w:trPr>
          <w:trHeight w:val="32"/>
        </w:trPr>
        <w:tc>
          <w:tcPr>
            <w:tcW w:w="3397" w:type="dxa"/>
            <w:noWrap/>
            <w:hideMark/>
          </w:tcPr>
          <w:p w14:paraId="0937BDE0" w14:textId="77777777" w:rsidR="00C22B37" w:rsidRPr="005C5C85" w:rsidRDefault="00C22B37" w:rsidP="00C22B37">
            <w:pPr>
              <w:jc w:val="both"/>
              <w:rPr>
                <w:sz w:val="20"/>
                <w:szCs w:val="20"/>
              </w:rPr>
            </w:pPr>
            <w:r w:rsidRPr="005C5C85">
              <w:rPr>
                <w:sz w:val="20"/>
                <w:szCs w:val="20"/>
              </w:rPr>
              <w:t>Pärnu maakond v.a linna</w:t>
            </w:r>
          </w:p>
        </w:tc>
        <w:tc>
          <w:tcPr>
            <w:tcW w:w="839" w:type="dxa"/>
            <w:noWrap/>
            <w:hideMark/>
          </w:tcPr>
          <w:p w14:paraId="3A7BEF5A" w14:textId="77777777" w:rsidR="00C22B37" w:rsidRPr="005C5C85" w:rsidRDefault="00C22B37" w:rsidP="00C22B37">
            <w:pPr>
              <w:jc w:val="both"/>
              <w:rPr>
                <w:sz w:val="20"/>
                <w:szCs w:val="20"/>
              </w:rPr>
            </w:pPr>
            <w:r w:rsidRPr="005C5C85">
              <w:rPr>
                <w:sz w:val="20"/>
                <w:szCs w:val="20"/>
              </w:rPr>
              <w:t>30 672</w:t>
            </w:r>
          </w:p>
        </w:tc>
        <w:tc>
          <w:tcPr>
            <w:tcW w:w="725" w:type="dxa"/>
            <w:noWrap/>
            <w:hideMark/>
          </w:tcPr>
          <w:p w14:paraId="3F9A1348" w14:textId="086A6A20" w:rsidR="00C22B37" w:rsidRPr="005C5C85" w:rsidRDefault="00C22B37" w:rsidP="00C22B37">
            <w:pPr>
              <w:jc w:val="right"/>
              <w:rPr>
                <w:sz w:val="20"/>
                <w:szCs w:val="20"/>
              </w:rPr>
            </w:pPr>
            <w:r w:rsidRPr="00E8272C">
              <w:rPr>
                <w:sz w:val="20"/>
                <w:szCs w:val="20"/>
              </w:rPr>
              <w:t>…*%</w:t>
            </w:r>
          </w:p>
        </w:tc>
        <w:tc>
          <w:tcPr>
            <w:tcW w:w="746" w:type="dxa"/>
            <w:noWrap/>
            <w:hideMark/>
          </w:tcPr>
          <w:p w14:paraId="14E284DB" w14:textId="0251C6C9" w:rsidR="00C22B37" w:rsidRPr="005C5C85" w:rsidRDefault="00C22B37" w:rsidP="00C22B37">
            <w:pPr>
              <w:jc w:val="right"/>
              <w:rPr>
                <w:sz w:val="20"/>
                <w:szCs w:val="20"/>
              </w:rPr>
            </w:pPr>
            <w:r w:rsidRPr="005E47D3">
              <w:rPr>
                <w:sz w:val="20"/>
                <w:szCs w:val="20"/>
              </w:rPr>
              <w:t>…*%</w:t>
            </w:r>
          </w:p>
        </w:tc>
        <w:tc>
          <w:tcPr>
            <w:tcW w:w="686" w:type="dxa"/>
            <w:noWrap/>
            <w:hideMark/>
          </w:tcPr>
          <w:p w14:paraId="510F74EA" w14:textId="35E88CE7" w:rsidR="00C22B37" w:rsidRPr="005C5C85" w:rsidRDefault="00C22B37" w:rsidP="00C22B37">
            <w:pPr>
              <w:jc w:val="right"/>
              <w:rPr>
                <w:sz w:val="20"/>
                <w:szCs w:val="20"/>
              </w:rPr>
            </w:pPr>
            <w:r w:rsidRPr="005E47D3">
              <w:rPr>
                <w:sz w:val="20"/>
                <w:szCs w:val="20"/>
              </w:rPr>
              <w:t>…*%</w:t>
            </w:r>
          </w:p>
        </w:tc>
        <w:tc>
          <w:tcPr>
            <w:tcW w:w="761" w:type="dxa"/>
            <w:noWrap/>
            <w:hideMark/>
          </w:tcPr>
          <w:p w14:paraId="5905070E" w14:textId="767B0F7D" w:rsidR="00C22B37" w:rsidRPr="005C5C85" w:rsidRDefault="00C22B37" w:rsidP="00C22B37">
            <w:pPr>
              <w:jc w:val="right"/>
              <w:rPr>
                <w:sz w:val="20"/>
                <w:szCs w:val="20"/>
              </w:rPr>
            </w:pPr>
            <w:r w:rsidRPr="005E47D3">
              <w:rPr>
                <w:sz w:val="20"/>
                <w:szCs w:val="20"/>
              </w:rPr>
              <w:t>…*%</w:t>
            </w:r>
          </w:p>
        </w:tc>
        <w:tc>
          <w:tcPr>
            <w:tcW w:w="761" w:type="dxa"/>
            <w:noWrap/>
            <w:hideMark/>
          </w:tcPr>
          <w:p w14:paraId="30EC79F4" w14:textId="65921057" w:rsidR="00C22B37" w:rsidRPr="005C5C85" w:rsidRDefault="00C22B37" w:rsidP="00C22B37">
            <w:pPr>
              <w:jc w:val="right"/>
              <w:rPr>
                <w:sz w:val="20"/>
                <w:szCs w:val="20"/>
              </w:rPr>
            </w:pPr>
            <w:r w:rsidRPr="005E47D3">
              <w:rPr>
                <w:sz w:val="20"/>
                <w:szCs w:val="20"/>
              </w:rPr>
              <w:t>…*%</w:t>
            </w:r>
          </w:p>
        </w:tc>
        <w:tc>
          <w:tcPr>
            <w:tcW w:w="711" w:type="dxa"/>
            <w:noWrap/>
            <w:hideMark/>
          </w:tcPr>
          <w:p w14:paraId="7B0F659F" w14:textId="1ED5A557" w:rsidR="00C22B37" w:rsidRPr="005C5C85" w:rsidRDefault="00C22B37" w:rsidP="00C22B37">
            <w:pPr>
              <w:jc w:val="right"/>
              <w:rPr>
                <w:sz w:val="20"/>
                <w:szCs w:val="20"/>
              </w:rPr>
            </w:pPr>
            <w:r w:rsidRPr="005E47D3">
              <w:rPr>
                <w:sz w:val="20"/>
                <w:szCs w:val="20"/>
              </w:rPr>
              <w:t>…*%</w:t>
            </w:r>
          </w:p>
        </w:tc>
        <w:tc>
          <w:tcPr>
            <w:tcW w:w="933" w:type="dxa"/>
            <w:noWrap/>
            <w:hideMark/>
          </w:tcPr>
          <w:p w14:paraId="18BA78C1" w14:textId="16B14035" w:rsidR="00C22B37" w:rsidRPr="005C5C85" w:rsidRDefault="00C22B37" w:rsidP="00C22B37">
            <w:pPr>
              <w:jc w:val="right"/>
              <w:rPr>
                <w:sz w:val="20"/>
                <w:szCs w:val="20"/>
              </w:rPr>
            </w:pPr>
            <w:r w:rsidRPr="005E47D3">
              <w:rPr>
                <w:sz w:val="20"/>
                <w:szCs w:val="20"/>
              </w:rPr>
              <w:t>…*%</w:t>
            </w:r>
          </w:p>
        </w:tc>
      </w:tr>
      <w:tr w:rsidR="00C22B37" w:rsidRPr="005C5C85" w14:paraId="7EAC4934" w14:textId="77777777" w:rsidTr="00A43E3F">
        <w:trPr>
          <w:trHeight w:val="32"/>
        </w:trPr>
        <w:tc>
          <w:tcPr>
            <w:tcW w:w="3397" w:type="dxa"/>
            <w:noWrap/>
            <w:hideMark/>
          </w:tcPr>
          <w:p w14:paraId="44E4E1A1" w14:textId="77777777" w:rsidR="00C22B37" w:rsidRPr="005C5C85" w:rsidRDefault="00C22B37" w:rsidP="00C22B37">
            <w:pPr>
              <w:jc w:val="both"/>
              <w:rPr>
                <w:sz w:val="20"/>
                <w:szCs w:val="20"/>
              </w:rPr>
            </w:pPr>
            <w:r w:rsidRPr="005C5C85">
              <w:rPr>
                <w:sz w:val="20"/>
                <w:szCs w:val="20"/>
              </w:rPr>
              <w:t>Rapla maakond v.a linna</w:t>
            </w:r>
          </w:p>
        </w:tc>
        <w:tc>
          <w:tcPr>
            <w:tcW w:w="839" w:type="dxa"/>
            <w:noWrap/>
            <w:hideMark/>
          </w:tcPr>
          <w:p w14:paraId="1BB0BB60" w14:textId="77777777" w:rsidR="00C22B37" w:rsidRPr="005C5C85" w:rsidRDefault="00C22B37" w:rsidP="00C22B37">
            <w:pPr>
              <w:jc w:val="both"/>
              <w:rPr>
                <w:sz w:val="20"/>
                <w:szCs w:val="20"/>
              </w:rPr>
            </w:pPr>
            <w:r w:rsidRPr="005C5C85">
              <w:rPr>
                <w:sz w:val="20"/>
                <w:szCs w:val="20"/>
              </w:rPr>
              <w:t>20 249</w:t>
            </w:r>
          </w:p>
        </w:tc>
        <w:tc>
          <w:tcPr>
            <w:tcW w:w="725" w:type="dxa"/>
            <w:noWrap/>
            <w:hideMark/>
          </w:tcPr>
          <w:p w14:paraId="66111C34" w14:textId="4AD5D6F6" w:rsidR="00C22B37" w:rsidRPr="005C5C85" w:rsidRDefault="00C22B37" w:rsidP="00C22B37">
            <w:pPr>
              <w:jc w:val="right"/>
              <w:rPr>
                <w:sz w:val="20"/>
                <w:szCs w:val="20"/>
              </w:rPr>
            </w:pPr>
            <w:r w:rsidRPr="00E8272C">
              <w:rPr>
                <w:sz w:val="20"/>
                <w:szCs w:val="20"/>
              </w:rPr>
              <w:t>…*%</w:t>
            </w:r>
          </w:p>
        </w:tc>
        <w:tc>
          <w:tcPr>
            <w:tcW w:w="746" w:type="dxa"/>
            <w:noWrap/>
            <w:hideMark/>
          </w:tcPr>
          <w:p w14:paraId="3973D7EC" w14:textId="3E8D6D36" w:rsidR="00C22B37" w:rsidRPr="005C5C85" w:rsidRDefault="00C22B37" w:rsidP="00C22B37">
            <w:pPr>
              <w:jc w:val="right"/>
              <w:rPr>
                <w:sz w:val="20"/>
                <w:szCs w:val="20"/>
              </w:rPr>
            </w:pPr>
            <w:r w:rsidRPr="005E47D3">
              <w:rPr>
                <w:sz w:val="20"/>
                <w:szCs w:val="20"/>
              </w:rPr>
              <w:t>…*%</w:t>
            </w:r>
          </w:p>
        </w:tc>
        <w:tc>
          <w:tcPr>
            <w:tcW w:w="686" w:type="dxa"/>
            <w:noWrap/>
            <w:hideMark/>
          </w:tcPr>
          <w:p w14:paraId="2C2F5B31" w14:textId="7E320913" w:rsidR="00C22B37" w:rsidRPr="005C5C85" w:rsidRDefault="00C22B37" w:rsidP="00C22B37">
            <w:pPr>
              <w:jc w:val="right"/>
              <w:rPr>
                <w:sz w:val="20"/>
                <w:szCs w:val="20"/>
              </w:rPr>
            </w:pPr>
            <w:r w:rsidRPr="005E47D3">
              <w:rPr>
                <w:sz w:val="20"/>
                <w:szCs w:val="20"/>
              </w:rPr>
              <w:t>…*%</w:t>
            </w:r>
          </w:p>
        </w:tc>
        <w:tc>
          <w:tcPr>
            <w:tcW w:w="761" w:type="dxa"/>
            <w:noWrap/>
            <w:hideMark/>
          </w:tcPr>
          <w:p w14:paraId="2FCA3434" w14:textId="39A116EE" w:rsidR="00C22B37" w:rsidRPr="005C5C85" w:rsidRDefault="00C22B37" w:rsidP="00C22B37">
            <w:pPr>
              <w:jc w:val="right"/>
              <w:rPr>
                <w:sz w:val="20"/>
                <w:szCs w:val="20"/>
              </w:rPr>
            </w:pPr>
            <w:r w:rsidRPr="005E47D3">
              <w:rPr>
                <w:sz w:val="20"/>
                <w:szCs w:val="20"/>
              </w:rPr>
              <w:t>…*%</w:t>
            </w:r>
          </w:p>
        </w:tc>
        <w:tc>
          <w:tcPr>
            <w:tcW w:w="761" w:type="dxa"/>
            <w:noWrap/>
            <w:hideMark/>
          </w:tcPr>
          <w:p w14:paraId="7B417AB7" w14:textId="513FE7E1" w:rsidR="00C22B37" w:rsidRPr="005C5C85" w:rsidRDefault="00C22B37" w:rsidP="00C22B37">
            <w:pPr>
              <w:jc w:val="right"/>
              <w:rPr>
                <w:sz w:val="20"/>
                <w:szCs w:val="20"/>
              </w:rPr>
            </w:pPr>
            <w:r w:rsidRPr="005E47D3">
              <w:rPr>
                <w:sz w:val="20"/>
                <w:szCs w:val="20"/>
              </w:rPr>
              <w:t>…*%</w:t>
            </w:r>
          </w:p>
        </w:tc>
        <w:tc>
          <w:tcPr>
            <w:tcW w:w="711" w:type="dxa"/>
            <w:noWrap/>
            <w:hideMark/>
          </w:tcPr>
          <w:p w14:paraId="1A0DB7CB" w14:textId="52E457D5" w:rsidR="00C22B37" w:rsidRPr="005C5C85" w:rsidRDefault="00C22B37" w:rsidP="00C22B37">
            <w:pPr>
              <w:jc w:val="right"/>
              <w:rPr>
                <w:sz w:val="20"/>
                <w:szCs w:val="20"/>
              </w:rPr>
            </w:pPr>
            <w:r w:rsidRPr="005E47D3">
              <w:rPr>
                <w:sz w:val="20"/>
                <w:szCs w:val="20"/>
              </w:rPr>
              <w:t>…*%</w:t>
            </w:r>
          </w:p>
        </w:tc>
        <w:tc>
          <w:tcPr>
            <w:tcW w:w="933" w:type="dxa"/>
            <w:noWrap/>
            <w:hideMark/>
          </w:tcPr>
          <w:p w14:paraId="1B509D39" w14:textId="72E3E3A4" w:rsidR="00C22B37" w:rsidRPr="005C5C85" w:rsidRDefault="00C22B37" w:rsidP="00C22B37">
            <w:pPr>
              <w:jc w:val="right"/>
              <w:rPr>
                <w:sz w:val="20"/>
                <w:szCs w:val="20"/>
              </w:rPr>
            </w:pPr>
            <w:r w:rsidRPr="005E47D3">
              <w:rPr>
                <w:sz w:val="20"/>
                <w:szCs w:val="20"/>
              </w:rPr>
              <w:t>…*%</w:t>
            </w:r>
          </w:p>
        </w:tc>
      </w:tr>
      <w:tr w:rsidR="00C22B37" w:rsidRPr="005C5C85" w14:paraId="708D633A" w14:textId="77777777" w:rsidTr="00A43E3F">
        <w:trPr>
          <w:trHeight w:val="32"/>
        </w:trPr>
        <w:tc>
          <w:tcPr>
            <w:tcW w:w="3397" w:type="dxa"/>
            <w:noWrap/>
            <w:hideMark/>
          </w:tcPr>
          <w:p w14:paraId="32814441" w14:textId="77777777" w:rsidR="00C22B37" w:rsidRPr="005C5C85" w:rsidRDefault="00C22B37" w:rsidP="00C22B37">
            <w:pPr>
              <w:jc w:val="both"/>
              <w:rPr>
                <w:sz w:val="20"/>
                <w:szCs w:val="20"/>
              </w:rPr>
            </w:pPr>
            <w:r w:rsidRPr="005C5C85">
              <w:rPr>
                <w:sz w:val="20"/>
                <w:szCs w:val="20"/>
              </w:rPr>
              <w:t>Saare maakond v.a linna</w:t>
            </w:r>
          </w:p>
        </w:tc>
        <w:tc>
          <w:tcPr>
            <w:tcW w:w="839" w:type="dxa"/>
            <w:noWrap/>
            <w:hideMark/>
          </w:tcPr>
          <w:p w14:paraId="24244EE7" w14:textId="77777777" w:rsidR="00C22B37" w:rsidRPr="005C5C85" w:rsidRDefault="00C22B37" w:rsidP="00C22B37">
            <w:pPr>
              <w:jc w:val="both"/>
              <w:rPr>
                <w:sz w:val="20"/>
                <w:szCs w:val="20"/>
              </w:rPr>
            </w:pPr>
            <w:r w:rsidRPr="005C5C85">
              <w:rPr>
                <w:sz w:val="20"/>
                <w:szCs w:val="20"/>
              </w:rPr>
              <w:t>13 643</w:t>
            </w:r>
          </w:p>
        </w:tc>
        <w:tc>
          <w:tcPr>
            <w:tcW w:w="725" w:type="dxa"/>
            <w:noWrap/>
            <w:hideMark/>
          </w:tcPr>
          <w:p w14:paraId="1FF3ACDE" w14:textId="2A36ACA6" w:rsidR="00C22B37" w:rsidRPr="005C5C85" w:rsidRDefault="00C22B37" w:rsidP="00C22B37">
            <w:pPr>
              <w:jc w:val="right"/>
              <w:rPr>
                <w:sz w:val="20"/>
                <w:szCs w:val="20"/>
              </w:rPr>
            </w:pPr>
            <w:r w:rsidRPr="00E8272C">
              <w:rPr>
                <w:sz w:val="20"/>
                <w:szCs w:val="20"/>
              </w:rPr>
              <w:t>…*%</w:t>
            </w:r>
          </w:p>
        </w:tc>
        <w:tc>
          <w:tcPr>
            <w:tcW w:w="746" w:type="dxa"/>
            <w:noWrap/>
            <w:hideMark/>
          </w:tcPr>
          <w:p w14:paraId="623B75EC" w14:textId="654BAFF6" w:rsidR="00C22B37" w:rsidRPr="005C5C85" w:rsidRDefault="00C22B37" w:rsidP="00C22B37">
            <w:pPr>
              <w:jc w:val="right"/>
              <w:rPr>
                <w:sz w:val="20"/>
                <w:szCs w:val="20"/>
              </w:rPr>
            </w:pPr>
            <w:r w:rsidRPr="005E47D3">
              <w:rPr>
                <w:sz w:val="20"/>
                <w:szCs w:val="20"/>
              </w:rPr>
              <w:t>…*%</w:t>
            </w:r>
          </w:p>
        </w:tc>
        <w:tc>
          <w:tcPr>
            <w:tcW w:w="686" w:type="dxa"/>
            <w:noWrap/>
            <w:hideMark/>
          </w:tcPr>
          <w:p w14:paraId="1E27BE32" w14:textId="088371B6" w:rsidR="00C22B37" w:rsidRPr="005C5C85" w:rsidRDefault="00C22B37" w:rsidP="00C22B37">
            <w:pPr>
              <w:jc w:val="right"/>
              <w:rPr>
                <w:sz w:val="20"/>
                <w:szCs w:val="20"/>
              </w:rPr>
            </w:pPr>
            <w:r w:rsidRPr="005E47D3">
              <w:rPr>
                <w:sz w:val="20"/>
                <w:szCs w:val="20"/>
              </w:rPr>
              <w:t>…*%</w:t>
            </w:r>
          </w:p>
        </w:tc>
        <w:tc>
          <w:tcPr>
            <w:tcW w:w="761" w:type="dxa"/>
            <w:noWrap/>
            <w:hideMark/>
          </w:tcPr>
          <w:p w14:paraId="75B8475F" w14:textId="42905D9B" w:rsidR="00C22B37" w:rsidRPr="005C5C85" w:rsidRDefault="00C22B37" w:rsidP="00C22B37">
            <w:pPr>
              <w:jc w:val="right"/>
              <w:rPr>
                <w:sz w:val="20"/>
                <w:szCs w:val="20"/>
              </w:rPr>
            </w:pPr>
            <w:r w:rsidRPr="005E47D3">
              <w:rPr>
                <w:sz w:val="20"/>
                <w:szCs w:val="20"/>
              </w:rPr>
              <w:t>…*%</w:t>
            </w:r>
          </w:p>
        </w:tc>
        <w:tc>
          <w:tcPr>
            <w:tcW w:w="761" w:type="dxa"/>
            <w:noWrap/>
            <w:hideMark/>
          </w:tcPr>
          <w:p w14:paraId="39970518" w14:textId="3553D68F" w:rsidR="00C22B37" w:rsidRPr="005C5C85" w:rsidRDefault="00C22B37" w:rsidP="00C22B37">
            <w:pPr>
              <w:jc w:val="right"/>
              <w:rPr>
                <w:sz w:val="20"/>
                <w:szCs w:val="20"/>
              </w:rPr>
            </w:pPr>
            <w:r w:rsidRPr="005E47D3">
              <w:rPr>
                <w:sz w:val="20"/>
                <w:szCs w:val="20"/>
              </w:rPr>
              <w:t>…*%</w:t>
            </w:r>
          </w:p>
        </w:tc>
        <w:tc>
          <w:tcPr>
            <w:tcW w:w="711" w:type="dxa"/>
            <w:noWrap/>
            <w:hideMark/>
          </w:tcPr>
          <w:p w14:paraId="71AB2DAD" w14:textId="33000BAC" w:rsidR="00C22B37" w:rsidRPr="005C5C85" w:rsidRDefault="00C22B37" w:rsidP="00C22B37">
            <w:pPr>
              <w:jc w:val="right"/>
              <w:rPr>
                <w:sz w:val="20"/>
                <w:szCs w:val="20"/>
              </w:rPr>
            </w:pPr>
            <w:r w:rsidRPr="005E47D3">
              <w:rPr>
                <w:sz w:val="20"/>
                <w:szCs w:val="20"/>
              </w:rPr>
              <w:t>…*%</w:t>
            </w:r>
          </w:p>
        </w:tc>
        <w:tc>
          <w:tcPr>
            <w:tcW w:w="933" w:type="dxa"/>
            <w:noWrap/>
            <w:hideMark/>
          </w:tcPr>
          <w:p w14:paraId="4F043C62" w14:textId="5AF99A0E" w:rsidR="00C22B37" w:rsidRPr="005C5C85" w:rsidRDefault="00C22B37" w:rsidP="00C22B37">
            <w:pPr>
              <w:jc w:val="right"/>
              <w:rPr>
                <w:sz w:val="20"/>
                <w:szCs w:val="20"/>
              </w:rPr>
            </w:pPr>
            <w:r w:rsidRPr="005E47D3">
              <w:rPr>
                <w:sz w:val="20"/>
                <w:szCs w:val="20"/>
              </w:rPr>
              <w:t>…*%</w:t>
            </w:r>
          </w:p>
        </w:tc>
      </w:tr>
      <w:tr w:rsidR="00C22B37" w:rsidRPr="005C5C85" w14:paraId="601FE233" w14:textId="77777777" w:rsidTr="00A43E3F">
        <w:trPr>
          <w:trHeight w:val="32"/>
        </w:trPr>
        <w:tc>
          <w:tcPr>
            <w:tcW w:w="3397" w:type="dxa"/>
            <w:noWrap/>
            <w:hideMark/>
          </w:tcPr>
          <w:p w14:paraId="7B2489EC" w14:textId="77777777" w:rsidR="00C22B37" w:rsidRPr="005C5C85" w:rsidRDefault="00C22B37" w:rsidP="00C22B37">
            <w:pPr>
              <w:jc w:val="both"/>
              <w:rPr>
                <w:sz w:val="20"/>
                <w:szCs w:val="20"/>
              </w:rPr>
            </w:pPr>
            <w:r w:rsidRPr="005C5C85">
              <w:rPr>
                <w:sz w:val="20"/>
                <w:szCs w:val="20"/>
              </w:rPr>
              <w:t>Tartu maakond v.a linnad</w:t>
            </w:r>
          </w:p>
        </w:tc>
        <w:tc>
          <w:tcPr>
            <w:tcW w:w="839" w:type="dxa"/>
            <w:noWrap/>
            <w:hideMark/>
          </w:tcPr>
          <w:p w14:paraId="43CC2BA1" w14:textId="77777777" w:rsidR="00C22B37" w:rsidRPr="005C5C85" w:rsidRDefault="00C22B37" w:rsidP="00C22B37">
            <w:pPr>
              <w:jc w:val="both"/>
              <w:rPr>
                <w:sz w:val="20"/>
                <w:szCs w:val="20"/>
              </w:rPr>
            </w:pPr>
            <w:r w:rsidRPr="005C5C85">
              <w:rPr>
                <w:sz w:val="20"/>
                <w:szCs w:val="20"/>
              </w:rPr>
              <w:t>35 688</w:t>
            </w:r>
          </w:p>
        </w:tc>
        <w:tc>
          <w:tcPr>
            <w:tcW w:w="725" w:type="dxa"/>
            <w:noWrap/>
            <w:hideMark/>
          </w:tcPr>
          <w:p w14:paraId="0AB293F0" w14:textId="654C5222" w:rsidR="00C22B37" w:rsidRPr="005C5C85" w:rsidRDefault="00C22B37" w:rsidP="00C22B37">
            <w:pPr>
              <w:jc w:val="right"/>
              <w:rPr>
                <w:sz w:val="20"/>
                <w:szCs w:val="20"/>
              </w:rPr>
            </w:pPr>
            <w:r w:rsidRPr="00E8272C">
              <w:rPr>
                <w:sz w:val="20"/>
                <w:szCs w:val="20"/>
              </w:rPr>
              <w:t>…*%</w:t>
            </w:r>
          </w:p>
        </w:tc>
        <w:tc>
          <w:tcPr>
            <w:tcW w:w="746" w:type="dxa"/>
            <w:noWrap/>
            <w:hideMark/>
          </w:tcPr>
          <w:p w14:paraId="7FE2067F" w14:textId="595D68DC" w:rsidR="00C22B37" w:rsidRPr="005C5C85" w:rsidRDefault="00C22B37" w:rsidP="00C22B37">
            <w:pPr>
              <w:jc w:val="right"/>
              <w:rPr>
                <w:sz w:val="20"/>
                <w:szCs w:val="20"/>
              </w:rPr>
            </w:pPr>
            <w:r w:rsidRPr="005E47D3">
              <w:rPr>
                <w:sz w:val="20"/>
                <w:szCs w:val="20"/>
              </w:rPr>
              <w:t>…*%</w:t>
            </w:r>
          </w:p>
        </w:tc>
        <w:tc>
          <w:tcPr>
            <w:tcW w:w="686" w:type="dxa"/>
            <w:noWrap/>
            <w:hideMark/>
          </w:tcPr>
          <w:p w14:paraId="1D202BB4" w14:textId="723C8FFF" w:rsidR="00C22B37" w:rsidRPr="005C5C85" w:rsidRDefault="00C22B37" w:rsidP="00C22B37">
            <w:pPr>
              <w:jc w:val="right"/>
              <w:rPr>
                <w:sz w:val="20"/>
                <w:szCs w:val="20"/>
              </w:rPr>
            </w:pPr>
            <w:r w:rsidRPr="005E47D3">
              <w:rPr>
                <w:sz w:val="20"/>
                <w:szCs w:val="20"/>
              </w:rPr>
              <w:t>…*%</w:t>
            </w:r>
          </w:p>
        </w:tc>
        <w:tc>
          <w:tcPr>
            <w:tcW w:w="761" w:type="dxa"/>
            <w:noWrap/>
            <w:hideMark/>
          </w:tcPr>
          <w:p w14:paraId="76394BB7" w14:textId="0E360053" w:rsidR="00C22B37" w:rsidRPr="005C5C85" w:rsidRDefault="00C22B37" w:rsidP="00C22B37">
            <w:pPr>
              <w:jc w:val="right"/>
              <w:rPr>
                <w:sz w:val="20"/>
                <w:szCs w:val="20"/>
              </w:rPr>
            </w:pPr>
            <w:r w:rsidRPr="005E47D3">
              <w:rPr>
                <w:sz w:val="20"/>
                <w:szCs w:val="20"/>
              </w:rPr>
              <w:t>…*%</w:t>
            </w:r>
          </w:p>
        </w:tc>
        <w:tc>
          <w:tcPr>
            <w:tcW w:w="761" w:type="dxa"/>
            <w:noWrap/>
            <w:hideMark/>
          </w:tcPr>
          <w:p w14:paraId="0F1A9595" w14:textId="7C47590D" w:rsidR="00C22B37" w:rsidRPr="005C5C85" w:rsidRDefault="00C22B37" w:rsidP="00C22B37">
            <w:pPr>
              <w:jc w:val="right"/>
              <w:rPr>
                <w:sz w:val="20"/>
                <w:szCs w:val="20"/>
              </w:rPr>
            </w:pPr>
            <w:r w:rsidRPr="005E47D3">
              <w:rPr>
                <w:sz w:val="20"/>
                <w:szCs w:val="20"/>
              </w:rPr>
              <w:t>…*%</w:t>
            </w:r>
          </w:p>
        </w:tc>
        <w:tc>
          <w:tcPr>
            <w:tcW w:w="711" w:type="dxa"/>
            <w:noWrap/>
            <w:hideMark/>
          </w:tcPr>
          <w:p w14:paraId="09E93067" w14:textId="788DECE9" w:rsidR="00C22B37" w:rsidRPr="005C5C85" w:rsidRDefault="00C22B37" w:rsidP="00C22B37">
            <w:pPr>
              <w:jc w:val="right"/>
              <w:rPr>
                <w:sz w:val="20"/>
                <w:szCs w:val="20"/>
              </w:rPr>
            </w:pPr>
            <w:r w:rsidRPr="005E47D3">
              <w:rPr>
                <w:sz w:val="20"/>
                <w:szCs w:val="20"/>
              </w:rPr>
              <w:t>…*%</w:t>
            </w:r>
          </w:p>
        </w:tc>
        <w:tc>
          <w:tcPr>
            <w:tcW w:w="933" w:type="dxa"/>
            <w:noWrap/>
            <w:hideMark/>
          </w:tcPr>
          <w:p w14:paraId="51F28688" w14:textId="45D69FFF" w:rsidR="00C22B37" w:rsidRPr="005C5C85" w:rsidRDefault="00C22B37" w:rsidP="00C22B37">
            <w:pPr>
              <w:jc w:val="right"/>
              <w:rPr>
                <w:sz w:val="20"/>
                <w:szCs w:val="20"/>
              </w:rPr>
            </w:pPr>
            <w:r w:rsidRPr="005E47D3">
              <w:rPr>
                <w:sz w:val="20"/>
                <w:szCs w:val="20"/>
              </w:rPr>
              <w:t>…*%</w:t>
            </w:r>
          </w:p>
        </w:tc>
      </w:tr>
      <w:tr w:rsidR="00C22B37" w:rsidRPr="005C5C85" w14:paraId="35AE141A" w14:textId="77777777" w:rsidTr="00A43E3F">
        <w:trPr>
          <w:trHeight w:val="32"/>
        </w:trPr>
        <w:tc>
          <w:tcPr>
            <w:tcW w:w="3397" w:type="dxa"/>
            <w:noWrap/>
            <w:hideMark/>
          </w:tcPr>
          <w:p w14:paraId="4235B3B7" w14:textId="77777777" w:rsidR="00C22B37" w:rsidRPr="005C5C85" w:rsidRDefault="00C22B37" w:rsidP="00C22B37">
            <w:pPr>
              <w:jc w:val="both"/>
              <w:rPr>
                <w:sz w:val="20"/>
                <w:szCs w:val="20"/>
              </w:rPr>
            </w:pPr>
            <w:r w:rsidRPr="005C5C85">
              <w:rPr>
                <w:sz w:val="20"/>
                <w:szCs w:val="20"/>
              </w:rPr>
              <w:t>Valga maakond v.a linna</w:t>
            </w:r>
          </w:p>
        </w:tc>
        <w:tc>
          <w:tcPr>
            <w:tcW w:w="839" w:type="dxa"/>
            <w:noWrap/>
            <w:hideMark/>
          </w:tcPr>
          <w:p w14:paraId="213C509E" w14:textId="77777777" w:rsidR="00C22B37" w:rsidRPr="005C5C85" w:rsidRDefault="00C22B37" w:rsidP="00C22B37">
            <w:pPr>
              <w:jc w:val="both"/>
              <w:rPr>
                <w:sz w:val="20"/>
                <w:szCs w:val="20"/>
              </w:rPr>
            </w:pPr>
            <w:r w:rsidRPr="005C5C85">
              <w:rPr>
                <w:sz w:val="20"/>
                <w:szCs w:val="20"/>
              </w:rPr>
              <w:t>11 172</w:t>
            </w:r>
          </w:p>
        </w:tc>
        <w:tc>
          <w:tcPr>
            <w:tcW w:w="725" w:type="dxa"/>
            <w:noWrap/>
            <w:hideMark/>
          </w:tcPr>
          <w:p w14:paraId="21ED8EC6" w14:textId="2A9C6E3B" w:rsidR="00C22B37" w:rsidRPr="005C5C85" w:rsidRDefault="00C22B37" w:rsidP="00C22B37">
            <w:pPr>
              <w:jc w:val="right"/>
              <w:rPr>
                <w:sz w:val="20"/>
                <w:szCs w:val="20"/>
              </w:rPr>
            </w:pPr>
            <w:r w:rsidRPr="00E8272C">
              <w:rPr>
                <w:sz w:val="20"/>
                <w:szCs w:val="20"/>
              </w:rPr>
              <w:t>…*%</w:t>
            </w:r>
          </w:p>
        </w:tc>
        <w:tc>
          <w:tcPr>
            <w:tcW w:w="746" w:type="dxa"/>
            <w:noWrap/>
            <w:hideMark/>
          </w:tcPr>
          <w:p w14:paraId="318AFF72" w14:textId="03D912A4" w:rsidR="00C22B37" w:rsidRPr="005C5C85" w:rsidRDefault="00C22B37" w:rsidP="00C22B37">
            <w:pPr>
              <w:jc w:val="right"/>
              <w:rPr>
                <w:sz w:val="20"/>
                <w:szCs w:val="20"/>
              </w:rPr>
            </w:pPr>
            <w:r w:rsidRPr="005E47D3">
              <w:rPr>
                <w:sz w:val="20"/>
                <w:szCs w:val="20"/>
              </w:rPr>
              <w:t>…*%</w:t>
            </w:r>
          </w:p>
        </w:tc>
        <w:tc>
          <w:tcPr>
            <w:tcW w:w="686" w:type="dxa"/>
            <w:noWrap/>
            <w:hideMark/>
          </w:tcPr>
          <w:p w14:paraId="3C769720" w14:textId="2EC5909C" w:rsidR="00C22B37" w:rsidRPr="005C5C85" w:rsidRDefault="00C22B37" w:rsidP="00C22B37">
            <w:pPr>
              <w:jc w:val="right"/>
              <w:rPr>
                <w:sz w:val="20"/>
                <w:szCs w:val="20"/>
              </w:rPr>
            </w:pPr>
            <w:r w:rsidRPr="005E47D3">
              <w:rPr>
                <w:sz w:val="20"/>
                <w:szCs w:val="20"/>
              </w:rPr>
              <w:t>…*%</w:t>
            </w:r>
          </w:p>
        </w:tc>
        <w:tc>
          <w:tcPr>
            <w:tcW w:w="761" w:type="dxa"/>
            <w:noWrap/>
            <w:hideMark/>
          </w:tcPr>
          <w:p w14:paraId="2C9070E1" w14:textId="343DB067" w:rsidR="00C22B37" w:rsidRPr="005C5C85" w:rsidRDefault="00C22B37" w:rsidP="00C22B37">
            <w:pPr>
              <w:jc w:val="right"/>
              <w:rPr>
                <w:sz w:val="20"/>
                <w:szCs w:val="20"/>
              </w:rPr>
            </w:pPr>
            <w:r w:rsidRPr="005E47D3">
              <w:rPr>
                <w:sz w:val="20"/>
                <w:szCs w:val="20"/>
              </w:rPr>
              <w:t>…*%</w:t>
            </w:r>
          </w:p>
        </w:tc>
        <w:tc>
          <w:tcPr>
            <w:tcW w:w="761" w:type="dxa"/>
            <w:noWrap/>
            <w:hideMark/>
          </w:tcPr>
          <w:p w14:paraId="3C4741CD" w14:textId="4C923FE2" w:rsidR="00C22B37" w:rsidRPr="005C5C85" w:rsidRDefault="00C22B37" w:rsidP="00C22B37">
            <w:pPr>
              <w:jc w:val="right"/>
              <w:rPr>
                <w:sz w:val="20"/>
                <w:szCs w:val="20"/>
              </w:rPr>
            </w:pPr>
            <w:r w:rsidRPr="005E47D3">
              <w:rPr>
                <w:sz w:val="20"/>
                <w:szCs w:val="20"/>
              </w:rPr>
              <w:t>…*%</w:t>
            </w:r>
          </w:p>
        </w:tc>
        <w:tc>
          <w:tcPr>
            <w:tcW w:w="711" w:type="dxa"/>
            <w:noWrap/>
            <w:hideMark/>
          </w:tcPr>
          <w:p w14:paraId="14B43C0D" w14:textId="1CA51171" w:rsidR="00C22B37" w:rsidRPr="005C5C85" w:rsidRDefault="00C22B37" w:rsidP="00C22B37">
            <w:pPr>
              <w:jc w:val="right"/>
              <w:rPr>
                <w:sz w:val="20"/>
                <w:szCs w:val="20"/>
              </w:rPr>
            </w:pPr>
            <w:r w:rsidRPr="005E47D3">
              <w:rPr>
                <w:sz w:val="20"/>
                <w:szCs w:val="20"/>
              </w:rPr>
              <w:t>…*%</w:t>
            </w:r>
          </w:p>
        </w:tc>
        <w:tc>
          <w:tcPr>
            <w:tcW w:w="933" w:type="dxa"/>
            <w:noWrap/>
            <w:hideMark/>
          </w:tcPr>
          <w:p w14:paraId="61708BBF" w14:textId="7C9E0DB8" w:rsidR="00C22B37" w:rsidRPr="005C5C85" w:rsidRDefault="00C22B37" w:rsidP="00C22B37">
            <w:pPr>
              <w:jc w:val="right"/>
              <w:rPr>
                <w:sz w:val="20"/>
                <w:szCs w:val="20"/>
              </w:rPr>
            </w:pPr>
            <w:r w:rsidRPr="005E47D3">
              <w:rPr>
                <w:sz w:val="20"/>
                <w:szCs w:val="20"/>
              </w:rPr>
              <w:t>…*%</w:t>
            </w:r>
          </w:p>
        </w:tc>
      </w:tr>
      <w:tr w:rsidR="00C22B37" w:rsidRPr="005C5C85" w14:paraId="18D1CBDD" w14:textId="77777777" w:rsidTr="00A43E3F">
        <w:trPr>
          <w:trHeight w:val="32"/>
        </w:trPr>
        <w:tc>
          <w:tcPr>
            <w:tcW w:w="3397" w:type="dxa"/>
            <w:noWrap/>
            <w:hideMark/>
          </w:tcPr>
          <w:p w14:paraId="7245EAA1" w14:textId="77777777" w:rsidR="00C22B37" w:rsidRPr="005C5C85" w:rsidRDefault="00C22B37" w:rsidP="00C22B37">
            <w:pPr>
              <w:jc w:val="both"/>
              <w:rPr>
                <w:sz w:val="20"/>
                <w:szCs w:val="20"/>
              </w:rPr>
            </w:pPr>
            <w:r w:rsidRPr="005C5C85">
              <w:rPr>
                <w:sz w:val="20"/>
                <w:szCs w:val="20"/>
              </w:rPr>
              <w:t>Viljandi maakond v.a linna</w:t>
            </w:r>
          </w:p>
        </w:tc>
        <w:tc>
          <w:tcPr>
            <w:tcW w:w="839" w:type="dxa"/>
            <w:noWrap/>
            <w:hideMark/>
          </w:tcPr>
          <w:p w14:paraId="7F4723BC" w14:textId="77777777" w:rsidR="00C22B37" w:rsidRPr="005C5C85" w:rsidRDefault="00C22B37" w:rsidP="00C22B37">
            <w:pPr>
              <w:jc w:val="both"/>
              <w:rPr>
                <w:sz w:val="20"/>
                <w:szCs w:val="20"/>
              </w:rPr>
            </w:pPr>
            <w:r w:rsidRPr="005C5C85">
              <w:rPr>
                <w:sz w:val="20"/>
                <w:szCs w:val="20"/>
              </w:rPr>
              <w:t>18 665</w:t>
            </w:r>
          </w:p>
        </w:tc>
        <w:tc>
          <w:tcPr>
            <w:tcW w:w="725" w:type="dxa"/>
            <w:noWrap/>
            <w:hideMark/>
          </w:tcPr>
          <w:p w14:paraId="6732F03C" w14:textId="2E1EBBEA" w:rsidR="00C22B37" w:rsidRPr="005C5C85" w:rsidRDefault="00C22B37" w:rsidP="00C22B37">
            <w:pPr>
              <w:jc w:val="right"/>
              <w:rPr>
                <w:sz w:val="20"/>
                <w:szCs w:val="20"/>
              </w:rPr>
            </w:pPr>
            <w:r w:rsidRPr="00E8272C">
              <w:rPr>
                <w:sz w:val="20"/>
                <w:szCs w:val="20"/>
              </w:rPr>
              <w:t>…*%</w:t>
            </w:r>
          </w:p>
        </w:tc>
        <w:tc>
          <w:tcPr>
            <w:tcW w:w="746" w:type="dxa"/>
            <w:noWrap/>
            <w:hideMark/>
          </w:tcPr>
          <w:p w14:paraId="28372143" w14:textId="34392AA4" w:rsidR="00C22B37" w:rsidRPr="005C5C85" w:rsidRDefault="00C22B37" w:rsidP="00C22B37">
            <w:pPr>
              <w:jc w:val="right"/>
              <w:rPr>
                <w:sz w:val="20"/>
                <w:szCs w:val="20"/>
              </w:rPr>
            </w:pPr>
            <w:r w:rsidRPr="005E47D3">
              <w:rPr>
                <w:sz w:val="20"/>
                <w:szCs w:val="20"/>
              </w:rPr>
              <w:t>…*%</w:t>
            </w:r>
          </w:p>
        </w:tc>
        <w:tc>
          <w:tcPr>
            <w:tcW w:w="686" w:type="dxa"/>
            <w:noWrap/>
            <w:hideMark/>
          </w:tcPr>
          <w:p w14:paraId="6603DDA8" w14:textId="5AE0C5F2" w:rsidR="00C22B37" w:rsidRPr="005C5C85" w:rsidRDefault="00C22B37" w:rsidP="00C22B37">
            <w:pPr>
              <w:jc w:val="right"/>
              <w:rPr>
                <w:sz w:val="20"/>
                <w:szCs w:val="20"/>
              </w:rPr>
            </w:pPr>
            <w:r w:rsidRPr="005E47D3">
              <w:rPr>
                <w:sz w:val="20"/>
                <w:szCs w:val="20"/>
              </w:rPr>
              <w:t>…*%</w:t>
            </w:r>
          </w:p>
        </w:tc>
        <w:tc>
          <w:tcPr>
            <w:tcW w:w="761" w:type="dxa"/>
            <w:noWrap/>
            <w:hideMark/>
          </w:tcPr>
          <w:p w14:paraId="3D5B5976" w14:textId="06982A65" w:rsidR="00C22B37" w:rsidRPr="005C5C85" w:rsidRDefault="00C22B37" w:rsidP="00C22B37">
            <w:pPr>
              <w:jc w:val="right"/>
              <w:rPr>
                <w:sz w:val="20"/>
                <w:szCs w:val="20"/>
              </w:rPr>
            </w:pPr>
            <w:r w:rsidRPr="005E47D3">
              <w:rPr>
                <w:sz w:val="20"/>
                <w:szCs w:val="20"/>
              </w:rPr>
              <w:t>…*%</w:t>
            </w:r>
          </w:p>
        </w:tc>
        <w:tc>
          <w:tcPr>
            <w:tcW w:w="761" w:type="dxa"/>
            <w:noWrap/>
            <w:hideMark/>
          </w:tcPr>
          <w:p w14:paraId="7483DF21" w14:textId="02620476" w:rsidR="00C22B37" w:rsidRPr="005C5C85" w:rsidRDefault="00C22B37" w:rsidP="00C22B37">
            <w:pPr>
              <w:jc w:val="right"/>
              <w:rPr>
                <w:sz w:val="20"/>
                <w:szCs w:val="20"/>
              </w:rPr>
            </w:pPr>
            <w:r w:rsidRPr="005E47D3">
              <w:rPr>
                <w:sz w:val="20"/>
                <w:szCs w:val="20"/>
              </w:rPr>
              <w:t>…*%</w:t>
            </w:r>
          </w:p>
        </w:tc>
        <w:tc>
          <w:tcPr>
            <w:tcW w:w="711" w:type="dxa"/>
            <w:noWrap/>
            <w:hideMark/>
          </w:tcPr>
          <w:p w14:paraId="0213D7F9" w14:textId="66AAAD9B" w:rsidR="00C22B37" w:rsidRPr="005C5C85" w:rsidRDefault="00C22B37" w:rsidP="00C22B37">
            <w:pPr>
              <w:jc w:val="right"/>
              <w:rPr>
                <w:sz w:val="20"/>
                <w:szCs w:val="20"/>
              </w:rPr>
            </w:pPr>
            <w:r w:rsidRPr="005E47D3">
              <w:rPr>
                <w:sz w:val="20"/>
                <w:szCs w:val="20"/>
              </w:rPr>
              <w:t>…*%</w:t>
            </w:r>
          </w:p>
        </w:tc>
        <w:tc>
          <w:tcPr>
            <w:tcW w:w="933" w:type="dxa"/>
            <w:noWrap/>
            <w:hideMark/>
          </w:tcPr>
          <w:p w14:paraId="4E511CFC" w14:textId="39355B59" w:rsidR="00C22B37" w:rsidRPr="005C5C85" w:rsidRDefault="00C22B37" w:rsidP="00C22B37">
            <w:pPr>
              <w:jc w:val="right"/>
              <w:rPr>
                <w:sz w:val="20"/>
                <w:szCs w:val="20"/>
              </w:rPr>
            </w:pPr>
            <w:r w:rsidRPr="005E47D3">
              <w:rPr>
                <w:sz w:val="20"/>
                <w:szCs w:val="20"/>
              </w:rPr>
              <w:t>…*%</w:t>
            </w:r>
          </w:p>
        </w:tc>
      </w:tr>
      <w:tr w:rsidR="00C22B37" w:rsidRPr="005C5C85" w14:paraId="12D76C78" w14:textId="77777777" w:rsidTr="00A43E3F">
        <w:trPr>
          <w:trHeight w:val="32"/>
        </w:trPr>
        <w:tc>
          <w:tcPr>
            <w:tcW w:w="3397" w:type="dxa"/>
            <w:noWrap/>
            <w:hideMark/>
          </w:tcPr>
          <w:p w14:paraId="43869F5F" w14:textId="77777777" w:rsidR="00C22B37" w:rsidRPr="005C5C85" w:rsidRDefault="00C22B37" w:rsidP="00C22B37">
            <w:pPr>
              <w:jc w:val="both"/>
              <w:rPr>
                <w:sz w:val="20"/>
                <w:szCs w:val="20"/>
              </w:rPr>
            </w:pPr>
            <w:r w:rsidRPr="005C5C85">
              <w:rPr>
                <w:sz w:val="20"/>
                <w:szCs w:val="20"/>
              </w:rPr>
              <w:t>Võru maakond v.a linna</w:t>
            </w:r>
          </w:p>
        </w:tc>
        <w:tc>
          <w:tcPr>
            <w:tcW w:w="839" w:type="dxa"/>
            <w:noWrap/>
            <w:hideMark/>
          </w:tcPr>
          <w:p w14:paraId="1E9CE14C" w14:textId="77777777" w:rsidR="00C22B37" w:rsidRPr="005C5C85" w:rsidRDefault="00C22B37" w:rsidP="00C22B37">
            <w:pPr>
              <w:jc w:val="both"/>
              <w:rPr>
                <w:sz w:val="20"/>
                <w:szCs w:val="20"/>
              </w:rPr>
            </w:pPr>
            <w:r w:rsidRPr="005C5C85">
              <w:rPr>
                <w:sz w:val="20"/>
                <w:szCs w:val="20"/>
              </w:rPr>
              <w:t>16 289</w:t>
            </w:r>
          </w:p>
        </w:tc>
        <w:tc>
          <w:tcPr>
            <w:tcW w:w="725" w:type="dxa"/>
            <w:noWrap/>
            <w:hideMark/>
          </w:tcPr>
          <w:p w14:paraId="037BD5AA" w14:textId="0095CD22" w:rsidR="00C22B37" w:rsidRPr="005C5C85" w:rsidRDefault="00C22B37" w:rsidP="00C22B37">
            <w:pPr>
              <w:jc w:val="right"/>
              <w:rPr>
                <w:sz w:val="20"/>
                <w:szCs w:val="20"/>
              </w:rPr>
            </w:pPr>
            <w:r w:rsidRPr="00E8272C">
              <w:rPr>
                <w:sz w:val="20"/>
                <w:szCs w:val="20"/>
              </w:rPr>
              <w:t>…*%</w:t>
            </w:r>
          </w:p>
        </w:tc>
        <w:tc>
          <w:tcPr>
            <w:tcW w:w="746" w:type="dxa"/>
            <w:noWrap/>
            <w:hideMark/>
          </w:tcPr>
          <w:p w14:paraId="40C07EF3" w14:textId="7C9741C2" w:rsidR="00C22B37" w:rsidRPr="005C5C85" w:rsidRDefault="00C22B37" w:rsidP="00C22B37">
            <w:pPr>
              <w:jc w:val="right"/>
              <w:rPr>
                <w:sz w:val="20"/>
                <w:szCs w:val="20"/>
              </w:rPr>
            </w:pPr>
            <w:r w:rsidRPr="00B97B8A">
              <w:rPr>
                <w:sz w:val="20"/>
                <w:szCs w:val="20"/>
              </w:rPr>
              <w:t>…*%</w:t>
            </w:r>
          </w:p>
        </w:tc>
        <w:tc>
          <w:tcPr>
            <w:tcW w:w="686" w:type="dxa"/>
            <w:noWrap/>
            <w:hideMark/>
          </w:tcPr>
          <w:p w14:paraId="33D2FFDA" w14:textId="3661665F" w:rsidR="00C22B37" w:rsidRPr="005C5C85" w:rsidRDefault="00C22B37" w:rsidP="00C22B37">
            <w:pPr>
              <w:jc w:val="right"/>
              <w:rPr>
                <w:sz w:val="20"/>
                <w:szCs w:val="20"/>
              </w:rPr>
            </w:pPr>
            <w:r w:rsidRPr="00B97B8A">
              <w:rPr>
                <w:sz w:val="20"/>
                <w:szCs w:val="20"/>
              </w:rPr>
              <w:t>…*%</w:t>
            </w:r>
          </w:p>
        </w:tc>
        <w:tc>
          <w:tcPr>
            <w:tcW w:w="761" w:type="dxa"/>
            <w:noWrap/>
            <w:hideMark/>
          </w:tcPr>
          <w:p w14:paraId="40AE244A" w14:textId="2B759F78" w:rsidR="00C22B37" w:rsidRPr="005C5C85" w:rsidRDefault="00C22B37" w:rsidP="00C22B37">
            <w:pPr>
              <w:jc w:val="right"/>
              <w:rPr>
                <w:sz w:val="20"/>
                <w:szCs w:val="20"/>
              </w:rPr>
            </w:pPr>
            <w:r w:rsidRPr="00B97B8A">
              <w:rPr>
                <w:sz w:val="20"/>
                <w:szCs w:val="20"/>
              </w:rPr>
              <w:t>…*%</w:t>
            </w:r>
          </w:p>
        </w:tc>
        <w:tc>
          <w:tcPr>
            <w:tcW w:w="761" w:type="dxa"/>
            <w:noWrap/>
            <w:hideMark/>
          </w:tcPr>
          <w:p w14:paraId="73B2F968" w14:textId="1AD4C3BD" w:rsidR="00C22B37" w:rsidRPr="005C5C85" w:rsidRDefault="00C22B37" w:rsidP="00C22B37">
            <w:pPr>
              <w:jc w:val="right"/>
              <w:rPr>
                <w:sz w:val="20"/>
                <w:szCs w:val="20"/>
              </w:rPr>
            </w:pPr>
            <w:r w:rsidRPr="00B97B8A">
              <w:rPr>
                <w:sz w:val="20"/>
                <w:szCs w:val="20"/>
              </w:rPr>
              <w:t>…*%</w:t>
            </w:r>
          </w:p>
        </w:tc>
        <w:tc>
          <w:tcPr>
            <w:tcW w:w="711" w:type="dxa"/>
            <w:noWrap/>
            <w:hideMark/>
          </w:tcPr>
          <w:p w14:paraId="3416F268" w14:textId="3387E660" w:rsidR="00C22B37" w:rsidRPr="005C5C85" w:rsidRDefault="00C22B37" w:rsidP="00C22B37">
            <w:pPr>
              <w:jc w:val="right"/>
              <w:rPr>
                <w:sz w:val="20"/>
                <w:szCs w:val="20"/>
              </w:rPr>
            </w:pPr>
            <w:r w:rsidRPr="00B97B8A">
              <w:rPr>
                <w:sz w:val="20"/>
                <w:szCs w:val="20"/>
              </w:rPr>
              <w:t>…*%</w:t>
            </w:r>
          </w:p>
        </w:tc>
        <w:tc>
          <w:tcPr>
            <w:tcW w:w="933" w:type="dxa"/>
            <w:noWrap/>
            <w:hideMark/>
          </w:tcPr>
          <w:p w14:paraId="6F5E61B6" w14:textId="649BD2F6" w:rsidR="00C22B37" w:rsidRPr="005C5C85" w:rsidRDefault="00C22B37" w:rsidP="00C22B37">
            <w:pPr>
              <w:jc w:val="right"/>
              <w:rPr>
                <w:sz w:val="20"/>
                <w:szCs w:val="20"/>
              </w:rPr>
            </w:pPr>
            <w:r w:rsidRPr="00B97B8A">
              <w:rPr>
                <w:sz w:val="20"/>
                <w:szCs w:val="20"/>
              </w:rPr>
              <w:t>…*%</w:t>
            </w:r>
          </w:p>
        </w:tc>
      </w:tr>
    </w:tbl>
    <w:p w14:paraId="6D68FA0D" w14:textId="403B4FBE" w:rsidR="00EC24B2" w:rsidRPr="006E317E" w:rsidRDefault="005C5C85" w:rsidP="00AA241E">
      <w:pPr>
        <w:pStyle w:val="Pealdis"/>
        <w:spacing w:after="0"/>
        <w:jc w:val="both"/>
      </w:pPr>
      <w:r>
        <w:t xml:space="preserve">Tabel </w:t>
      </w:r>
      <w:r>
        <w:fldChar w:fldCharType="begin"/>
      </w:r>
      <w:r>
        <w:instrText xml:space="preserve"> SEQ Tabel \* ARABIC </w:instrText>
      </w:r>
      <w:r>
        <w:fldChar w:fldCharType="separate"/>
      </w:r>
      <w:r w:rsidR="00247D84">
        <w:rPr>
          <w:noProof/>
        </w:rPr>
        <w:t>29</w:t>
      </w:r>
      <w:r>
        <w:fldChar w:fldCharType="end"/>
      </w:r>
      <w:r>
        <w:t xml:space="preserve"> </w:t>
      </w:r>
      <w:r w:rsidR="00EC24B2" w:rsidRPr="006E317E">
        <w:t>B piirkonna maapiirkondades tegutsevate side ettevõtjate sidevõrkude katvus valguskaabli alamturul</w:t>
      </w:r>
    </w:p>
    <w:p w14:paraId="6F4DC958" w14:textId="3D14C3CA" w:rsidR="00EC24B2" w:rsidRPr="006E317E" w:rsidRDefault="00EC24B2" w:rsidP="00AA241E">
      <w:pPr>
        <w:jc w:val="both"/>
      </w:pPr>
      <w:r w:rsidRPr="006E317E">
        <w:lastRenderedPageBreak/>
        <w:t xml:space="preserve">Telia juurdepääsuvõrk on arenenud ajalooliselt ja alternatiivsed operaatorid on endiselt ebasoodsas olukorras kui Telia. On ebatõenäoline, et olemasolevad alternatiivsed operaatorid suudavad järgmise viie aasta jooksul tagada oma elektrooniliste sidevõrkude suurema katvuse ja luua tõhusa konkurentsi B piirkonnas, kuna seda piiravad peamiselt struktuursed tõkked, st korvamatud kulud, Telia konkurentsieelis füüsilise infrastruktuuri osas, Telia </w:t>
      </w:r>
      <w:r w:rsidRPr="0055667E">
        <w:t>kulueelised</w:t>
      </w:r>
      <w:r w:rsidRPr="006E317E">
        <w:t xml:space="preserve">, mahu- ja mastaabisääst jne. Alternatiivsed operaatorid ei suuda tõenäoliselt oma alternatiivset laiaulatusega taristut kasutusele võtta, mis dubleeriks Telia taristut B piirkonnas. Tuleb järeldada, et takistused B piirkonnas asuvasse </w:t>
      </w:r>
      <w:r w:rsidR="00A3232C">
        <w:t>valguskaabelvõrgu</w:t>
      </w:r>
      <w:r w:rsidR="00FE198E" w:rsidRPr="00FE198E">
        <w:t xml:space="preserve"> jaetasandi internetiühenduste tootetur</w:t>
      </w:r>
      <w:r w:rsidR="00FE198E">
        <w:t xml:space="preserve">ule </w:t>
      </w:r>
      <w:r w:rsidRPr="006E317E">
        <w:t>sisenemisel jäävad endiselt kõrgeks ning eeldatakse, et konkurentsitingimused selle aja jooksul järgmise viie aasta jooksul oluliselt ei muutu. Samas riigi otsus hakata panustama ülikiire juurdepääsuvõrgu (valguskaabelvõrgu) rajamisse vähendab pöördumatutest kuludest tulenevaid vaadeldavale turule sisenemise tõkkeid.</w:t>
      </w:r>
    </w:p>
    <w:p w14:paraId="1632224B" w14:textId="77777777" w:rsidR="00EC24B2" w:rsidRPr="006E317E" w:rsidRDefault="00EC24B2" w:rsidP="00AA241E">
      <w:pPr>
        <w:jc w:val="both"/>
      </w:pPr>
      <w:r w:rsidRPr="006E317E">
        <w:t xml:space="preserve">Tõkkeid turule sisenemisel või elektroonilise side võrgu leviala laiendamisel hõlbustavad </w:t>
      </w:r>
      <w:bookmarkStart w:id="660" w:name="_Hlk172042804"/>
      <w:r w:rsidRPr="006E317E">
        <w:t>kaabel</w:t>
      </w:r>
      <w:bookmarkEnd w:id="660"/>
      <w:r w:rsidRPr="006E317E">
        <w:t>kanalisatsiooni sümmeetriline reguleerimine. Kellegi omanduses olev füüsiline taristu on aga palju suurem konkurentsieelis võrreldes sellele juurdepääsuga, samuti väiksema rahvastikutihedusega kohtades, näiteks B piirkonnas, võib teenuse osutajatel olla väiksem huvi oma elektroonilise side võrgu leviala laiendamise vastu, sest investeeringute tagasisaamise võimalused on ebakindlad.</w:t>
      </w:r>
    </w:p>
    <w:p w14:paraId="1C5A4B53" w14:textId="77777777" w:rsidR="00EC24B2" w:rsidRPr="006E317E" w:rsidRDefault="00EC24B2" w:rsidP="00AA241E">
      <w:pPr>
        <w:jc w:val="both"/>
      </w:pPr>
      <w:r w:rsidRPr="006E317E">
        <w:t xml:space="preserve">Kuigi alternatiivsed infrastruktuurid on olemas, on tõkked B piirkonnas toimuva jaemüügi valguskaabli alamturul elektroonilise side võrgu levialale sisenemisel ja selle leviala laiendamisel suured, mis õigustab </w:t>
      </w:r>
      <w:r w:rsidRPr="00FE198E">
        <w:rPr>
          <w:i/>
          <w:iCs/>
        </w:rPr>
        <w:t>ex-ante</w:t>
      </w:r>
      <w:r w:rsidRPr="006E317E">
        <w:t xml:space="preserve"> reguleerimist, kuna tõkked turule sisenemisel ja elektroonilise side võrgu leviala laienemine takistavad tõhusa konkurentsi arengut. Kuigi seni eraldatud juurdepääsu pakutakse väga väikestes mahtudes, hõlbustavad need teenused konkreetsele turule sisenemist, samas kui tsiviilehituse infrastruktuuri reguleerimine on oluline täiendus turu reguleerimisele 1.</w:t>
      </w:r>
    </w:p>
    <w:p w14:paraId="4F086BD8" w14:textId="77777777" w:rsidR="00EC24B2" w:rsidRPr="006E317E" w:rsidRDefault="00EC24B2" w:rsidP="00AA241E">
      <w:pPr>
        <w:jc w:val="both"/>
      </w:pPr>
      <w:r w:rsidRPr="006E317E">
        <w:t>Eespool öeldut silmas pidades järeldab TTJA, et:</w:t>
      </w:r>
    </w:p>
    <w:p w14:paraId="111E1C42" w14:textId="6CBBFE60" w:rsidR="00EC24B2" w:rsidRPr="006E317E" w:rsidRDefault="00EC24B2" w:rsidP="00AA241E">
      <w:pPr>
        <w:pStyle w:val="Loendilik"/>
        <w:numPr>
          <w:ilvl w:val="0"/>
          <w:numId w:val="99"/>
        </w:numPr>
        <w:jc w:val="both"/>
      </w:pPr>
      <w:r w:rsidRPr="006E317E">
        <w:t xml:space="preserve">takistused elektroonilise side </w:t>
      </w:r>
      <w:r w:rsidR="00486F7B" w:rsidRPr="00227F8D">
        <w:t xml:space="preserve">valguskaabelvõrgu internetiühenduste A piirkonna jaeturule </w:t>
      </w:r>
      <w:r w:rsidRPr="006E317E">
        <w:t xml:space="preserve">sisenemiseks või </w:t>
      </w:r>
      <w:r w:rsidR="00486F7B">
        <w:t xml:space="preserve">katvuse </w:t>
      </w:r>
      <w:r w:rsidRPr="006E317E">
        <w:t xml:space="preserve">laiendamiseks on põhimõtteliselt olemas, kuid praegu on need mingil määral ületatud. FTTH ja FTTB katvuse edendamine A piirkonnas on siiski endiselt asjakohane. Samuti ei saa TTJA üheselt järeldada, et praeguste teenuseosutajate osutamise jätkamine </w:t>
      </w:r>
      <w:r w:rsidR="00486F7B">
        <w:t>valguskaabelvõrgu</w:t>
      </w:r>
      <w:r w:rsidR="00486F7B" w:rsidRPr="006E317E">
        <w:t xml:space="preserve"> internetiühenduste </w:t>
      </w:r>
      <w:r w:rsidR="00486F7B" w:rsidRPr="005F6D96">
        <w:rPr>
          <w:rFonts w:cs="Times New Roman"/>
        </w:rPr>
        <w:t>A piirkonna jaeturule</w:t>
      </w:r>
      <w:r w:rsidR="00486F7B" w:rsidRPr="005F6D96">
        <w:t xml:space="preserve"> </w:t>
      </w:r>
      <w:r w:rsidRPr="006E317E">
        <w:t>on jätkusuutlik, mis tekitaks pideva konkurentsisurve Telia pakutavatele FTTH ja FTTB võrgu tehnoloogiatele;</w:t>
      </w:r>
    </w:p>
    <w:p w14:paraId="137BA125" w14:textId="77777777" w:rsidR="00A33028" w:rsidRDefault="00A33028" w:rsidP="00A33028">
      <w:pPr>
        <w:pStyle w:val="Loendilik"/>
        <w:numPr>
          <w:ilvl w:val="0"/>
          <w:numId w:val="99"/>
        </w:numPr>
        <w:jc w:val="both"/>
      </w:pPr>
      <w:r>
        <w:t xml:space="preserve">kuigi on olemas ka alternatiivsed infrastruktuurid, on </w:t>
      </w:r>
      <w:r w:rsidRPr="00227F8D">
        <w:t xml:space="preserve">valguskaabelvõrgu internetiühenduste </w:t>
      </w:r>
      <w:r>
        <w:t>B</w:t>
      </w:r>
      <w:r w:rsidRPr="00227F8D">
        <w:t xml:space="preserve"> piirkonna jaeturule </w:t>
      </w:r>
      <w:r>
        <w:t>elektroonilise side võrku sisenemise ja selle katvuse laiendamise tõkked kõrged ning FTTH ja FTTB võrgu edendamine Eesti piirkonnas B on eriti oluline.</w:t>
      </w:r>
    </w:p>
    <w:p w14:paraId="71C31586" w14:textId="70F64932" w:rsidR="00EC24B2" w:rsidRPr="006E317E" w:rsidRDefault="00EC24B2" w:rsidP="00AA241E">
      <w:pPr>
        <w:pStyle w:val="Heading49"/>
        <w:numPr>
          <w:ilvl w:val="3"/>
          <w:numId w:val="65"/>
        </w:numPr>
        <w:spacing w:before="240"/>
        <w:ind w:left="862" w:hanging="862"/>
      </w:pPr>
      <w:r w:rsidRPr="006E317E">
        <w:lastRenderedPageBreak/>
        <w:t xml:space="preserve">Kontroll </w:t>
      </w:r>
      <w:r w:rsidR="00883AD7">
        <w:t>raskesti dubleeritava infrastruktuuri üle</w:t>
      </w:r>
    </w:p>
    <w:p w14:paraId="6064CD0A" w14:textId="4E6029B2" w:rsidR="00EC24B2" w:rsidRPr="006E317E" w:rsidRDefault="00EC24B2" w:rsidP="00AA241E">
      <w:pPr>
        <w:jc w:val="both"/>
      </w:pPr>
      <w:r w:rsidRPr="002E251B">
        <w:t xml:space="preserve">Kontroll </w:t>
      </w:r>
      <w:r w:rsidR="002E251B">
        <w:t xml:space="preserve">raskesti dubleeritava </w:t>
      </w:r>
      <w:r w:rsidRPr="002E251B">
        <w:t xml:space="preserve">infrastruktuuri ja tehnoloogiliste eeliste ning nende omaduste üle, vt punkt </w:t>
      </w:r>
      <w:r w:rsidR="0055667E" w:rsidRPr="002E251B">
        <w:t>5</w:t>
      </w:r>
      <w:r w:rsidRPr="002E251B">
        <w:t>.1.1.3.</w:t>
      </w:r>
    </w:p>
    <w:p w14:paraId="161AE907" w14:textId="77777777" w:rsidR="00EC24B2" w:rsidRPr="006E317E" w:rsidRDefault="00EC24B2" w:rsidP="00AA241E">
      <w:pPr>
        <w:jc w:val="both"/>
      </w:pPr>
      <w:r w:rsidRPr="006E317E">
        <w:t>Selleks et hinnata ajalooliste ja alternatiivsete operaatorite kontrolli olulise taristu üle, peaks TTJA analüüsima operaatoritele kuuluva taristu hulka ja kasutatavat tehnoloogiat.</w:t>
      </w:r>
    </w:p>
    <w:p w14:paraId="216A76B4" w14:textId="36A80802" w:rsidR="00EC24B2" w:rsidRPr="006E317E" w:rsidRDefault="000F5EB8" w:rsidP="00AA241E">
      <w:pPr>
        <w:jc w:val="both"/>
      </w:pPr>
      <w:r>
        <w:t>TTJA</w:t>
      </w:r>
      <w:r w:rsidR="00EC24B2" w:rsidRPr="006E317E">
        <w:t xml:space="preserve"> analüüsis kontrolli füüsilise infrastruktuuri üle punktis </w:t>
      </w:r>
      <w:r w:rsidR="0055667E">
        <w:t>5</w:t>
      </w:r>
      <w:r w:rsidR="00EC24B2" w:rsidRPr="002E251B">
        <w:t>.1.1.3</w:t>
      </w:r>
      <w:r w:rsidR="00EC24B2" w:rsidRPr="006E317E">
        <w:t xml:space="preserve"> ja jõudis järeldusele, et Telia kontrollib endiselt olulist infrastruktuuri kaabelkanalisatsiooni ja osaliselt postide osas.</w:t>
      </w:r>
    </w:p>
    <w:p w14:paraId="0C58A3F9" w14:textId="77777777" w:rsidR="00EC24B2" w:rsidRPr="006E317E" w:rsidRDefault="00EC24B2" w:rsidP="00AA241E">
      <w:pPr>
        <w:jc w:val="both"/>
      </w:pPr>
      <w:r w:rsidRPr="006E317E">
        <w:t xml:space="preserve">Telia on ajalooliselt olnud suurim püsivõrguoperaator, kellel on kontroll olulise infrastruktuuri üle. Telial-l on suurim põhi- ja juurdepääsuvõrk. </w:t>
      </w:r>
    </w:p>
    <w:p w14:paraId="3F972CFF" w14:textId="76C9BD5C" w:rsidR="00EC24B2" w:rsidRPr="006E317E" w:rsidRDefault="00EC24B2" w:rsidP="00AA241E">
      <w:pPr>
        <w:jc w:val="both"/>
      </w:pPr>
      <w:r w:rsidRPr="006E317E">
        <w:t xml:space="preserve">Telia kasutab peamiselt FTTH-PON ja FTTB P2P tehnoloogiat, mille aktiivsete </w:t>
      </w:r>
      <w:r w:rsidR="0007135D">
        <w:t>kliendiliin</w:t>
      </w:r>
      <w:r w:rsidRPr="006E317E">
        <w:t xml:space="preserve">ide arv A piirkonnas on vastavalt </w:t>
      </w:r>
      <w:r w:rsidR="00C22B37" w:rsidRPr="009400D4">
        <w:t>…*</w:t>
      </w:r>
      <w:r w:rsidRPr="006E317E">
        <w:t xml:space="preserve"> tuhat ja </w:t>
      </w:r>
      <w:r w:rsidR="00C22B37" w:rsidRPr="009400D4">
        <w:t>…*</w:t>
      </w:r>
      <w:r w:rsidRPr="006E317E">
        <w:t xml:space="preserve"> tuhat, </w:t>
      </w:r>
      <w:bookmarkStart w:id="661" w:name="_Hlk172101979"/>
      <w:r w:rsidRPr="006E317E">
        <w:t xml:space="preserve">kuid mitteaktiivsete </w:t>
      </w:r>
      <w:r w:rsidR="0007135D">
        <w:t>kliendiliin</w:t>
      </w:r>
      <w:r w:rsidRPr="006E317E">
        <w:t xml:space="preserve">ide arv kokku hinnanguliselt tuhat </w:t>
      </w:r>
      <w:r w:rsidR="00C22B37" w:rsidRPr="009400D4">
        <w:t>…*</w:t>
      </w:r>
      <w:r w:rsidRPr="006E317E">
        <w:t xml:space="preserve"> tuhat</w:t>
      </w:r>
      <w:bookmarkEnd w:id="661"/>
      <w:r w:rsidRPr="006E317E">
        <w:t xml:space="preserve">. B piirkonnas on FTTH-PON ja FTTB P2P aktiivsete </w:t>
      </w:r>
      <w:r w:rsidR="0007135D">
        <w:t>kliendiliin</w:t>
      </w:r>
      <w:r w:rsidRPr="006E317E">
        <w:t xml:space="preserve">ide  vastavalt </w:t>
      </w:r>
      <w:r w:rsidR="00C22B37" w:rsidRPr="009400D4">
        <w:t>…*</w:t>
      </w:r>
      <w:r w:rsidRPr="006E317E">
        <w:t xml:space="preserve"> tuhat ja </w:t>
      </w:r>
      <w:r w:rsidR="00C22B37" w:rsidRPr="009400D4">
        <w:t>…*</w:t>
      </w:r>
      <w:r w:rsidRPr="006E317E">
        <w:t xml:space="preserve"> tuhat ning mitteaktiivsete </w:t>
      </w:r>
      <w:r w:rsidR="0007135D">
        <w:t>kliendiliin</w:t>
      </w:r>
      <w:r w:rsidRPr="006E317E">
        <w:t xml:space="preserve">ide arv kokku hinnanguliselt tuhat </w:t>
      </w:r>
      <w:r w:rsidR="00C22B37" w:rsidRPr="009400D4">
        <w:t>…*</w:t>
      </w:r>
      <w:r w:rsidRPr="006E317E">
        <w:t xml:space="preserve"> tuhat.</w:t>
      </w:r>
    </w:p>
    <w:p w14:paraId="25A60C8D" w14:textId="432B13F2" w:rsidR="00EC24B2" w:rsidRPr="006E317E" w:rsidRDefault="00EC24B2" w:rsidP="00AA241E">
      <w:pPr>
        <w:jc w:val="both"/>
      </w:pPr>
      <w:r w:rsidRPr="006E317E">
        <w:t xml:space="preserve">STV on Telia suurim konkurent A piirkonnas ja tema kasutab peamiselt FTTB P2P tehnoloogiat ja vähesel määral FTTH-PON tehnoloogiat, tema aktiivsete </w:t>
      </w:r>
      <w:r w:rsidR="0007135D">
        <w:t>kliendiliin</w:t>
      </w:r>
      <w:r w:rsidRPr="006E317E">
        <w:t xml:space="preserve">ide arv A piirkonnas on vastavalt </w:t>
      </w:r>
      <w:r w:rsidR="00A43E3F" w:rsidRPr="00F70176">
        <w:t>…*</w:t>
      </w:r>
      <w:r w:rsidRPr="006E317E">
        <w:t xml:space="preserve"> tuhat ja </w:t>
      </w:r>
      <w:r w:rsidR="00A43E3F" w:rsidRPr="00F70176">
        <w:t>…*</w:t>
      </w:r>
      <w:r w:rsidRPr="006E317E">
        <w:t xml:space="preserve"> tuhat ning mitteaktiivsete </w:t>
      </w:r>
      <w:r w:rsidR="0007135D">
        <w:t>kliendiliin</w:t>
      </w:r>
      <w:r w:rsidRPr="006E317E">
        <w:t xml:space="preserve">ide arv kokku hinnanguliselt </w:t>
      </w:r>
      <w:r w:rsidR="00A43E3F" w:rsidRPr="00F70176">
        <w:t>…*</w:t>
      </w:r>
      <w:r w:rsidRPr="006E317E">
        <w:t xml:space="preserve"> tuhat. B piirkonnas on STV valguskaabel võrgu katvus tunduvat väiksem ja aktiivsete </w:t>
      </w:r>
      <w:r w:rsidR="0007135D">
        <w:t>kliendiliin</w:t>
      </w:r>
      <w:r w:rsidRPr="006E317E">
        <w:t xml:space="preserve">ide arv FTTB P2P tehnoloogia võrgus on </w:t>
      </w:r>
      <w:r w:rsidR="00A43E3F" w:rsidRPr="00F70176">
        <w:t>…*</w:t>
      </w:r>
      <w:r w:rsidRPr="006E317E">
        <w:t xml:space="preserve"> tuhat ja FTTH-PON tehnoloogia võrgus on üle </w:t>
      </w:r>
      <w:r w:rsidR="00A43E3F" w:rsidRPr="00F70176">
        <w:t>…*</w:t>
      </w:r>
      <w:r w:rsidRPr="006E317E">
        <w:t xml:space="preserve"> tuhande. Mitteaktiivsete </w:t>
      </w:r>
      <w:r w:rsidR="0007135D">
        <w:t>kliendiliin</w:t>
      </w:r>
      <w:r w:rsidRPr="006E317E">
        <w:t xml:space="preserve">ide arv B piirkonnas on hinnanguliselt </w:t>
      </w:r>
      <w:r w:rsidR="00A43E3F" w:rsidRPr="00F70176">
        <w:t>…*</w:t>
      </w:r>
      <w:r w:rsidRPr="006E317E">
        <w:t xml:space="preserve"> tuhat. </w:t>
      </w:r>
    </w:p>
    <w:p w14:paraId="6E3C55DC" w14:textId="3FF45AD3" w:rsidR="00EC24B2" w:rsidRPr="006E317E" w:rsidRDefault="00A3232C" w:rsidP="00AA241E">
      <w:pPr>
        <w:jc w:val="both"/>
      </w:pPr>
      <w:r>
        <w:t>Valguskaabelvõrgu</w:t>
      </w:r>
      <w:r w:rsidR="0027375C" w:rsidRPr="0027375C">
        <w:t xml:space="preserve"> jaetasandi internetiühenduste tootetur</w:t>
      </w:r>
      <w:r w:rsidR="0027375C">
        <w:t>u</w:t>
      </w:r>
      <w:r w:rsidR="0027375C" w:rsidRPr="0027375C">
        <w:t xml:space="preserve"> </w:t>
      </w:r>
      <w:r w:rsidR="00EC24B2" w:rsidRPr="006E317E">
        <w:t>suuruse</w:t>
      </w:r>
      <w:r w:rsidR="0027375C">
        <w:t>l</w:t>
      </w:r>
      <w:r w:rsidR="00EC24B2" w:rsidRPr="006E317E">
        <w:t>t kolmas teenuseosutaja on Elisa. Peamiselt kasutab Elisa oma valguskaabe</w:t>
      </w:r>
      <w:r w:rsidR="0027375C">
        <w:t>l</w:t>
      </w:r>
      <w:r w:rsidR="00EC24B2" w:rsidRPr="006E317E">
        <w:t xml:space="preserve"> võrgus FTTH-PON tehnoloogiat ja minimaalselt FTTH P2P tehnoloogiat, tema aktiivsete </w:t>
      </w:r>
      <w:r w:rsidR="0007135D">
        <w:t>kliendiliin</w:t>
      </w:r>
      <w:r w:rsidR="00EC24B2" w:rsidRPr="006E317E">
        <w:t xml:space="preserve">ide arv A piirkonnas on vastavalt </w:t>
      </w:r>
      <w:r w:rsidR="00A43E3F" w:rsidRPr="00F70176">
        <w:t>…*</w:t>
      </w:r>
      <w:r w:rsidR="00EC24B2" w:rsidRPr="006E317E">
        <w:t xml:space="preserve"> tuhat ja </w:t>
      </w:r>
      <w:r w:rsidR="00A43E3F" w:rsidRPr="00F70176">
        <w:t>…*</w:t>
      </w:r>
      <w:r w:rsidR="00EC24B2" w:rsidRPr="006E317E">
        <w:t xml:space="preserve"> tuhat ning mitteaktiivsete </w:t>
      </w:r>
      <w:r w:rsidR="0007135D">
        <w:t>kliendiliin</w:t>
      </w:r>
      <w:r w:rsidR="00EC24B2" w:rsidRPr="006E317E">
        <w:t xml:space="preserve">ide arv kokku hinnanguliselt </w:t>
      </w:r>
      <w:r w:rsidR="00A43E3F" w:rsidRPr="00F70176">
        <w:t>…*</w:t>
      </w:r>
      <w:r w:rsidR="00EC24B2" w:rsidRPr="006E317E">
        <w:t xml:space="preserve"> tuhat. B piirkonnas on Elisa valguskaabel võrgu katvus väiksem ja aktiivsete </w:t>
      </w:r>
      <w:r w:rsidR="0007135D">
        <w:t>kliendiliin</w:t>
      </w:r>
      <w:r w:rsidR="00EC24B2" w:rsidRPr="006E317E">
        <w:t xml:space="preserve">ide arv FTTH-PON tehnoloogia võrgus on </w:t>
      </w:r>
      <w:r w:rsidR="00A43E3F" w:rsidRPr="00F70176">
        <w:t>…*</w:t>
      </w:r>
      <w:r w:rsidR="00EC24B2" w:rsidRPr="006E317E">
        <w:t xml:space="preserve"> tuhat ja FTTH P2P tehnoloogia võrgus on üle </w:t>
      </w:r>
      <w:r w:rsidR="00A43E3F" w:rsidRPr="00F70176">
        <w:t>…*</w:t>
      </w:r>
      <w:r w:rsidR="00EC24B2" w:rsidRPr="006E317E">
        <w:t xml:space="preserve"> tuhande. Mitteaktiivsete </w:t>
      </w:r>
      <w:r w:rsidR="0007135D">
        <w:t>kliendiliin</w:t>
      </w:r>
      <w:r w:rsidR="00EC24B2" w:rsidRPr="006E317E">
        <w:t xml:space="preserve">ide arv B piirkonnas on hinnanguliselt </w:t>
      </w:r>
      <w:r w:rsidR="00A43E3F" w:rsidRPr="00F70176">
        <w:t>…*</w:t>
      </w:r>
      <w:r w:rsidR="00EC24B2" w:rsidRPr="006E317E">
        <w:t xml:space="preserve"> tuhat.</w:t>
      </w:r>
    </w:p>
    <w:p w14:paraId="1BB6D48E" w14:textId="55BBE445" w:rsidR="00EC24B2" w:rsidRPr="006E317E" w:rsidRDefault="00EC24B2" w:rsidP="00AA241E">
      <w:pPr>
        <w:jc w:val="both"/>
      </w:pPr>
      <w:r w:rsidRPr="006E317E">
        <w:t xml:space="preserve">Kontroll füüsilise infrastruktuuri, suurima valguskaabel juurdepääsuvõrgu üle, samuti mastaabi- ja mahusäästlikkuse eelised ning eelisjuurdepääs rahalistele vahenditele </w:t>
      </w:r>
      <w:r w:rsidRPr="002E251B">
        <w:t xml:space="preserve">(vt punkt </w:t>
      </w:r>
      <w:r w:rsidR="0055667E" w:rsidRPr="002E251B">
        <w:t>5</w:t>
      </w:r>
      <w:r w:rsidRPr="002E251B">
        <w:t>.1.2.6</w:t>
      </w:r>
      <w:r w:rsidRPr="006E317E">
        <w:t xml:space="preserve">) annavad </w:t>
      </w:r>
      <w:proofErr w:type="spellStart"/>
      <w:r w:rsidRPr="006E317E">
        <w:t>Telia-le</w:t>
      </w:r>
      <w:proofErr w:type="spellEnd"/>
      <w:r w:rsidRPr="006E317E">
        <w:t xml:space="preserve"> üldiselt ka tehnoloogilisi eeliseid. Telia pakub väga kõrgeid andmeedastuskiirusi sagedamini kui alternatiivsed operaatorid. Näiteks 1. jaanuaril 2024  oli Telia pakutavate allalaadimiskiiruste osakaal üle 100 Mbit/s suurem kui alternatiivsetel operaatoritel kokku ja moodustas </w:t>
      </w:r>
      <w:r w:rsidR="00C22B37" w:rsidRPr="009400D4">
        <w:t>…*</w:t>
      </w:r>
      <w:r w:rsidRPr="006E317E">
        <w:t xml:space="preserve">% kõigist Telia pakutavatest aktiivsetest </w:t>
      </w:r>
      <w:r w:rsidR="0007135D">
        <w:t>kliendiliin</w:t>
      </w:r>
      <w:r w:rsidRPr="006E317E">
        <w:t xml:space="preserve">idest, kuid alternatiivsete operaatorite pakutavate allalaadimiskiiruste osakaal üle 100 Mbit/s moodustab </w:t>
      </w:r>
      <w:r w:rsidR="00C22B37" w:rsidRPr="009400D4">
        <w:t>…*</w:t>
      </w:r>
      <w:r w:rsidRPr="006E317E">
        <w:t xml:space="preserve">% kõigist alternatiivsete operaatorite aktiivsetest </w:t>
      </w:r>
      <w:r w:rsidR="0007135D">
        <w:t>kliendiliin</w:t>
      </w:r>
      <w:r w:rsidRPr="006E317E">
        <w:t xml:space="preserve">idest. </w:t>
      </w:r>
    </w:p>
    <w:p w14:paraId="50051A56" w14:textId="5583E9AC" w:rsidR="00EC24B2" w:rsidRPr="006E317E" w:rsidRDefault="00EC24B2" w:rsidP="00AA241E">
      <w:pPr>
        <w:jc w:val="both"/>
      </w:pPr>
      <w:bookmarkStart w:id="662" w:name="_Toc164846278"/>
      <w:r w:rsidRPr="006E317E">
        <w:lastRenderedPageBreak/>
        <w:t xml:space="preserve">Telia poolt kõige enam kasutatavate FTTH-tehnoloogia aktiivsete </w:t>
      </w:r>
      <w:bookmarkStart w:id="663" w:name="_Hlk172105366"/>
      <w:r w:rsidR="0007135D">
        <w:t>kliendiliin</w:t>
      </w:r>
      <w:r w:rsidRPr="006E317E">
        <w:t xml:space="preserve">ide arv on analüüsitaval </w:t>
      </w:r>
      <w:bookmarkEnd w:id="663"/>
      <w:r w:rsidRPr="006E317E">
        <w:t xml:space="preserve">ajavahemikul pidevat kasvanud. Ka Telia konkurentide aktiivsete </w:t>
      </w:r>
      <w:r w:rsidR="0007135D">
        <w:t>kliendiliin</w:t>
      </w:r>
      <w:r w:rsidRPr="006E317E">
        <w:t>ide arv valguskaabel võrkude</w:t>
      </w:r>
      <w:r w:rsidR="00266ECD">
        <w:t>s</w:t>
      </w:r>
      <w:r w:rsidRPr="006E317E">
        <w:t xml:space="preserve"> on analüüsitaval perioodil pidevalt kasvanud. (v</w:t>
      </w:r>
      <w:r w:rsidR="00346D5D">
        <w:t>t</w:t>
      </w:r>
      <w:r w:rsidRPr="006E317E">
        <w:t xml:space="preserve"> tabel </w:t>
      </w:r>
      <w:r w:rsidR="00346D5D">
        <w:t>30</w:t>
      </w:r>
      <w:r w:rsidRPr="006E317E">
        <w:t xml:space="preserve">) </w:t>
      </w:r>
    </w:p>
    <w:tbl>
      <w:tblPr>
        <w:tblStyle w:val="Kontuurtabel1"/>
        <w:tblW w:w="9570" w:type="dxa"/>
        <w:tblLook w:val="04A0" w:firstRow="1" w:lastRow="0" w:firstColumn="1" w:lastColumn="0" w:noHBand="0" w:noVBand="1"/>
      </w:tblPr>
      <w:tblGrid>
        <w:gridCol w:w="1765"/>
        <w:gridCol w:w="1115"/>
        <w:gridCol w:w="1115"/>
        <w:gridCol w:w="1115"/>
        <w:gridCol w:w="1115"/>
        <w:gridCol w:w="1115"/>
        <w:gridCol w:w="1115"/>
        <w:gridCol w:w="1115"/>
      </w:tblGrid>
      <w:tr w:rsidR="00EC24B2" w:rsidRPr="006E317E" w14:paraId="014BDCB2" w14:textId="77777777" w:rsidTr="004A0113">
        <w:trPr>
          <w:trHeight w:val="293"/>
        </w:trPr>
        <w:tc>
          <w:tcPr>
            <w:tcW w:w="1765" w:type="dxa"/>
            <w:shd w:val="clear" w:color="auto" w:fill="92D050"/>
            <w:noWrap/>
            <w:hideMark/>
          </w:tcPr>
          <w:p w14:paraId="6ED02B68" w14:textId="77777777" w:rsidR="00EC24B2" w:rsidRPr="004A0113" w:rsidRDefault="00EC24B2" w:rsidP="00AA241E">
            <w:pPr>
              <w:jc w:val="both"/>
              <w:rPr>
                <w:b/>
                <w:bCs/>
              </w:rPr>
            </w:pPr>
            <w:r w:rsidRPr="004A0113">
              <w:rPr>
                <w:b/>
                <w:bCs/>
              </w:rPr>
              <w:t> </w:t>
            </w:r>
          </w:p>
        </w:tc>
        <w:tc>
          <w:tcPr>
            <w:tcW w:w="1115" w:type="dxa"/>
            <w:shd w:val="clear" w:color="auto" w:fill="92D050"/>
            <w:noWrap/>
            <w:hideMark/>
          </w:tcPr>
          <w:p w14:paraId="431E30A3" w14:textId="77777777" w:rsidR="00EC24B2" w:rsidRPr="004A0113" w:rsidRDefault="00EC24B2" w:rsidP="00AA241E">
            <w:pPr>
              <w:jc w:val="both"/>
              <w:rPr>
                <w:b/>
                <w:bCs/>
              </w:rPr>
            </w:pPr>
            <w:r w:rsidRPr="004A0113">
              <w:rPr>
                <w:b/>
                <w:bCs/>
              </w:rPr>
              <w:t>2017</w:t>
            </w:r>
          </w:p>
        </w:tc>
        <w:tc>
          <w:tcPr>
            <w:tcW w:w="1115" w:type="dxa"/>
            <w:shd w:val="clear" w:color="auto" w:fill="92D050"/>
            <w:noWrap/>
            <w:hideMark/>
          </w:tcPr>
          <w:p w14:paraId="783CC0CB" w14:textId="77777777" w:rsidR="00EC24B2" w:rsidRPr="004A0113" w:rsidRDefault="00EC24B2" w:rsidP="00AA241E">
            <w:pPr>
              <w:jc w:val="both"/>
              <w:rPr>
                <w:b/>
                <w:bCs/>
              </w:rPr>
            </w:pPr>
            <w:r w:rsidRPr="004A0113">
              <w:rPr>
                <w:b/>
                <w:bCs/>
              </w:rPr>
              <w:t>2018</w:t>
            </w:r>
          </w:p>
        </w:tc>
        <w:tc>
          <w:tcPr>
            <w:tcW w:w="1115" w:type="dxa"/>
            <w:shd w:val="clear" w:color="auto" w:fill="92D050"/>
            <w:noWrap/>
            <w:hideMark/>
          </w:tcPr>
          <w:p w14:paraId="4DBD14F2" w14:textId="77777777" w:rsidR="00EC24B2" w:rsidRPr="004A0113" w:rsidRDefault="00EC24B2" w:rsidP="00AA241E">
            <w:pPr>
              <w:jc w:val="both"/>
              <w:rPr>
                <w:b/>
                <w:bCs/>
              </w:rPr>
            </w:pPr>
            <w:r w:rsidRPr="004A0113">
              <w:rPr>
                <w:b/>
                <w:bCs/>
              </w:rPr>
              <w:t>2019</w:t>
            </w:r>
          </w:p>
        </w:tc>
        <w:tc>
          <w:tcPr>
            <w:tcW w:w="1115" w:type="dxa"/>
            <w:shd w:val="clear" w:color="auto" w:fill="92D050"/>
            <w:noWrap/>
            <w:hideMark/>
          </w:tcPr>
          <w:p w14:paraId="69D962A6" w14:textId="77777777" w:rsidR="00EC24B2" w:rsidRPr="004A0113" w:rsidRDefault="00EC24B2" w:rsidP="00AA241E">
            <w:pPr>
              <w:jc w:val="both"/>
              <w:rPr>
                <w:b/>
                <w:bCs/>
              </w:rPr>
            </w:pPr>
            <w:r w:rsidRPr="004A0113">
              <w:rPr>
                <w:b/>
                <w:bCs/>
              </w:rPr>
              <w:t>2020</w:t>
            </w:r>
          </w:p>
        </w:tc>
        <w:tc>
          <w:tcPr>
            <w:tcW w:w="1115" w:type="dxa"/>
            <w:shd w:val="clear" w:color="auto" w:fill="92D050"/>
            <w:noWrap/>
            <w:hideMark/>
          </w:tcPr>
          <w:p w14:paraId="53AA793B" w14:textId="77777777" w:rsidR="00EC24B2" w:rsidRPr="004A0113" w:rsidRDefault="00EC24B2" w:rsidP="00AA241E">
            <w:pPr>
              <w:jc w:val="both"/>
              <w:rPr>
                <w:b/>
                <w:bCs/>
              </w:rPr>
            </w:pPr>
            <w:r w:rsidRPr="004A0113">
              <w:rPr>
                <w:b/>
                <w:bCs/>
              </w:rPr>
              <w:t>2021</w:t>
            </w:r>
          </w:p>
        </w:tc>
        <w:tc>
          <w:tcPr>
            <w:tcW w:w="1115" w:type="dxa"/>
            <w:shd w:val="clear" w:color="auto" w:fill="92D050"/>
            <w:noWrap/>
            <w:hideMark/>
          </w:tcPr>
          <w:p w14:paraId="4DF9C119" w14:textId="77777777" w:rsidR="00EC24B2" w:rsidRPr="004A0113" w:rsidRDefault="00EC24B2" w:rsidP="00AA241E">
            <w:pPr>
              <w:jc w:val="both"/>
              <w:rPr>
                <w:b/>
                <w:bCs/>
              </w:rPr>
            </w:pPr>
            <w:r w:rsidRPr="004A0113">
              <w:rPr>
                <w:b/>
                <w:bCs/>
              </w:rPr>
              <w:t>2022</w:t>
            </w:r>
          </w:p>
        </w:tc>
        <w:tc>
          <w:tcPr>
            <w:tcW w:w="1115" w:type="dxa"/>
            <w:shd w:val="clear" w:color="auto" w:fill="92D050"/>
            <w:noWrap/>
            <w:hideMark/>
          </w:tcPr>
          <w:p w14:paraId="0171AECF" w14:textId="77777777" w:rsidR="00EC24B2" w:rsidRPr="004A0113" w:rsidRDefault="00EC24B2" w:rsidP="00AA241E">
            <w:pPr>
              <w:jc w:val="both"/>
              <w:rPr>
                <w:b/>
                <w:bCs/>
              </w:rPr>
            </w:pPr>
            <w:r w:rsidRPr="004A0113">
              <w:rPr>
                <w:b/>
                <w:bCs/>
              </w:rPr>
              <w:t>2023</w:t>
            </w:r>
          </w:p>
        </w:tc>
      </w:tr>
      <w:tr w:rsidR="00C22B37" w:rsidRPr="006E317E" w14:paraId="449D1FD5" w14:textId="77777777" w:rsidTr="004A0113">
        <w:trPr>
          <w:trHeight w:val="283"/>
        </w:trPr>
        <w:tc>
          <w:tcPr>
            <w:tcW w:w="1765" w:type="dxa"/>
            <w:noWrap/>
            <w:hideMark/>
          </w:tcPr>
          <w:p w14:paraId="565E538F" w14:textId="77777777" w:rsidR="00C22B37" w:rsidRPr="006E317E" w:rsidRDefault="00C22B37" w:rsidP="00C22B37">
            <w:pPr>
              <w:jc w:val="both"/>
            </w:pPr>
            <w:r w:rsidRPr="006E317E">
              <w:t>Telia</w:t>
            </w:r>
          </w:p>
        </w:tc>
        <w:tc>
          <w:tcPr>
            <w:tcW w:w="1115" w:type="dxa"/>
            <w:noWrap/>
            <w:hideMark/>
          </w:tcPr>
          <w:p w14:paraId="7BB87171" w14:textId="64CD5FEE" w:rsidR="00C22B37" w:rsidRPr="006E317E" w:rsidRDefault="00C22B37" w:rsidP="00C22B37">
            <w:pPr>
              <w:jc w:val="both"/>
            </w:pPr>
            <w:r w:rsidRPr="00EF4CDC">
              <w:t>…*</w:t>
            </w:r>
          </w:p>
        </w:tc>
        <w:tc>
          <w:tcPr>
            <w:tcW w:w="1115" w:type="dxa"/>
            <w:noWrap/>
            <w:hideMark/>
          </w:tcPr>
          <w:p w14:paraId="6DE5017F" w14:textId="5A22280D" w:rsidR="00C22B37" w:rsidRPr="006E317E" w:rsidRDefault="00C22B37" w:rsidP="00C22B37">
            <w:pPr>
              <w:jc w:val="both"/>
            </w:pPr>
            <w:r w:rsidRPr="00EF4CDC">
              <w:t>…*</w:t>
            </w:r>
          </w:p>
        </w:tc>
        <w:tc>
          <w:tcPr>
            <w:tcW w:w="1115" w:type="dxa"/>
            <w:noWrap/>
            <w:hideMark/>
          </w:tcPr>
          <w:p w14:paraId="05775250" w14:textId="761E2A3D" w:rsidR="00C22B37" w:rsidRPr="006E317E" w:rsidRDefault="00C22B37" w:rsidP="00C22B37">
            <w:pPr>
              <w:jc w:val="both"/>
            </w:pPr>
            <w:r w:rsidRPr="00EF4CDC">
              <w:t>…*</w:t>
            </w:r>
          </w:p>
        </w:tc>
        <w:tc>
          <w:tcPr>
            <w:tcW w:w="1115" w:type="dxa"/>
            <w:noWrap/>
            <w:hideMark/>
          </w:tcPr>
          <w:p w14:paraId="4D9D6D33" w14:textId="1559C216" w:rsidR="00C22B37" w:rsidRPr="006E317E" w:rsidRDefault="00C22B37" w:rsidP="00C22B37">
            <w:pPr>
              <w:jc w:val="both"/>
            </w:pPr>
            <w:r w:rsidRPr="00EF4CDC">
              <w:t>…*</w:t>
            </w:r>
          </w:p>
        </w:tc>
        <w:tc>
          <w:tcPr>
            <w:tcW w:w="1115" w:type="dxa"/>
            <w:noWrap/>
            <w:hideMark/>
          </w:tcPr>
          <w:p w14:paraId="2B7328D4" w14:textId="157BC245" w:rsidR="00C22B37" w:rsidRPr="006E317E" w:rsidRDefault="00C22B37" w:rsidP="00C22B37">
            <w:pPr>
              <w:jc w:val="both"/>
            </w:pPr>
            <w:r w:rsidRPr="00EF4CDC">
              <w:t>…*</w:t>
            </w:r>
          </w:p>
        </w:tc>
        <w:tc>
          <w:tcPr>
            <w:tcW w:w="1115" w:type="dxa"/>
            <w:noWrap/>
            <w:hideMark/>
          </w:tcPr>
          <w:p w14:paraId="7BF204AF" w14:textId="58505AF1" w:rsidR="00C22B37" w:rsidRPr="006E317E" w:rsidRDefault="00C22B37" w:rsidP="00C22B37">
            <w:pPr>
              <w:jc w:val="both"/>
            </w:pPr>
            <w:r w:rsidRPr="00EF4CDC">
              <w:t>…*</w:t>
            </w:r>
          </w:p>
        </w:tc>
        <w:tc>
          <w:tcPr>
            <w:tcW w:w="1115" w:type="dxa"/>
            <w:noWrap/>
            <w:hideMark/>
          </w:tcPr>
          <w:p w14:paraId="0EAAAC35" w14:textId="13BB891A" w:rsidR="00C22B37" w:rsidRPr="006E317E" w:rsidRDefault="00C22B37" w:rsidP="00C22B37">
            <w:pPr>
              <w:jc w:val="both"/>
            </w:pPr>
            <w:r w:rsidRPr="00EF4CDC">
              <w:t>…*</w:t>
            </w:r>
          </w:p>
        </w:tc>
      </w:tr>
      <w:tr w:rsidR="00A43E3F" w:rsidRPr="006E317E" w14:paraId="6341C247" w14:textId="77777777" w:rsidTr="004A0113">
        <w:trPr>
          <w:trHeight w:val="283"/>
        </w:trPr>
        <w:tc>
          <w:tcPr>
            <w:tcW w:w="1765" w:type="dxa"/>
            <w:noWrap/>
            <w:hideMark/>
          </w:tcPr>
          <w:p w14:paraId="5ADAF928" w14:textId="77777777" w:rsidR="00A43E3F" w:rsidRPr="006E317E" w:rsidRDefault="00A43E3F" w:rsidP="00A43E3F">
            <w:pPr>
              <w:jc w:val="both"/>
            </w:pPr>
            <w:r w:rsidRPr="006E317E">
              <w:t>STV</w:t>
            </w:r>
          </w:p>
        </w:tc>
        <w:tc>
          <w:tcPr>
            <w:tcW w:w="1115" w:type="dxa"/>
            <w:noWrap/>
            <w:hideMark/>
          </w:tcPr>
          <w:p w14:paraId="1D955803" w14:textId="16A6B391" w:rsidR="00A43E3F" w:rsidRPr="006E317E" w:rsidRDefault="00A43E3F" w:rsidP="00A43E3F">
            <w:pPr>
              <w:jc w:val="both"/>
            </w:pPr>
            <w:r w:rsidRPr="001940FC">
              <w:t>…*</w:t>
            </w:r>
          </w:p>
        </w:tc>
        <w:tc>
          <w:tcPr>
            <w:tcW w:w="1115" w:type="dxa"/>
            <w:noWrap/>
            <w:hideMark/>
          </w:tcPr>
          <w:p w14:paraId="055E34D3" w14:textId="2B8CDB0B" w:rsidR="00A43E3F" w:rsidRPr="006E317E" w:rsidRDefault="00A43E3F" w:rsidP="00A43E3F">
            <w:pPr>
              <w:jc w:val="both"/>
            </w:pPr>
            <w:r w:rsidRPr="001940FC">
              <w:t>…*</w:t>
            </w:r>
          </w:p>
        </w:tc>
        <w:tc>
          <w:tcPr>
            <w:tcW w:w="1115" w:type="dxa"/>
            <w:noWrap/>
            <w:hideMark/>
          </w:tcPr>
          <w:p w14:paraId="0A1D2BF1" w14:textId="4D268B72" w:rsidR="00A43E3F" w:rsidRPr="006E317E" w:rsidRDefault="00A43E3F" w:rsidP="00A43E3F">
            <w:pPr>
              <w:jc w:val="both"/>
            </w:pPr>
            <w:r w:rsidRPr="001940FC">
              <w:t>…*</w:t>
            </w:r>
          </w:p>
        </w:tc>
        <w:tc>
          <w:tcPr>
            <w:tcW w:w="1115" w:type="dxa"/>
            <w:noWrap/>
            <w:hideMark/>
          </w:tcPr>
          <w:p w14:paraId="1C2B7340" w14:textId="60B5611E" w:rsidR="00A43E3F" w:rsidRPr="006E317E" w:rsidRDefault="00A43E3F" w:rsidP="00A43E3F">
            <w:pPr>
              <w:jc w:val="both"/>
            </w:pPr>
            <w:r w:rsidRPr="001940FC">
              <w:t>…*</w:t>
            </w:r>
          </w:p>
        </w:tc>
        <w:tc>
          <w:tcPr>
            <w:tcW w:w="1115" w:type="dxa"/>
            <w:noWrap/>
            <w:hideMark/>
          </w:tcPr>
          <w:p w14:paraId="49F128A7" w14:textId="0CAA530C" w:rsidR="00A43E3F" w:rsidRPr="006E317E" w:rsidRDefault="00A43E3F" w:rsidP="00A43E3F">
            <w:pPr>
              <w:jc w:val="both"/>
            </w:pPr>
            <w:r w:rsidRPr="001940FC">
              <w:t>…*</w:t>
            </w:r>
          </w:p>
        </w:tc>
        <w:tc>
          <w:tcPr>
            <w:tcW w:w="1115" w:type="dxa"/>
            <w:noWrap/>
            <w:hideMark/>
          </w:tcPr>
          <w:p w14:paraId="43B176AB" w14:textId="6396ADC9" w:rsidR="00A43E3F" w:rsidRPr="006E317E" w:rsidRDefault="00A43E3F" w:rsidP="00A43E3F">
            <w:pPr>
              <w:jc w:val="both"/>
            </w:pPr>
            <w:r w:rsidRPr="001940FC">
              <w:t>…*</w:t>
            </w:r>
          </w:p>
        </w:tc>
        <w:tc>
          <w:tcPr>
            <w:tcW w:w="1115" w:type="dxa"/>
            <w:noWrap/>
            <w:hideMark/>
          </w:tcPr>
          <w:p w14:paraId="0A225C76" w14:textId="60AA1436" w:rsidR="00A43E3F" w:rsidRPr="006E317E" w:rsidRDefault="00A43E3F" w:rsidP="00A43E3F">
            <w:pPr>
              <w:jc w:val="both"/>
            </w:pPr>
            <w:r w:rsidRPr="001940FC">
              <w:t>…*</w:t>
            </w:r>
          </w:p>
        </w:tc>
      </w:tr>
      <w:tr w:rsidR="00A43E3F" w:rsidRPr="006E317E" w14:paraId="6250BD1A" w14:textId="77777777" w:rsidTr="004A0113">
        <w:trPr>
          <w:trHeight w:val="293"/>
        </w:trPr>
        <w:tc>
          <w:tcPr>
            <w:tcW w:w="1765" w:type="dxa"/>
            <w:noWrap/>
            <w:hideMark/>
          </w:tcPr>
          <w:p w14:paraId="6CC70C76" w14:textId="77777777" w:rsidR="00A43E3F" w:rsidRPr="006E317E" w:rsidRDefault="00A43E3F" w:rsidP="00A43E3F">
            <w:pPr>
              <w:jc w:val="both"/>
            </w:pPr>
            <w:r w:rsidRPr="006E317E">
              <w:t>Elisa</w:t>
            </w:r>
          </w:p>
        </w:tc>
        <w:tc>
          <w:tcPr>
            <w:tcW w:w="1115" w:type="dxa"/>
            <w:noWrap/>
            <w:hideMark/>
          </w:tcPr>
          <w:p w14:paraId="2B35EF93" w14:textId="7B7944C2" w:rsidR="00A43E3F" w:rsidRPr="006E317E" w:rsidRDefault="00A43E3F" w:rsidP="00A43E3F">
            <w:pPr>
              <w:jc w:val="both"/>
            </w:pPr>
            <w:r w:rsidRPr="001940FC">
              <w:t>…*</w:t>
            </w:r>
          </w:p>
        </w:tc>
        <w:tc>
          <w:tcPr>
            <w:tcW w:w="1115" w:type="dxa"/>
            <w:noWrap/>
            <w:hideMark/>
          </w:tcPr>
          <w:p w14:paraId="4F3492AC" w14:textId="2AB197FE" w:rsidR="00A43E3F" w:rsidRPr="006E317E" w:rsidRDefault="00A43E3F" w:rsidP="00A43E3F">
            <w:pPr>
              <w:jc w:val="both"/>
            </w:pPr>
            <w:r w:rsidRPr="001940FC">
              <w:t>…*</w:t>
            </w:r>
          </w:p>
        </w:tc>
        <w:tc>
          <w:tcPr>
            <w:tcW w:w="1115" w:type="dxa"/>
            <w:noWrap/>
            <w:hideMark/>
          </w:tcPr>
          <w:p w14:paraId="2EEBBA22" w14:textId="21ABF84C" w:rsidR="00A43E3F" w:rsidRPr="006E317E" w:rsidRDefault="00A43E3F" w:rsidP="00A43E3F">
            <w:pPr>
              <w:jc w:val="both"/>
            </w:pPr>
            <w:r w:rsidRPr="001940FC">
              <w:t>…*</w:t>
            </w:r>
          </w:p>
        </w:tc>
        <w:tc>
          <w:tcPr>
            <w:tcW w:w="1115" w:type="dxa"/>
            <w:noWrap/>
            <w:hideMark/>
          </w:tcPr>
          <w:p w14:paraId="2450888A" w14:textId="3E57AE1C" w:rsidR="00A43E3F" w:rsidRPr="006E317E" w:rsidRDefault="00A43E3F" w:rsidP="00A43E3F">
            <w:pPr>
              <w:jc w:val="both"/>
            </w:pPr>
            <w:r w:rsidRPr="001940FC">
              <w:t>…*</w:t>
            </w:r>
          </w:p>
        </w:tc>
        <w:tc>
          <w:tcPr>
            <w:tcW w:w="1115" w:type="dxa"/>
            <w:noWrap/>
            <w:hideMark/>
          </w:tcPr>
          <w:p w14:paraId="4092D5F9" w14:textId="33337E17" w:rsidR="00A43E3F" w:rsidRPr="006E317E" w:rsidRDefault="00A43E3F" w:rsidP="00A43E3F">
            <w:pPr>
              <w:jc w:val="both"/>
            </w:pPr>
            <w:r w:rsidRPr="001940FC">
              <w:t>…*</w:t>
            </w:r>
          </w:p>
        </w:tc>
        <w:tc>
          <w:tcPr>
            <w:tcW w:w="1115" w:type="dxa"/>
            <w:noWrap/>
            <w:hideMark/>
          </w:tcPr>
          <w:p w14:paraId="5C278201" w14:textId="5CE8935C" w:rsidR="00A43E3F" w:rsidRPr="006E317E" w:rsidRDefault="00A43E3F" w:rsidP="00A43E3F">
            <w:pPr>
              <w:jc w:val="both"/>
            </w:pPr>
            <w:r w:rsidRPr="001940FC">
              <w:t>…*</w:t>
            </w:r>
          </w:p>
        </w:tc>
        <w:tc>
          <w:tcPr>
            <w:tcW w:w="1115" w:type="dxa"/>
            <w:noWrap/>
            <w:hideMark/>
          </w:tcPr>
          <w:p w14:paraId="72B34451" w14:textId="6FB3BC56" w:rsidR="00A43E3F" w:rsidRPr="006E317E" w:rsidRDefault="00A43E3F" w:rsidP="00A43E3F">
            <w:pPr>
              <w:jc w:val="both"/>
            </w:pPr>
            <w:r w:rsidRPr="001940FC">
              <w:t>…*</w:t>
            </w:r>
          </w:p>
        </w:tc>
      </w:tr>
      <w:tr w:rsidR="00A43E3F" w:rsidRPr="006E317E" w14:paraId="07B65BCC" w14:textId="77777777" w:rsidTr="004A0113">
        <w:trPr>
          <w:trHeight w:val="283"/>
        </w:trPr>
        <w:tc>
          <w:tcPr>
            <w:tcW w:w="1765" w:type="dxa"/>
            <w:noWrap/>
            <w:hideMark/>
          </w:tcPr>
          <w:p w14:paraId="4E737B04" w14:textId="77777777" w:rsidR="00A43E3F" w:rsidRPr="006E317E" w:rsidRDefault="00A43E3F" w:rsidP="00A43E3F">
            <w:pPr>
              <w:jc w:val="both"/>
            </w:pPr>
            <w:r w:rsidRPr="006E317E">
              <w:t>Telset</w:t>
            </w:r>
          </w:p>
        </w:tc>
        <w:tc>
          <w:tcPr>
            <w:tcW w:w="1115" w:type="dxa"/>
            <w:noWrap/>
            <w:hideMark/>
          </w:tcPr>
          <w:p w14:paraId="3F4329DC" w14:textId="6D2CB6E4" w:rsidR="00A43E3F" w:rsidRPr="006E317E" w:rsidRDefault="00A43E3F" w:rsidP="00A43E3F">
            <w:pPr>
              <w:jc w:val="both"/>
            </w:pPr>
            <w:r w:rsidRPr="001940FC">
              <w:t>…*</w:t>
            </w:r>
          </w:p>
        </w:tc>
        <w:tc>
          <w:tcPr>
            <w:tcW w:w="1115" w:type="dxa"/>
            <w:noWrap/>
            <w:hideMark/>
          </w:tcPr>
          <w:p w14:paraId="0EA9BBDC" w14:textId="551A2802" w:rsidR="00A43E3F" w:rsidRPr="006E317E" w:rsidRDefault="00A43E3F" w:rsidP="00A43E3F">
            <w:pPr>
              <w:jc w:val="both"/>
            </w:pPr>
            <w:r w:rsidRPr="001940FC">
              <w:t>…*</w:t>
            </w:r>
          </w:p>
        </w:tc>
        <w:tc>
          <w:tcPr>
            <w:tcW w:w="1115" w:type="dxa"/>
            <w:noWrap/>
            <w:hideMark/>
          </w:tcPr>
          <w:p w14:paraId="20989FB8" w14:textId="78D31D0F" w:rsidR="00A43E3F" w:rsidRPr="006E317E" w:rsidRDefault="00A43E3F" w:rsidP="00A43E3F">
            <w:pPr>
              <w:jc w:val="both"/>
            </w:pPr>
            <w:r w:rsidRPr="001940FC">
              <w:t>…*</w:t>
            </w:r>
          </w:p>
        </w:tc>
        <w:tc>
          <w:tcPr>
            <w:tcW w:w="1115" w:type="dxa"/>
            <w:noWrap/>
            <w:hideMark/>
          </w:tcPr>
          <w:p w14:paraId="1A34238C" w14:textId="790396DF" w:rsidR="00A43E3F" w:rsidRPr="006E317E" w:rsidRDefault="00A43E3F" w:rsidP="00A43E3F">
            <w:pPr>
              <w:jc w:val="both"/>
            </w:pPr>
            <w:r w:rsidRPr="001940FC">
              <w:t>…*</w:t>
            </w:r>
          </w:p>
        </w:tc>
        <w:tc>
          <w:tcPr>
            <w:tcW w:w="1115" w:type="dxa"/>
            <w:noWrap/>
            <w:hideMark/>
          </w:tcPr>
          <w:p w14:paraId="5D447332" w14:textId="11F2F9E9" w:rsidR="00A43E3F" w:rsidRPr="006E317E" w:rsidRDefault="00A43E3F" w:rsidP="00A43E3F">
            <w:pPr>
              <w:jc w:val="both"/>
            </w:pPr>
            <w:r w:rsidRPr="001940FC">
              <w:t>…*</w:t>
            </w:r>
          </w:p>
        </w:tc>
        <w:tc>
          <w:tcPr>
            <w:tcW w:w="1115" w:type="dxa"/>
            <w:noWrap/>
            <w:hideMark/>
          </w:tcPr>
          <w:p w14:paraId="26042DFE" w14:textId="3DD609F7" w:rsidR="00A43E3F" w:rsidRPr="006E317E" w:rsidRDefault="00A43E3F" w:rsidP="00A43E3F">
            <w:pPr>
              <w:jc w:val="both"/>
            </w:pPr>
            <w:r w:rsidRPr="001940FC">
              <w:t>…*</w:t>
            </w:r>
          </w:p>
        </w:tc>
        <w:tc>
          <w:tcPr>
            <w:tcW w:w="1115" w:type="dxa"/>
            <w:noWrap/>
            <w:hideMark/>
          </w:tcPr>
          <w:p w14:paraId="0965212C" w14:textId="74E2BD01" w:rsidR="00A43E3F" w:rsidRPr="006E317E" w:rsidRDefault="00A43E3F" w:rsidP="00A43E3F">
            <w:pPr>
              <w:jc w:val="both"/>
            </w:pPr>
            <w:r w:rsidRPr="001940FC">
              <w:t>…*</w:t>
            </w:r>
          </w:p>
        </w:tc>
      </w:tr>
      <w:tr w:rsidR="00A43E3F" w:rsidRPr="006E317E" w14:paraId="32E48750" w14:textId="77777777" w:rsidTr="004A0113">
        <w:trPr>
          <w:trHeight w:val="283"/>
        </w:trPr>
        <w:tc>
          <w:tcPr>
            <w:tcW w:w="1765" w:type="dxa"/>
            <w:noWrap/>
            <w:hideMark/>
          </w:tcPr>
          <w:p w14:paraId="79EC472B" w14:textId="77777777" w:rsidR="00A43E3F" w:rsidRPr="006E317E" w:rsidRDefault="00A43E3F" w:rsidP="00A43E3F">
            <w:pPr>
              <w:jc w:val="both"/>
            </w:pPr>
            <w:r w:rsidRPr="006E317E">
              <w:t>Tele2</w:t>
            </w:r>
          </w:p>
        </w:tc>
        <w:tc>
          <w:tcPr>
            <w:tcW w:w="1115" w:type="dxa"/>
            <w:noWrap/>
            <w:hideMark/>
          </w:tcPr>
          <w:p w14:paraId="7873474F" w14:textId="7C2336A8" w:rsidR="00A43E3F" w:rsidRPr="006E317E" w:rsidRDefault="00A43E3F" w:rsidP="00A43E3F">
            <w:pPr>
              <w:jc w:val="both"/>
            </w:pPr>
            <w:r w:rsidRPr="001940FC">
              <w:t>…*</w:t>
            </w:r>
          </w:p>
        </w:tc>
        <w:tc>
          <w:tcPr>
            <w:tcW w:w="1115" w:type="dxa"/>
            <w:noWrap/>
            <w:hideMark/>
          </w:tcPr>
          <w:p w14:paraId="7983AA4A" w14:textId="5F3698F6" w:rsidR="00A43E3F" w:rsidRPr="006E317E" w:rsidRDefault="00A43E3F" w:rsidP="00A43E3F">
            <w:pPr>
              <w:jc w:val="both"/>
            </w:pPr>
            <w:r w:rsidRPr="001940FC">
              <w:t>…*</w:t>
            </w:r>
          </w:p>
        </w:tc>
        <w:tc>
          <w:tcPr>
            <w:tcW w:w="1115" w:type="dxa"/>
            <w:noWrap/>
            <w:hideMark/>
          </w:tcPr>
          <w:p w14:paraId="4B28DE2E" w14:textId="10EF57F0" w:rsidR="00A43E3F" w:rsidRPr="006E317E" w:rsidRDefault="00A43E3F" w:rsidP="00A43E3F">
            <w:pPr>
              <w:jc w:val="both"/>
            </w:pPr>
            <w:r w:rsidRPr="001940FC">
              <w:t>…*</w:t>
            </w:r>
          </w:p>
        </w:tc>
        <w:tc>
          <w:tcPr>
            <w:tcW w:w="1115" w:type="dxa"/>
            <w:noWrap/>
            <w:hideMark/>
          </w:tcPr>
          <w:p w14:paraId="79E069F1" w14:textId="6F23FA2D" w:rsidR="00A43E3F" w:rsidRPr="006E317E" w:rsidRDefault="00A43E3F" w:rsidP="00A43E3F">
            <w:pPr>
              <w:jc w:val="both"/>
            </w:pPr>
            <w:r w:rsidRPr="001940FC">
              <w:t>…*</w:t>
            </w:r>
          </w:p>
        </w:tc>
        <w:tc>
          <w:tcPr>
            <w:tcW w:w="1115" w:type="dxa"/>
            <w:noWrap/>
            <w:hideMark/>
          </w:tcPr>
          <w:p w14:paraId="314D3D96" w14:textId="5109F44A" w:rsidR="00A43E3F" w:rsidRPr="006E317E" w:rsidRDefault="00A43E3F" w:rsidP="00A43E3F">
            <w:pPr>
              <w:jc w:val="both"/>
            </w:pPr>
            <w:r w:rsidRPr="001940FC">
              <w:t>…*</w:t>
            </w:r>
          </w:p>
        </w:tc>
        <w:tc>
          <w:tcPr>
            <w:tcW w:w="1115" w:type="dxa"/>
            <w:noWrap/>
            <w:hideMark/>
          </w:tcPr>
          <w:p w14:paraId="7B4060DB" w14:textId="2DB15657" w:rsidR="00A43E3F" w:rsidRPr="006E317E" w:rsidRDefault="00A43E3F" w:rsidP="00A43E3F">
            <w:pPr>
              <w:jc w:val="both"/>
            </w:pPr>
            <w:r w:rsidRPr="001940FC">
              <w:t>…*</w:t>
            </w:r>
          </w:p>
        </w:tc>
        <w:tc>
          <w:tcPr>
            <w:tcW w:w="1115" w:type="dxa"/>
            <w:noWrap/>
            <w:hideMark/>
          </w:tcPr>
          <w:p w14:paraId="6FD0A8B1" w14:textId="0E6DBE43" w:rsidR="00A43E3F" w:rsidRPr="006E317E" w:rsidRDefault="00A43E3F" w:rsidP="00A43E3F">
            <w:pPr>
              <w:jc w:val="both"/>
            </w:pPr>
            <w:r w:rsidRPr="001940FC">
              <w:t>…*</w:t>
            </w:r>
          </w:p>
        </w:tc>
      </w:tr>
      <w:tr w:rsidR="00A43E3F" w:rsidRPr="006E317E" w14:paraId="1B8FB9D3" w14:textId="77777777" w:rsidTr="004A0113">
        <w:trPr>
          <w:trHeight w:val="283"/>
        </w:trPr>
        <w:tc>
          <w:tcPr>
            <w:tcW w:w="1765" w:type="dxa"/>
            <w:noWrap/>
            <w:hideMark/>
          </w:tcPr>
          <w:p w14:paraId="0427C908" w14:textId="77777777" w:rsidR="00A43E3F" w:rsidRPr="006E317E" w:rsidRDefault="00A43E3F" w:rsidP="00A43E3F">
            <w:pPr>
              <w:jc w:val="both"/>
            </w:pPr>
            <w:r w:rsidRPr="006E317E">
              <w:t>Uus Programm</w:t>
            </w:r>
          </w:p>
        </w:tc>
        <w:tc>
          <w:tcPr>
            <w:tcW w:w="1115" w:type="dxa"/>
            <w:noWrap/>
            <w:hideMark/>
          </w:tcPr>
          <w:p w14:paraId="0557D788" w14:textId="60934C3C" w:rsidR="00A43E3F" w:rsidRPr="006E317E" w:rsidRDefault="00A43E3F" w:rsidP="00A43E3F">
            <w:pPr>
              <w:jc w:val="both"/>
            </w:pPr>
            <w:r w:rsidRPr="001940FC">
              <w:t>…*</w:t>
            </w:r>
          </w:p>
        </w:tc>
        <w:tc>
          <w:tcPr>
            <w:tcW w:w="1115" w:type="dxa"/>
            <w:noWrap/>
            <w:hideMark/>
          </w:tcPr>
          <w:p w14:paraId="15F4228C" w14:textId="58EA2D51" w:rsidR="00A43E3F" w:rsidRPr="006E317E" w:rsidRDefault="00A43E3F" w:rsidP="00A43E3F">
            <w:pPr>
              <w:jc w:val="both"/>
            </w:pPr>
            <w:r w:rsidRPr="001940FC">
              <w:t>…*</w:t>
            </w:r>
          </w:p>
        </w:tc>
        <w:tc>
          <w:tcPr>
            <w:tcW w:w="1115" w:type="dxa"/>
            <w:noWrap/>
            <w:hideMark/>
          </w:tcPr>
          <w:p w14:paraId="51DE19CB" w14:textId="1D3EFC0B" w:rsidR="00A43E3F" w:rsidRPr="006E317E" w:rsidRDefault="00A43E3F" w:rsidP="00A43E3F">
            <w:pPr>
              <w:jc w:val="both"/>
            </w:pPr>
            <w:r w:rsidRPr="001940FC">
              <w:t>…*</w:t>
            </w:r>
          </w:p>
        </w:tc>
        <w:tc>
          <w:tcPr>
            <w:tcW w:w="1115" w:type="dxa"/>
            <w:noWrap/>
            <w:hideMark/>
          </w:tcPr>
          <w:p w14:paraId="50905EC8" w14:textId="34DB0B02" w:rsidR="00A43E3F" w:rsidRPr="006E317E" w:rsidRDefault="00A43E3F" w:rsidP="00A43E3F">
            <w:pPr>
              <w:jc w:val="both"/>
            </w:pPr>
            <w:r w:rsidRPr="001940FC">
              <w:t>…*</w:t>
            </w:r>
          </w:p>
        </w:tc>
        <w:tc>
          <w:tcPr>
            <w:tcW w:w="1115" w:type="dxa"/>
            <w:noWrap/>
            <w:hideMark/>
          </w:tcPr>
          <w:p w14:paraId="4D90F6EC" w14:textId="08B9B480" w:rsidR="00A43E3F" w:rsidRPr="006E317E" w:rsidRDefault="00A43E3F" w:rsidP="00A43E3F">
            <w:pPr>
              <w:jc w:val="both"/>
            </w:pPr>
            <w:r w:rsidRPr="001940FC">
              <w:t>…*</w:t>
            </w:r>
          </w:p>
        </w:tc>
        <w:tc>
          <w:tcPr>
            <w:tcW w:w="1115" w:type="dxa"/>
            <w:noWrap/>
            <w:hideMark/>
          </w:tcPr>
          <w:p w14:paraId="4D5D9486" w14:textId="3E852B88" w:rsidR="00A43E3F" w:rsidRPr="006E317E" w:rsidRDefault="00A43E3F" w:rsidP="00A43E3F">
            <w:pPr>
              <w:jc w:val="both"/>
            </w:pPr>
            <w:r w:rsidRPr="001940FC">
              <w:t>…*</w:t>
            </w:r>
          </w:p>
        </w:tc>
        <w:tc>
          <w:tcPr>
            <w:tcW w:w="1115" w:type="dxa"/>
            <w:noWrap/>
            <w:hideMark/>
          </w:tcPr>
          <w:p w14:paraId="1A17BBE3" w14:textId="6BFBB0F8" w:rsidR="00A43E3F" w:rsidRPr="006E317E" w:rsidRDefault="00A43E3F" w:rsidP="00A43E3F">
            <w:pPr>
              <w:jc w:val="both"/>
            </w:pPr>
            <w:r w:rsidRPr="001940FC">
              <w:t>…*</w:t>
            </w:r>
          </w:p>
        </w:tc>
      </w:tr>
      <w:tr w:rsidR="00A43E3F" w:rsidRPr="006E317E" w14:paraId="3FEEF84F" w14:textId="77777777" w:rsidTr="004A0113">
        <w:trPr>
          <w:trHeight w:val="283"/>
        </w:trPr>
        <w:tc>
          <w:tcPr>
            <w:tcW w:w="1765" w:type="dxa"/>
            <w:noWrap/>
            <w:hideMark/>
          </w:tcPr>
          <w:p w14:paraId="73D89CA1" w14:textId="77777777" w:rsidR="00A43E3F" w:rsidRPr="006E317E" w:rsidRDefault="00A43E3F" w:rsidP="00A43E3F">
            <w:pPr>
              <w:jc w:val="both"/>
            </w:pPr>
            <w:r w:rsidRPr="006E317E">
              <w:t>Interframe</w:t>
            </w:r>
          </w:p>
        </w:tc>
        <w:tc>
          <w:tcPr>
            <w:tcW w:w="1115" w:type="dxa"/>
            <w:noWrap/>
            <w:hideMark/>
          </w:tcPr>
          <w:p w14:paraId="57FDC98B" w14:textId="767C08FD" w:rsidR="00A43E3F" w:rsidRPr="006E317E" w:rsidRDefault="00A43E3F" w:rsidP="00A43E3F">
            <w:pPr>
              <w:jc w:val="both"/>
            </w:pPr>
            <w:r w:rsidRPr="001940FC">
              <w:t>…*</w:t>
            </w:r>
          </w:p>
        </w:tc>
        <w:tc>
          <w:tcPr>
            <w:tcW w:w="1115" w:type="dxa"/>
            <w:noWrap/>
            <w:hideMark/>
          </w:tcPr>
          <w:p w14:paraId="3E29B97B" w14:textId="704AAF4D" w:rsidR="00A43E3F" w:rsidRPr="006E317E" w:rsidRDefault="00A43E3F" w:rsidP="00A43E3F">
            <w:pPr>
              <w:jc w:val="both"/>
            </w:pPr>
            <w:r w:rsidRPr="001940FC">
              <w:t>…*</w:t>
            </w:r>
          </w:p>
        </w:tc>
        <w:tc>
          <w:tcPr>
            <w:tcW w:w="1115" w:type="dxa"/>
            <w:noWrap/>
            <w:hideMark/>
          </w:tcPr>
          <w:p w14:paraId="61BD714F" w14:textId="0EDF5888" w:rsidR="00A43E3F" w:rsidRPr="006E317E" w:rsidRDefault="00A43E3F" w:rsidP="00A43E3F">
            <w:pPr>
              <w:jc w:val="both"/>
            </w:pPr>
            <w:r w:rsidRPr="001940FC">
              <w:t>…*</w:t>
            </w:r>
          </w:p>
        </w:tc>
        <w:tc>
          <w:tcPr>
            <w:tcW w:w="1115" w:type="dxa"/>
            <w:noWrap/>
            <w:hideMark/>
          </w:tcPr>
          <w:p w14:paraId="3BB0C46F" w14:textId="4C0A3B7B" w:rsidR="00A43E3F" w:rsidRPr="006E317E" w:rsidRDefault="00A43E3F" w:rsidP="00A43E3F">
            <w:pPr>
              <w:jc w:val="both"/>
            </w:pPr>
            <w:r w:rsidRPr="001940FC">
              <w:t>…*</w:t>
            </w:r>
          </w:p>
        </w:tc>
        <w:tc>
          <w:tcPr>
            <w:tcW w:w="1115" w:type="dxa"/>
            <w:noWrap/>
            <w:hideMark/>
          </w:tcPr>
          <w:p w14:paraId="076C9CE9" w14:textId="714C9493" w:rsidR="00A43E3F" w:rsidRPr="006E317E" w:rsidRDefault="00A43E3F" w:rsidP="00A43E3F">
            <w:pPr>
              <w:jc w:val="both"/>
            </w:pPr>
            <w:r w:rsidRPr="001940FC">
              <w:t>…*</w:t>
            </w:r>
          </w:p>
        </w:tc>
        <w:tc>
          <w:tcPr>
            <w:tcW w:w="1115" w:type="dxa"/>
            <w:noWrap/>
            <w:hideMark/>
          </w:tcPr>
          <w:p w14:paraId="6CCC4E2A" w14:textId="5FCB64FB" w:rsidR="00A43E3F" w:rsidRPr="006E317E" w:rsidRDefault="00A43E3F" w:rsidP="00A43E3F">
            <w:pPr>
              <w:jc w:val="both"/>
            </w:pPr>
            <w:r w:rsidRPr="001940FC">
              <w:t>…*</w:t>
            </w:r>
          </w:p>
        </w:tc>
        <w:tc>
          <w:tcPr>
            <w:tcW w:w="1115" w:type="dxa"/>
            <w:noWrap/>
            <w:hideMark/>
          </w:tcPr>
          <w:p w14:paraId="74DF91F2" w14:textId="55A5239A" w:rsidR="00A43E3F" w:rsidRPr="006E317E" w:rsidRDefault="00A43E3F" w:rsidP="00A43E3F">
            <w:pPr>
              <w:jc w:val="both"/>
            </w:pPr>
            <w:r w:rsidRPr="001940FC">
              <w:t>…*</w:t>
            </w:r>
          </w:p>
        </w:tc>
      </w:tr>
      <w:tr w:rsidR="00A43E3F" w:rsidRPr="006E317E" w14:paraId="33D3C3F7" w14:textId="77777777" w:rsidTr="004A0113">
        <w:trPr>
          <w:trHeight w:val="283"/>
        </w:trPr>
        <w:tc>
          <w:tcPr>
            <w:tcW w:w="1765" w:type="dxa"/>
            <w:noWrap/>
            <w:hideMark/>
          </w:tcPr>
          <w:p w14:paraId="4DB8D13B" w14:textId="77777777" w:rsidR="00A43E3F" w:rsidRPr="006E317E" w:rsidRDefault="00A43E3F" w:rsidP="00A43E3F">
            <w:pPr>
              <w:jc w:val="both"/>
            </w:pPr>
            <w:r w:rsidRPr="006E317E">
              <w:t>Fill Network</w:t>
            </w:r>
          </w:p>
        </w:tc>
        <w:tc>
          <w:tcPr>
            <w:tcW w:w="1115" w:type="dxa"/>
            <w:noWrap/>
            <w:hideMark/>
          </w:tcPr>
          <w:p w14:paraId="463F98CE" w14:textId="1A1850FF" w:rsidR="00A43E3F" w:rsidRPr="006E317E" w:rsidRDefault="00A43E3F" w:rsidP="00A43E3F">
            <w:pPr>
              <w:jc w:val="both"/>
            </w:pPr>
            <w:r w:rsidRPr="001940FC">
              <w:t>…*</w:t>
            </w:r>
          </w:p>
        </w:tc>
        <w:tc>
          <w:tcPr>
            <w:tcW w:w="1115" w:type="dxa"/>
            <w:noWrap/>
            <w:hideMark/>
          </w:tcPr>
          <w:p w14:paraId="10D5DE8C" w14:textId="753665C4" w:rsidR="00A43E3F" w:rsidRPr="006E317E" w:rsidRDefault="00A43E3F" w:rsidP="00A43E3F">
            <w:pPr>
              <w:jc w:val="both"/>
            </w:pPr>
            <w:r w:rsidRPr="001940FC">
              <w:t>…*</w:t>
            </w:r>
          </w:p>
        </w:tc>
        <w:tc>
          <w:tcPr>
            <w:tcW w:w="1115" w:type="dxa"/>
            <w:noWrap/>
            <w:hideMark/>
          </w:tcPr>
          <w:p w14:paraId="77C74DD0" w14:textId="1A8D141C" w:rsidR="00A43E3F" w:rsidRPr="006E317E" w:rsidRDefault="00A43E3F" w:rsidP="00A43E3F">
            <w:pPr>
              <w:jc w:val="both"/>
            </w:pPr>
            <w:r w:rsidRPr="001940FC">
              <w:t>…*</w:t>
            </w:r>
          </w:p>
        </w:tc>
        <w:tc>
          <w:tcPr>
            <w:tcW w:w="1115" w:type="dxa"/>
            <w:noWrap/>
            <w:hideMark/>
          </w:tcPr>
          <w:p w14:paraId="3401242B" w14:textId="60DF4030" w:rsidR="00A43E3F" w:rsidRPr="006E317E" w:rsidRDefault="00A43E3F" w:rsidP="00A43E3F">
            <w:pPr>
              <w:jc w:val="both"/>
            </w:pPr>
            <w:r w:rsidRPr="001940FC">
              <w:t>…*</w:t>
            </w:r>
          </w:p>
        </w:tc>
        <w:tc>
          <w:tcPr>
            <w:tcW w:w="1115" w:type="dxa"/>
            <w:noWrap/>
            <w:hideMark/>
          </w:tcPr>
          <w:p w14:paraId="2AD545FC" w14:textId="13C1D144" w:rsidR="00A43E3F" w:rsidRPr="006E317E" w:rsidRDefault="00A43E3F" w:rsidP="00A43E3F">
            <w:pPr>
              <w:jc w:val="both"/>
            </w:pPr>
            <w:r w:rsidRPr="001940FC">
              <w:t>…*</w:t>
            </w:r>
          </w:p>
        </w:tc>
        <w:tc>
          <w:tcPr>
            <w:tcW w:w="1115" w:type="dxa"/>
            <w:noWrap/>
            <w:hideMark/>
          </w:tcPr>
          <w:p w14:paraId="52EAAF82" w14:textId="7932ED13" w:rsidR="00A43E3F" w:rsidRPr="006E317E" w:rsidRDefault="00A43E3F" w:rsidP="00A43E3F">
            <w:pPr>
              <w:jc w:val="both"/>
            </w:pPr>
            <w:r w:rsidRPr="001940FC">
              <w:t>…*</w:t>
            </w:r>
          </w:p>
        </w:tc>
        <w:tc>
          <w:tcPr>
            <w:tcW w:w="1115" w:type="dxa"/>
            <w:noWrap/>
            <w:hideMark/>
          </w:tcPr>
          <w:p w14:paraId="105BFBB3" w14:textId="15D982AE" w:rsidR="00A43E3F" w:rsidRPr="006E317E" w:rsidRDefault="00A43E3F" w:rsidP="00A43E3F">
            <w:pPr>
              <w:jc w:val="both"/>
            </w:pPr>
            <w:r w:rsidRPr="001940FC">
              <w:t>…*</w:t>
            </w:r>
          </w:p>
        </w:tc>
      </w:tr>
      <w:tr w:rsidR="00EC24B2" w:rsidRPr="006E317E" w14:paraId="5F42B46B" w14:textId="77777777" w:rsidTr="004A0113">
        <w:trPr>
          <w:trHeight w:val="293"/>
        </w:trPr>
        <w:tc>
          <w:tcPr>
            <w:tcW w:w="1765" w:type="dxa"/>
            <w:noWrap/>
            <w:hideMark/>
          </w:tcPr>
          <w:p w14:paraId="5E11AE93" w14:textId="77777777" w:rsidR="00EC24B2" w:rsidRPr="006E317E" w:rsidRDefault="00EC24B2" w:rsidP="00AA241E">
            <w:pPr>
              <w:jc w:val="both"/>
            </w:pPr>
            <w:r w:rsidRPr="006E317E">
              <w:t>Kokku</w:t>
            </w:r>
          </w:p>
        </w:tc>
        <w:tc>
          <w:tcPr>
            <w:tcW w:w="1115" w:type="dxa"/>
            <w:noWrap/>
            <w:hideMark/>
          </w:tcPr>
          <w:p w14:paraId="6763210E" w14:textId="77777777" w:rsidR="00EC24B2" w:rsidRPr="006E317E" w:rsidRDefault="00EC24B2" w:rsidP="00AA241E">
            <w:pPr>
              <w:jc w:val="both"/>
            </w:pPr>
            <w:r w:rsidRPr="006E317E">
              <w:t>163 141</w:t>
            </w:r>
          </w:p>
        </w:tc>
        <w:tc>
          <w:tcPr>
            <w:tcW w:w="1115" w:type="dxa"/>
            <w:noWrap/>
            <w:hideMark/>
          </w:tcPr>
          <w:p w14:paraId="60F80640" w14:textId="77777777" w:rsidR="00EC24B2" w:rsidRPr="006E317E" w:rsidRDefault="00EC24B2" w:rsidP="00AA241E">
            <w:pPr>
              <w:jc w:val="both"/>
            </w:pPr>
            <w:r w:rsidRPr="006E317E">
              <w:t>178 533</w:t>
            </w:r>
          </w:p>
        </w:tc>
        <w:tc>
          <w:tcPr>
            <w:tcW w:w="1115" w:type="dxa"/>
            <w:noWrap/>
            <w:hideMark/>
          </w:tcPr>
          <w:p w14:paraId="2614C23B" w14:textId="77777777" w:rsidR="00EC24B2" w:rsidRPr="006E317E" w:rsidRDefault="00EC24B2" w:rsidP="00AA241E">
            <w:pPr>
              <w:jc w:val="both"/>
            </w:pPr>
            <w:r w:rsidRPr="006E317E">
              <w:t>199 264</w:t>
            </w:r>
          </w:p>
        </w:tc>
        <w:tc>
          <w:tcPr>
            <w:tcW w:w="1115" w:type="dxa"/>
            <w:noWrap/>
            <w:hideMark/>
          </w:tcPr>
          <w:p w14:paraId="056C2A61" w14:textId="77777777" w:rsidR="00EC24B2" w:rsidRPr="006E317E" w:rsidRDefault="00EC24B2" w:rsidP="00AA241E">
            <w:pPr>
              <w:jc w:val="both"/>
            </w:pPr>
            <w:r w:rsidRPr="006E317E">
              <w:t>214 240</w:t>
            </w:r>
          </w:p>
        </w:tc>
        <w:tc>
          <w:tcPr>
            <w:tcW w:w="1115" w:type="dxa"/>
            <w:noWrap/>
            <w:hideMark/>
          </w:tcPr>
          <w:p w14:paraId="21A26FA8" w14:textId="77777777" w:rsidR="00EC24B2" w:rsidRPr="006E317E" w:rsidRDefault="00EC24B2" w:rsidP="00AA241E">
            <w:pPr>
              <w:jc w:val="both"/>
            </w:pPr>
            <w:r w:rsidRPr="006E317E">
              <w:t>229 699</w:t>
            </w:r>
          </w:p>
        </w:tc>
        <w:tc>
          <w:tcPr>
            <w:tcW w:w="1115" w:type="dxa"/>
            <w:noWrap/>
            <w:hideMark/>
          </w:tcPr>
          <w:p w14:paraId="6FA23E25" w14:textId="77777777" w:rsidR="00EC24B2" w:rsidRPr="006E317E" w:rsidRDefault="00EC24B2" w:rsidP="00AA241E">
            <w:pPr>
              <w:jc w:val="both"/>
            </w:pPr>
            <w:r w:rsidRPr="006E317E">
              <w:t>262 508</w:t>
            </w:r>
          </w:p>
        </w:tc>
        <w:tc>
          <w:tcPr>
            <w:tcW w:w="1115" w:type="dxa"/>
            <w:noWrap/>
            <w:hideMark/>
          </w:tcPr>
          <w:p w14:paraId="3E370189" w14:textId="77777777" w:rsidR="00EC24B2" w:rsidRPr="006E317E" w:rsidRDefault="00EC24B2" w:rsidP="00AA241E">
            <w:pPr>
              <w:jc w:val="both"/>
            </w:pPr>
            <w:r w:rsidRPr="006E317E">
              <w:t>272 494</w:t>
            </w:r>
          </w:p>
        </w:tc>
      </w:tr>
    </w:tbl>
    <w:p w14:paraId="1D1049EF" w14:textId="119DDCA8" w:rsidR="00EC24B2" w:rsidRPr="006E317E" w:rsidRDefault="001144CE" w:rsidP="00AA241E">
      <w:pPr>
        <w:pStyle w:val="Pealdis"/>
        <w:jc w:val="both"/>
      </w:pPr>
      <w:r>
        <w:t xml:space="preserve"> </w:t>
      </w:r>
      <w:r w:rsidR="004A0113">
        <w:t xml:space="preserve">Tabel </w:t>
      </w:r>
      <w:r w:rsidR="004A0113">
        <w:fldChar w:fldCharType="begin"/>
      </w:r>
      <w:r w:rsidR="004A0113">
        <w:instrText xml:space="preserve"> SEQ Tabel \* ARABIC </w:instrText>
      </w:r>
      <w:r w:rsidR="004A0113">
        <w:fldChar w:fldCharType="separate"/>
      </w:r>
      <w:r w:rsidR="00247D84">
        <w:rPr>
          <w:noProof/>
        </w:rPr>
        <w:t>30</w:t>
      </w:r>
      <w:r w:rsidR="004A0113">
        <w:fldChar w:fldCharType="end"/>
      </w:r>
      <w:r w:rsidR="004A0113">
        <w:t xml:space="preserve"> </w:t>
      </w:r>
      <w:r w:rsidR="004A0113" w:rsidRPr="006E317E">
        <w:t xml:space="preserve">Valguskaabel </w:t>
      </w:r>
      <w:r w:rsidR="00EC24B2" w:rsidRPr="006E317E">
        <w:t xml:space="preserve">turul jaeteenuseid osutavate ettevõtjate FTTH ja FTTB aktiivsete </w:t>
      </w:r>
      <w:r w:rsidR="0007135D">
        <w:t>kliendiliin</w:t>
      </w:r>
      <w:r w:rsidR="00EC24B2" w:rsidRPr="006E317E">
        <w:t>ide arvu dünaamika Eesti territooriumil</w:t>
      </w:r>
    </w:p>
    <w:p w14:paraId="016E3913" w14:textId="1C609ED0" w:rsidR="00EC24B2" w:rsidRPr="006E317E" w:rsidRDefault="00EC24B2" w:rsidP="00AA241E">
      <w:pPr>
        <w:jc w:val="both"/>
      </w:pPr>
      <w:r w:rsidRPr="006E317E">
        <w:t xml:space="preserve">Telia FTTH ja FTTB aktiivsete </w:t>
      </w:r>
      <w:r w:rsidR="0007135D">
        <w:t>kliendiliin</w:t>
      </w:r>
      <w:r w:rsidRPr="006E317E">
        <w:t xml:space="preserve">ide arvu dünaamika Eesti territooriumil nii A ja B piirkonnas on esitatud tabelis </w:t>
      </w:r>
      <w:r w:rsidR="00266ECD">
        <w:t>3</w:t>
      </w:r>
      <w:r w:rsidR="00346D5D">
        <w:t>1</w:t>
      </w:r>
      <w:r w:rsidRPr="006E317E">
        <w:t xml:space="preserve"> .</w:t>
      </w:r>
    </w:p>
    <w:tbl>
      <w:tblPr>
        <w:tblStyle w:val="Kontuurtabel1"/>
        <w:tblW w:w="9597" w:type="dxa"/>
        <w:tblLook w:val="04A0" w:firstRow="1" w:lastRow="0" w:firstColumn="1" w:lastColumn="0" w:noHBand="0" w:noVBand="1"/>
      </w:tblPr>
      <w:tblGrid>
        <w:gridCol w:w="1771"/>
        <w:gridCol w:w="1118"/>
        <w:gridCol w:w="1118"/>
        <w:gridCol w:w="1118"/>
        <w:gridCol w:w="1118"/>
        <w:gridCol w:w="1118"/>
        <w:gridCol w:w="1118"/>
        <w:gridCol w:w="1118"/>
      </w:tblGrid>
      <w:tr w:rsidR="00EC24B2" w:rsidRPr="006E317E" w14:paraId="35E82E16" w14:textId="77777777" w:rsidTr="004A0113">
        <w:trPr>
          <w:trHeight w:val="314"/>
        </w:trPr>
        <w:tc>
          <w:tcPr>
            <w:tcW w:w="1771" w:type="dxa"/>
            <w:shd w:val="clear" w:color="auto" w:fill="92D050"/>
            <w:noWrap/>
            <w:hideMark/>
          </w:tcPr>
          <w:bookmarkEnd w:id="662"/>
          <w:p w14:paraId="7C9045DF" w14:textId="77777777" w:rsidR="00EC24B2" w:rsidRPr="004A0113" w:rsidRDefault="00EC24B2" w:rsidP="00AA241E">
            <w:pPr>
              <w:jc w:val="both"/>
              <w:rPr>
                <w:b/>
                <w:bCs/>
              </w:rPr>
            </w:pPr>
            <w:r w:rsidRPr="004A0113">
              <w:rPr>
                <w:b/>
                <w:bCs/>
              </w:rPr>
              <w:t> </w:t>
            </w:r>
          </w:p>
        </w:tc>
        <w:tc>
          <w:tcPr>
            <w:tcW w:w="1118" w:type="dxa"/>
            <w:shd w:val="clear" w:color="auto" w:fill="92D050"/>
            <w:noWrap/>
            <w:hideMark/>
          </w:tcPr>
          <w:p w14:paraId="45D57027" w14:textId="77777777" w:rsidR="00EC24B2" w:rsidRPr="004A0113" w:rsidRDefault="00EC24B2" w:rsidP="00AA241E">
            <w:pPr>
              <w:jc w:val="both"/>
              <w:rPr>
                <w:b/>
                <w:bCs/>
              </w:rPr>
            </w:pPr>
            <w:r w:rsidRPr="004A0113">
              <w:rPr>
                <w:b/>
                <w:bCs/>
              </w:rPr>
              <w:t>2017</w:t>
            </w:r>
          </w:p>
        </w:tc>
        <w:tc>
          <w:tcPr>
            <w:tcW w:w="1118" w:type="dxa"/>
            <w:shd w:val="clear" w:color="auto" w:fill="92D050"/>
            <w:noWrap/>
            <w:hideMark/>
          </w:tcPr>
          <w:p w14:paraId="283C5C04" w14:textId="77777777" w:rsidR="00EC24B2" w:rsidRPr="004A0113" w:rsidRDefault="00EC24B2" w:rsidP="00AA241E">
            <w:pPr>
              <w:jc w:val="both"/>
              <w:rPr>
                <w:b/>
                <w:bCs/>
              </w:rPr>
            </w:pPr>
            <w:r w:rsidRPr="004A0113">
              <w:rPr>
                <w:b/>
                <w:bCs/>
              </w:rPr>
              <w:t>2018</w:t>
            </w:r>
          </w:p>
        </w:tc>
        <w:tc>
          <w:tcPr>
            <w:tcW w:w="1118" w:type="dxa"/>
            <w:shd w:val="clear" w:color="auto" w:fill="92D050"/>
            <w:noWrap/>
            <w:hideMark/>
          </w:tcPr>
          <w:p w14:paraId="2EA2C2BF" w14:textId="77777777" w:rsidR="00EC24B2" w:rsidRPr="004A0113" w:rsidRDefault="00EC24B2" w:rsidP="00AA241E">
            <w:pPr>
              <w:jc w:val="both"/>
              <w:rPr>
                <w:b/>
                <w:bCs/>
              </w:rPr>
            </w:pPr>
            <w:r w:rsidRPr="004A0113">
              <w:rPr>
                <w:b/>
                <w:bCs/>
              </w:rPr>
              <w:t>2019</w:t>
            </w:r>
          </w:p>
        </w:tc>
        <w:tc>
          <w:tcPr>
            <w:tcW w:w="1118" w:type="dxa"/>
            <w:shd w:val="clear" w:color="auto" w:fill="92D050"/>
            <w:noWrap/>
            <w:hideMark/>
          </w:tcPr>
          <w:p w14:paraId="3515E331" w14:textId="77777777" w:rsidR="00EC24B2" w:rsidRPr="004A0113" w:rsidRDefault="00EC24B2" w:rsidP="00AA241E">
            <w:pPr>
              <w:jc w:val="both"/>
              <w:rPr>
                <w:b/>
                <w:bCs/>
              </w:rPr>
            </w:pPr>
            <w:r w:rsidRPr="004A0113">
              <w:rPr>
                <w:b/>
                <w:bCs/>
              </w:rPr>
              <w:t>2020</w:t>
            </w:r>
          </w:p>
        </w:tc>
        <w:tc>
          <w:tcPr>
            <w:tcW w:w="1118" w:type="dxa"/>
            <w:shd w:val="clear" w:color="auto" w:fill="92D050"/>
            <w:noWrap/>
            <w:hideMark/>
          </w:tcPr>
          <w:p w14:paraId="23B9A56C" w14:textId="77777777" w:rsidR="00EC24B2" w:rsidRPr="004A0113" w:rsidRDefault="00EC24B2" w:rsidP="00AA241E">
            <w:pPr>
              <w:jc w:val="both"/>
              <w:rPr>
                <w:b/>
                <w:bCs/>
              </w:rPr>
            </w:pPr>
            <w:r w:rsidRPr="004A0113">
              <w:rPr>
                <w:b/>
                <w:bCs/>
              </w:rPr>
              <w:t>2021</w:t>
            </w:r>
          </w:p>
        </w:tc>
        <w:tc>
          <w:tcPr>
            <w:tcW w:w="1118" w:type="dxa"/>
            <w:shd w:val="clear" w:color="auto" w:fill="92D050"/>
            <w:noWrap/>
            <w:hideMark/>
          </w:tcPr>
          <w:p w14:paraId="240BD2D0" w14:textId="77777777" w:rsidR="00EC24B2" w:rsidRPr="004A0113" w:rsidRDefault="00EC24B2" w:rsidP="00AA241E">
            <w:pPr>
              <w:jc w:val="both"/>
              <w:rPr>
                <w:b/>
                <w:bCs/>
              </w:rPr>
            </w:pPr>
            <w:r w:rsidRPr="004A0113">
              <w:rPr>
                <w:b/>
                <w:bCs/>
              </w:rPr>
              <w:t>2022</w:t>
            </w:r>
          </w:p>
        </w:tc>
        <w:tc>
          <w:tcPr>
            <w:tcW w:w="1118" w:type="dxa"/>
            <w:shd w:val="clear" w:color="auto" w:fill="92D050"/>
            <w:noWrap/>
            <w:hideMark/>
          </w:tcPr>
          <w:p w14:paraId="74A34057" w14:textId="77777777" w:rsidR="00EC24B2" w:rsidRPr="004A0113" w:rsidRDefault="00EC24B2" w:rsidP="00AA241E">
            <w:pPr>
              <w:jc w:val="both"/>
              <w:rPr>
                <w:b/>
                <w:bCs/>
              </w:rPr>
            </w:pPr>
            <w:r w:rsidRPr="004A0113">
              <w:rPr>
                <w:b/>
                <w:bCs/>
              </w:rPr>
              <w:t>2023</w:t>
            </w:r>
          </w:p>
        </w:tc>
      </w:tr>
      <w:tr w:rsidR="00C22B37" w:rsidRPr="006E317E" w14:paraId="4F31A4A6" w14:textId="77777777" w:rsidTr="004A0113">
        <w:trPr>
          <w:trHeight w:val="314"/>
        </w:trPr>
        <w:tc>
          <w:tcPr>
            <w:tcW w:w="1771" w:type="dxa"/>
            <w:noWrap/>
            <w:hideMark/>
          </w:tcPr>
          <w:p w14:paraId="273CCBCC" w14:textId="77777777" w:rsidR="00C22B37" w:rsidRPr="006E317E" w:rsidRDefault="00C22B37" w:rsidP="00C22B37">
            <w:pPr>
              <w:jc w:val="both"/>
            </w:pPr>
            <w:r w:rsidRPr="006E317E">
              <w:t>A piirkond</w:t>
            </w:r>
          </w:p>
        </w:tc>
        <w:tc>
          <w:tcPr>
            <w:tcW w:w="1118" w:type="dxa"/>
            <w:noWrap/>
            <w:hideMark/>
          </w:tcPr>
          <w:p w14:paraId="626327BA" w14:textId="402F4061" w:rsidR="00C22B37" w:rsidRPr="006E317E" w:rsidRDefault="00C22B37" w:rsidP="00C22B37">
            <w:pPr>
              <w:jc w:val="both"/>
            </w:pPr>
            <w:r w:rsidRPr="00C87CAD">
              <w:t>…*</w:t>
            </w:r>
          </w:p>
        </w:tc>
        <w:tc>
          <w:tcPr>
            <w:tcW w:w="1118" w:type="dxa"/>
            <w:noWrap/>
            <w:hideMark/>
          </w:tcPr>
          <w:p w14:paraId="10F7E383" w14:textId="344ECCD3" w:rsidR="00C22B37" w:rsidRPr="006E317E" w:rsidRDefault="00C22B37" w:rsidP="00C22B37">
            <w:pPr>
              <w:jc w:val="both"/>
            </w:pPr>
            <w:r w:rsidRPr="00C87CAD">
              <w:t>…*</w:t>
            </w:r>
          </w:p>
        </w:tc>
        <w:tc>
          <w:tcPr>
            <w:tcW w:w="1118" w:type="dxa"/>
            <w:noWrap/>
            <w:hideMark/>
          </w:tcPr>
          <w:p w14:paraId="10DFE35F" w14:textId="3CCA932F" w:rsidR="00C22B37" w:rsidRPr="006E317E" w:rsidRDefault="00C22B37" w:rsidP="00C22B37">
            <w:pPr>
              <w:jc w:val="both"/>
            </w:pPr>
            <w:r w:rsidRPr="00C87CAD">
              <w:t>…*</w:t>
            </w:r>
          </w:p>
        </w:tc>
        <w:tc>
          <w:tcPr>
            <w:tcW w:w="1118" w:type="dxa"/>
            <w:noWrap/>
            <w:hideMark/>
          </w:tcPr>
          <w:p w14:paraId="782271A0" w14:textId="422188E5" w:rsidR="00C22B37" w:rsidRPr="006E317E" w:rsidRDefault="00C22B37" w:rsidP="00C22B37">
            <w:pPr>
              <w:jc w:val="both"/>
            </w:pPr>
            <w:r w:rsidRPr="00C87CAD">
              <w:t>…*</w:t>
            </w:r>
          </w:p>
        </w:tc>
        <w:tc>
          <w:tcPr>
            <w:tcW w:w="1118" w:type="dxa"/>
            <w:noWrap/>
            <w:hideMark/>
          </w:tcPr>
          <w:p w14:paraId="5C6DF737" w14:textId="1AD2FEAE" w:rsidR="00C22B37" w:rsidRPr="006E317E" w:rsidRDefault="00C22B37" w:rsidP="00C22B37">
            <w:pPr>
              <w:jc w:val="both"/>
            </w:pPr>
            <w:r w:rsidRPr="00C87CAD">
              <w:t>…*</w:t>
            </w:r>
          </w:p>
        </w:tc>
        <w:tc>
          <w:tcPr>
            <w:tcW w:w="1118" w:type="dxa"/>
            <w:noWrap/>
            <w:hideMark/>
          </w:tcPr>
          <w:p w14:paraId="01B1EEFF" w14:textId="050401DF" w:rsidR="00C22B37" w:rsidRPr="006E317E" w:rsidRDefault="00C22B37" w:rsidP="00C22B37">
            <w:pPr>
              <w:jc w:val="both"/>
            </w:pPr>
            <w:r w:rsidRPr="00C87CAD">
              <w:t>…*</w:t>
            </w:r>
          </w:p>
        </w:tc>
        <w:tc>
          <w:tcPr>
            <w:tcW w:w="1118" w:type="dxa"/>
            <w:noWrap/>
            <w:hideMark/>
          </w:tcPr>
          <w:p w14:paraId="222A6356" w14:textId="44AD686C" w:rsidR="00C22B37" w:rsidRPr="006E317E" w:rsidRDefault="00C22B37" w:rsidP="00C22B37">
            <w:pPr>
              <w:jc w:val="both"/>
            </w:pPr>
            <w:r w:rsidRPr="00C87CAD">
              <w:t>…*</w:t>
            </w:r>
          </w:p>
        </w:tc>
      </w:tr>
      <w:tr w:rsidR="00C22B37" w:rsidRPr="006E317E" w14:paraId="35CC1522" w14:textId="77777777" w:rsidTr="004A0113">
        <w:trPr>
          <w:trHeight w:val="314"/>
        </w:trPr>
        <w:tc>
          <w:tcPr>
            <w:tcW w:w="1771" w:type="dxa"/>
            <w:noWrap/>
            <w:hideMark/>
          </w:tcPr>
          <w:p w14:paraId="3E864CF2" w14:textId="77777777" w:rsidR="00C22B37" w:rsidRPr="006E317E" w:rsidRDefault="00C22B37" w:rsidP="00C22B37">
            <w:pPr>
              <w:jc w:val="both"/>
            </w:pPr>
            <w:r w:rsidRPr="006E317E">
              <w:t>B piirkond</w:t>
            </w:r>
          </w:p>
        </w:tc>
        <w:tc>
          <w:tcPr>
            <w:tcW w:w="1118" w:type="dxa"/>
            <w:noWrap/>
            <w:hideMark/>
          </w:tcPr>
          <w:p w14:paraId="4142B52F" w14:textId="0BFCC8B8" w:rsidR="00C22B37" w:rsidRPr="006E317E" w:rsidRDefault="00C22B37" w:rsidP="00C22B37">
            <w:pPr>
              <w:jc w:val="both"/>
            </w:pPr>
            <w:r w:rsidRPr="00C87CAD">
              <w:t>…*</w:t>
            </w:r>
          </w:p>
        </w:tc>
        <w:tc>
          <w:tcPr>
            <w:tcW w:w="1118" w:type="dxa"/>
            <w:noWrap/>
            <w:hideMark/>
          </w:tcPr>
          <w:p w14:paraId="372D9AAD" w14:textId="04B44CEB" w:rsidR="00C22B37" w:rsidRPr="006E317E" w:rsidRDefault="00C22B37" w:rsidP="00C22B37">
            <w:pPr>
              <w:jc w:val="both"/>
            </w:pPr>
            <w:r w:rsidRPr="00C87CAD">
              <w:t>…*</w:t>
            </w:r>
          </w:p>
        </w:tc>
        <w:tc>
          <w:tcPr>
            <w:tcW w:w="1118" w:type="dxa"/>
            <w:noWrap/>
            <w:hideMark/>
          </w:tcPr>
          <w:p w14:paraId="6B93A714" w14:textId="5C491C81" w:rsidR="00C22B37" w:rsidRPr="006E317E" w:rsidRDefault="00C22B37" w:rsidP="00C22B37">
            <w:pPr>
              <w:jc w:val="both"/>
            </w:pPr>
            <w:r w:rsidRPr="00C87CAD">
              <w:t>…*</w:t>
            </w:r>
          </w:p>
        </w:tc>
        <w:tc>
          <w:tcPr>
            <w:tcW w:w="1118" w:type="dxa"/>
            <w:noWrap/>
            <w:hideMark/>
          </w:tcPr>
          <w:p w14:paraId="1A7D8801" w14:textId="2217A287" w:rsidR="00C22B37" w:rsidRPr="006E317E" w:rsidRDefault="00C22B37" w:rsidP="00C22B37">
            <w:pPr>
              <w:jc w:val="both"/>
            </w:pPr>
            <w:r w:rsidRPr="00C87CAD">
              <w:t>…*</w:t>
            </w:r>
          </w:p>
        </w:tc>
        <w:tc>
          <w:tcPr>
            <w:tcW w:w="1118" w:type="dxa"/>
            <w:noWrap/>
            <w:hideMark/>
          </w:tcPr>
          <w:p w14:paraId="5CD74AD4" w14:textId="141507FB" w:rsidR="00C22B37" w:rsidRPr="006E317E" w:rsidRDefault="00C22B37" w:rsidP="00C22B37">
            <w:pPr>
              <w:jc w:val="both"/>
            </w:pPr>
            <w:r w:rsidRPr="00C87CAD">
              <w:t>…*</w:t>
            </w:r>
          </w:p>
        </w:tc>
        <w:tc>
          <w:tcPr>
            <w:tcW w:w="1118" w:type="dxa"/>
            <w:noWrap/>
            <w:hideMark/>
          </w:tcPr>
          <w:p w14:paraId="4A5E9742" w14:textId="75CEEC3F" w:rsidR="00C22B37" w:rsidRPr="006E317E" w:rsidRDefault="00C22B37" w:rsidP="00C22B37">
            <w:pPr>
              <w:jc w:val="both"/>
            </w:pPr>
            <w:r w:rsidRPr="00C87CAD">
              <w:t>…*</w:t>
            </w:r>
          </w:p>
        </w:tc>
        <w:tc>
          <w:tcPr>
            <w:tcW w:w="1118" w:type="dxa"/>
            <w:noWrap/>
            <w:hideMark/>
          </w:tcPr>
          <w:p w14:paraId="29DD9C90" w14:textId="4E567245" w:rsidR="00C22B37" w:rsidRPr="006E317E" w:rsidRDefault="00C22B37" w:rsidP="00C22B37">
            <w:pPr>
              <w:jc w:val="both"/>
            </w:pPr>
            <w:r w:rsidRPr="00C87CAD">
              <w:t>…*</w:t>
            </w:r>
          </w:p>
        </w:tc>
      </w:tr>
      <w:tr w:rsidR="00C22B37" w:rsidRPr="006E317E" w14:paraId="252A8E74" w14:textId="77777777" w:rsidTr="004A0113">
        <w:trPr>
          <w:trHeight w:val="347"/>
        </w:trPr>
        <w:tc>
          <w:tcPr>
            <w:tcW w:w="1771" w:type="dxa"/>
            <w:noWrap/>
            <w:hideMark/>
          </w:tcPr>
          <w:p w14:paraId="71538481" w14:textId="77777777" w:rsidR="00C22B37" w:rsidRPr="006E317E" w:rsidRDefault="00C22B37" w:rsidP="00C22B37">
            <w:pPr>
              <w:jc w:val="both"/>
            </w:pPr>
            <w:r w:rsidRPr="006E317E">
              <w:t>Eestis kokku</w:t>
            </w:r>
          </w:p>
        </w:tc>
        <w:tc>
          <w:tcPr>
            <w:tcW w:w="1118" w:type="dxa"/>
            <w:noWrap/>
            <w:hideMark/>
          </w:tcPr>
          <w:p w14:paraId="2C0F29D2" w14:textId="322329C6" w:rsidR="00C22B37" w:rsidRPr="006E317E" w:rsidRDefault="00C22B37" w:rsidP="00C22B37">
            <w:pPr>
              <w:jc w:val="both"/>
            </w:pPr>
            <w:r w:rsidRPr="00C87CAD">
              <w:t>…*</w:t>
            </w:r>
          </w:p>
        </w:tc>
        <w:tc>
          <w:tcPr>
            <w:tcW w:w="1118" w:type="dxa"/>
            <w:noWrap/>
            <w:hideMark/>
          </w:tcPr>
          <w:p w14:paraId="5CC438ED" w14:textId="18F49068" w:rsidR="00C22B37" w:rsidRPr="006E317E" w:rsidRDefault="00C22B37" w:rsidP="00C22B37">
            <w:pPr>
              <w:jc w:val="both"/>
            </w:pPr>
            <w:r w:rsidRPr="00C87CAD">
              <w:t>…*</w:t>
            </w:r>
          </w:p>
        </w:tc>
        <w:tc>
          <w:tcPr>
            <w:tcW w:w="1118" w:type="dxa"/>
            <w:noWrap/>
            <w:hideMark/>
          </w:tcPr>
          <w:p w14:paraId="6EC8BB8E" w14:textId="13B90F49" w:rsidR="00C22B37" w:rsidRPr="006E317E" w:rsidRDefault="00C22B37" w:rsidP="00C22B37">
            <w:pPr>
              <w:jc w:val="both"/>
            </w:pPr>
            <w:r w:rsidRPr="00C87CAD">
              <w:t>…*</w:t>
            </w:r>
          </w:p>
        </w:tc>
        <w:tc>
          <w:tcPr>
            <w:tcW w:w="1118" w:type="dxa"/>
            <w:noWrap/>
            <w:hideMark/>
          </w:tcPr>
          <w:p w14:paraId="25D02029" w14:textId="714548F3" w:rsidR="00C22B37" w:rsidRPr="006E317E" w:rsidRDefault="00C22B37" w:rsidP="00C22B37">
            <w:pPr>
              <w:jc w:val="both"/>
            </w:pPr>
            <w:r w:rsidRPr="00C87CAD">
              <w:t>…*</w:t>
            </w:r>
          </w:p>
        </w:tc>
        <w:tc>
          <w:tcPr>
            <w:tcW w:w="1118" w:type="dxa"/>
            <w:noWrap/>
            <w:hideMark/>
          </w:tcPr>
          <w:p w14:paraId="3C6E9C30" w14:textId="766B260A" w:rsidR="00C22B37" w:rsidRPr="006E317E" w:rsidRDefault="00C22B37" w:rsidP="00C22B37">
            <w:pPr>
              <w:jc w:val="both"/>
            </w:pPr>
            <w:r w:rsidRPr="00C87CAD">
              <w:t>…*</w:t>
            </w:r>
          </w:p>
        </w:tc>
        <w:tc>
          <w:tcPr>
            <w:tcW w:w="1118" w:type="dxa"/>
            <w:noWrap/>
            <w:hideMark/>
          </w:tcPr>
          <w:p w14:paraId="7A6AA85D" w14:textId="1B5523B3" w:rsidR="00C22B37" w:rsidRPr="006E317E" w:rsidRDefault="00C22B37" w:rsidP="00C22B37">
            <w:pPr>
              <w:jc w:val="both"/>
            </w:pPr>
            <w:r w:rsidRPr="00C87CAD">
              <w:t>…*</w:t>
            </w:r>
          </w:p>
        </w:tc>
        <w:tc>
          <w:tcPr>
            <w:tcW w:w="1118" w:type="dxa"/>
            <w:noWrap/>
            <w:hideMark/>
          </w:tcPr>
          <w:p w14:paraId="68C9EA33" w14:textId="49210149" w:rsidR="00C22B37" w:rsidRPr="006E317E" w:rsidRDefault="00C22B37" w:rsidP="00C22B37">
            <w:pPr>
              <w:jc w:val="both"/>
            </w:pPr>
            <w:r w:rsidRPr="00C87CAD">
              <w:t>…*</w:t>
            </w:r>
          </w:p>
        </w:tc>
      </w:tr>
    </w:tbl>
    <w:p w14:paraId="6CA7CF81" w14:textId="7F1B39F4" w:rsidR="00EC24B2" w:rsidRPr="006E317E" w:rsidRDefault="004A0113" w:rsidP="00AA241E">
      <w:pPr>
        <w:pStyle w:val="Pealdis"/>
        <w:jc w:val="both"/>
      </w:pPr>
      <w:r>
        <w:t xml:space="preserve">Tabel </w:t>
      </w:r>
      <w:r>
        <w:fldChar w:fldCharType="begin"/>
      </w:r>
      <w:r>
        <w:instrText xml:space="preserve"> SEQ Tabel \* ARABIC </w:instrText>
      </w:r>
      <w:r>
        <w:fldChar w:fldCharType="separate"/>
      </w:r>
      <w:r w:rsidR="00247D84">
        <w:rPr>
          <w:noProof/>
        </w:rPr>
        <w:t>31</w:t>
      </w:r>
      <w:r>
        <w:fldChar w:fldCharType="end"/>
      </w:r>
      <w:r>
        <w:t xml:space="preserve"> </w:t>
      </w:r>
      <w:r w:rsidR="00EC24B2" w:rsidRPr="006E317E">
        <w:t xml:space="preserve">Telia FTTH ja FTTB aktiivsete </w:t>
      </w:r>
      <w:r w:rsidR="0007135D">
        <w:t>kliendiliin</w:t>
      </w:r>
      <w:r w:rsidR="00EC24B2" w:rsidRPr="006E317E">
        <w:t>ide arvu dünaamika Eesti territooriumil, A ja B piirkonnas.</w:t>
      </w:r>
    </w:p>
    <w:p w14:paraId="7CD0801F" w14:textId="46EAEBED" w:rsidR="00EC24B2" w:rsidRPr="006E317E" w:rsidRDefault="00EC24B2" w:rsidP="00AA241E">
      <w:pPr>
        <w:jc w:val="both"/>
      </w:pPr>
      <w:bookmarkStart w:id="664" w:name="_Hlk143785567"/>
      <w:r w:rsidRPr="006E317E">
        <w:t>Telia FTTH ja FTTB aktiiv</w:t>
      </w:r>
      <w:r w:rsidR="0007135D">
        <w:t>sete kliendiliin</w:t>
      </w:r>
      <w:r w:rsidRPr="006E317E">
        <w:t xml:space="preserve">ide arvu minimaalne kasv või langus viimasel kolmel aastal A piirkonnas viitab tugevale konkuretsi survele teiste konkureerivate teenuse osutajate poolt. B piirkonnas on Telia FTTH ja FTTB aktiivsete </w:t>
      </w:r>
      <w:r w:rsidR="0007135D">
        <w:t>kliendiliin</w:t>
      </w:r>
      <w:r w:rsidRPr="006E317E">
        <w:t>ide arv on pidevalt kasvanud ja seega konkurentsi surve on väike antud piirkonnas.</w:t>
      </w:r>
    </w:p>
    <w:p w14:paraId="65D013A1" w14:textId="2DD4FE5B" w:rsidR="00EC24B2" w:rsidRPr="006E317E" w:rsidRDefault="00EC24B2" w:rsidP="00AA241E">
      <w:pPr>
        <w:jc w:val="both"/>
      </w:pPr>
      <w:r w:rsidRPr="006E317E">
        <w:t xml:space="preserve">FTTH juurdepääsuvõrgu aktiivsete </w:t>
      </w:r>
      <w:r w:rsidR="0007135D">
        <w:t>kliendiliin</w:t>
      </w:r>
      <w:r w:rsidRPr="006E317E">
        <w:t>ide arvu vähenemise põhjuseks peab Telia teiste interneti püsivõrgu pakkuja</w:t>
      </w:r>
      <w:r w:rsidR="005D050E">
        <w:t xml:space="preserve">te poolt </w:t>
      </w:r>
      <w:r w:rsidR="001E43C9">
        <w:t>osutatavat</w:t>
      </w:r>
      <w:r w:rsidR="005D050E">
        <w:t xml:space="preserve"> survet</w:t>
      </w:r>
      <w:r w:rsidRPr="006E317E">
        <w:t>, eelkõige mada</w:t>
      </w:r>
      <w:r w:rsidR="00E10DDC">
        <w:t>lat</w:t>
      </w:r>
      <w:r w:rsidRPr="006E317E">
        <w:t xml:space="preserve"> </w:t>
      </w:r>
      <w:r w:rsidR="009921FA">
        <w:t>jae</w:t>
      </w:r>
      <w:r w:rsidR="009921FA" w:rsidRPr="006E317E">
        <w:t>hinna</w:t>
      </w:r>
      <w:r w:rsidR="009921FA">
        <w:t>d</w:t>
      </w:r>
      <w:r w:rsidRPr="006E317E">
        <w:t xml:space="preserve"> pakkuvate </w:t>
      </w:r>
      <w:r w:rsidR="00FE4E29">
        <w:t xml:space="preserve">valguskaabel </w:t>
      </w:r>
      <w:r w:rsidRPr="006E317E">
        <w:t>teenuste pakku</w:t>
      </w:r>
      <w:r w:rsidR="002E4B2E">
        <w:t>va</w:t>
      </w:r>
      <w:r w:rsidRPr="006E317E">
        <w:t>te</w:t>
      </w:r>
      <w:r w:rsidR="005C122E">
        <w:t xml:space="preserve"> sideettevõtjate</w:t>
      </w:r>
      <w:r w:rsidRPr="006E317E">
        <w:t xml:space="preserve"> märkimisväärset konkurentsi A piirkonna turul. Telia usub, et viimastel aastatel on mobiil</w:t>
      </w:r>
      <w:r w:rsidR="009C3A63">
        <w:t>sed interneti</w:t>
      </w:r>
      <w:r w:rsidR="00A0295C">
        <w:t xml:space="preserve"> teenused</w:t>
      </w:r>
      <w:r w:rsidRPr="006E317E">
        <w:t xml:space="preserve"> konkureerivad ka Telia püsivõrguteenustega, sealhulgas FTTH</w:t>
      </w:r>
      <w:r w:rsidR="00E442DB">
        <w:t xml:space="preserve"> võrgu</w:t>
      </w:r>
      <w:r w:rsidR="00F14562">
        <w:t>s osutavate jae</w:t>
      </w:r>
      <w:r w:rsidR="00E442DB">
        <w:t>teenustega</w:t>
      </w:r>
      <w:r w:rsidRPr="006E317E">
        <w:t>.</w:t>
      </w:r>
    </w:p>
    <w:p w14:paraId="7A8DF6C1" w14:textId="246DFDE6" w:rsidR="00EC24B2" w:rsidRPr="006E317E" w:rsidRDefault="00EC24B2" w:rsidP="00AA241E">
      <w:pPr>
        <w:jc w:val="both"/>
      </w:pPr>
      <w:r w:rsidRPr="006E317E">
        <w:t xml:space="preserve">Võttes arvesse, et </w:t>
      </w:r>
      <w:r w:rsidR="00A3232C">
        <w:t>valguskaabelvõrgu</w:t>
      </w:r>
      <w:r w:rsidR="00266ECD" w:rsidRPr="006E317E">
        <w:t xml:space="preserve"> jaetasandi internetiühenduste tootetur</w:t>
      </w:r>
      <w:r w:rsidR="00266ECD">
        <w:t xml:space="preserve">u </w:t>
      </w:r>
      <w:r w:rsidRPr="006E317E">
        <w:t xml:space="preserve">püsiinternetti ei saa funktsionaalselt asendada </w:t>
      </w:r>
      <w:r w:rsidR="00A83B36" w:rsidRPr="00A83B36">
        <w:t>püsiasukohas tarbimiseks suunatud piiramatu mahuga internetiühendus</w:t>
      </w:r>
      <w:r w:rsidR="006C6070">
        <w:t>tega</w:t>
      </w:r>
      <w:r w:rsidR="00A83B36" w:rsidRPr="00A83B36">
        <w:t xml:space="preserve"> mobiilsidevõrgu baasil </w:t>
      </w:r>
      <w:r w:rsidRPr="006E317E">
        <w:t xml:space="preserve">ning see ei kuulu </w:t>
      </w:r>
      <w:r w:rsidR="00A3232C">
        <w:t>valguskaabelvõrgu</w:t>
      </w:r>
      <w:r w:rsidR="00266ECD" w:rsidRPr="006E317E">
        <w:t xml:space="preserve"> jaetasandi internetiühenduste tootetur</w:t>
      </w:r>
      <w:r w:rsidR="00266ECD">
        <w:t xml:space="preserve">ule </w:t>
      </w:r>
      <w:r w:rsidRPr="002E251B">
        <w:t xml:space="preserve">(vt punktid </w:t>
      </w:r>
      <w:r w:rsidR="00F0663B">
        <w:t>2</w:t>
      </w:r>
      <w:r w:rsidR="009D34AC">
        <w:t>.</w:t>
      </w:r>
      <w:r w:rsidR="008033DA">
        <w:t>2.3</w:t>
      </w:r>
      <w:r w:rsidRPr="006E317E">
        <w:t xml:space="preserve">), ei analüüsi TTJA käesolevas jaos mobiilsideoperaatorite kontrolli mobiilsideoperaatorite infrastruktuuri üle. </w:t>
      </w:r>
      <w:r w:rsidR="00266ECD">
        <w:t>TTJA</w:t>
      </w:r>
      <w:r w:rsidRPr="006E317E">
        <w:t xml:space="preserve"> hinnangul ei saa järgmise viie aasta jooksul </w:t>
      </w:r>
      <w:r w:rsidR="00A3232C">
        <w:t>valguskaabelvõrgu</w:t>
      </w:r>
      <w:r w:rsidR="00266ECD" w:rsidRPr="006E317E">
        <w:t xml:space="preserve"> jaetasandi internetiühenduste tootetur</w:t>
      </w:r>
      <w:r w:rsidR="00266ECD">
        <w:t>u</w:t>
      </w:r>
      <w:r w:rsidRPr="006E317E">
        <w:t xml:space="preserve"> fikseeritud </w:t>
      </w:r>
      <w:r w:rsidRPr="006E317E">
        <w:lastRenderedPageBreak/>
        <w:t xml:space="preserve">internetti funktsionaalselt asendada </w:t>
      </w:r>
      <w:r w:rsidR="00A83B36" w:rsidRPr="00A83B36">
        <w:t>püsiasukohas tarbimiseks suunatud piiramatu mahuga internetiühendus</w:t>
      </w:r>
      <w:r w:rsidR="0060591C">
        <w:t>tega</w:t>
      </w:r>
      <w:r w:rsidR="00A83B36" w:rsidRPr="00A83B36">
        <w:t xml:space="preserve"> mobiilsidevõrgu baasil</w:t>
      </w:r>
      <w:r w:rsidRPr="006E317E">
        <w:t>.</w:t>
      </w:r>
    </w:p>
    <w:p w14:paraId="33404034" w14:textId="5A955238" w:rsidR="00EC24B2" w:rsidRPr="006E317E" w:rsidRDefault="00EC24B2" w:rsidP="00AA241E">
      <w:pPr>
        <w:jc w:val="both"/>
      </w:pPr>
      <w:r w:rsidRPr="006E317E">
        <w:t>Ee</w:t>
      </w:r>
      <w:r w:rsidR="00266ECD">
        <w:t>l</w:t>
      </w:r>
      <w:r w:rsidRPr="006E317E">
        <w:t>pool öeldut silmas pidades järeldab TTJA, et:</w:t>
      </w:r>
    </w:p>
    <w:p w14:paraId="42EBC88F" w14:textId="77777777" w:rsidR="00EC24B2" w:rsidRPr="006E317E" w:rsidRDefault="00EC24B2" w:rsidP="00AA241E">
      <w:pPr>
        <w:jc w:val="both"/>
      </w:pPr>
      <w:r w:rsidRPr="006E317E">
        <w:t>Telia kontrollib endiselt olulist infrastruktuuri seoses füüsilise infrastruktuuriga, mis on ette nähtud elektrooniliste sidekaablite paigaldamiseks kaabelkanalisatsiooni  postidele;</w:t>
      </w:r>
      <w:bookmarkEnd w:id="664"/>
    </w:p>
    <w:p w14:paraId="6A79DC3B" w14:textId="0D7A616C" w:rsidR="00EC24B2" w:rsidRPr="006E317E" w:rsidRDefault="00EC24B2" w:rsidP="00AA241E">
      <w:pPr>
        <w:jc w:val="both"/>
      </w:pPr>
      <w:r w:rsidRPr="006E317E">
        <w:t xml:space="preserve">Telial A piirkonnas valguskaabli juurdepääsuvõrgu ulatuslik katvus. Seega on Telial endiselt kontroll olulise elektroonilise side infrastruktuuri üle ja tehnoloogilised eelised A piirkonna </w:t>
      </w:r>
      <w:r w:rsidR="00A3232C">
        <w:t>valguskaabelvõrgu</w:t>
      </w:r>
      <w:r w:rsidR="00266ECD" w:rsidRPr="006E317E">
        <w:t xml:space="preserve"> jaetasandi internetiühenduste tootetur</w:t>
      </w:r>
      <w:r w:rsidR="00266ECD">
        <w:t>ul</w:t>
      </w:r>
      <w:r w:rsidRPr="006E317E">
        <w:t xml:space="preserve">, </w:t>
      </w:r>
      <w:bookmarkStart w:id="665" w:name="_Hlk172122686"/>
      <w:r w:rsidRPr="006E317E">
        <w:t>kuid nüüd mitte enam sel määral, mis võimaldab tal individuaalselt olla turgu valitseva seisundiga samaväärses majanduslikus seisundis</w:t>
      </w:r>
      <w:bookmarkEnd w:id="665"/>
      <w:r w:rsidRPr="006E317E">
        <w:t>;</w:t>
      </w:r>
    </w:p>
    <w:p w14:paraId="6002ABCF" w14:textId="0E2FC069" w:rsidR="00EC24B2" w:rsidRPr="006E317E" w:rsidRDefault="00EC24B2" w:rsidP="00AA241E">
      <w:pPr>
        <w:jc w:val="both"/>
      </w:pPr>
      <w:r w:rsidRPr="006E317E">
        <w:t xml:space="preserve">Telial on endiselt kontroll olulise elektroonilise side infrastruktuuri üle ja tehnoloogilised eelised B piirkonnas toimuva </w:t>
      </w:r>
      <w:r w:rsidR="00A3232C">
        <w:t>valguskaabelvõrgu</w:t>
      </w:r>
      <w:r w:rsidR="00266ECD" w:rsidRPr="006E317E">
        <w:t xml:space="preserve"> jaetasandi internetiühenduste tootetur</w:t>
      </w:r>
      <w:r w:rsidR="00266ECD">
        <w:t xml:space="preserve">ul </w:t>
      </w:r>
      <w:r w:rsidRPr="006E317E">
        <w:t>ning ta on niivõrd, kuivõrd see individuaalselt võimaldab tal olla turgu valitseva seisundiga samaväärses majandusliku võimsusega seisundis.</w:t>
      </w:r>
    </w:p>
    <w:p w14:paraId="6C94F59F" w14:textId="4A4E39C6" w:rsidR="00EC24B2" w:rsidRPr="006E317E" w:rsidRDefault="00EC24B2" w:rsidP="00AA241E">
      <w:pPr>
        <w:pStyle w:val="Heading49"/>
        <w:numPr>
          <w:ilvl w:val="3"/>
          <w:numId w:val="65"/>
        </w:numPr>
      </w:pPr>
      <w:r w:rsidRPr="006E317E">
        <w:t xml:space="preserve">Tasakaalustava </w:t>
      </w:r>
      <w:r w:rsidR="00EE71F9">
        <w:t>ostjaj</w:t>
      </w:r>
      <w:r w:rsidRPr="006E317E">
        <w:t xml:space="preserve">õu </w:t>
      </w:r>
      <w:r w:rsidR="00216571">
        <w:t>olemasolu</w:t>
      </w:r>
      <w:r w:rsidRPr="006E317E">
        <w:t xml:space="preserve"> </w:t>
      </w:r>
    </w:p>
    <w:p w14:paraId="299FC54E" w14:textId="360B3A65" w:rsidR="00EC24B2" w:rsidRPr="006E317E" w:rsidRDefault="002E251B" w:rsidP="00AA241E">
      <w:pPr>
        <w:jc w:val="both"/>
      </w:pPr>
      <w:r w:rsidRPr="002E251B">
        <w:t xml:space="preserve">Tasakaalustava </w:t>
      </w:r>
      <w:r w:rsidR="00EE71F9">
        <w:t>ostjaj</w:t>
      </w:r>
      <w:r w:rsidR="00EC24B2" w:rsidRPr="002E251B">
        <w:t xml:space="preserve">õu </w:t>
      </w:r>
      <w:r>
        <w:t xml:space="preserve">olemasolu </w:t>
      </w:r>
      <w:r w:rsidR="00EC24B2" w:rsidRPr="002E251B">
        <w:t xml:space="preserve">ja selle omaduste kohta vt punkt </w:t>
      </w:r>
      <w:r w:rsidR="0055667E" w:rsidRPr="002E251B">
        <w:t>5</w:t>
      </w:r>
      <w:r w:rsidR="00EC24B2" w:rsidRPr="002E251B">
        <w:t>.1.1.4.</w:t>
      </w:r>
    </w:p>
    <w:p w14:paraId="71611494" w14:textId="0A2E7FCC" w:rsidR="00EC24B2" w:rsidRPr="006E317E" w:rsidRDefault="00EC24B2" w:rsidP="00AA241E">
      <w:pPr>
        <w:jc w:val="both"/>
      </w:pPr>
      <w:r w:rsidRPr="001F7118">
        <w:t xml:space="preserve">Eesti fikseeritud operaatorid saavad pakkuda lõppkasutajatele minimaalset lepinguperioodi (12 või 24 kuud), tavaliselt odavama igakuise liitumistasuga. Võttes arvesse elektrooniliste sidevõrkude kasutuselevõtuks vajalikke suuri investeeringuid, võib lepingu minimaalne kehtivusaeg olla õigustatud, kuna operaatorid vajavad aega tehtud investeeringutega seotud kulude katmiseks. </w:t>
      </w:r>
    </w:p>
    <w:p w14:paraId="345F6A67" w14:textId="3F68714A" w:rsidR="00EC24B2" w:rsidRPr="006E317E" w:rsidRDefault="00EC24B2" w:rsidP="00AA241E">
      <w:pPr>
        <w:jc w:val="both"/>
      </w:pPr>
      <w:r w:rsidRPr="006E317E">
        <w:t>Telia püsiinterneti jaeteenuse hinnad valguskaabel võrkudes on üldjuhul kallimad kui samal turul konkureerivatel teenuseosutajale. Kolme suurema teenuse osutaja interneti teenuse hinnad võrreldavatel kiirustel on toodud allpool. (v</w:t>
      </w:r>
      <w:r w:rsidR="00346D5D">
        <w:t>t</w:t>
      </w:r>
      <w:r w:rsidRPr="006E317E">
        <w:t xml:space="preserve"> tabel </w:t>
      </w:r>
      <w:r w:rsidR="001F7118">
        <w:t>3</w:t>
      </w:r>
      <w:r w:rsidR="00346D5D">
        <w:t>2</w:t>
      </w:r>
      <w:r w:rsidRPr="006E317E">
        <w:t xml:space="preserve"> )</w:t>
      </w:r>
    </w:p>
    <w:tbl>
      <w:tblPr>
        <w:tblStyle w:val="Kontuurtabel1"/>
        <w:tblW w:w="9532" w:type="dxa"/>
        <w:tblLook w:val="04A0" w:firstRow="1" w:lastRow="0" w:firstColumn="1" w:lastColumn="0" w:noHBand="0" w:noVBand="1"/>
      </w:tblPr>
      <w:tblGrid>
        <w:gridCol w:w="1653"/>
        <w:gridCol w:w="2024"/>
        <w:gridCol w:w="1653"/>
        <w:gridCol w:w="1541"/>
        <w:gridCol w:w="1396"/>
        <w:gridCol w:w="1265"/>
      </w:tblGrid>
      <w:tr w:rsidR="005C664C" w:rsidRPr="006E317E" w14:paraId="26EA55D4" w14:textId="77777777" w:rsidTr="005C664C">
        <w:trPr>
          <w:trHeight w:val="277"/>
        </w:trPr>
        <w:tc>
          <w:tcPr>
            <w:tcW w:w="3677" w:type="dxa"/>
            <w:gridSpan w:val="2"/>
            <w:shd w:val="clear" w:color="auto" w:fill="92D050"/>
            <w:noWrap/>
            <w:vAlign w:val="center"/>
            <w:hideMark/>
          </w:tcPr>
          <w:p w14:paraId="15547DD7" w14:textId="77777777" w:rsidR="005C664C" w:rsidRPr="005C664C" w:rsidRDefault="005C664C" w:rsidP="00AA241E">
            <w:pPr>
              <w:jc w:val="both"/>
              <w:rPr>
                <w:b/>
                <w:bCs/>
              </w:rPr>
            </w:pPr>
            <w:r w:rsidRPr="005C664C">
              <w:rPr>
                <w:b/>
                <w:bCs/>
              </w:rPr>
              <w:t>Telia</w:t>
            </w:r>
          </w:p>
          <w:p w14:paraId="4A2F1960" w14:textId="08CF88E4" w:rsidR="005C664C" w:rsidRPr="005C664C" w:rsidRDefault="005C664C" w:rsidP="00AA241E">
            <w:pPr>
              <w:jc w:val="both"/>
              <w:rPr>
                <w:b/>
                <w:bCs/>
              </w:rPr>
            </w:pPr>
          </w:p>
        </w:tc>
        <w:tc>
          <w:tcPr>
            <w:tcW w:w="3194" w:type="dxa"/>
            <w:gridSpan w:val="2"/>
            <w:shd w:val="clear" w:color="auto" w:fill="92D050"/>
            <w:noWrap/>
            <w:vAlign w:val="center"/>
            <w:hideMark/>
          </w:tcPr>
          <w:p w14:paraId="3364F471" w14:textId="77777777" w:rsidR="005C664C" w:rsidRPr="005C664C" w:rsidRDefault="005C664C" w:rsidP="00AA241E">
            <w:pPr>
              <w:jc w:val="both"/>
              <w:rPr>
                <w:b/>
                <w:bCs/>
              </w:rPr>
            </w:pPr>
            <w:r w:rsidRPr="005C664C">
              <w:rPr>
                <w:b/>
                <w:bCs/>
              </w:rPr>
              <w:t>Elisa</w:t>
            </w:r>
          </w:p>
          <w:p w14:paraId="2D3ECA4E" w14:textId="1CC35452" w:rsidR="005C664C" w:rsidRPr="005C664C" w:rsidRDefault="005C664C" w:rsidP="00AA241E">
            <w:pPr>
              <w:jc w:val="both"/>
              <w:rPr>
                <w:b/>
                <w:bCs/>
              </w:rPr>
            </w:pPr>
          </w:p>
        </w:tc>
        <w:tc>
          <w:tcPr>
            <w:tcW w:w="2661" w:type="dxa"/>
            <w:gridSpan w:val="2"/>
            <w:shd w:val="clear" w:color="auto" w:fill="92D050"/>
            <w:noWrap/>
            <w:vAlign w:val="center"/>
            <w:hideMark/>
          </w:tcPr>
          <w:p w14:paraId="4CAFD0EA" w14:textId="77777777" w:rsidR="005C664C" w:rsidRPr="005C664C" w:rsidRDefault="005C664C" w:rsidP="00AA241E">
            <w:pPr>
              <w:jc w:val="both"/>
              <w:rPr>
                <w:b/>
                <w:bCs/>
              </w:rPr>
            </w:pPr>
            <w:r w:rsidRPr="005C664C">
              <w:rPr>
                <w:b/>
                <w:bCs/>
              </w:rPr>
              <w:t>STV</w:t>
            </w:r>
          </w:p>
          <w:p w14:paraId="2D335FAE" w14:textId="0C868ED2" w:rsidR="005C664C" w:rsidRPr="005C664C" w:rsidRDefault="005C664C" w:rsidP="00AA241E">
            <w:pPr>
              <w:jc w:val="both"/>
              <w:rPr>
                <w:b/>
                <w:bCs/>
              </w:rPr>
            </w:pPr>
          </w:p>
        </w:tc>
      </w:tr>
      <w:tr w:rsidR="00EC24B2" w:rsidRPr="006E317E" w14:paraId="5FD0F662" w14:textId="77777777" w:rsidTr="005C664C">
        <w:trPr>
          <w:trHeight w:val="277"/>
        </w:trPr>
        <w:tc>
          <w:tcPr>
            <w:tcW w:w="1653" w:type="dxa"/>
            <w:noWrap/>
            <w:hideMark/>
          </w:tcPr>
          <w:p w14:paraId="06EB61AA" w14:textId="2121CBFF" w:rsidR="00EC24B2" w:rsidRPr="006E317E" w:rsidRDefault="00EC24B2" w:rsidP="00AA241E">
            <w:pPr>
              <w:jc w:val="both"/>
            </w:pPr>
            <w:r w:rsidRPr="006E317E">
              <w:t>Mbi</w:t>
            </w:r>
            <w:r w:rsidR="005C664C">
              <w:t>t</w:t>
            </w:r>
            <w:r w:rsidRPr="006E317E">
              <w:t>/s</w:t>
            </w:r>
          </w:p>
        </w:tc>
        <w:tc>
          <w:tcPr>
            <w:tcW w:w="2024" w:type="dxa"/>
            <w:noWrap/>
            <w:hideMark/>
          </w:tcPr>
          <w:p w14:paraId="0F0E5A5A" w14:textId="77777777" w:rsidR="00EC24B2" w:rsidRPr="006E317E" w:rsidRDefault="00EC24B2" w:rsidP="00AA241E">
            <w:pPr>
              <w:jc w:val="both"/>
            </w:pPr>
            <w:r w:rsidRPr="006E317E">
              <w:t>EUR</w:t>
            </w:r>
          </w:p>
        </w:tc>
        <w:tc>
          <w:tcPr>
            <w:tcW w:w="1653" w:type="dxa"/>
            <w:noWrap/>
            <w:hideMark/>
          </w:tcPr>
          <w:p w14:paraId="34ACECE3" w14:textId="289BAC39" w:rsidR="00EC24B2" w:rsidRPr="006E317E" w:rsidRDefault="00EC24B2" w:rsidP="00AA241E">
            <w:pPr>
              <w:jc w:val="both"/>
            </w:pPr>
            <w:r w:rsidRPr="006E317E">
              <w:t>Mbi</w:t>
            </w:r>
            <w:r w:rsidR="005C664C">
              <w:t>t</w:t>
            </w:r>
            <w:r w:rsidRPr="006E317E">
              <w:t>/s</w:t>
            </w:r>
          </w:p>
        </w:tc>
        <w:tc>
          <w:tcPr>
            <w:tcW w:w="1541" w:type="dxa"/>
            <w:noWrap/>
            <w:hideMark/>
          </w:tcPr>
          <w:p w14:paraId="69089129" w14:textId="77777777" w:rsidR="00EC24B2" w:rsidRPr="006E317E" w:rsidRDefault="00EC24B2" w:rsidP="00AA241E">
            <w:pPr>
              <w:jc w:val="both"/>
            </w:pPr>
            <w:r w:rsidRPr="006E317E">
              <w:t>EUR</w:t>
            </w:r>
          </w:p>
        </w:tc>
        <w:tc>
          <w:tcPr>
            <w:tcW w:w="1396" w:type="dxa"/>
            <w:noWrap/>
            <w:hideMark/>
          </w:tcPr>
          <w:p w14:paraId="08B5C3CA" w14:textId="772AD9D6" w:rsidR="00EC24B2" w:rsidRPr="006E317E" w:rsidRDefault="00EC24B2" w:rsidP="00AA241E">
            <w:pPr>
              <w:jc w:val="both"/>
            </w:pPr>
            <w:r w:rsidRPr="006E317E">
              <w:t>Mbi</w:t>
            </w:r>
            <w:r w:rsidR="005C664C">
              <w:t>t</w:t>
            </w:r>
            <w:r w:rsidRPr="006E317E">
              <w:t>/s</w:t>
            </w:r>
          </w:p>
        </w:tc>
        <w:tc>
          <w:tcPr>
            <w:tcW w:w="1265" w:type="dxa"/>
            <w:noWrap/>
            <w:hideMark/>
          </w:tcPr>
          <w:p w14:paraId="4024D375" w14:textId="77777777" w:rsidR="00EC24B2" w:rsidRPr="006E317E" w:rsidRDefault="00EC24B2" w:rsidP="00AA241E">
            <w:pPr>
              <w:jc w:val="both"/>
            </w:pPr>
            <w:r w:rsidRPr="006E317E">
              <w:t>EUR</w:t>
            </w:r>
          </w:p>
        </w:tc>
      </w:tr>
      <w:tr w:rsidR="00EC24B2" w:rsidRPr="006E317E" w14:paraId="4D7D13F3" w14:textId="77777777" w:rsidTr="005C664C">
        <w:trPr>
          <w:trHeight w:val="277"/>
        </w:trPr>
        <w:tc>
          <w:tcPr>
            <w:tcW w:w="1653" w:type="dxa"/>
            <w:noWrap/>
            <w:hideMark/>
          </w:tcPr>
          <w:p w14:paraId="6E89075C" w14:textId="77777777" w:rsidR="00EC24B2" w:rsidRPr="006E317E" w:rsidRDefault="00EC24B2" w:rsidP="00AA241E">
            <w:pPr>
              <w:jc w:val="both"/>
            </w:pPr>
            <w:r w:rsidRPr="006E317E">
              <w:t>50/10</w:t>
            </w:r>
          </w:p>
        </w:tc>
        <w:tc>
          <w:tcPr>
            <w:tcW w:w="2024" w:type="dxa"/>
            <w:noWrap/>
            <w:hideMark/>
          </w:tcPr>
          <w:p w14:paraId="19EC34A2" w14:textId="77777777" w:rsidR="00EC24B2" w:rsidRPr="006E317E" w:rsidRDefault="00EC24B2" w:rsidP="00AA241E">
            <w:pPr>
              <w:jc w:val="both"/>
            </w:pPr>
            <w:r w:rsidRPr="006E317E">
              <w:t>24,4</w:t>
            </w:r>
          </w:p>
        </w:tc>
        <w:tc>
          <w:tcPr>
            <w:tcW w:w="1653" w:type="dxa"/>
            <w:noWrap/>
            <w:hideMark/>
          </w:tcPr>
          <w:p w14:paraId="15ABE706" w14:textId="77777777" w:rsidR="00EC24B2" w:rsidRPr="006E317E" w:rsidRDefault="00EC24B2" w:rsidP="00AA241E">
            <w:pPr>
              <w:jc w:val="both"/>
            </w:pPr>
            <w:r w:rsidRPr="006E317E">
              <w:t>50/50</w:t>
            </w:r>
          </w:p>
        </w:tc>
        <w:tc>
          <w:tcPr>
            <w:tcW w:w="1541" w:type="dxa"/>
            <w:noWrap/>
            <w:hideMark/>
          </w:tcPr>
          <w:p w14:paraId="7ECA7F2F" w14:textId="77777777" w:rsidR="00EC24B2" w:rsidRPr="006E317E" w:rsidRDefault="00EC24B2" w:rsidP="00AA241E">
            <w:pPr>
              <w:jc w:val="both"/>
            </w:pPr>
            <w:r w:rsidRPr="006E317E">
              <w:t>22,0</w:t>
            </w:r>
          </w:p>
        </w:tc>
        <w:tc>
          <w:tcPr>
            <w:tcW w:w="1396" w:type="dxa"/>
            <w:noWrap/>
            <w:hideMark/>
          </w:tcPr>
          <w:p w14:paraId="397E1C25" w14:textId="77777777" w:rsidR="00EC24B2" w:rsidRPr="006E317E" w:rsidRDefault="00EC24B2" w:rsidP="00AA241E">
            <w:pPr>
              <w:jc w:val="both"/>
            </w:pPr>
            <w:r w:rsidRPr="006E317E">
              <w:t>50/50</w:t>
            </w:r>
          </w:p>
        </w:tc>
        <w:tc>
          <w:tcPr>
            <w:tcW w:w="1265" w:type="dxa"/>
            <w:noWrap/>
            <w:hideMark/>
          </w:tcPr>
          <w:p w14:paraId="360A8AD6" w14:textId="77777777" w:rsidR="00EC24B2" w:rsidRPr="006E317E" w:rsidRDefault="00EC24B2" w:rsidP="00AA241E">
            <w:pPr>
              <w:jc w:val="both"/>
            </w:pPr>
            <w:r w:rsidRPr="006E317E">
              <w:t>19</w:t>
            </w:r>
          </w:p>
        </w:tc>
      </w:tr>
      <w:tr w:rsidR="00EC24B2" w:rsidRPr="006E317E" w14:paraId="6017B017" w14:textId="77777777" w:rsidTr="005C664C">
        <w:trPr>
          <w:trHeight w:val="277"/>
        </w:trPr>
        <w:tc>
          <w:tcPr>
            <w:tcW w:w="1653" w:type="dxa"/>
            <w:noWrap/>
            <w:hideMark/>
          </w:tcPr>
          <w:p w14:paraId="527333CF" w14:textId="77777777" w:rsidR="00EC24B2" w:rsidRPr="006E317E" w:rsidRDefault="00EC24B2" w:rsidP="00AA241E">
            <w:pPr>
              <w:jc w:val="both"/>
            </w:pPr>
            <w:r w:rsidRPr="006E317E">
              <w:t>100/100</w:t>
            </w:r>
          </w:p>
        </w:tc>
        <w:tc>
          <w:tcPr>
            <w:tcW w:w="2024" w:type="dxa"/>
            <w:noWrap/>
            <w:hideMark/>
          </w:tcPr>
          <w:p w14:paraId="28976092" w14:textId="77777777" w:rsidR="00EC24B2" w:rsidRPr="006E317E" w:rsidRDefault="00EC24B2" w:rsidP="00AA241E">
            <w:pPr>
              <w:jc w:val="both"/>
            </w:pPr>
            <w:r w:rsidRPr="006E317E">
              <w:t>27,5</w:t>
            </w:r>
          </w:p>
        </w:tc>
        <w:tc>
          <w:tcPr>
            <w:tcW w:w="1653" w:type="dxa"/>
            <w:noWrap/>
            <w:hideMark/>
          </w:tcPr>
          <w:p w14:paraId="526088BF" w14:textId="77777777" w:rsidR="00EC24B2" w:rsidRPr="006E317E" w:rsidRDefault="00EC24B2" w:rsidP="00AA241E">
            <w:pPr>
              <w:jc w:val="both"/>
            </w:pPr>
            <w:r w:rsidRPr="006E317E">
              <w:t>150/150</w:t>
            </w:r>
          </w:p>
        </w:tc>
        <w:tc>
          <w:tcPr>
            <w:tcW w:w="1541" w:type="dxa"/>
            <w:noWrap/>
            <w:hideMark/>
          </w:tcPr>
          <w:p w14:paraId="5C6ADAB5" w14:textId="77777777" w:rsidR="00EC24B2" w:rsidRPr="006E317E" w:rsidRDefault="00EC24B2" w:rsidP="00AA241E">
            <w:pPr>
              <w:jc w:val="both"/>
            </w:pPr>
            <w:r w:rsidRPr="006E317E">
              <w:t>28,0</w:t>
            </w:r>
          </w:p>
        </w:tc>
        <w:tc>
          <w:tcPr>
            <w:tcW w:w="1396" w:type="dxa"/>
            <w:noWrap/>
            <w:hideMark/>
          </w:tcPr>
          <w:p w14:paraId="0A552AFF" w14:textId="77777777" w:rsidR="00EC24B2" w:rsidRPr="006E317E" w:rsidRDefault="00EC24B2" w:rsidP="00AA241E">
            <w:pPr>
              <w:jc w:val="both"/>
            </w:pPr>
            <w:r w:rsidRPr="006E317E">
              <w:t>150/150</w:t>
            </w:r>
          </w:p>
        </w:tc>
        <w:tc>
          <w:tcPr>
            <w:tcW w:w="1265" w:type="dxa"/>
            <w:noWrap/>
            <w:hideMark/>
          </w:tcPr>
          <w:p w14:paraId="005F38EE" w14:textId="77777777" w:rsidR="00EC24B2" w:rsidRPr="006E317E" w:rsidRDefault="00EC24B2" w:rsidP="00AA241E">
            <w:pPr>
              <w:jc w:val="both"/>
            </w:pPr>
            <w:r w:rsidRPr="006E317E">
              <w:t>25</w:t>
            </w:r>
          </w:p>
        </w:tc>
      </w:tr>
      <w:tr w:rsidR="00EC24B2" w:rsidRPr="006E317E" w14:paraId="51391205" w14:textId="77777777" w:rsidTr="005C664C">
        <w:trPr>
          <w:trHeight w:val="277"/>
        </w:trPr>
        <w:tc>
          <w:tcPr>
            <w:tcW w:w="1653" w:type="dxa"/>
            <w:noWrap/>
            <w:hideMark/>
          </w:tcPr>
          <w:p w14:paraId="07CB53F4" w14:textId="77777777" w:rsidR="00EC24B2" w:rsidRPr="006E317E" w:rsidRDefault="00EC24B2" w:rsidP="00AA241E">
            <w:pPr>
              <w:jc w:val="both"/>
            </w:pPr>
            <w:r w:rsidRPr="006E317E">
              <w:t>500/100</w:t>
            </w:r>
          </w:p>
        </w:tc>
        <w:tc>
          <w:tcPr>
            <w:tcW w:w="2024" w:type="dxa"/>
            <w:noWrap/>
            <w:hideMark/>
          </w:tcPr>
          <w:p w14:paraId="1E60613A" w14:textId="77777777" w:rsidR="00EC24B2" w:rsidRPr="006E317E" w:rsidRDefault="00EC24B2" w:rsidP="00AA241E">
            <w:pPr>
              <w:jc w:val="both"/>
            </w:pPr>
            <w:r w:rsidRPr="006E317E">
              <w:t>42,7</w:t>
            </w:r>
          </w:p>
        </w:tc>
        <w:tc>
          <w:tcPr>
            <w:tcW w:w="1653" w:type="dxa"/>
            <w:noWrap/>
            <w:hideMark/>
          </w:tcPr>
          <w:p w14:paraId="727EC0A3" w14:textId="77777777" w:rsidR="00EC24B2" w:rsidRPr="006E317E" w:rsidRDefault="00EC24B2" w:rsidP="00AA241E">
            <w:pPr>
              <w:jc w:val="both"/>
            </w:pPr>
            <w:r w:rsidRPr="006E317E">
              <w:t>500/500</w:t>
            </w:r>
          </w:p>
        </w:tc>
        <w:tc>
          <w:tcPr>
            <w:tcW w:w="1541" w:type="dxa"/>
            <w:noWrap/>
            <w:hideMark/>
          </w:tcPr>
          <w:p w14:paraId="03B133DD" w14:textId="77777777" w:rsidR="00EC24B2" w:rsidRPr="006E317E" w:rsidRDefault="00EC24B2" w:rsidP="00AA241E">
            <w:pPr>
              <w:jc w:val="both"/>
            </w:pPr>
            <w:r w:rsidRPr="006E317E">
              <w:t>35,0</w:t>
            </w:r>
          </w:p>
        </w:tc>
        <w:tc>
          <w:tcPr>
            <w:tcW w:w="1396" w:type="dxa"/>
            <w:noWrap/>
            <w:hideMark/>
          </w:tcPr>
          <w:p w14:paraId="401F687F" w14:textId="77777777" w:rsidR="00EC24B2" w:rsidRPr="006E317E" w:rsidRDefault="00EC24B2" w:rsidP="00AA241E">
            <w:pPr>
              <w:jc w:val="both"/>
            </w:pPr>
            <w:r w:rsidRPr="006E317E">
              <w:t>500/500</w:t>
            </w:r>
          </w:p>
        </w:tc>
        <w:tc>
          <w:tcPr>
            <w:tcW w:w="1265" w:type="dxa"/>
            <w:noWrap/>
            <w:hideMark/>
          </w:tcPr>
          <w:p w14:paraId="0FF8A75B" w14:textId="77777777" w:rsidR="00EC24B2" w:rsidRPr="006E317E" w:rsidRDefault="00EC24B2" w:rsidP="00AA241E">
            <w:pPr>
              <w:jc w:val="both"/>
            </w:pPr>
            <w:r w:rsidRPr="006E317E">
              <w:t>30</w:t>
            </w:r>
          </w:p>
        </w:tc>
      </w:tr>
      <w:tr w:rsidR="00EC24B2" w:rsidRPr="006E317E" w14:paraId="405599C5" w14:textId="77777777" w:rsidTr="005C664C">
        <w:trPr>
          <w:trHeight w:val="287"/>
        </w:trPr>
        <w:tc>
          <w:tcPr>
            <w:tcW w:w="1653" w:type="dxa"/>
            <w:noWrap/>
            <w:hideMark/>
          </w:tcPr>
          <w:p w14:paraId="157519FE" w14:textId="77777777" w:rsidR="00EC24B2" w:rsidRPr="006E317E" w:rsidRDefault="00EC24B2" w:rsidP="00AA241E">
            <w:pPr>
              <w:jc w:val="both"/>
            </w:pPr>
            <w:r w:rsidRPr="006E317E">
              <w:t>1000/1000</w:t>
            </w:r>
          </w:p>
        </w:tc>
        <w:tc>
          <w:tcPr>
            <w:tcW w:w="2024" w:type="dxa"/>
            <w:noWrap/>
            <w:hideMark/>
          </w:tcPr>
          <w:p w14:paraId="4872E663" w14:textId="77777777" w:rsidR="00EC24B2" w:rsidRPr="006E317E" w:rsidRDefault="00EC24B2" w:rsidP="00AA241E">
            <w:pPr>
              <w:jc w:val="both"/>
            </w:pPr>
            <w:r w:rsidRPr="006E317E">
              <w:t>73,2</w:t>
            </w:r>
          </w:p>
        </w:tc>
        <w:tc>
          <w:tcPr>
            <w:tcW w:w="1653" w:type="dxa"/>
            <w:noWrap/>
            <w:hideMark/>
          </w:tcPr>
          <w:p w14:paraId="7AFD37E2" w14:textId="77777777" w:rsidR="00EC24B2" w:rsidRPr="006E317E" w:rsidRDefault="00EC24B2" w:rsidP="00AA241E">
            <w:pPr>
              <w:jc w:val="both"/>
            </w:pPr>
            <w:r w:rsidRPr="006E317E">
              <w:t>1000/1000</w:t>
            </w:r>
          </w:p>
        </w:tc>
        <w:tc>
          <w:tcPr>
            <w:tcW w:w="1541" w:type="dxa"/>
            <w:noWrap/>
            <w:hideMark/>
          </w:tcPr>
          <w:p w14:paraId="5F55C3B9" w14:textId="77777777" w:rsidR="00EC24B2" w:rsidRPr="006E317E" w:rsidRDefault="00EC24B2" w:rsidP="00AA241E">
            <w:pPr>
              <w:jc w:val="both"/>
            </w:pPr>
            <w:r w:rsidRPr="006E317E">
              <w:t>72,0</w:t>
            </w:r>
          </w:p>
        </w:tc>
        <w:tc>
          <w:tcPr>
            <w:tcW w:w="1396" w:type="dxa"/>
            <w:noWrap/>
            <w:hideMark/>
          </w:tcPr>
          <w:p w14:paraId="78427C53" w14:textId="77777777" w:rsidR="00EC24B2" w:rsidRPr="006E317E" w:rsidRDefault="00EC24B2" w:rsidP="00AA241E">
            <w:pPr>
              <w:jc w:val="both"/>
            </w:pPr>
            <w:r w:rsidRPr="006E317E">
              <w:t> </w:t>
            </w:r>
          </w:p>
        </w:tc>
        <w:tc>
          <w:tcPr>
            <w:tcW w:w="1265" w:type="dxa"/>
            <w:noWrap/>
            <w:hideMark/>
          </w:tcPr>
          <w:p w14:paraId="29A8807A" w14:textId="77777777" w:rsidR="00EC24B2" w:rsidRPr="006E317E" w:rsidRDefault="00EC24B2" w:rsidP="00AA241E">
            <w:pPr>
              <w:jc w:val="both"/>
            </w:pPr>
            <w:r w:rsidRPr="006E317E">
              <w:t> </w:t>
            </w:r>
          </w:p>
        </w:tc>
      </w:tr>
    </w:tbl>
    <w:p w14:paraId="2EF8DF0D" w14:textId="4C72381A" w:rsidR="00EC24B2" w:rsidRPr="006E317E" w:rsidRDefault="005C664C" w:rsidP="00AA241E">
      <w:pPr>
        <w:pStyle w:val="Pealdis"/>
        <w:jc w:val="both"/>
      </w:pPr>
      <w:r>
        <w:t xml:space="preserve">Tabel </w:t>
      </w:r>
      <w:r>
        <w:fldChar w:fldCharType="begin"/>
      </w:r>
      <w:r>
        <w:instrText xml:space="preserve"> SEQ Tabel \* ARABIC </w:instrText>
      </w:r>
      <w:r>
        <w:fldChar w:fldCharType="separate"/>
      </w:r>
      <w:r w:rsidR="00247D84">
        <w:rPr>
          <w:noProof/>
        </w:rPr>
        <w:t>32</w:t>
      </w:r>
      <w:r>
        <w:fldChar w:fldCharType="end"/>
      </w:r>
      <w:r>
        <w:t xml:space="preserve"> </w:t>
      </w:r>
      <w:r w:rsidR="00EC24B2" w:rsidRPr="006E317E">
        <w:t>Internet</w:t>
      </w:r>
      <w:r w:rsidR="0031556A">
        <w:t>i</w:t>
      </w:r>
      <w:r w:rsidR="00EC24B2" w:rsidRPr="006E317E">
        <w:t xml:space="preserve"> jaeteenuse osutamise hinnad suurimate teenuse osutajate poolt võrreldavatel kiirustel Eestis</w:t>
      </w:r>
    </w:p>
    <w:p w14:paraId="1C91D050" w14:textId="77777777" w:rsidR="00EC24B2" w:rsidRPr="006E317E" w:rsidRDefault="00EC24B2" w:rsidP="00AA241E">
      <w:pPr>
        <w:jc w:val="both"/>
      </w:pPr>
      <w:r w:rsidRPr="006E317E">
        <w:t>Telia hinnad on kallimad Elisa hindades 2-22% (sõltuvalt paketi kiirusest). STV hinnad on odavamad Telia hindadest 10-42% (sõltuvalt paketi kiirusest).</w:t>
      </w:r>
    </w:p>
    <w:p w14:paraId="20F157B1" w14:textId="77777777" w:rsidR="00EC24B2" w:rsidRPr="006E317E" w:rsidRDefault="00EC24B2" w:rsidP="00AA241E">
      <w:pPr>
        <w:jc w:val="both"/>
      </w:pPr>
      <w:r w:rsidRPr="006E317E">
        <w:t xml:space="preserve">Püsiinterneti kasutamiseks vajate tavaliselt </w:t>
      </w:r>
      <w:proofErr w:type="spellStart"/>
      <w:r w:rsidRPr="006E317E">
        <w:t>WiFi</w:t>
      </w:r>
      <w:proofErr w:type="spellEnd"/>
      <w:r w:rsidRPr="006E317E">
        <w:t xml:space="preserve">-marsruuterit, mille kasutamine võib sisalduda liitumistasus, või seda saab osta või rentida eraldi tasu eest. Seega, näiteks vastavalt Telia veebisaidil olevale teabele, sisaldub Wi-Fi ruuteri kasutamine rendi tasu 4,06 EUR/kuus, kuid Elisa veebisaidil oleva teabe kohaselt on Wi-Fi ruuteri igakuine 4,99 EUR/kuus ja STV veebisaidil </w:t>
      </w:r>
      <w:r w:rsidRPr="006E317E">
        <w:lastRenderedPageBreak/>
        <w:t>oleva teabe kohaselt on Wi-Fi ruuteri igakuine 4 EUR/kuus  TTJA järeldab, et lõppkasutajate üleminekul teisele operaatorile on kulud sarnased kõigi operaatoritega ja neid ei saa pidada ülemäärasteks.</w:t>
      </w:r>
    </w:p>
    <w:p w14:paraId="65BDF7D7" w14:textId="383069F4" w:rsidR="00EC24B2" w:rsidRPr="006E317E" w:rsidRDefault="00EC24B2" w:rsidP="00AA241E">
      <w:pPr>
        <w:jc w:val="both"/>
      </w:pPr>
      <w:r w:rsidRPr="006E317E">
        <w:t xml:space="preserve">Üheski teises Eesti piirkonnas  ei ole nii palju FTTH ja FTTB interneti püsiteenuse pakkujaid kui A piirkonnas ehk 12 teenuse osutajat, analüüsis käsitletakse kaheksat teenuse osutajat. Ülejäänud viis teenuse osutajat on väga väikese tarbijakonna ja levialaga ning seetõttu neid analüüsis ei vaadelda.. A piirkonna teenuseosutajad on arendanud oma elektroonilisi sidevõrke järk-järgult, tagades madalama igakuise liitumistasu või mis on võrreldav Telia igakuise liitumistasuga. Selle tulemusena on lõppkasutajad võimalik valida erinevate teenuse osutajate  vahel, mis näitab tasakaalustava </w:t>
      </w:r>
      <w:r w:rsidR="00EE71F9">
        <w:t>ostjaj</w:t>
      </w:r>
      <w:r w:rsidRPr="006E317E">
        <w:t>õu olemasolu valguskaabli alamturu jaemüügis A piirkonnas.</w:t>
      </w:r>
    </w:p>
    <w:p w14:paraId="43D9EB71" w14:textId="3060F381" w:rsidR="00EC24B2" w:rsidRPr="006E317E" w:rsidRDefault="00EC24B2" w:rsidP="00AA241E">
      <w:pPr>
        <w:jc w:val="both"/>
      </w:pPr>
      <w:r w:rsidRPr="006E317E">
        <w:t xml:space="preserve">Hoolimata teiste operaatorite madalamast igakuisest liitumistasust võrreldes Telia igakuise liitumistasuga, järeldab TTJA, et kompenseeriv </w:t>
      </w:r>
      <w:r w:rsidR="00EE71F9">
        <w:t>ostjaj</w:t>
      </w:r>
      <w:r w:rsidRPr="006E317E">
        <w:t>õud B piirkonnas ei ole piisav, sest Telia infrastruktuur on terviklik kogu riigi territooriumil ja suures osas sellest on ainus kättesaadav infrastruktuur Telia.</w:t>
      </w:r>
    </w:p>
    <w:p w14:paraId="1A2A1CF4" w14:textId="126A7568" w:rsidR="00EC24B2" w:rsidRPr="006E317E" w:rsidRDefault="00EC24B2" w:rsidP="00AA241E">
      <w:pPr>
        <w:spacing w:after="240"/>
        <w:jc w:val="both"/>
      </w:pPr>
      <w:r w:rsidRPr="006E317E">
        <w:t xml:space="preserve">Eespool öeldut silmas pidades on tasakaalustav </w:t>
      </w:r>
      <w:r w:rsidR="00EE71F9">
        <w:t>ostjaj</w:t>
      </w:r>
      <w:r w:rsidRPr="006E317E">
        <w:t xml:space="preserve">õud A piirkonnas </w:t>
      </w:r>
      <w:r w:rsidR="00A3232C">
        <w:t>valguskaabelvõrgu</w:t>
      </w:r>
      <w:r w:rsidR="008715F5" w:rsidRPr="006E317E">
        <w:t xml:space="preserve"> jaetasandi internetiühenduste tootetur</w:t>
      </w:r>
      <w:r w:rsidR="008715F5">
        <w:t>ul</w:t>
      </w:r>
      <w:r w:rsidRPr="006E317E">
        <w:t xml:space="preserve"> praegu piisav, kuid B piirkonnas </w:t>
      </w:r>
      <w:r w:rsidR="00A3232C">
        <w:t>valguskaabelvõrgu</w:t>
      </w:r>
      <w:r w:rsidR="008715F5" w:rsidRPr="006E317E">
        <w:t xml:space="preserve"> jaetasandi internetiühenduste tootetur</w:t>
      </w:r>
      <w:r w:rsidR="008715F5">
        <w:t>ul</w:t>
      </w:r>
      <w:r w:rsidRPr="006E317E">
        <w:t xml:space="preserve"> ei ole see veel piisav.</w:t>
      </w:r>
    </w:p>
    <w:p w14:paraId="5354CEDA" w14:textId="17406F34" w:rsidR="00EC24B2" w:rsidRPr="006E317E" w:rsidRDefault="009948AB" w:rsidP="00AA241E">
      <w:pPr>
        <w:pStyle w:val="Heading49"/>
        <w:numPr>
          <w:ilvl w:val="3"/>
          <w:numId w:val="65"/>
        </w:numPr>
      </w:pPr>
      <w:r>
        <w:t>Komplekslahendusega teenused</w:t>
      </w:r>
    </w:p>
    <w:p w14:paraId="77906572" w14:textId="363D519B" w:rsidR="00EC24B2" w:rsidRPr="006E317E" w:rsidRDefault="002E251B" w:rsidP="00AA241E">
      <w:pPr>
        <w:jc w:val="both"/>
      </w:pPr>
      <w:r>
        <w:t>Komplekslahendusega teenuste</w:t>
      </w:r>
      <w:r w:rsidR="00EC24B2" w:rsidRPr="002E251B">
        <w:t xml:space="preserve"> ja </w:t>
      </w:r>
      <w:r>
        <w:t>nende</w:t>
      </w:r>
      <w:r w:rsidR="00EC24B2" w:rsidRPr="002E251B">
        <w:t xml:space="preserve"> omadused on esitatud punktis </w:t>
      </w:r>
      <w:r w:rsidR="0055667E" w:rsidRPr="002E251B">
        <w:t>5</w:t>
      </w:r>
      <w:r w:rsidR="00EC24B2" w:rsidRPr="002E251B">
        <w:t>.1.1.5.</w:t>
      </w:r>
    </w:p>
    <w:p w14:paraId="7990C7F6" w14:textId="6460FFCA" w:rsidR="00EC24B2" w:rsidRPr="006E317E" w:rsidRDefault="00EC24B2" w:rsidP="00AA241E">
      <w:pPr>
        <w:jc w:val="both"/>
      </w:pPr>
      <w:r w:rsidRPr="006E317E">
        <w:t xml:space="preserve">Võttes arvesse, et interneti aktiivsete püsivõrgu </w:t>
      </w:r>
      <w:r w:rsidR="0007135D">
        <w:t>kliendiliin</w:t>
      </w:r>
      <w:r w:rsidRPr="006E317E">
        <w:t>ide koguarvu kasv on viimasel ajal aeglustunud, seega on aeglustunud püsiinterneti teenuste lõppkasutajate koguarvu kasv. Siiski  mängib ühendatud teenuste osutamine Eestis elektroonilise side valdkonnas endiselt olulist rolli. Kõige populaarsem ühendatud teenus on fikseeritud Internet koos televisiooniga, mida pakuvad nii Telia kui ka paljud teised kaupmehed. Suurimad neist on Elisa, STV ja Telset.</w:t>
      </w:r>
    </w:p>
    <w:p w14:paraId="42542AD1" w14:textId="12AD74FF" w:rsidR="00EC24B2" w:rsidRPr="006E317E" w:rsidRDefault="00EC24B2" w:rsidP="00AA241E">
      <w:pPr>
        <w:jc w:val="both"/>
      </w:pPr>
      <w:r w:rsidRPr="006E317E">
        <w:t xml:space="preserve">Operaatorite kõigi pakett teenuste ja tavainterneti ning televisiooni (olenemata </w:t>
      </w:r>
      <w:r w:rsidR="00183BEB">
        <w:t>vaskkaabli</w:t>
      </w:r>
      <w:r w:rsidRPr="006E317E">
        <w:t xml:space="preserve">- ja </w:t>
      </w:r>
      <w:r w:rsidR="00A3232C">
        <w:t>valguskaabelvõrgu</w:t>
      </w:r>
      <w:r w:rsidRPr="006E317E">
        <w:t xml:space="preserve"> tehnoloogiast) suurima arvu lõppkasutajate kohta vt </w:t>
      </w:r>
      <w:r w:rsidRPr="002E251B">
        <w:t xml:space="preserve">joonis </w:t>
      </w:r>
      <w:r w:rsidR="004035E5">
        <w:t>17</w:t>
      </w:r>
      <w:r w:rsidRPr="006E317E">
        <w:t>.</w:t>
      </w:r>
    </w:p>
    <w:p w14:paraId="31FB76E8" w14:textId="789DE0DA" w:rsidR="00EC24B2" w:rsidRPr="006E317E" w:rsidRDefault="00A43E3F" w:rsidP="00AA241E">
      <w:pPr>
        <w:jc w:val="both"/>
      </w:pPr>
      <w:bookmarkStart w:id="666" w:name="_Toc164846254"/>
      <w:r w:rsidRPr="00F70176">
        <w:t>…*</w:t>
      </w:r>
    </w:p>
    <w:bookmarkEnd w:id="666"/>
    <w:p w14:paraId="170D7A1A" w14:textId="322FD8C2" w:rsidR="00EC24B2" w:rsidRPr="006E317E" w:rsidRDefault="004035E5" w:rsidP="00AA241E">
      <w:pPr>
        <w:pStyle w:val="Pealdis"/>
        <w:jc w:val="both"/>
      </w:pPr>
      <w:r>
        <w:t xml:space="preserve">Joonis </w:t>
      </w:r>
      <w:r>
        <w:fldChar w:fldCharType="begin"/>
      </w:r>
      <w:r>
        <w:instrText xml:space="preserve"> SEQ Joonis \* ARABIC </w:instrText>
      </w:r>
      <w:r>
        <w:fldChar w:fldCharType="separate"/>
      </w:r>
      <w:r w:rsidR="00E5522B">
        <w:rPr>
          <w:noProof/>
        </w:rPr>
        <w:t>17</w:t>
      </w:r>
      <w:r>
        <w:fldChar w:fldCharType="end"/>
      </w:r>
      <w:r>
        <w:t xml:space="preserve"> </w:t>
      </w:r>
      <w:r w:rsidR="00EC24B2" w:rsidRPr="006E317E">
        <w:t>Suurimate püsivõrgu operaatorite ühendatud teenuste lõppkasutajate koguarv, tuhandetes.</w:t>
      </w:r>
    </w:p>
    <w:p w14:paraId="7B11E66C" w14:textId="77777777" w:rsidR="00EC24B2" w:rsidRPr="006E317E" w:rsidRDefault="00EC24B2" w:rsidP="00AA241E">
      <w:pPr>
        <w:jc w:val="both"/>
      </w:pPr>
      <w:r w:rsidRPr="006E317E">
        <w:t>Teised kaupmehed pakuvad lõppkasutajatele ühendatud teenuseid madalama igakuise kuutasuga või mis on võrreldav Telia igakuise kuutasuga nii A kui ka B piirkonnas. Kui A piirkonnas on Teliale tugev konkurentsisurve, siis B piirkonnas on see palju nõrgem, sest Telia infrastruktuur on terviklik kogu riigi territooriumil ja suures osas B piirkonnas on Telial ainus kättesaadav püsivõrgu infrastruktuur.</w:t>
      </w:r>
    </w:p>
    <w:p w14:paraId="78C1B92A" w14:textId="73055789" w:rsidR="00EC24B2" w:rsidRPr="006E317E" w:rsidRDefault="00EC24B2" w:rsidP="00AA241E">
      <w:pPr>
        <w:jc w:val="both"/>
      </w:pPr>
      <w:r w:rsidRPr="006E317E">
        <w:t xml:space="preserve">Võrreldes paljude teiste kaupmeestega on Telia eeliseks see, et tema käsutuses on kõik elektroonilise side võrgu vajalikud komponendid (juurdepääsuvõrk, põhivõrk, jaeteenuste  </w:t>
      </w:r>
      <w:r w:rsidRPr="006E317E">
        <w:lastRenderedPageBreak/>
        <w:t xml:space="preserve">osutamise platvormis, jne) piisava ulatusega, et pakkuda lõppkasutajatele peaaegu kõiki püsivõrgus olevaid elektroonilise side teenuseid. Telia kasutab teenuste ühendamiseks tema käsutuses oleva infrastruktuuri pakutavaid eeliseid. Selleks et Teliaga B piirkonnas täielikult konkureerida, peaksid alternatiivsed operaatorid investeerima üldkasutatavasse elektroonilise side võrku, et tagada pakett teenused laiemas piirkonnas. Seetõttu peavad </w:t>
      </w:r>
      <w:r w:rsidR="00734FE7">
        <w:t>teenuseosutajad</w:t>
      </w:r>
      <w:r w:rsidRPr="006E317E">
        <w:t xml:space="preserve"> tegema suuremahulisi investeeringuid. Kulud on suured, sest B piirkonnas ei ole paljudel teenuseosutajatel võimalust leida püsivõrgu laiendamiseks rahastust. Riigiabiga loodud jaeteenuse osutaja neutraalsed juurdepääsu võrgu infrastruktuur võimaldab viimaseid kulusid vähendada, kuid praguseks on vastava võrke ehitatud peamiselt maa piirkondades ja nende ulatus ei taga veel täieliku konkurentsi survet Telia infrastruktuurile  Lisaks kaasneb teenuste osutamiseks ehitatud infrastruktuuriga ka korvamatuid kulusid.</w:t>
      </w:r>
    </w:p>
    <w:p w14:paraId="343C4DF9" w14:textId="77777777" w:rsidR="005C175A" w:rsidRPr="007130A2" w:rsidRDefault="005C175A" w:rsidP="005C175A">
      <w:pPr>
        <w:spacing w:after="120"/>
        <w:jc w:val="both"/>
        <w:rPr>
          <w:rFonts w:cs="Times New Roman"/>
          <w:iCs/>
        </w:rPr>
      </w:pPr>
      <w:r w:rsidRPr="007130A2">
        <w:rPr>
          <w:rFonts w:cs="Times New Roman"/>
          <w:b/>
          <w:iCs/>
        </w:rPr>
        <w:t xml:space="preserve">Eelpool öeldut silmas pidades järeldab </w:t>
      </w:r>
      <w:r>
        <w:rPr>
          <w:rFonts w:cs="Times New Roman"/>
          <w:b/>
          <w:iCs/>
        </w:rPr>
        <w:t>TTJA</w:t>
      </w:r>
      <w:r w:rsidRPr="007130A2">
        <w:rPr>
          <w:rFonts w:cs="Times New Roman"/>
          <w:b/>
          <w:iCs/>
        </w:rPr>
        <w:t xml:space="preserve">, et </w:t>
      </w:r>
      <w:r>
        <w:rPr>
          <w:rFonts w:cs="Times New Roman"/>
          <w:b/>
          <w:bCs/>
          <w:iCs/>
        </w:rPr>
        <w:t>Telia</w:t>
      </w:r>
      <w:r w:rsidRPr="007130A2">
        <w:rPr>
          <w:rFonts w:cs="Times New Roman"/>
          <w:b/>
          <w:bCs/>
          <w:iCs/>
        </w:rPr>
        <w:t xml:space="preserve">l on endiselt </w:t>
      </w:r>
      <w:r w:rsidRPr="007130A2">
        <w:rPr>
          <w:rFonts w:cs="Times New Roman"/>
          <w:b/>
          <w:iCs/>
        </w:rPr>
        <w:t xml:space="preserve">eeliseid seoses teenuste </w:t>
      </w:r>
      <w:r>
        <w:rPr>
          <w:rFonts w:cs="Times New Roman"/>
          <w:b/>
          <w:iCs/>
        </w:rPr>
        <w:t>osutamisega komplekslahendusena</w:t>
      </w:r>
      <w:r w:rsidRPr="007130A2">
        <w:rPr>
          <w:rFonts w:cs="Times New Roman"/>
          <w:b/>
          <w:bCs/>
          <w:iCs/>
        </w:rPr>
        <w:t xml:space="preserve">. </w:t>
      </w:r>
      <w:r w:rsidRPr="006F1CCD">
        <w:rPr>
          <w:rFonts w:cs="Times New Roman"/>
          <w:b/>
          <w:bCs/>
          <w:iCs/>
        </w:rPr>
        <w:t>Valguskaabelvõrgu internetiühenduste</w:t>
      </w:r>
      <w:r>
        <w:rPr>
          <w:rFonts w:cs="Times New Roman"/>
          <w:b/>
          <w:bCs/>
          <w:iCs/>
        </w:rPr>
        <w:t xml:space="preserve"> B piirkonna jaeturul </w:t>
      </w:r>
      <w:r w:rsidRPr="007130A2">
        <w:rPr>
          <w:rFonts w:cs="Times New Roman"/>
          <w:b/>
          <w:bCs/>
          <w:iCs/>
        </w:rPr>
        <w:t>võimaldab</w:t>
      </w:r>
      <w:r>
        <w:rPr>
          <w:rFonts w:cs="Times New Roman"/>
          <w:b/>
          <w:bCs/>
          <w:iCs/>
        </w:rPr>
        <w:t xml:space="preserve"> turupositsioon</w:t>
      </w:r>
      <w:r w:rsidRPr="007130A2">
        <w:rPr>
          <w:rFonts w:cs="Times New Roman"/>
          <w:b/>
          <w:bCs/>
          <w:iCs/>
        </w:rPr>
        <w:t xml:space="preserve"> </w:t>
      </w:r>
      <w:r>
        <w:rPr>
          <w:rFonts w:cs="Times New Roman"/>
          <w:b/>
          <w:bCs/>
          <w:iCs/>
        </w:rPr>
        <w:t xml:space="preserve">Telia </w:t>
      </w:r>
      <w:r w:rsidRPr="007130A2">
        <w:rPr>
          <w:rFonts w:cs="Times New Roman"/>
          <w:b/>
          <w:bCs/>
          <w:iCs/>
        </w:rPr>
        <w:t xml:space="preserve">individuaalselt olla turgu valitseva seisundiga samaväärse majandusliku tugevusega positsioonil, kuid </w:t>
      </w:r>
      <w:r w:rsidRPr="003224A9">
        <w:rPr>
          <w:rFonts w:cs="Times New Roman"/>
          <w:b/>
          <w:bCs/>
          <w:iCs/>
        </w:rPr>
        <w:t xml:space="preserve">valguskaabelvõrgu internetiühenduste A piirkonna jaeturul </w:t>
      </w:r>
      <w:r>
        <w:rPr>
          <w:rFonts w:cs="Times New Roman"/>
          <w:b/>
          <w:bCs/>
          <w:iCs/>
        </w:rPr>
        <w:t>ei ole Telial</w:t>
      </w:r>
      <w:r w:rsidRPr="007130A2">
        <w:rPr>
          <w:rFonts w:cs="Times New Roman"/>
          <w:b/>
          <w:bCs/>
          <w:iCs/>
        </w:rPr>
        <w:t xml:space="preserve"> eelise</w:t>
      </w:r>
      <w:r>
        <w:rPr>
          <w:rFonts w:cs="Times New Roman"/>
          <w:b/>
          <w:bCs/>
          <w:iCs/>
        </w:rPr>
        <w:t>i</w:t>
      </w:r>
      <w:r w:rsidRPr="007130A2">
        <w:rPr>
          <w:rFonts w:cs="Times New Roman"/>
          <w:b/>
          <w:bCs/>
          <w:iCs/>
        </w:rPr>
        <w:t xml:space="preserve">d </w:t>
      </w:r>
      <w:r w:rsidRPr="003224A9">
        <w:rPr>
          <w:rFonts w:cs="Times New Roman"/>
          <w:b/>
          <w:bCs/>
          <w:iCs/>
        </w:rPr>
        <w:t xml:space="preserve"> </w:t>
      </w:r>
      <w:r>
        <w:rPr>
          <w:rFonts w:cs="Times New Roman"/>
          <w:b/>
          <w:bCs/>
          <w:iCs/>
        </w:rPr>
        <w:t>kompleksteenuste osutamisel sellisel</w:t>
      </w:r>
      <w:r w:rsidRPr="007130A2">
        <w:rPr>
          <w:rFonts w:cs="Times New Roman"/>
          <w:b/>
          <w:bCs/>
          <w:iCs/>
        </w:rPr>
        <w:t xml:space="preserve"> määral, et olla valitseva seisundiga samaväärses majandusliku tugevuse positsioonis. </w:t>
      </w:r>
    </w:p>
    <w:p w14:paraId="25AC95FD" w14:textId="77777777" w:rsidR="005C175A" w:rsidRPr="006E317E" w:rsidRDefault="005C175A" w:rsidP="00AA241E">
      <w:pPr>
        <w:spacing w:after="240"/>
        <w:jc w:val="both"/>
      </w:pPr>
    </w:p>
    <w:p w14:paraId="11D746E3" w14:textId="3029D99B" w:rsidR="00EC24B2" w:rsidRPr="006E317E" w:rsidRDefault="001F5D6A" w:rsidP="00AA241E">
      <w:pPr>
        <w:pStyle w:val="Heading49"/>
        <w:numPr>
          <w:ilvl w:val="3"/>
          <w:numId w:val="65"/>
        </w:numPr>
      </w:pPr>
      <w:r w:rsidRPr="001F5D6A">
        <w:t>Mastaabisääst ja juurdepääs finantsvahenditele</w:t>
      </w:r>
    </w:p>
    <w:p w14:paraId="0AC71D67" w14:textId="339E9BEA" w:rsidR="00EC24B2" w:rsidRPr="006E317E" w:rsidRDefault="00EC24B2" w:rsidP="00AA241E">
      <w:pPr>
        <w:jc w:val="both"/>
      </w:pPr>
      <w:bookmarkStart w:id="667" w:name="_Toc164846255"/>
      <w:r w:rsidRPr="002E251B">
        <w:t xml:space="preserve">Millised on mastaabi- ja mitmekülgsussäästu eelised ning eelisjuurdepääs rahalistele vahenditele, samuti nende omadused, vt punkt </w:t>
      </w:r>
      <w:r w:rsidR="0055667E" w:rsidRPr="002E251B">
        <w:t>5</w:t>
      </w:r>
      <w:r w:rsidRPr="002E251B">
        <w:t>.1.1.6.</w:t>
      </w:r>
    </w:p>
    <w:p w14:paraId="13BFAEF8" w14:textId="77777777" w:rsidR="00EC24B2" w:rsidRPr="006E317E" w:rsidRDefault="00EC24B2" w:rsidP="00AA241E">
      <w:pPr>
        <w:jc w:val="both"/>
      </w:pPr>
      <w:r w:rsidRPr="006E317E">
        <w:t>Elektrooniliste sideteenuste osutamiseks on vaja luua suur üleriigiline elektroonilise side infrastruktuur ja seda ülal pidada. Selleks peab operaator investeerima rahalisi vahendeid, mille kapitali tootlus on määramata. Suurel ja stabiilsel ettevõtjal võib olla lihtsam juurdepääs pangalaenudele, kapitaliturgudele ja muudele rahalistele vahenditele, mis omakorda võib anda eelise väiksemate ettevõtjate ees, kellel ei pruugi olla juurdepääsu vajalikele rahalistele vahenditele. Kui on olemas ainult üks infrastruktuur, mis suudab pakkuda Internetti riigi tasandil, on infrastruktuuri omanikul tavaliselt eelisjuurdepääs rahalistele vahenditele. Suur hulk lõppkasutajaid ja suured tulud võivad võimaldada operaatoril investeerida elektroonilise side taristusse ja leevendada uue võrgu kasutuselevõtu korral äririske. Suure operaatori eeliseks võib olla ka see, et ta saab seadmete ja elektroonilise side võrguelementide tootjatelt mahu allahindlusi.</w:t>
      </w:r>
    </w:p>
    <w:p w14:paraId="3BA81C90" w14:textId="77777777" w:rsidR="00EC24B2" w:rsidRPr="006E317E" w:rsidRDefault="00EC24B2" w:rsidP="00AA241E">
      <w:pPr>
        <w:jc w:val="both"/>
      </w:pPr>
      <w:r w:rsidRPr="006E317E">
        <w:t>Turgu valitseva ettevõtjana on Telial olnud oma mastaabi ja ulatuse ökonoomsuse tõttu märkimisväärseid ja praktilisi eeliseid võrreldes alternatiivsete operaatoritega jaemüügi internetiturul. Lisaks interneti püsiühendusele pakub Telia väga laia valikut teenuseid nii jae- kui ka hulgimüügis.</w:t>
      </w:r>
    </w:p>
    <w:p w14:paraId="3B5C8A31" w14:textId="042517A9" w:rsidR="00EC24B2" w:rsidRPr="006E317E" w:rsidRDefault="00EC24B2" w:rsidP="00AA241E">
      <w:pPr>
        <w:jc w:val="both"/>
      </w:pPr>
      <w:r w:rsidRPr="006E317E">
        <w:lastRenderedPageBreak/>
        <w:t xml:space="preserve">Selleks et analüüsida mastaabi- ja mahumajanduse eeliseid ning eelisjuurdepääsu rahalistele vahenditele, võrdleb TTJA suurimate interneti püsiühenduse pakkujate tulusid reguleeritud elektroonilise side teenuste osutamisest ja interneti püsiühenduse pakkumisest saadavat tulu (vt joonis </w:t>
      </w:r>
      <w:r w:rsidR="004035E5">
        <w:t>18</w:t>
      </w:r>
      <w:r w:rsidRPr="006E317E">
        <w:t xml:space="preserve"> ja joonis </w:t>
      </w:r>
      <w:r w:rsidR="004035E5">
        <w:t>19</w:t>
      </w:r>
      <w:r w:rsidRPr="006E317E">
        <w:t>).</w:t>
      </w:r>
    </w:p>
    <w:p w14:paraId="682E5762" w14:textId="217BDBA2" w:rsidR="00EC24B2" w:rsidRPr="006E317E" w:rsidRDefault="00A43E3F" w:rsidP="00AA241E">
      <w:pPr>
        <w:jc w:val="both"/>
      </w:pPr>
      <w:r w:rsidRPr="00F70176">
        <w:t>…*</w:t>
      </w:r>
    </w:p>
    <w:bookmarkEnd w:id="667"/>
    <w:p w14:paraId="54DB45C8" w14:textId="24038DA5" w:rsidR="00EC24B2" w:rsidRPr="006E317E" w:rsidRDefault="00B340F5" w:rsidP="00AA241E">
      <w:pPr>
        <w:pStyle w:val="Pealdis"/>
        <w:jc w:val="both"/>
      </w:pPr>
      <w:r>
        <w:t xml:space="preserve">Joonis </w:t>
      </w:r>
      <w:r>
        <w:fldChar w:fldCharType="begin"/>
      </w:r>
      <w:r>
        <w:instrText xml:space="preserve"> SEQ Joonis \* ARABIC </w:instrText>
      </w:r>
      <w:r>
        <w:fldChar w:fldCharType="separate"/>
      </w:r>
      <w:r w:rsidR="00E5522B">
        <w:rPr>
          <w:noProof/>
        </w:rPr>
        <w:t>18</w:t>
      </w:r>
      <w:r>
        <w:fldChar w:fldCharType="end"/>
      </w:r>
      <w:r>
        <w:t xml:space="preserve"> </w:t>
      </w:r>
      <w:r w:rsidR="00EC24B2" w:rsidRPr="006E317E">
        <w:t>Suurimate interneti püsivõrgu pakkujate kogutulu reguleeritud elektroonilise side teenuste osutamisest 2022 ja 2023. aastal, mln eurot EUR (ilma käibemaksuta)</w:t>
      </w:r>
    </w:p>
    <w:p w14:paraId="7B10FB2B" w14:textId="16CE3374" w:rsidR="00EC24B2" w:rsidRPr="006E317E" w:rsidRDefault="00A43E3F" w:rsidP="00AA241E">
      <w:pPr>
        <w:jc w:val="both"/>
      </w:pPr>
      <w:r w:rsidRPr="00F70176">
        <w:t>…*</w:t>
      </w:r>
    </w:p>
    <w:p w14:paraId="5580A7F1" w14:textId="0B99BF7E" w:rsidR="00EC24B2" w:rsidRPr="002E251B" w:rsidRDefault="00B340F5" w:rsidP="00AA241E">
      <w:pPr>
        <w:pStyle w:val="Pealdis"/>
        <w:jc w:val="both"/>
      </w:pPr>
      <w:r>
        <w:t xml:space="preserve">Joonis </w:t>
      </w:r>
      <w:r>
        <w:fldChar w:fldCharType="begin"/>
      </w:r>
      <w:r>
        <w:instrText xml:space="preserve"> SEQ Joonis \* ARABIC </w:instrText>
      </w:r>
      <w:r>
        <w:fldChar w:fldCharType="separate"/>
      </w:r>
      <w:r w:rsidR="00E5522B">
        <w:rPr>
          <w:noProof/>
        </w:rPr>
        <w:t>19</w:t>
      </w:r>
      <w:r>
        <w:fldChar w:fldCharType="end"/>
      </w:r>
      <w:r>
        <w:t xml:space="preserve"> </w:t>
      </w:r>
      <w:r w:rsidR="00EC24B2" w:rsidRPr="006E317E">
        <w:t>Suurimate interneti püsivõrgu pakkujate tulud interneti püsiühenduse pakkumisest 2022 ja 2023. aastal, mln eurot EUR (ilma käibemaksuta)</w:t>
      </w:r>
    </w:p>
    <w:p w14:paraId="43B7A430" w14:textId="77777777" w:rsidR="00EC24B2" w:rsidRPr="006E317E" w:rsidRDefault="00EC24B2" w:rsidP="00AA241E">
      <w:pPr>
        <w:jc w:val="both"/>
      </w:pPr>
      <w:bookmarkStart w:id="668" w:name="_Toc164846257"/>
      <w:r w:rsidRPr="006E317E">
        <w:t>Telia kogutulu reguleeritud elektroonilise side teenuste osutamisest ja interneti püsiühenduse pakkumisest saadud tulu oli 2023. aastal palju suurem kui teistel alternatiivsetel operaatoritel.</w:t>
      </w:r>
    </w:p>
    <w:p w14:paraId="7722A4E5" w14:textId="0F96816E" w:rsidR="00EC24B2" w:rsidRPr="006E317E" w:rsidRDefault="00EC24B2" w:rsidP="00AA241E">
      <w:pPr>
        <w:jc w:val="both"/>
      </w:pPr>
      <w:r w:rsidRPr="006E317E">
        <w:t xml:space="preserve">Kõige suurema arvu püsivõrgu operaatorite FTTH ja FTTB aktiivsete </w:t>
      </w:r>
      <w:r w:rsidR="0007135D">
        <w:t>kliendiliin</w:t>
      </w:r>
      <w:r w:rsidRPr="006E317E">
        <w:t xml:space="preserve">ide kohta A piirkonnas joonis </w:t>
      </w:r>
      <w:r w:rsidR="004035E5">
        <w:t>20</w:t>
      </w:r>
      <w:r w:rsidR="0082415E">
        <w:t xml:space="preserve"> </w:t>
      </w:r>
      <w:r w:rsidRPr="006E317E">
        <w:t xml:space="preserve">ja B piirkonnas ja joonis  </w:t>
      </w:r>
      <w:r w:rsidR="004035E5">
        <w:t>21</w:t>
      </w:r>
      <w:r w:rsidRPr="006E317E">
        <w:t>.</w:t>
      </w:r>
    </w:p>
    <w:p w14:paraId="071CCEC5" w14:textId="2040E298" w:rsidR="00EC24B2" w:rsidRPr="006E317E" w:rsidRDefault="00A43E3F" w:rsidP="00AA241E">
      <w:pPr>
        <w:jc w:val="both"/>
      </w:pPr>
      <w:r w:rsidRPr="00F70176">
        <w:t>…*</w:t>
      </w:r>
    </w:p>
    <w:p w14:paraId="77350C7E" w14:textId="66784F8F" w:rsidR="00EC24B2" w:rsidRPr="002E251B" w:rsidRDefault="00B340F5" w:rsidP="00AA241E">
      <w:pPr>
        <w:pStyle w:val="Pealdis"/>
        <w:jc w:val="both"/>
      </w:pPr>
      <w:r>
        <w:t xml:space="preserve">Joonis </w:t>
      </w:r>
      <w:r>
        <w:fldChar w:fldCharType="begin"/>
      </w:r>
      <w:r>
        <w:instrText xml:space="preserve"> SEQ Joonis \* ARABIC </w:instrText>
      </w:r>
      <w:r>
        <w:fldChar w:fldCharType="separate"/>
      </w:r>
      <w:r w:rsidR="00E5522B">
        <w:rPr>
          <w:noProof/>
        </w:rPr>
        <w:t>20</w:t>
      </w:r>
      <w:r>
        <w:fldChar w:fldCharType="end"/>
      </w:r>
      <w:r>
        <w:t xml:space="preserve"> </w:t>
      </w:r>
      <w:r w:rsidR="00EC24B2" w:rsidRPr="006E317E">
        <w:t xml:space="preserve">Suurimate püsivõrgu operaatorite FTTH ja FTTB aktiivsete </w:t>
      </w:r>
      <w:r w:rsidR="0007135D">
        <w:t>kliendiliin</w:t>
      </w:r>
      <w:r w:rsidR="00EC24B2" w:rsidRPr="006E317E">
        <w:t>ide arv A piirkonnas, tuhat.</w:t>
      </w:r>
      <w:bookmarkEnd w:id="668"/>
    </w:p>
    <w:p w14:paraId="492D2F11" w14:textId="150EAA07" w:rsidR="00EC24B2" w:rsidRPr="006E317E" w:rsidRDefault="00A43E3F" w:rsidP="00AA241E">
      <w:pPr>
        <w:jc w:val="both"/>
      </w:pPr>
      <w:r w:rsidRPr="00F70176">
        <w:t>…*</w:t>
      </w:r>
    </w:p>
    <w:p w14:paraId="65736B3A" w14:textId="4952F69E" w:rsidR="00EC24B2" w:rsidRPr="002E251B" w:rsidRDefault="00B340F5" w:rsidP="00AA241E">
      <w:pPr>
        <w:pStyle w:val="Pealdis"/>
        <w:jc w:val="both"/>
      </w:pPr>
      <w:r>
        <w:t xml:space="preserve">Joonis </w:t>
      </w:r>
      <w:r>
        <w:fldChar w:fldCharType="begin"/>
      </w:r>
      <w:r>
        <w:instrText xml:space="preserve"> SEQ Joonis \* ARABIC </w:instrText>
      </w:r>
      <w:r>
        <w:fldChar w:fldCharType="separate"/>
      </w:r>
      <w:r w:rsidR="00E5522B">
        <w:rPr>
          <w:noProof/>
        </w:rPr>
        <w:t>21</w:t>
      </w:r>
      <w:r>
        <w:fldChar w:fldCharType="end"/>
      </w:r>
      <w:r>
        <w:t xml:space="preserve"> </w:t>
      </w:r>
      <w:r w:rsidR="00EC24B2" w:rsidRPr="006E317E">
        <w:t xml:space="preserve">Suurimate püsivõrgu operaatorite FTTH ja FTTB aktiivsete </w:t>
      </w:r>
      <w:r w:rsidR="0007135D">
        <w:t>kliendiliin</w:t>
      </w:r>
      <w:r w:rsidR="00EC24B2" w:rsidRPr="006E317E">
        <w:t>ide arv B piirkonnas, tuhat.</w:t>
      </w:r>
    </w:p>
    <w:p w14:paraId="59366922" w14:textId="48DE51DD" w:rsidR="00EC24B2" w:rsidRPr="006E317E" w:rsidRDefault="00EC24B2" w:rsidP="00AA241E">
      <w:pPr>
        <w:jc w:val="both"/>
      </w:pPr>
      <w:r w:rsidRPr="006E317E">
        <w:t>A piirkonnas on Telia FTTH ja FTTB aktiiv</w:t>
      </w:r>
      <w:r w:rsidR="0007135D">
        <w:t>sete kliendiliin</w:t>
      </w:r>
      <w:r w:rsidRPr="006E317E">
        <w:t xml:space="preserve">ide arvu poolest teisel kohal ja jääb tugevalt alla selle piirkonna suurimale jaeteenuse osutajale STV-le ja on võrreldav ülejäänud alternatiivsete operaatorite FTTH ja FTTB aktiivsete </w:t>
      </w:r>
      <w:r w:rsidR="0007135D">
        <w:t>kliendiliin</w:t>
      </w:r>
      <w:r w:rsidRPr="006E317E">
        <w:t xml:space="preserve">ide arvuga. </w:t>
      </w:r>
    </w:p>
    <w:p w14:paraId="176C135F" w14:textId="141FBCC2" w:rsidR="00EC24B2" w:rsidRPr="006E317E" w:rsidRDefault="00EC24B2" w:rsidP="00AA241E">
      <w:pPr>
        <w:jc w:val="both"/>
      </w:pPr>
      <w:r w:rsidRPr="006E317E">
        <w:t>Telia FTTH ja FTTB aktiiv</w:t>
      </w:r>
      <w:r w:rsidR="0007135D">
        <w:t>sete kliendiliin</w:t>
      </w:r>
      <w:r w:rsidRPr="006E317E">
        <w:t xml:space="preserve">ide arv B piirkonnas on omakorda palju suurem võrreldes alternatiivsete operaatorite FTTH ja FTTB aktiivsete </w:t>
      </w:r>
      <w:r w:rsidR="0007135D">
        <w:t>kliendiliin</w:t>
      </w:r>
      <w:r w:rsidRPr="006E317E">
        <w:t>ide arvuga kokku.</w:t>
      </w:r>
    </w:p>
    <w:p w14:paraId="282FEB12" w14:textId="77777777" w:rsidR="00EC24B2" w:rsidRPr="006E317E" w:rsidRDefault="00EC24B2" w:rsidP="00AA241E">
      <w:pPr>
        <w:jc w:val="both"/>
      </w:pPr>
      <w:r w:rsidRPr="006E317E">
        <w:t>Võttes arvesse operaatorite kogutulu reguleeritud elektroonilise side teenuste osutamisest ning tulu interneti püsiühenduse pakkumist valguskaabel juurdepääsu võrgus, operaatori taristut, lõppkasutajate arvu, jne, järeldab TTJA, et strateegilisel innovatsiooniasutusel Telia on nii mastaabi- ja mahusäästu eelised kui ka eelisjuurdepääs rahalistele vahenditele valguskaabli alamturul jaemüügis. B piirkonnas võimaldab see tal individuaalselt olla turgu valitseva seisundiga samaväärses majandusliku võimu seisundis.</w:t>
      </w:r>
    </w:p>
    <w:p w14:paraId="5159D6EC" w14:textId="77777777" w:rsidR="00EC24B2" w:rsidRPr="006E317E" w:rsidRDefault="00EC24B2" w:rsidP="00AA241E">
      <w:pPr>
        <w:jc w:val="both"/>
      </w:pPr>
      <w:r w:rsidRPr="006E317E">
        <w:t>A piirkonnas ei ole Telia võrgu ulatuse ja ulatuse majanduslikud eelised, samuti eelisjuurdepääs rahalistele vahenditele niivõrd, kuivõrd see individuaalselt võimaldab tal olla valitseva seisundiga samaväärses majandusliku võimu seisundis.</w:t>
      </w:r>
    </w:p>
    <w:p w14:paraId="7E96FD36" w14:textId="77777777" w:rsidR="00EC24B2" w:rsidRPr="006E317E" w:rsidRDefault="00EC24B2" w:rsidP="00AA241E">
      <w:pPr>
        <w:jc w:val="both"/>
      </w:pPr>
    </w:p>
    <w:p w14:paraId="017D0CE3" w14:textId="77777777" w:rsidR="00EC24B2" w:rsidRPr="006E317E" w:rsidRDefault="00EC24B2" w:rsidP="00AA241E">
      <w:pPr>
        <w:pStyle w:val="Heading49"/>
        <w:numPr>
          <w:ilvl w:val="3"/>
          <w:numId w:val="65"/>
        </w:numPr>
      </w:pPr>
      <w:r w:rsidRPr="006E317E">
        <w:lastRenderedPageBreak/>
        <w:t>Kolme kriteeriumi testi kokkuvõte</w:t>
      </w:r>
    </w:p>
    <w:p w14:paraId="35641524" w14:textId="0BF3501D" w:rsidR="00EC24B2" w:rsidRPr="006E317E" w:rsidRDefault="00EC24B2" w:rsidP="00AA241E">
      <w:pPr>
        <w:jc w:val="both"/>
      </w:pPr>
      <w:r w:rsidRPr="002E251B">
        <w:t xml:space="preserve">Kolme kriteeriumi </w:t>
      </w:r>
      <w:r w:rsidR="007E2DC0" w:rsidRPr="002E251B">
        <w:t xml:space="preserve">testi </w:t>
      </w:r>
      <w:r w:rsidRPr="002E251B">
        <w:t xml:space="preserve">ja </w:t>
      </w:r>
      <w:r w:rsidR="007E2DC0" w:rsidRPr="002E251B">
        <w:t>selle</w:t>
      </w:r>
      <w:r w:rsidRPr="002E251B">
        <w:t xml:space="preserve"> </w:t>
      </w:r>
      <w:r w:rsidR="007E2DC0" w:rsidRPr="002E251B">
        <w:t xml:space="preserve">läbiviimise </w:t>
      </w:r>
      <w:r w:rsidRPr="002E251B">
        <w:t xml:space="preserve">kohta vt punkt </w:t>
      </w:r>
      <w:r w:rsidR="00A247CC" w:rsidRPr="002E251B">
        <w:t>5</w:t>
      </w:r>
      <w:r w:rsidRPr="002E251B">
        <w:t>.1.1.7.</w:t>
      </w:r>
    </w:p>
    <w:p w14:paraId="5B8BD427" w14:textId="5C08F9DC" w:rsidR="00EC24B2" w:rsidRPr="006E317E" w:rsidRDefault="00EC24B2" w:rsidP="00AA241E">
      <w:pPr>
        <w:jc w:val="both"/>
      </w:pPr>
      <w:r w:rsidRPr="006E317E">
        <w:t xml:space="preserve">Seoses A piirkonna </w:t>
      </w:r>
      <w:r w:rsidR="00A3232C">
        <w:t>valguskaabelvõrgu</w:t>
      </w:r>
      <w:r w:rsidR="0082415E" w:rsidRPr="006E317E">
        <w:t xml:space="preserve"> jaetasandi internetiühenduste tootetur</w:t>
      </w:r>
      <w:r w:rsidR="0082415E">
        <w:t xml:space="preserve">u </w:t>
      </w:r>
      <w:r w:rsidRPr="006E317E">
        <w:t xml:space="preserve">analüüsis TTJA üksikasjalikult punktis </w:t>
      </w:r>
      <w:r w:rsidR="0055667E" w:rsidRPr="002E251B">
        <w:t>5</w:t>
      </w:r>
      <w:r w:rsidRPr="002E251B">
        <w:t>.1.2.2</w:t>
      </w:r>
      <w:r w:rsidRPr="006E317E">
        <w:t xml:space="preserve"> esitatud sisenemistõkkeid ja jõudis järeldusele, et A piirkonna </w:t>
      </w:r>
      <w:r w:rsidR="00A3232C">
        <w:t>valguskaabelvõrgu</w:t>
      </w:r>
      <w:r w:rsidR="0082415E" w:rsidRPr="006E317E">
        <w:t xml:space="preserve"> jaetasandi internetiühenduste tootetur</w:t>
      </w:r>
      <w:r w:rsidR="0082415E">
        <w:t xml:space="preserve">ul </w:t>
      </w:r>
      <w:r w:rsidRPr="006E317E">
        <w:t>on elektroonilise side leviala turule sisenemise või laiendamise tõkked sisuliselt olemas, kuid nüüdseks on need teataval määral ületatud. FTTH ja FTTB katvuse laiendamine A piirkonnas on siiski endiselt vajalik kuna veel on aadressiobjekte milledel puudub juurdepääs valguskaabel juurdepääsu võrgule.</w:t>
      </w:r>
    </w:p>
    <w:p w14:paraId="1E56CBD0" w14:textId="71341E54" w:rsidR="00EC24B2" w:rsidRPr="006E317E" w:rsidRDefault="00EC24B2" w:rsidP="00AA241E">
      <w:pPr>
        <w:jc w:val="both"/>
      </w:pPr>
      <w:r w:rsidRPr="006E317E">
        <w:t xml:space="preserve">TTJA viis läbi A piirkonnas </w:t>
      </w:r>
      <w:r w:rsidR="00A3232C">
        <w:t>valguskaabelvõrgu</w:t>
      </w:r>
      <w:r w:rsidR="0082415E" w:rsidRPr="006E317E">
        <w:t xml:space="preserve"> jaetasandi internetiühenduste tootetur</w:t>
      </w:r>
      <w:r w:rsidR="009A3ECA">
        <w:t xml:space="preserve">u </w:t>
      </w:r>
      <w:r w:rsidRPr="006E317E">
        <w:t xml:space="preserve">turuanalüüsi punktis </w:t>
      </w:r>
      <w:r w:rsidR="0055667E" w:rsidRPr="002E251B">
        <w:t>5</w:t>
      </w:r>
      <w:r w:rsidRPr="002E251B">
        <w:t>.1.2</w:t>
      </w:r>
      <w:r w:rsidRPr="006E317E">
        <w:t xml:space="preserve"> ja jõudis järeldusele, et:</w:t>
      </w:r>
    </w:p>
    <w:p w14:paraId="02D5B6C5" w14:textId="4DCD4080" w:rsidR="00EC24B2" w:rsidRPr="006E317E" w:rsidRDefault="00EC24B2" w:rsidP="00AA241E">
      <w:pPr>
        <w:pStyle w:val="Loendilik"/>
        <w:numPr>
          <w:ilvl w:val="0"/>
          <w:numId w:val="100"/>
        </w:numPr>
        <w:jc w:val="both"/>
      </w:pPr>
      <w:r w:rsidRPr="006E317E">
        <w:t xml:space="preserve">turuosade üldine struktuur ei viita sellele, et A piirkonna </w:t>
      </w:r>
      <w:r w:rsidR="00A3232C">
        <w:t>valguskaabelvõrgu</w:t>
      </w:r>
      <w:r w:rsidR="009A3ECA" w:rsidRPr="006E317E">
        <w:t xml:space="preserve"> jaetasandi internetiühenduste tootetur</w:t>
      </w:r>
      <w:r w:rsidR="009A3ECA">
        <w:t>ul</w:t>
      </w:r>
      <w:r w:rsidRPr="006E317E">
        <w:t xml:space="preserve"> on ettevõtja, kelle majanduslik tugevus on samaväärne turgu valitseva seisundiga. Turuosad viitavad tõhusale konkurentsile A piirkonna</w:t>
      </w:r>
      <w:r w:rsidR="009A3ECA" w:rsidRPr="009A3ECA">
        <w:t xml:space="preserve"> </w:t>
      </w:r>
      <w:r w:rsidR="00A3232C">
        <w:t>valguskaabelvõrgu</w:t>
      </w:r>
      <w:r w:rsidR="009A3ECA" w:rsidRPr="006E317E">
        <w:t xml:space="preserve"> jaetasandi internetiühenduste tootetur</w:t>
      </w:r>
      <w:r w:rsidR="000C62E3">
        <w:t>u</w:t>
      </w:r>
      <w:r w:rsidRPr="006E317E">
        <w:t xml:space="preserve">l. Kuigi </w:t>
      </w:r>
      <w:r w:rsidR="009A3ECA">
        <w:t xml:space="preserve">katvuse </w:t>
      </w:r>
      <w:r w:rsidRPr="006E317E">
        <w:t xml:space="preserve">edendamine A piirkonna valguskaabli juurdepääsuvõrgus on endiselt asjakohane, näitavad analüüsitud turuosad konkurentsi piisavust A piirkonna </w:t>
      </w:r>
      <w:r w:rsidR="00A3232C">
        <w:t>valguskaabelvõrgu</w:t>
      </w:r>
      <w:r w:rsidR="009A3ECA" w:rsidRPr="006E317E">
        <w:t xml:space="preserve"> jaetasandi internetiühenduste tootetur</w:t>
      </w:r>
      <w:r w:rsidR="009A3ECA">
        <w:t>ul</w:t>
      </w:r>
      <w:r w:rsidRPr="006E317E">
        <w:t>;</w:t>
      </w:r>
    </w:p>
    <w:p w14:paraId="5BD14CA0" w14:textId="4AC1A50B" w:rsidR="00EC24B2" w:rsidRPr="006E317E" w:rsidRDefault="00EC24B2" w:rsidP="00AA241E">
      <w:pPr>
        <w:pStyle w:val="Loendilik"/>
        <w:numPr>
          <w:ilvl w:val="0"/>
          <w:numId w:val="100"/>
        </w:numPr>
        <w:jc w:val="both"/>
      </w:pPr>
      <w:r w:rsidRPr="006E317E">
        <w:t xml:space="preserve">Telia omab endiselt kontrolli olulise elektroonilise side infrastruktuuri üle ja tal on tehnoloogilised eelised A piirkonna </w:t>
      </w:r>
      <w:r w:rsidR="00A3232C">
        <w:t>valguskaabelvõrgu</w:t>
      </w:r>
      <w:r w:rsidR="009A3ECA" w:rsidRPr="006E317E">
        <w:t xml:space="preserve"> jaetasandi internetiühenduste tootetur</w:t>
      </w:r>
      <w:r w:rsidR="009A3ECA">
        <w:t>ul</w:t>
      </w:r>
      <w:r w:rsidRPr="006E317E">
        <w:t>, kuid praegu ei võimalda see tal individuaalselt olla turgu valitseva seisundiga samaväärses majandusliku võimsuse positsioonis;</w:t>
      </w:r>
    </w:p>
    <w:p w14:paraId="077584A6" w14:textId="1926CC95" w:rsidR="00EC24B2" w:rsidRPr="006E317E" w:rsidRDefault="00EC24B2" w:rsidP="00AA241E">
      <w:pPr>
        <w:pStyle w:val="Loendilik"/>
        <w:numPr>
          <w:ilvl w:val="0"/>
          <w:numId w:val="100"/>
        </w:numPr>
        <w:jc w:val="both"/>
      </w:pPr>
      <w:r w:rsidRPr="006E317E">
        <w:t xml:space="preserve">tasakaalustav </w:t>
      </w:r>
      <w:r w:rsidR="00EE71F9">
        <w:t>ostjaj</w:t>
      </w:r>
      <w:r w:rsidRPr="006E317E">
        <w:t xml:space="preserve">õud A piirkonna </w:t>
      </w:r>
      <w:r w:rsidR="00A3232C">
        <w:t>valguskaabelvõrgu</w:t>
      </w:r>
      <w:r w:rsidR="009A3ECA" w:rsidRPr="006E317E">
        <w:t xml:space="preserve"> jaetasandi internetiühenduste tootetur</w:t>
      </w:r>
      <w:r w:rsidR="009A3ECA">
        <w:t xml:space="preserve">ul </w:t>
      </w:r>
      <w:r w:rsidRPr="006E317E">
        <w:t>on praegu piisav;</w:t>
      </w:r>
    </w:p>
    <w:p w14:paraId="426E9BB6" w14:textId="15080D7A" w:rsidR="00EC24B2" w:rsidRPr="006E317E" w:rsidRDefault="00EC24B2" w:rsidP="00AA241E">
      <w:pPr>
        <w:pStyle w:val="Loendilik"/>
        <w:numPr>
          <w:ilvl w:val="0"/>
          <w:numId w:val="100"/>
        </w:numPr>
        <w:jc w:val="both"/>
      </w:pPr>
      <w:r w:rsidRPr="006E317E">
        <w:t xml:space="preserve">Telial on endiselt eeliseid A piirkonna </w:t>
      </w:r>
      <w:r w:rsidR="00A3232C">
        <w:t>valguskaabelvõrgu</w:t>
      </w:r>
      <w:r w:rsidR="009A3ECA" w:rsidRPr="006E317E">
        <w:t xml:space="preserve"> jaetasandi internetiühenduste tootetur</w:t>
      </w:r>
      <w:r w:rsidR="009A3ECA">
        <w:t xml:space="preserve">ul </w:t>
      </w:r>
      <w:r w:rsidRPr="006E317E">
        <w:t xml:space="preserve">pakett teenuste osutamise osas, kuid mitte niivõrd, kuivõrd see individuaalselt võimaldab tal olla turgu valitseva seisundiga samaväärses majandusliku võimu positsioonis; </w:t>
      </w:r>
    </w:p>
    <w:p w14:paraId="285872EE" w14:textId="38B62F78" w:rsidR="00EC24B2" w:rsidRPr="006E317E" w:rsidRDefault="00EC24B2" w:rsidP="00AA241E">
      <w:pPr>
        <w:pStyle w:val="Loendilik"/>
        <w:numPr>
          <w:ilvl w:val="0"/>
          <w:numId w:val="100"/>
        </w:numPr>
        <w:jc w:val="both"/>
      </w:pPr>
      <w:r w:rsidRPr="006E317E">
        <w:t xml:space="preserve">Telial on nii mastaabi- kui ka mahuökonoomika eelised, samuti eelisjuurdepääs rahalistele vahenditele A piirkonna </w:t>
      </w:r>
      <w:r w:rsidR="00A3232C">
        <w:t>valguskaabelvõrgu</w:t>
      </w:r>
      <w:r w:rsidR="009A3ECA" w:rsidRPr="006E317E">
        <w:t xml:space="preserve"> jaetasandi internetiühenduste tootetur</w:t>
      </w:r>
      <w:r w:rsidR="009A3ECA">
        <w:t>ul</w:t>
      </w:r>
      <w:r w:rsidRPr="006E317E">
        <w:t>, kuid mitte niivõrd, kuivõrd see individuaalselt võimaldab tal olla turgu valitseva seisundiga samaväärses majandusliku võimu positsioonis.</w:t>
      </w:r>
    </w:p>
    <w:p w14:paraId="643DD7D2" w14:textId="6ADE55C3" w:rsidR="00EC24B2" w:rsidRPr="006E317E" w:rsidRDefault="00EC24B2" w:rsidP="00AA241E">
      <w:pPr>
        <w:jc w:val="both"/>
      </w:pPr>
      <w:r w:rsidRPr="006E317E">
        <w:t xml:space="preserve">Seega ei ole täidetud kolme kriteeriumi teine kriteerium, mis on määratletud kui turustruktuuri eesmärk ei ole tõhus konkurents, sest TTJA analüüsi kohaselt on A piirkonna </w:t>
      </w:r>
      <w:r w:rsidR="00A3232C">
        <w:t>valguskaabelvõrgu</w:t>
      </w:r>
      <w:r w:rsidR="009A3ECA" w:rsidRPr="006E317E">
        <w:t xml:space="preserve"> jaetasandi internetiühenduste tootetur</w:t>
      </w:r>
      <w:r w:rsidR="009A3ECA">
        <w:t xml:space="preserve">ul </w:t>
      </w:r>
      <w:r w:rsidRPr="006E317E">
        <w:t xml:space="preserve">tõhus konkurents, mis põhineb peamiselt infrastruktuurikonkurentsil, mitte võrguteenuste osutamisel. </w:t>
      </w:r>
      <w:r w:rsidR="00A57A0D">
        <w:t>TTJA</w:t>
      </w:r>
      <w:r w:rsidRPr="006E317E">
        <w:t xml:space="preserve"> järeldab, et olemasolev taristukonkurents on praegu piisav ja reguleeriv sekkumine asjaomasel hulgiturul ei ole enam vajalik.</w:t>
      </w:r>
    </w:p>
    <w:p w14:paraId="338D7871" w14:textId="77777777" w:rsidR="00EC24B2" w:rsidRPr="006E317E" w:rsidRDefault="00EC24B2" w:rsidP="00AA241E">
      <w:pPr>
        <w:jc w:val="both"/>
      </w:pPr>
      <w:r w:rsidRPr="006E317E">
        <w:lastRenderedPageBreak/>
        <w:t>Kuna vähemalt üks kolmest kumulatiivsest kriteeriumist ei ole täidetud, ei ole vaja hinnata kolme kriteeriumi kolmandat kriteeriumi, st konkurentsiõiguse kohaldamine ei ole turutõrgete kõrvaldamiseks piisav.</w:t>
      </w:r>
    </w:p>
    <w:p w14:paraId="55526922" w14:textId="35A7E8AE" w:rsidR="00EC24B2" w:rsidRPr="006E317E" w:rsidRDefault="00EC24B2" w:rsidP="00AA241E">
      <w:pPr>
        <w:jc w:val="both"/>
      </w:pPr>
      <w:r w:rsidRPr="006E317E">
        <w:t xml:space="preserve">Eespool öeldut silmas pidades ei ole A piirkonna turu 1. </w:t>
      </w:r>
      <w:r w:rsidR="00A3232C">
        <w:t>valguskaabelvõrgu</w:t>
      </w:r>
      <w:r w:rsidR="009A3ECA" w:rsidRPr="006E317E">
        <w:t xml:space="preserve"> jaetasandi internetiühenduste tootetur</w:t>
      </w:r>
      <w:r w:rsidR="009A3ECA">
        <w:t xml:space="preserve">ul </w:t>
      </w:r>
      <w:r w:rsidRPr="006E317E">
        <w:t>kumulatiivselt täidetud kolme kriteeriumi ja A piirkonnas valitseb tõhus konkurents.</w:t>
      </w:r>
    </w:p>
    <w:p w14:paraId="456873DD" w14:textId="7CC3DC48" w:rsidR="00EC24B2" w:rsidRPr="006E317E" w:rsidRDefault="00EC24B2" w:rsidP="00AA241E">
      <w:pPr>
        <w:jc w:val="both"/>
      </w:pPr>
      <w:r w:rsidRPr="006E317E">
        <w:t xml:space="preserve">Seoses B piirkonnas asuva </w:t>
      </w:r>
      <w:r w:rsidR="00A3232C">
        <w:t>valguskaabelvõrgu</w:t>
      </w:r>
      <w:r w:rsidR="009A3ECA" w:rsidRPr="006E317E">
        <w:t xml:space="preserve"> jaetasandi internetiühenduste tootetur</w:t>
      </w:r>
      <w:r w:rsidR="009A3ECA">
        <w:t xml:space="preserve">uga </w:t>
      </w:r>
      <w:r w:rsidRPr="006E317E">
        <w:t xml:space="preserve">analüüsis TTJA üksikasjalikult punktis </w:t>
      </w:r>
      <w:r w:rsidR="0055667E">
        <w:t>5</w:t>
      </w:r>
      <w:r w:rsidRPr="002E251B">
        <w:t>.1.2.2</w:t>
      </w:r>
      <w:r w:rsidRPr="006E317E">
        <w:t xml:space="preserve"> esitatud turule sisenemise tõkkeid ja jõudis järeldusele, et tõkked elektroonilise side võrgu levialale sisenemisel ja selle leviala laiendamisel B piirkonnas asuval </w:t>
      </w:r>
      <w:r w:rsidR="00A3232C">
        <w:t>valguskaabelvõrgu</w:t>
      </w:r>
      <w:r w:rsidR="009A3ECA" w:rsidRPr="006E317E">
        <w:t xml:space="preserve"> jaetasandi internetiühenduste tootetur</w:t>
      </w:r>
      <w:r w:rsidR="009A3ECA">
        <w:t xml:space="preserve">ul on </w:t>
      </w:r>
      <w:r w:rsidRPr="006E317E">
        <w:t>kõrged ning FTTH ja FTTB katvuse edendamine B piirkonnas on eriti asjakohane. Seega vastab kolme kriteeriumi esimene kriteerium, mis on määratletud kui turule sisenemisel on ulatuslike ja pikaajaliste struktuuriliste, õiguslike või regulatiivsete tõkete olemasolu.</w:t>
      </w:r>
    </w:p>
    <w:p w14:paraId="5331B65B" w14:textId="2C95C8B0" w:rsidR="00EC24B2" w:rsidRPr="006E317E" w:rsidRDefault="00EC24B2" w:rsidP="00AA241E">
      <w:pPr>
        <w:jc w:val="both"/>
      </w:pPr>
      <w:r w:rsidRPr="006E317E">
        <w:t xml:space="preserve">TTJA tegi punktis </w:t>
      </w:r>
      <w:r w:rsidR="0055667E">
        <w:t>5</w:t>
      </w:r>
      <w:r w:rsidRPr="002E251B">
        <w:t>.1.2</w:t>
      </w:r>
      <w:r w:rsidRPr="006E317E">
        <w:t xml:space="preserve"> B piirkonnas toimuva </w:t>
      </w:r>
      <w:r w:rsidR="00A3232C">
        <w:t>valguskaabelvõrgu</w:t>
      </w:r>
      <w:r w:rsidR="009A3ECA" w:rsidRPr="006E317E">
        <w:t xml:space="preserve"> jaetasandi internetiühenduste tootetur</w:t>
      </w:r>
      <w:r w:rsidR="009A3ECA">
        <w:t xml:space="preserve">u </w:t>
      </w:r>
      <w:r w:rsidRPr="006E317E">
        <w:t>turuanalüüsi ja jõudis järeldusele, et:</w:t>
      </w:r>
    </w:p>
    <w:p w14:paraId="352DAF6E" w14:textId="06BDE375" w:rsidR="00EC24B2" w:rsidRPr="006E317E" w:rsidRDefault="002E251B" w:rsidP="00AA241E">
      <w:pPr>
        <w:pStyle w:val="Loendilik"/>
        <w:numPr>
          <w:ilvl w:val="0"/>
          <w:numId w:val="101"/>
        </w:numPr>
        <w:jc w:val="both"/>
      </w:pPr>
      <w:r>
        <w:t>valguskaabelvõrgu</w:t>
      </w:r>
      <w:r w:rsidRPr="006E317E">
        <w:t xml:space="preserve"> internetiühenduste </w:t>
      </w:r>
      <w:r>
        <w:rPr>
          <w:rFonts w:cs="Times New Roman"/>
        </w:rPr>
        <w:t>B</w:t>
      </w:r>
      <w:r w:rsidRPr="00530054">
        <w:rPr>
          <w:rFonts w:cs="Times New Roman"/>
        </w:rPr>
        <w:t xml:space="preserve"> piirkonna jaetur</w:t>
      </w:r>
      <w:r>
        <w:rPr>
          <w:rFonts w:cs="Times New Roman"/>
        </w:rPr>
        <w:t>u</w:t>
      </w:r>
      <w:r w:rsidRPr="006E317E">
        <w:t xml:space="preserve"> </w:t>
      </w:r>
      <w:r w:rsidR="00EC24B2" w:rsidRPr="006E317E">
        <w:t>turuosade üldine struktuur ei viita tõhusale konkurentsile selles, vaid näitab pigem Telia seisundit valitseva seisundiga samaväärses majandusliku võimu positsioonis;</w:t>
      </w:r>
    </w:p>
    <w:p w14:paraId="34AFD7CB" w14:textId="58598D34" w:rsidR="00EC24B2" w:rsidRPr="006E317E" w:rsidRDefault="00EC24B2" w:rsidP="00AA241E">
      <w:pPr>
        <w:pStyle w:val="Loendilik"/>
        <w:numPr>
          <w:ilvl w:val="0"/>
          <w:numId w:val="101"/>
        </w:numPr>
        <w:jc w:val="both"/>
      </w:pPr>
      <w:r w:rsidRPr="006E317E">
        <w:t>Telial on endiselt kontroll olulise elektroonilise side infrastruktuuri üle ja tehnoloogilised eelised</w:t>
      </w:r>
      <w:r w:rsidR="002E251B">
        <w:t xml:space="preserve"> valguskaabelvõrgu</w:t>
      </w:r>
      <w:r w:rsidR="002E251B" w:rsidRPr="006E317E">
        <w:t xml:space="preserve"> internetiühenduste B </w:t>
      </w:r>
      <w:r w:rsidR="002E251B" w:rsidRPr="00530054">
        <w:rPr>
          <w:rFonts w:cs="Times New Roman"/>
        </w:rPr>
        <w:t>piirkonna jaetur</w:t>
      </w:r>
      <w:r w:rsidR="002E251B">
        <w:rPr>
          <w:rFonts w:cs="Times New Roman"/>
        </w:rPr>
        <w:t>ul</w:t>
      </w:r>
      <w:r w:rsidR="002E251B" w:rsidRPr="006E317E">
        <w:t xml:space="preserve"> </w:t>
      </w:r>
      <w:r w:rsidRPr="006E317E">
        <w:t>ulatuses, mis individuaalselt võimaldab tal olla valitseva seisundiga samaväärses majandusliku võimsuse seisundis;</w:t>
      </w:r>
    </w:p>
    <w:p w14:paraId="58F64F80" w14:textId="008333A5" w:rsidR="00EC24B2" w:rsidRPr="006E317E" w:rsidRDefault="00EC24B2" w:rsidP="00AA241E">
      <w:pPr>
        <w:pStyle w:val="Loendilik"/>
        <w:numPr>
          <w:ilvl w:val="0"/>
          <w:numId w:val="101"/>
        </w:numPr>
        <w:jc w:val="both"/>
      </w:pPr>
      <w:r w:rsidRPr="006E317E">
        <w:t xml:space="preserve">tasakaalustav </w:t>
      </w:r>
      <w:r w:rsidR="00EE71F9">
        <w:t>ostjaj</w:t>
      </w:r>
      <w:r w:rsidRPr="006E317E">
        <w:t xml:space="preserve">õud </w:t>
      </w:r>
      <w:r w:rsidR="002E251B">
        <w:t>valguskaabelvõrgu</w:t>
      </w:r>
      <w:r w:rsidR="002E251B" w:rsidRPr="006E317E">
        <w:t xml:space="preserve"> internetiühenduste </w:t>
      </w:r>
      <w:r w:rsidR="002E251B">
        <w:rPr>
          <w:rFonts w:cs="Times New Roman"/>
        </w:rPr>
        <w:t>B</w:t>
      </w:r>
      <w:r w:rsidR="002E251B" w:rsidRPr="00530054">
        <w:rPr>
          <w:rFonts w:cs="Times New Roman"/>
        </w:rPr>
        <w:t xml:space="preserve"> piirkonna jaetur</w:t>
      </w:r>
      <w:r w:rsidR="002E251B">
        <w:rPr>
          <w:rFonts w:cs="Times New Roman"/>
        </w:rPr>
        <w:t>ul</w:t>
      </w:r>
      <w:r w:rsidRPr="006E317E">
        <w:t xml:space="preserve"> ei ole piisav;</w:t>
      </w:r>
    </w:p>
    <w:p w14:paraId="7C54C9A6" w14:textId="211F7C9D" w:rsidR="00EC24B2" w:rsidRPr="006E317E" w:rsidRDefault="00EC24B2" w:rsidP="00AA241E">
      <w:pPr>
        <w:pStyle w:val="Loendilik"/>
        <w:numPr>
          <w:ilvl w:val="0"/>
          <w:numId w:val="101"/>
        </w:numPr>
        <w:jc w:val="both"/>
      </w:pPr>
      <w:r w:rsidRPr="006E317E">
        <w:t xml:space="preserve">Telial on </w:t>
      </w:r>
      <w:r w:rsidR="002E251B">
        <w:t>valguskaabelvõrgu</w:t>
      </w:r>
      <w:r w:rsidR="002E251B" w:rsidRPr="006E317E">
        <w:t xml:space="preserve"> internetiühenduste </w:t>
      </w:r>
      <w:r w:rsidR="002E251B">
        <w:rPr>
          <w:rFonts w:cs="Times New Roman"/>
        </w:rPr>
        <w:t>B</w:t>
      </w:r>
      <w:r w:rsidR="002E251B" w:rsidRPr="00530054">
        <w:rPr>
          <w:rFonts w:cs="Times New Roman"/>
        </w:rPr>
        <w:t xml:space="preserve"> piirkonna jaetur</w:t>
      </w:r>
      <w:r w:rsidR="002E251B">
        <w:rPr>
          <w:rFonts w:cs="Times New Roman"/>
        </w:rPr>
        <w:t>ul</w:t>
      </w:r>
      <w:r w:rsidR="002E251B" w:rsidRPr="006E317E">
        <w:t xml:space="preserve"> </w:t>
      </w:r>
      <w:r w:rsidRPr="006E317E">
        <w:t>endiselt eeliseid seoses seosteenustega niivõrd, kuivõrd see individuaalselt võimaldab tal olla turgu valitseva seisundiga samaväärses majandusliku tugevuse seisundis;</w:t>
      </w:r>
    </w:p>
    <w:p w14:paraId="5BC8D193" w14:textId="455AFC73" w:rsidR="00EC24B2" w:rsidRPr="006E317E" w:rsidRDefault="00EC24B2" w:rsidP="00AA241E">
      <w:pPr>
        <w:pStyle w:val="Loendilik"/>
        <w:numPr>
          <w:ilvl w:val="0"/>
          <w:numId w:val="101"/>
        </w:numPr>
        <w:jc w:val="both"/>
      </w:pPr>
      <w:r w:rsidRPr="006E317E">
        <w:t xml:space="preserve">Telial on nii mastaabi- kui ka mahusäästu eelised, samuti eelisjuurdepääs rahalistele vahenditele </w:t>
      </w:r>
      <w:r w:rsidR="00A3232C">
        <w:t>valguskaabelvõrgu</w:t>
      </w:r>
      <w:r w:rsidR="009A3ECA" w:rsidRPr="006E317E">
        <w:t xml:space="preserve"> jaetasandi internetiühenduste tootetur</w:t>
      </w:r>
      <w:r w:rsidR="009A3ECA">
        <w:t xml:space="preserve">ul </w:t>
      </w:r>
      <w:r w:rsidRPr="006E317E">
        <w:t>B piirkonnas niivõrd, kuivõrd see individuaalselt võimaldab tal olla valitseva seisundiga samaväärses majandusliku võimu positsioonis.</w:t>
      </w:r>
    </w:p>
    <w:p w14:paraId="421CE060" w14:textId="5E206746" w:rsidR="00EC24B2" w:rsidRPr="006E317E" w:rsidRDefault="00EC24B2" w:rsidP="00AA241E">
      <w:pPr>
        <w:pStyle w:val="Loendilik"/>
        <w:numPr>
          <w:ilvl w:val="0"/>
          <w:numId w:val="101"/>
        </w:numPr>
        <w:jc w:val="both"/>
      </w:pPr>
      <w:r w:rsidRPr="006E317E">
        <w:t xml:space="preserve">Seega on kolme kriteeriumi teine kriteerium, mis on määratletud et vaadeldaval turul ei toimi tõhus konkurents, täidetud, sest TTJA analüüsi kohaselt puudub </w:t>
      </w:r>
      <w:r w:rsidR="002E251B" w:rsidRPr="00530054">
        <w:rPr>
          <w:rFonts w:cs="Times New Roman"/>
        </w:rPr>
        <w:t>Valguskaabelvõrgu</w:t>
      </w:r>
      <w:r w:rsidR="002E251B" w:rsidRPr="006E317E">
        <w:t xml:space="preserve"> internetiühenduste </w:t>
      </w:r>
      <w:r w:rsidR="002E251B">
        <w:rPr>
          <w:rFonts w:cs="Times New Roman"/>
        </w:rPr>
        <w:t>B</w:t>
      </w:r>
      <w:r w:rsidR="002E251B" w:rsidRPr="00530054">
        <w:rPr>
          <w:rFonts w:cs="Times New Roman"/>
        </w:rPr>
        <w:t xml:space="preserve"> piirkonna jaetur</w:t>
      </w:r>
      <w:r w:rsidR="002E251B">
        <w:rPr>
          <w:rFonts w:cs="Times New Roman"/>
        </w:rPr>
        <w:t>ul</w:t>
      </w:r>
      <w:r w:rsidR="009A3ECA">
        <w:t xml:space="preserve"> </w:t>
      </w:r>
      <w:r w:rsidRPr="006E317E">
        <w:t>tõhus konkurents.</w:t>
      </w:r>
    </w:p>
    <w:p w14:paraId="68D892E5" w14:textId="55A3D015" w:rsidR="00EC24B2" w:rsidRPr="006E317E" w:rsidRDefault="00EC24B2" w:rsidP="00AA241E">
      <w:pPr>
        <w:jc w:val="both"/>
      </w:pPr>
      <w:r w:rsidRPr="006E317E">
        <w:t xml:space="preserve">Kuigi infrastruktuurikonkurents </w:t>
      </w:r>
      <w:r w:rsidR="002E251B">
        <w:t>valguskaabelvõrgu</w:t>
      </w:r>
      <w:r w:rsidR="002E251B" w:rsidRPr="006E317E">
        <w:t xml:space="preserve"> internetiühenduste </w:t>
      </w:r>
      <w:r w:rsidR="002E251B">
        <w:rPr>
          <w:rFonts w:cs="Times New Roman"/>
        </w:rPr>
        <w:t>B</w:t>
      </w:r>
      <w:r w:rsidR="002E251B" w:rsidRPr="00530054">
        <w:rPr>
          <w:rFonts w:cs="Times New Roman"/>
        </w:rPr>
        <w:t xml:space="preserve"> piirkonna jaetur</w:t>
      </w:r>
      <w:r w:rsidR="002E251B">
        <w:rPr>
          <w:rFonts w:cs="Times New Roman"/>
        </w:rPr>
        <w:t>ul</w:t>
      </w:r>
      <w:r w:rsidR="009A3ECA">
        <w:t xml:space="preserve"> </w:t>
      </w:r>
      <w:r w:rsidRPr="006E317E">
        <w:t xml:space="preserve">ei ole veel piisav ja täielik ning turule sisenemisel ja elektroonilise side võrgu leviala laiendamisel esineb takistusi, ei ole ka üldise konkurentsiõiguse kohaldamine piisav, sest püsivate turutõrgete </w:t>
      </w:r>
      <w:r w:rsidRPr="006E317E">
        <w:lastRenderedPageBreak/>
        <w:t xml:space="preserve">kõrvaldamine nõuab kohest sekkumist. Seega on kõik kolm kriteeriumi </w:t>
      </w:r>
      <w:r w:rsidR="002E251B" w:rsidRPr="00530054">
        <w:rPr>
          <w:rFonts w:cs="Times New Roman"/>
        </w:rPr>
        <w:t xml:space="preserve">valguskaabelvõrgu internetiühenduste </w:t>
      </w:r>
      <w:r w:rsidR="002E251B">
        <w:rPr>
          <w:rFonts w:cs="Times New Roman"/>
        </w:rPr>
        <w:t>B</w:t>
      </w:r>
      <w:r w:rsidR="002E251B" w:rsidRPr="00530054">
        <w:rPr>
          <w:rFonts w:cs="Times New Roman"/>
        </w:rPr>
        <w:t xml:space="preserve"> piirkonna jaetur</w:t>
      </w:r>
      <w:r w:rsidR="002E251B">
        <w:rPr>
          <w:rFonts w:cs="Times New Roman"/>
        </w:rPr>
        <w:t>ul</w:t>
      </w:r>
      <w:r w:rsidR="002E251B" w:rsidRPr="006E317E">
        <w:t xml:space="preserve"> </w:t>
      </w:r>
      <w:r w:rsidRPr="006E317E">
        <w:t>täidetud ja TTJA järeldab, et regulatiivne sekkumine asjaomasel hulgiturul on endiselt vajalik.</w:t>
      </w:r>
    </w:p>
    <w:p w14:paraId="57885B18" w14:textId="6EB5F9DD" w:rsidR="00EC24B2" w:rsidRPr="00BE0FB7" w:rsidRDefault="00EC24B2" w:rsidP="00AA241E">
      <w:pPr>
        <w:jc w:val="both"/>
        <w:rPr>
          <w:b/>
          <w:bCs/>
        </w:rPr>
      </w:pPr>
      <w:r w:rsidRPr="00BE0FB7">
        <w:rPr>
          <w:b/>
          <w:bCs/>
        </w:rPr>
        <w:t xml:space="preserve">Eespool öeldut silmas pidades on </w:t>
      </w:r>
      <w:r w:rsidR="002E251B" w:rsidRPr="002E251B">
        <w:rPr>
          <w:b/>
          <w:bCs/>
        </w:rPr>
        <w:t>valguskaabelvõrgu internetiühenduste B piirkonna jaetur</w:t>
      </w:r>
      <w:r w:rsidR="002E251B">
        <w:rPr>
          <w:b/>
          <w:bCs/>
        </w:rPr>
        <w:t>ul</w:t>
      </w:r>
      <w:r w:rsidR="002E251B" w:rsidRPr="002E251B">
        <w:rPr>
          <w:b/>
          <w:bCs/>
        </w:rPr>
        <w:t xml:space="preserve"> </w:t>
      </w:r>
      <w:r w:rsidRPr="00BE0FB7">
        <w:rPr>
          <w:b/>
          <w:bCs/>
        </w:rPr>
        <w:t xml:space="preserve">kumulatiivselt täidetud </w:t>
      </w:r>
      <w:r w:rsidR="002E251B">
        <w:rPr>
          <w:b/>
          <w:bCs/>
        </w:rPr>
        <w:t xml:space="preserve">kõik </w:t>
      </w:r>
      <w:r w:rsidRPr="00BE0FB7">
        <w:rPr>
          <w:b/>
          <w:bCs/>
        </w:rPr>
        <w:t>kolm kriteeriumi test</w:t>
      </w:r>
      <w:r w:rsidR="002E251B">
        <w:rPr>
          <w:b/>
          <w:bCs/>
        </w:rPr>
        <w:t>i kriteeriumi</w:t>
      </w:r>
      <w:r w:rsidRPr="00BE0FB7">
        <w:rPr>
          <w:b/>
          <w:bCs/>
        </w:rPr>
        <w:t xml:space="preserve"> ja puudub tõhus konkurents.</w:t>
      </w:r>
    </w:p>
    <w:p w14:paraId="251B83E2" w14:textId="77777777" w:rsidR="00EC24B2" w:rsidRPr="006E317E" w:rsidRDefault="00EC24B2" w:rsidP="00AA241E">
      <w:pPr>
        <w:jc w:val="both"/>
      </w:pPr>
    </w:p>
    <w:p w14:paraId="2B9F389D" w14:textId="4289DA9E" w:rsidR="00EC24B2" w:rsidRPr="006E317E" w:rsidRDefault="00E26D01" w:rsidP="00AA241E">
      <w:pPr>
        <w:pStyle w:val="Heading49"/>
        <w:numPr>
          <w:ilvl w:val="3"/>
          <w:numId w:val="65"/>
        </w:numPr>
      </w:pPr>
      <w:r>
        <w:t>Järeldused</w:t>
      </w:r>
    </w:p>
    <w:p w14:paraId="164BABC4" w14:textId="653A80C0" w:rsidR="00EC24B2" w:rsidRPr="006E317E" w:rsidRDefault="00EC24B2" w:rsidP="00AA241E">
      <w:pPr>
        <w:jc w:val="both"/>
      </w:pPr>
      <w:r w:rsidRPr="006E317E">
        <w:t xml:space="preserve">Võttes arvesse </w:t>
      </w:r>
      <w:r w:rsidRPr="002E251B">
        <w:t xml:space="preserve">punktis </w:t>
      </w:r>
      <w:r w:rsidR="000A11CB" w:rsidRPr="002E251B">
        <w:t>5</w:t>
      </w:r>
      <w:r w:rsidRPr="002E251B">
        <w:t xml:space="preserve">.1.2 esitatud analüüsi, järeldab TTJA, et </w:t>
      </w:r>
      <w:bookmarkStart w:id="669" w:name="_Hlk174020896"/>
      <w:r w:rsidR="00E54ED6" w:rsidRPr="002E251B">
        <w:t>valguskaabelvõrgu internetiühenduste A piirkonna jaeturul</w:t>
      </w:r>
      <w:r w:rsidR="00E54ED6" w:rsidRPr="00E54ED6">
        <w:t xml:space="preserve"> </w:t>
      </w:r>
      <w:r w:rsidRPr="006E317E">
        <w:t xml:space="preserve">on tõhus konkurents ja Telia ei ole enam turgu valitseva seisundiga samaväärses majandusliku jõu seisundis. Nimelt ei ole Telia enam märkimisväärse turujõuga ettevõtjast teenuseosutaja. Seega on </w:t>
      </w:r>
      <w:r w:rsidR="00303572" w:rsidRPr="006E317E">
        <w:t xml:space="preserve">vaja tühistada Telia </w:t>
      </w:r>
      <w:r w:rsidR="00303572">
        <w:t>kohustused</w:t>
      </w:r>
      <w:r w:rsidR="00303572" w:rsidRPr="006E317E">
        <w:t xml:space="preserve"> </w:t>
      </w:r>
      <w:r w:rsidR="00B93690" w:rsidRPr="00B93690">
        <w:t xml:space="preserve">valguskaabelvõrgu internetiühenduste A piirkonna </w:t>
      </w:r>
      <w:r w:rsidR="00B93690">
        <w:t>hulgiturul</w:t>
      </w:r>
      <w:r w:rsidR="003A1A10">
        <w:t xml:space="preserve"> 1</w:t>
      </w:r>
      <w:r w:rsidRPr="006E317E">
        <w:t xml:space="preserve">, mille TTJA on kehtestanud otsusega </w:t>
      </w:r>
      <w:r w:rsidR="001F7118" w:rsidRPr="001F7118">
        <w:rPr>
          <w:rStyle w:val="Laad1Mrk"/>
          <w:rFonts w:eastAsia="Calibri"/>
          <w:sz w:val="24"/>
          <w:szCs w:val="24"/>
        </w:rPr>
        <w:t>16.06.17 nr 1-10/17-228</w:t>
      </w:r>
      <w:r w:rsidR="001F7118" w:rsidRPr="00F73FD8">
        <w:rPr>
          <w:rStyle w:val="Laad1Mrk"/>
          <w:rFonts w:eastAsia="Calibri"/>
        </w:rPr>
        <w:t xml:space="preserve"> </w:t>
      </w:r>
      <w:r w:rsidRPr="006E317E">
        <w:t>.</w:t>
      </w:r>
    </w:p>
    <w:bookmarkEnd w:id="669"/>
    <w:p w14:paraId="700931AD" w14:textId="51490FFB" w:rsidR="00EC24B2" w:rsidRPr="006E317E" w:rsidRDefault="00EC24B2" w:rsidP="00AA241E">
      <w:pPr>
        <w:jc w:val="both"/>
      </w:pPr>
      <w:r w:rsidRPr="006E317E">
        <w:t xml:space="preserve">Võttes arvesse punktis </w:t>
      </w:r>
      <w:r w:rsidR="000A11CB" w:rsidRPr="002E251B">
        <w:t>5</w:t>
      </w:r>
      <w:r w:rsidRPr="002E251B">
        <w:t>.1.2</w:t>
      </w:r>
      <w:r w:rsidRPr="006E317E">
        <w:t xml:space="preserve"> esitatud analüüsi, järeldab TTJA, et </w:t>
      </w:r>
      <w:r w:rsidR="003A1A10" w:rsidRPr="003A1A10">
        <w:t>valguskaabelvõrgu internetiühenduste B piirkonna jaetur</w:t>
      </w:r>
      <w:r w:rsidR="00776B2D">
        <w:t>ul</w:t>
      </w:r>
      <w:r w:rsidR="003A1A10" w:rsidRPr="003A1A10">
        <w:t xml:space="preserve"> </w:t>
      </w:r>
      <w:r w:rsidRPr="006E317E">
        <w:t xml:space="preserve">puudub tõhus konkurents ja Telia majanduslik tugevus on endiselt samaväärne turgu valitseva seisundiga. Nimelt on Telial endiselt märkimisväärse turujõuga ettevõtjast teenuseosutaja. Seega teostab TTJA täiendavalt </w:t>
      </w:r>
      <w:r w:rsidR="00776B2D" w:rsidRPr="00776B2D">
        <w:t>valguskaablivõrgu B piirkonna hulgitur</w:t>
      </w:r>
      <w:r w:rsidR="00776B2D">
        <w:t>u</w:t>
      </w:r>
      <w:r w:rsidR="000A3DCE">
        <w:t>l</w:t>
      </w:r>
      <w:r w:rsidR="00776B2D">
        <w:t xml:space="preserve"> </w:t>
      </w:r>
      <w:r w:rsidR="00776B2D" w:rsidRPr="00776B2D">
        <w:t>1</w:t>
      </w:r>
      <w:r w:rsidR="00776B2D">
        <w:t xml:space="preserve"> </w:t>
      </w:r>
      <w:r w:rsidR="000A3DCE">
        <w:t>turu</w:t>
      </w:r>
      <w:r w:rsidR="00776B2D">
        <w:t>analüüsi.</w:t>
      </w:r>
    </w:p>
    <w:p w14:paraId="2BC3B1E2" w14:textId="77777777" w:rsidR="00EC24B2" w:rsidRPr="006E317E" w:rsidRDefault="00EC24B2" w:rsidP="00AA241E">
      <w:pPr>
        <w:jc w:val="both"/>
      </w:pPr>
      <w:r w:rsidRPr="006E317E">
        <w:br w:type="page"/>
      </w:r>
    </w:p>
    <w:p w14:paraId="0D8C04A5" w14:textId="50EA040A" w:rsidR="00EC24B2" w:rsidRPr="006E317E" w:rsidRDefault="00546A8E" w:rsidP="00AA241E">
      <w:pPr>
        <w:pStyle w:val="Pealkiri2"/>
        <w:jc w:val="both"/>
      </w:pPr>
      <w:bookmarkStart w:id="670" w:name="_Toc164846151"/>
      <w:bookmarkStart w:id="671" w:name="_Toc174705012"/>
      <w:bookmarkStart w:id="672" w:name="_Toc174710785"/>
      <w:r>
        <w:lastRenderedPageBreak/>
        <w:t>Hulgiturg</w:t>
      </w:r>
      <w:r w:rsidR="009264A2" w:rsidRPr="006E317E">
        <w:t xml:space="preserve"> </w:t>
      </w:r>
      <w:r w:rsidR="00EC24B2" w:rsidRPr="006E317E">
        <w:t xml:space="preserve">1: piiritlemine ja analüüs </w:t>
      </w:r>
      <w:bookmarkEnd w:id="670"/>
      <w:r w:rsidR="006B6F9E" w:rsidRPr="001813B7">
        <w:t xml:space="preserve">valguskaablivõrgu </w:t>
      </w:r>
      <w:r w:rsidR="0000036D">
        <w:t>B</w:t>
      </w:r>
      <w:r w:rsidR="006B6F9E" w:rsidRPr="001813B7">
        <w:t xml:space="preserve"> piirkonna hulgitur</w:t>
      </w:r>
      <w:r w:rsidR="00E20A0B">
        <w:t>ul</w:t>
      </w:r>
      <w:r w:rsidR="006B6F9E" w:rsidRPr="001813B7">
        <w:t xml:space="preserve"> 1</w:t>
      </w:r>
      <w:bookmarkEnd w:id="671"/>
      <w:bookmarkEnd w:id="672"/>
    </w:p>
    <w:p w14:paraId="6E1CA5F5" w14:textId="77777777" w:rsidR="001F37BD" w:rsidRPr="001F37BD" w:rsidRDefault="001F37BD" w:rsidP="00AA241E">
      <w:pPr>
        <w:pStyle w:val="Loendilik"/>
        <w:keepNext/>
        <w:numPr>
          <w:ilvl w:val="0"/>
          <w:numId w:val="27"/>
        </w:numPr>
        <w:suppressAutoHyphens/>
        <w:spacing w:before="360" w:after="240" w:line="240" w:lineRule="auto"/>
        <w:contextualSpacing w:val="0"/>
        <w:jc w:val="both"/>
        <w:outlineLvl w:val="1"/>
        <w:rPr>
          <w:rFonts w:eastAsia="Times New Roman" w:cs="Times New Roman"/>
          <w:b/>
          <w:vanish/>
          <w:szCs w:val="20"/>
          <w:lang w:eastAsia="ar-SA"/>
        </w:rPr>
      </w:pPr>
      <w:bookmarkStart w:id="673" w:name="_Toc174094577"/>
      <w:bookmarkStart w:id="674" w:name="_Toc174094844"/>
      <w:bookmarkStart w:id="675" w:name="_Toc174095110"/>
      <w:bookmarkStart w:id="676" w:name="_Toc174095375"/>
      <w:bookmarkStart w:id="677" w:name="_Toc174095913"/>
      <w:bookmarkStart w:id="678" w:name="_Toc174096179"/>
      <w:bookmarkStart w:id="679" w:name="_Toc174536069"/>
      <w:bookmarkStart w:id="680" w:name="_Toc174617170"/>
      <w:bookmarkStart w:id="681" w:name="_Toc174618527"/>
      <w:bookmarkStart w:id="682" w:name="_Toc174627589"/>
      <w:bookmarkStart w:id="683" w:name="_Toc174705013"/>
      <w:bookmarkStart w:id="684" w:name="_Toc174709557"/>
      <w:bookmarkStart w:id="685" w:name="_Toc174710786"/>
      <w:bookmarkStart w:id="686" w:name="_Toc164846152"/>
      <w:bookmarkEnd w:id="673"/>
      <w:bookmarkEnd w:id="674"/>
      <w:bookmarkEnd w:id="675"/>
      <w:bookmarkEnd w:id="676"/>
      <w:bookmarkEnd w:id="677"/>
      <w:bookmarkEnd w:id="678"/>
      <w:bookmarkEnd w:id="679"/>
      <w:bookmarkEnd w:id="680"/>
      <w:bookmarkEnd w:id="681"/>
      <w:bookmarkEnd w:id="682"/>
      <w:bookmarkEnd w:id="683"/>
      <w:bookmarkEnd w:id="684"/>
      <w:bookmarkEnd w:id="685"/>
    </w:p>
    <w:p w14:paraId="10E4FEDE" w14:textId="77777777" w:rsidR="001F37BD" w:rsidRPr="001F37BD" w:rsidRDefault="001F37BD" w:rsidP="00AA241E">
      <w:pPr>
        <w:pStyle w:val="Loendilik"/>
        <w:keepNext/>
        <w:numPr>
          <w:ilvl w:val="0"/>
          <w:numId w:val="27"/>
        </w:numPr>
        <w:suppressAutoHyphens/>
        <w:spacing w:before="360" w:after="240" w:line="240" w:lineRule="auto"/>
        <w:contextualSpacing w:val="0"/>
        <w:jc w:val="both"/>
        <w:outlineLvl w:val="1"/>
        <w:rPr>
          <w:rFonts w:eastAsia="Times New Roman" w:cs="Times New Roman"/>
          <w:b/>
          <w:vanish/>
          <w:szCs w:val="20"/>
          <w:lang w:eastAsia="ar-SA"/>
        </w:rPr>
      </w:pPr>
      <w:bookmarkStart w:id="687" w:name="_Toc174094578"/>
      <w:bookmarkStart w:id="688" w:name="_Toc174094845"/>
      <w:bookmarkStart w:id="689" w:name="_Toc174095111"/>
      <w:bookmarkStart w:id="690" w:name="_Toc174095376"/>
      <w:bookmarkStart w:id="691" w:name="_Toc174095914"/>
      <w:bookmarkStart w:id="692" w:name="_Toc174096180"/>
      <w:bookmarkStart w:id="693" w:name="_Toc174536070"/>
      <w:bookmarkStart w:id="694" w:name="_Toc174617171"/>
      <w:bookmarkStart w:id="695" w:name="_Toc174618528"/>
      <w:bookmarkStart w:id="696" w:name="_Toc174627590"/>
      <w:bookmarkStart w:id="697" w:name="_Toc174705014"/>
      <w:bookmarkStart w:id="698" w:name="_Toc174709558"/>
      <w:bookmarkStart w:id="699" w:name="_Toc174710787"/>
      <w:bookmarkEnd w:id="687"/>
      <w:bookmarkEnd w:id="688"/>
      <w:bookmarkEnd w:id="689"/>
      <w:bookmarkEnd w:id="690"/>
      <w:bookmarkEnd w:id="691"/>
      <w:bookmarkEnd w:id="692"/>
      <w:bookmarkEnd w:id="693"/>
      <w:bookmarkEnd w:id="694"/>
      <w:bookmarkEnd w:id="695"/>
      <w:bookmarkEnd w:id="696"/>
      <w:bookmarkEnd w:id="697"/>
      <w:bookmarkEnd w:id="698"/>
      <w:bookmarkEnd w:id="699"/>
    </w:p>
    <w:p w14:paraId="21ACD165" w14:textId="77777777" w:rsidR="001F37BD" w:rsidRPr="001F37BD" w:rsidRDefault="001F37BD" w:rsidP="00AA241E">
      <w:pPr>
        <w:pStyle w:val="Loendilik"/>
        <w:keepNext/>
        <w:numPr>
          <w:ilvl w:val="0"/>
          <w:numId w:val="27"/>
        </w:numPr>
        <w:suppressAutoHyphens/>
        <w:spacing w:before="360" w:after="240" w:line="240" w:lineRule="auto"/>
        <w:contextualSpacing w:val="0"/>
        <w:jc w:val="both"/>
        <w:outlineLvl w:val="1"/>
        <w:rPr>
          <w:rFonts w:eastAsia="Times New Roman" w:cs="Times New Roman"/>
          <w:b/>
          <w:vanish/>
          <w:szCs w:val="20"/>
          <w:lang w:eastAsia="ar-SA"/>
        </w:rPr>
      </w:pPr>
      <w:bookmarkStart w:id="700" w:name="_Toc174094579"/>
      <w:bookmarkStart w:id="701" w:name="_Toc174094846"/>
      <w:bookmarkStart w:id="702" w:name="_Toc174095112"/>
      <w:bookmarkStart w:id="703" w:name="_Toc174095377"/>
      <w:bookmarkStart w:id="704" w:name="_Toc174095915"/>
      <w:bookmarkStart w:id="705" w:name="_Toc174096181"/>
      <w:bookmarkStart w:id="706" w:name="_Toc174536071"/>
      <w:bookmarkStart w:id="707" w:name="_Toc174617172"/>
      <w:bookmarkStart w:id="708" w:name="_Toc174618529"/>
      <w:bookmarkStart w:id="709" w:name="_Toc174627591"/>
      <w:bookmarkStart w:id="710" w:name="_Toc174705015"/>
      <w:bookmarkStart w:id="711" w:name="_Toc174709559"/>
      <w:bookmarkStart w:id="712" w:name="_Toc174710788"/>
      <w:bookmarkEnd w:id="700"/>
      <w:bookmarkEnd w:id="701"/>
      <w:bookmarkEnd w:id="702"/>
      <w:bookmarkEnd w:id="703"/>
      <w:bookmarkEnd w:id="704"/>
      <w:bookmarkEnd w:id="705"/>
      <w:bookmarkEnd w:id="706"/>
      <w:bookmarkEnd w:id="707"/>
      <w:bookmarkEnd w:id="708"/>
      <w:bookmarkEnd w:id="709"/>
      <w:bookmarkEnd w:id="710"/>
      <w:bookmarkEnd w:id="711"/>
      <w:bookmarkEnd w:id="712"/>
    </w:p>
    <w:p w14:paraId="0FF34C20" w14:textId="77777777" w:rsidR="001F37BD" w:rsidRPr="001F37BD" w:rsidRDefault="001F37BD" w:rsidP="00AA241E">
      <w:pPr>
        <w:pStyle w:val="Loendilik"/>
        <w:keepNext/>
        <w:numPr>
          <w:ilvl w:val="0"/>
          <w:numId w:val="27"/>
        </w:numPr>
        <w:suppressAutoHyphens/>
        <w:spacing w:before="360" w:after="240" w:line="240" w:lineRule="auto"/>
        <w:contextualSpacing w:val="0"/>
        <w:jc w:val="both"/>
        <w:outlineLvl w:val="1"/>
        <w:rPr>
          <w:rFonts w:eastAsia="Times New Roman" w:cs="Times New Roman"/>
          <w:b/>
          <w:vanish/>
          <w:szCs w:val="20"/>
          <w:lang w:eastAsia="ar-SA"/>
        </w:rPr>
      </w:pPr>
      <w:bookmarkStart w:id="713" w:name="_Toc174094580"/>
      <w:bookmarkStart w:id="714" w:name="_Toc174094847"/>
      <w:bookmarkStart w:id="715" w:name="_Toc174095113"/>
      <w:bookmarkStart w:id="716" w:name="_Toc174095378"/>
      <w:bookmarkStart w:id="717" w:name="_Toc174095916"/>
      <w:bookmarkStart w:id="718" w:name="_Toc174096182"/>
      <w:bookmarkStart w:id="719" w:name="_Toc174536072"/>
      <w:bookmarkStart w:id="720" w:name="_Toc174617173"/>
      <w:bookmarkStart w:id="721" w:name="_Toc174618530"/>
      <w:bookmarkStart w:id="722" w:name="_Toc174627592"/>
      <w:bookmarkStart w:id="723" w:name="_Toc174705016"/>
      <w:bookmarkStart w:id="724" w:name="_Toc174709560"/>
      <w:bookmarkStart w:id="725" w:name="_Toc174710789"/>
      <w:bookmarkEnd w:id="713"/>
      <w:bookmarkEnd w:id="714"/>
      <w:bookmarkEnd w:id="715"/>
      <w:bookmarkEnd w:id="716"/>
      <w:bookmarkEnd w:id="717"/>
      <w:bookmarkEnd w:id="718"/>
      <w:bookmarkEnd w:id="719"/>
      <w:bookmarkEnd w:id="720"/>
      <w:bookmarkEnd w:id="721"/>
      <w:bookmarkEnd w:id="722"/>
      <w:bookmarkEnd w:id="723"/>
      <w:bookmarkEnd w:id="724"/>
      <w:bookmarkEnd w:id="725"/>
    </w:p>
    <w:p w14:paraId="47B8764E" w14:textId="77777777" w:rsidR="00D434D4" w:rsidRPr="00D434D4" w:rsidRDefault="00D434D4" w:rsidP="00AA241E">
      <w:pPr>
        <w:pStyle w:val="Loendilik"/>
        <w:keepNext/>
        <w:keepLines/>
        <w:numPr>
          <w:ilvl w:val="0"/>
          <w:numId w:val="22"/>
        </w:numPr>
        <w:spacing w:before="160" w:after="80"/>
        <w:contextualSpacing w:val="0"/>
        <w:jc w:val="both"/>
        <w:outlineLvl w:val="1"/>
        <w:rPr>
          <w:rFonts w:eastAsiaTheme="majorEastAsia" w:cstheme="majorBidi"/>
          <w:b/>
          <w:bCs/>
          <w:vanish/>
          <w:color w:val="000000" w:themeColor="text1"/>
        </w:rPr>
      </w:pPr>
      <w:bookmarkStart w:id="726" w:name="_Toc174096183"/>
      <w:bookmarkStart w:id="727" w:name="_Toc174536073"/>
      <w:bookmarkStart w:id="728" w:name="_Toc174618531"/>
      <w:bookmarkStart w:id="729" w:name="_Toc174627593"/>
      <w:bookmarkStart w:id="730" w:name="_Toc174705017"/>
      <w:bookmarkStart w:id="731" w:name="_Toc174709561"/>
      <w:bookmarkStart w:id="732" w:name="_Toc174710790"/>
      <w:bookmarkEnd w:id="726"/>
      <w:bookmarkEnd w:id="727"/>
      <w:bookmarkEnd w:id="728"/>
      <w:bookmarkEnd w:id="729"/>
      <w:bookmarkEnd w:id="730"/>
      <w:bookmarkEnd w:id="731"/>
      <w:bookmarkEnd w:id="732"/>
    </w:p>
    <w:p w14:paraId="3BA2BA48" w14:textId="77777777" w:rsidR="00404E1B" w:rsidRPr="00404E1B" w:rsidRDefault="00404E1B" w:rsidP="00AA241E">
      <w:pPr>
        <w:pStyle w:val="Loendilik"/>
        <w:keepNext/>
        <w:keepLines/>
        <w:numPr>
          <w:ilvl w:val="0"/>
          <w:numId w:val="62"/>
        </w:numPr>
        <w:spacing w:before="160" w:after="80" w:line="360" w:lineRule="auto"/>
        <w:contextualSpacing w:val="0"/>
        <w:jc w:val="both"/>
        <w:outlineLvl w:val="2"/>
        <w:rPr>
          <w:rFonts w:eastAsia="Calibri" w:cstheme="majorBidi"/>
          <w:bCs/>
          <w:vanish/>
          <w:color w:val="000000" w:themeColor="text1"/>
          <w:lang w:eastAsia="en-US"/>
        </w:rPr>
      </w:pPr>
      <w:bookmarkStart w:id="733" w:name="_Toc174096184"/>
      <w:bookmarkStart w:id="734" w:name="_Toc174536074"/>
      <w:bookmarkStart w:id="735" w:name="_Toc174618532"/>
      <w:bookmarkStart w:id="736" w:name="_Toc174627594"/>
      <w:bookmarkStart w:id="737" w:name="_Toc174705018"/>
      <w:bookmarkStart w:id="738" w:name="_Toc174709562"/>
      <w:bookmarkStart w:id="739" w:name="_Toc174710791"/>
      <w:bookmarkEnd w:id="733"/>
      <w:bookmarkEnd w:id="734"/>
      <w:bookmarkEnd w:id="735"/>
      <w:bookmarkEnd w:id="736"/>
      <w:bookmarkEnd w:id="737"/>
      <w:bookmarkEnd w:id="738"/>
      <w:bookmarkEnd w:id="739"/>
    </w:p>
    <w:p w14:paraId="2FE936A1" w14:textId="77777777" w:rsidR="00404E1B" w:rsidRPr="00404E1B" w:rsidRDefault="00404E1B" w:rsidP="00AA241E">
      <w:pPr>
        <w:pStyle w:val="Loendilik"/>
        <w:keepNext/>
        <w:keepLines/>
        <w:numPr>
          <w:ilvl w:val="1"/>
          <w:numId w:val="62"/>
        </w:numPr>
        <w:spacing w:before="160" w:after="80" w:line="360" w:lineRule="auto"/>
        <w:contextualSpacing w:val="0"/>
        <w:jc w:val="both"/>
        <w:outlineLvl w:val="2"/>
        <w:rPr>
          <w:rFonts w:eastAsia="Calibri" w:cstheme="majorBidi"/>
          <w:bCs/>
          <w:vanish/>
          <w:color w:val="000000" w:themeColor="text1"/>
          <w:lang w:eastAsia="en-US"/>
        </w:rPr>
      </w:pPr>
      <w:bookmarkStart w:id="740" w:name="_Toc174094583"/>
      <w:bookmarkStart w:id="741" w:name="_Toc174094850"/>
      <w:bookmarkStart w:id="742" w:name="_Toc174095116"/>
      <w:bookmarkStart w:id="743" w:name="_Toc174095381"/>
      <w:bookmarkStart w:id="744" w:name="_Toc174095919"/>
      <w:bookmarkStart w:id="745" w:name="_Toc174096185"/>
      <w:bookmarkStart w:id="746" w:name="_Toc174536075"/>
      <w:bookmarkStart w:id="747" w:name="_Toc174617176"/>
      <w:bookmarkStart w:id="748" w:name="_Toc174618533"/>
      <w:bookmarkStart w:id="749" w:name="_Toc174627595"/>
      <w:bookmarkStart w:id="750" w:name="_Toc174705019"/>
      <w:bookmarkStart w:id="751" w:name="_Toc174709563"/>
      <w:bookmarkStart w:id="752" w:name="_Toc174710792"/>
      <w:bookmarkEnd w:id="740"/>
      <w:bookmarkEnd w:id="741"/>
      <w:bookmarkEnd w:id="742"/>
      <w:bookmarkEnd w:id="743"/>
      <w:bookmarkEnd w:id="744"/>
      <w:bookmarkEnd w:id="745"/>
      <w:bookmarkEnd w:id="746"/>
      <w:bookmarkEnd w:id="747"/>
      <w:bookmarkEnd w:id="748"/>
      <w:bookmarkEnd w:id="749"/>
      <w:bookmarkEnd w:id="750"/>
      <w:bookmarkEnd w:id="751"/>
      <w:bookmarkEnd w:id="752"/>
    </w:p>
    <w:p w14:paraId="09EE1C92" w14:textId="77777777" w:rsidR="00404E1B" w:rsidRPr="00404E1B" w:rsidRDefault="00404E1B" w:rsidP="00AA241E">
      <w:pPr>
        <w:pStyle w:val="Loendilik"/>
        <w:keepNext/>
        <w:keepLines/>
        <w:numPr>
          <w:ilvl w:val="1"/>
          <w:numId w:val="62"/>
        </w:numPr>
        <w:spacing w:before="160" w:after="80" w:line="360" w:lineRule="auto"/>
        <w:contextualSpacing w:val="0"/>
        <w:jc w:val="both"/>
        <w:outlineLvl w:val="2"/>
        <w:rPr>
          <w:rFonts w:eastAsia="Calibri" w:cstheme="majorBidi"/>
          <w:bCs/>
          <w:vanish/>
          <w:color w:val="000000" w:themeColor="text1"/>
          <w:lang w:eastAsia="en-US"/>
        </w:rPr>
      </w:pPr>
      <w:bookmarkStart w:id="753" w:name="_Toc174094584"/>
      <w:bookmarkStart w:id="754" w:name="_Toc174094851"/>
      <w:bookmarkStart w:id="755" w:name="_Toc174095117"/>
      <w:bookmarkStart w:id="756" w:name="_Toc174095382"/>
      <w:bookmarkStart w:id="757" w:name="_Toc174095920"/>
      <w:bookmarkStart w:id="758" w:name="_Toc174096186"/>
      <w:bookmarkStart w:id="759" w:name="_Toc174536076"/>
      <w:bookmarkStart w:id="760" w:name="_Toc174617177"/>
      <w:bookmarkStart w:id="761" w:name="_Toc174618534"/>
      <w:bookmarkStart w:id="762" w:name="_Toc174627596"/>
      <w:bookmarkStart w:id="763" w:name="_Toc174705020"/>
      <w:bookmarkStart w:id="764" w:name="_Toc174709564"/>
      <w:bookmarkStart w:id="765" w:name="_Toc174710793"/>
      <w:bookmarkEnd w:id="753"/>
      <w:bookmarkEnd w:id="754"/>
      <w:bookmarkEnd w:id="755"/>
      <w:bookmarkEnd w:id="756"/>
      <w:bookmarkEnd w:id="757"/>
      <w:bookmarkEnd w:id="758"/>
      <w:bookmarkEnd w:id="759"/>
      <w:bookmarkEnd w:id="760"/>
      <w:bookmarkEnd w:id="761"/>
      <w:bookmarkEnd w:id="762"/>
      <w:bookmarkEnd w:id="763"/>
      <w:bookmarkEnd w:id="764"/>
      <w:bookmarkEnd w:id="765"/>
    </w:p>
    <w:p w14:paraId="36F8CDA4" w14:textId="77777777" w:rsidR="001A6636" w:rsidRPr="001A6636" w:rsidRDefault="001A6636" w:rsidP="00AA241E">
      <w:pPr>
        <w:pStyle w:val="Loendilik"/>
        <w:keepNext/>
        <w:keepLines/>
        <w:numPr>
          <w:ilvl w:val="1"/>
          <w:numId w:val="67"/>
        </w:numPr>
        <w:spacing w:before="160" w:after="80" w:line="360" w:lineRule="auto"/>
        <w:contextualSpacing w:val="0"/>
        <w:jc w:val="both"/>
        <w:outlineLvl w:val="2"/>
        <w:rPr>
          <w:rFonts w:eastAsia="Calibri" w:cstheme="majorBidi"/>
          <w:bCs/>
          <w:vanish/>
          <w:color w:val="000000" w:themeColor="text1"/>
          <w:lang w:eastAsia="en-US"/>
        </w:rPr>
      </w:pPr>
      <w:bookmarkStart w:id="766" w:name="_Toc174094585"/>
      <w:bookmarkStart w:id="767" w:name="_Toc174094852"/>
      <w:bookmarkStart w:id="768" w:name="_Toc174095118"/>
      <w:bookmarkStart w:id="769" w:name="_Toc174095383"/>
      <w:bookmarkStart w:id="770" w:name="_Toc174095921"/>
      <w:bookmarkStart w:id="771" w:name="_Toc174096187"/>
      <w:bookmarkStart w:id="772" w:name="_Toc174536077"/>
      <w:bookmarkStart w:id="773" w:name="_Toc174617178"/>
      <w:bookmarkStart w:id="774" w:name="_Toc174618535"/>
      <w:bookmarkStart w:id="775" w:name="_Toc174627597"/>
      <w:bookmarkStart w:id="776" w:name="_Toc174705021"/>
      <w:bookmarkStart w:id="777" w:name="_Toc174709565"/>
      <w:bookmarkStart w:id="778" w:name="_Toc174710794"/>
      <w:bookmarkEnd w:id="766"/>
      <w:bookmarkEnd w:id="767"/>
      <w:bookmarkEnd w:id="768"/>
      <w:bookmarkEnd w:id="769"/>
      <w:bookmarkEnd w:id="770"/>
      <w:bookmarkEnd w:id="771"/>
      <w:bookmarkEnd w:id="772"/>
      <w:bookmarkEnd w:id="773"/>
      <w:bookmarkEnd w:id="774"/>
      <w:bookmarkEnd w:id="775"/>
      <w:bookmarkEnd w:id="776"/>
      <w:bookmarkEnd w:id="777"/>
      <w:bookmarkEnd w:id="778"/>
    </w:p>
    <w:p w14:paraId="272833DC" w14:textId="77777777" w:rsidR="006B4022" w:rsidRPr="006B4022" w:rsidRDefault="006B4022"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779" w:name="_Toc174094586"/>
      <w:bookmarkStart w:id="780" w:name="_Toc174094853"/>
      <w:bookmarkStart w:id="781" w:name="_Toc174095119"/>
      <w:bookmarkStart w:id="782" w:name="_Toc174095384"/>
      <w:bookmarkStart w:id="783" w:name="_Toc174095922"/>
      <w:bookmarkStart w:id="784" w:name="_Toc174096188"/>
      <w:bookmarkStart w:id="785" w:name="_Toc174536078"/>
      <w:bookmarkStart w:id="786" w:name="_Toc174617179"/>
      <w:bookmarkStart w:id="787" w:name="_Toc174618536"/>
      <w:bookmarkStart w:id="788" w:name="_Toc174627598"/>
      <w:bookmarkStart w:id="789" w:name="_Toc174705022"/>
      <w:bookmarkStart w:id="790" w:name="_Toc174709566"/>
      <w:bookmarkStart w:id="791" w:name="_Toc174710795"/>
      <w:bookmarkEnd w:id="779"/>
      <w:bookmarkEnd w:id="780"/>
      <w:bookmarkEnd w:id="781"/>
      <w:bookmarkEnd w:id="782"/>
      <w:bookmarkEnd w:id="783"/>
      <w:bookmarkEnd w:id="784"/>
      <w:bookmarkEnd w:id="785"/>
      <w:bookmarkEnd w:id="786"/>
      <w:bookmarkEnd w:id="787"/>
      <w:bookmarkEnd w:id="788"/>
      <w:bookmarkEnd w:id="789"/>
      <w:bookmarkEnd w:id="790"/>
      <w:bookmarkEnd w:id="791"/>
    </w:p>
    <w:p w14:paraId="4F9AE3BD" w14:textId="55436365" w:rsidR="00EC24B2" w:rsidRPr="005F60C0" w:rsidRDefault="00FC5255" w:rsidP="009805E1">
      <w:pPr>
        <w:pStyle w:val="Pealkiri3"/>
      </w:pPr>
      <w:bookmarkStart w:id="792" w:name="_Toc174710796"/>
      <w:bookmarkEnd w:id="686"/>
      <w:r>
        <w:t>V</w:t>
      </w:r>
      <w:r w:rsidRPr="001813B7">
        <w:t xml:space="preserve">alguskaablivõrgu </w:t>
      </w:r>
      <w:r>
        <w:t>B</w:t>
      </w:r>
      <w:r w:rsidR="001C420D" w:rsidRPr="001813B7">
        <w:t xml:space="preserve"> piirkonna hulgiturg 1</w:t>
      </w:r>
      <w:bookmarkEnd w:id="792"/>
    </w:p>
    <w:p w14:paraId="041FB38A" w14:textId="61C11CDE" w:rsidR="00EC24B2" w:rsidRPr="002E251B" w:rsidRDefault="00EC24B2" w:rsidP="00AA241E">
      <w:pPr>
        <w:jc w:val="both"/>
      </w:pPr>
      <w:r w:rsidRPr="006E317E">
        <w:t>Kui turu määratlemine ja analüüs on jaetasandil läbi viidud, on vaja teostada turu määratlemine hulgi</w:t>
      </w:r>
      <w:r w:rsidR="00C2653F">
        <w:t>turu</w:t>
      </w:r>
      <w:r w:rsidR="007F7D0F">
        <w:t>l</w:t>
      </w:r>
      <w:r w:rsidRPr="006E317E">
        <w:t xml:space="preserve">, mis on aluseks </w:t>
      </w:r>
      <w:r w:rsidR="007F7D0F">
        <w:t>kohustuste</w:t>
      </w:r>
      <w:r w:rsidRPr="006E317E">
        <w:t xml:space="preserve">  kehtestamisele. </w:t>
      </w:r>
      <w:r w:rsidR="005E18A6" w:rsidRPr="006E317E">
        <w:t xml:space="preserve">TTJA </w:t>
      </w:r>
      <w:r w:rsidRPr="006E317E">
        <w:t xml:space="preserve">teostab </w:t>
      </w:r>
      <w:r w:rsidRPr="002E251B">
        <w:t xml:space="preserve">turu 1 määratlemise ja analüüsi ainult  </w:t>
      </w:r>
      <w:r w:rsidR="00D23B71" w:rsidRPr="002E251B">
        <w:rPr>
          <w:rFonts w:cs="Times New Roman"/>
        </w:rPr>
        <w:t>valguskaablivõrgu B piirkonna hulgiturul 1</w:t>
      </w:r>
      <w:r w:rsidRPr="002E251B">
        <w:t xml:space="preserve">, </w:t>
      </w:r>
      <w:r w:rsidR="00183BEB" w:rsidRPr="002E251B">
        <w:rPr>
          <w:rFonts w:cs="Times New Roman"/>
        </w:rPr>
        <w:t>vaskkaabli</w:t>
      </w:r>
      <w:r w:rsidR="00031E8F" w:rsidRPr="002E251B">
        <w:rPr>
          <w:rFonts w:cs="Times New Roman"/>
        </w:rPr>
        <w:t xml:space="preserve">- ja </w:t>
      </w:r>
      <w:r w:rsidR="00183BEB" w:rsidRPr="002E251B">
        <w:rPr>
          <w:rFonts w:cs="Times New Roman"/>
        </w:rPr>
        <w:t>mobiilsidevõr</w:t>
      </w:r>
      <w:r w:rsidR="00031E8F" w:rsidRPr="002E251B">
        <w:rPr>
          <w:rFonts w:cs="Times New Roman"/>
        </w:rPr>
        <w:t xml:space="preserve">gu hulgiturul 1 </w:t>
      </w:r>
      <w:r w:rsidRPr="002E251B">
        <w:t xml:space="preserve">ning </w:t>
      </w:r>
      <w:r w:rsidR="00031E8F" w:rsidRPr="002E251B">
        <w:t xml:space="preserve">valguskaablivõrgu A piirkonna hulgiturul 1 </w:t>
      </w:r>
      <w:r w:rsidRPr="002E251B">
        <w:t>on jae</w:t>
      </w:r>
      <w:r w:rsidR="00031E8F" w:rsidRPr="002E251B">
        <w:t>turu</w:t>
      </w:r>
      <w:r w:rsidR="0057437B" w:rsidRPr="002E251B">
        <w:t>l</w:t>
      </w:r>
      <w:r w:rsidRPr="002E251B">
        <w:t xml:space="preserve"> tõhus konkurents (vt punktid </w:t>
      </w:r>
      <w:r w:rsidR="000A11CB" w:rsidRPr="002E251B">
        <w:t>5</w:t>
      </w:r>
      <w:r w:rsidRPr="002E251B">
        <w:t xml:space="preserve">.1.1 ja </w:t>
      </w:r>
      <w:r w:rsidR="000A11CB" w:rsidRPr="002E251B">
        <w:t>5</w:t>
      </w:r>
      <w:r w:rsidRPr="002E251B">
        <w:t>.1.2).</w:t>
      </w:r>
    </w:p>
    <w:p w14:paraId="4F375B7F" w14:textId="59D81F7A" w:rsidR="00EC24B2" w:rsidRPr="006E317E" w:rsidRDefault="00EC24B2" w:rsidP="00AA241E">
      <w:pPr>
        <w:jc w:val="both"/>
      </w:pPr>
      <w:r w:rsidRPr="002E251B">
        <w:t xml:space="preserve">Punktides </w:t>
      </w:r>
      <w:r w:rsidR="000A11CB" w:rsidRPr="002E251B">
        <w:t>4</w:t>
      </w:r>
      <w:r w:rsidRPr="002E251B">
        <w:t xml:space="preserve">.1 ja </w:t>
      </w:r>
      <w:r w:rsidR="000A11CB" w:rsidRPr="002E251B">
        <w:t>4</w:t>
      </w:r>
      <w:r w:rsidRPr="002E251B">
        <w:t>.</w:t>
      </w:r>
      <w:r w:rsidR="004A6E91" w:rsidRPr="002E251B">
        <w:t>1</w:t>
      </w:r>
      <w:r w:rsidRPr="002E251B">
        <w:t>.</w:t>
      </w:r>
      <w:r w:rsidR="004A6E91" w:rsidRPr="002E251B">
        <w:t>1</w:t>
      </w:r>
      <w:r w:rsidRPr="002E251B">
        <w:t xml:space="preserve"> selgitas TTJA, et </w:t>
      </w:r>
      <w:r w:rsidR="00546A8E" w:rsidRPr="002E251B">
        <w:t>hulgiturg</w:t>
      </w:r>
      <w:r w:rsidRPr="002E251B">
        <w:t xml:space="preserve"> 1 viitab järgmistele hulgimüügiteenustele</w:t>
      </w:r>
      <w:r w:rsidRPr="006E317E">
        <w:t>:</w:t>
      </w:r>
    </w:p>
    <w:p w14:paraId="19BDF0FA" w14:textId="77777777" w:rsidR="00EC24B2" w:rsidRPr="006E317E" w:rsidRDefault="00EC24B2" w:rsidP="00AA241E">
      <w:pPr>
        <w:pStyle w:val="Loendilik"/>
        <w:numPr>
          <w:ilvl w:val="0"/>
          <w:numId w:val="77"/>
        </w:numPr>
        <w:jc w:val="both"/>
      </w:pPr>
      <w:r w:rsidRPr="006E317E">
        <w:t>eraldatud juurdepääs valguskaabel kliendiliinile (kiule) või selle osadele (lõikudele);</w:t>
      </w:r>
    </w:p>
    <w:p w14:paraId="26D2787E" w14:textId="77777777" w:rsidR="00EC24B2" w:rsidRPr="006E317E" w:rsidRDefault="00EC24B2" w:rsidP="00AA241E">
      <w:pPr>
        <w:pStyle w:val="Loendilik"/>
        <w:numPr>
          <w:ilvl w:val="0"/>
          <w:numId w:val="77"/>
        </w:numPr>
        <w:jc w:val="both"/>
      </w:pPr>
      <w:r w:rsidRPr="006E317E">
        <w:t>virtuaalne eraldamine ehk VULA.</w:t>
      </w:r>
    </w:p>
    <w:p w14:paraId="73655329" w14:textId="77777777" w:rsidR="00EC24B2" w:rsidRPr="006E317E" w:rsidRDefault="00EC24B2" w:rsidP="00AA241E">
      <w:pPr>
        <w:pStyle w:val="Loendilik"/>
        <w:numPr>
          <w:ilvl w:val="0"/>
          <w:numId w:val="77"/>
        </w:numPr>
        <w:jc w:val="both"/>
      </w:pPr>
      <w:r w:rsidRPr="006E317E">
        <w:t>juurdepääsu tugiteenused - teisele sideettevõtjale juurdepääsu võimaldamises muudele sidevõrgu osadele, seadmetele ja teenustele (muuhulgas juurdepääsu seadmemajutuse</w:t>
      </w:r>
      <w:r w:rsidRPr="005D266E">
        <w:rPr>
          <w:vertAlign w:val="superscript"/>
        </w:rPr>
        <w:footnoteReference w:id="94"/>
      </w:r>
      <w:r w:rsidRPr="006E317E">
        <w:t xml:space="preserve"> teenusele ja hoonete ühiskasutusele).</w:t>
      </w:r>
    </w:p>
    <w:p w14:paraId="1134407C" w14:textId="3493EC3E" w:rsidR="00EC24B2" w:rsidRPr="006E317E" w:rsidRDefault="00EC24B2" w:rsidP="00AA241E">
      <w:pPr>
        <w:jc w:val="both"/>
      </w:pPr>
      <w:r w:rsidRPr="006E317E">
        <w:t xml:space="preserve">Võttes arvesse, et TTJA viib paralleelselt </w:t>
      </w:r>
      <w:r w:rsidR="003D20B8">
        <w:t>käesoleva</w:t>
      </w:r>
      <w:r w:rsidRPr="006E317E">
        <w:t xml:space="preserve"> turuanalüüsiga läbi sidekaablitaristule juurdepääsu hulgimüügituru eraldi piiritlemi</w:t>
      </w:r>
      <w:r w:rsidR="003D20B8">
        <w:t>s</w:t>
      </w:r>
      <w:r w:rsidRPr="006E317E">
        <w:t>e ja analüüs</w:t>
      </w:r>
      <w:r w:rsidR="003D20B8">
        <w:t>i</w:t>
      </w:r>
      <w:r w:rsidRPr="006E317E">
        <w:t xml:space="preserve">, ei käsitleta kaabelkanalisatsiooni taristut enam </w:t>
      </w:r>
      <w:r w:rsidR="003D20B8">
        <w:t>hulgi</w:t>
      </w:r>
      <w:r w:rsidRPr="006E317E">
        <w:t>turu 1 raames.</w:t>
      </w:r>
    </w:p>
    <w:p w14:paraId="1C9AA0CD" w14:textId="7B5BC6AB" w:rsidR="00EC24B2" w:rsidRPr="006E317E" w:rsidRDefault="00EC24B2" w:rsidP="00AA241E">
      <w:pPr>
        <w:jc w:val="both"/>
      </w:pPr>
      <w:r w:rsidRPr="006E317E">
        <w:t xml:space="preserve">Hulgituru määratlemisel on vaja veelgi üksikasjalikumalt kindlaks määrata, mis </w:t>
      </w:r>
      <w:r w:rsidR="009C41A8">
        <w:t>tooted kuuluvad</w:t>
      </w:r>
      <w:r w:rsidRPr="006E317E">
        <w:t xml:space="preserve"> </w:t>
      </w:r>
      <w:r w:rsidR="00614A58" w:rsidRPr="00614A58">
        <w:t>valguskaablivõrgu A piirkonna hulgitur</w:t>
      </w:r>
      <w:r w:rsidR="00614A58">
        <w:t>ule</w:t>
      </w:r>
      <w:r w:rsidR="00614A58" w:rsidRPr="00614A58">
        <w:t xml:space="preserve"> 1</w:t>
      </w:r>
      <w:r w:rsidRPr="006E317E">
        <w:t>, st millised tehnoloogiad, elektroonilise side võrgu arhitektuurid ja teenused kuuluvad konkreetse</w:t>
      </w:r>
      <w:r w:rsidR="009C41A8">
        <w:t>l</w:t>
      </w:r>
      <w:r w:rsidRPr="006E317E">
        <w:t>e hulgimüügitur</w:t>
      </w:r>
      <w:r w:rsidR="009C41A8">
        <w:t>ule.</w:t>
      </w:r>
    </w:p>
    <w:p w14:paraId="2416B7F6" w14:textId="77777777" w:rsidR="006B4022" w:rsidRPr="006B4022" w:rsidRDefault="006B4022" w:rsidP="00AA241E">
      <w:pPr>
        <w:pStyle w:val="Loendilik"/>
        <w:keepNext/>
        <w:keepLines/>
        <w:numPr>
          <w:ilvl w:val="1"/>
          <w:numId w:val="36"/>
        </w:numPr>
        <w:tabs>
          <w:tab w:val="left" w:pos="1985"/>
        </w:tabs>
        <w:spacing w:before="120" w:after="240"/>
        <w:contextualSpacing w:val="0"/>
        <w:jc w:val="both"/>
        <w:outlineLvl w:val="3"/>
        <w:rPr>
          <w:rFonts w:eastAsiaTheme="majorEastAsia" w:cstheme="majorBidi"/>
          <w:i/>
          <w:iCs/>
          <w:vanish/>
          <w:lang w:eastAsia="en-US"/>
        </w:rPr>
      </w:pPr>
    </w:p>
    <w:p w14:paraId="7D7ED81E" w14:textId="77777777" w:rsidR="006B4022" w:rsidRPr="006B4022" w:rsidRDefault="006B4022" w:rsidP="00AA241E">
      <w:pPr>
        <w:pStyle w:val="Loendilik"/>
        <w:keepNext/>
        <w:keepLines/>
        <w:numPr>
          <w:ilvl w:val="1"/>
          <w:numId w:val="36"/>
        </w:numPr>
        <w:tabs>
          <w:tab w:val="left" w:pos="1985"/>
        </w:tabs>
        <w:spacing w:before="120" w:after="240"/>
        <w:contextualSpacing w:val="0"/>
        <w:jc w:val="both"/>
        <w:outlineLvl w:val="3"/>
        <w:rPr>
          <w:rFonts w:eastAsiaTheme="majorEastAsia" w:cstheme="majorBidi"/>
          <w:i/>
          <w:iCs/>
          <w:vanish/>
          <w:lang w:eastAsia="en-US"/>
        </w:rPr>
      </w:pPr>
    </w:p>
    <w:p w14:paraId="5E91FAFC" w14:textId="77777777" w:rsidR="006B4022" w:rsidRPr="006B4022" w:rsidRDefault="006B4022" w:rsidP="00AA241E">
      <w:pPr>
        <w:pStyle w:val="Loendilik"/>
        <w:keepNext/>
        <w:keepLines/>
        <w:numPr>
          <w:ilvl w:val="2"/>
          <w:numId w:val="36"/>
        </w:numPr>
        <w:tabs>
          <w:tab w:val="left" w:pos="1985"/>
        </w:tabs>
        <w:spacing w:before="120" w:after="240"/>
        <w:contextualSpacing w:val="0"/>
        <w:jc w:val="both"/>
        <w:outlineLvl w:val="3"/>
        <w:rPr>
          <w:rFonts w:eastAsiaTheme="majorEastAsia" w:cstheme="majorBidi"/>
          <w:i/>
          <w:iCs/>
          <w:vanish/>
          <w:lang w:eastAsia="en-US"/>
        </w:rPr>
      </w:pPr>
    </w:p>
    <w:p w14:paraId="6D0CB0A8" w14:textId="0635F202" w:rsidR="00EC24B2" w:rsidRPr="00D434D4" w:rsidRDefault="00EC24B2" w:rsidP="00AA241E">
      <w:pPr>
        <w:pStyle w:val="Pealkiri4"/>
      </w:pPr>
      <w:r w:rsidRPr="00A3368A">
        <w:t>Valguskaabel</w:t>
      </w:r>
      <w:r w:rsidRPr="00D434D4">
        <w:t xml:space="preserve"> tehnoloogiate asendatavus</w:t>
      </w:r>
    </w:p>
    <w:p w14:paraId="1AE217FE" w14:textId="0194C856" w:rsidR="00EC24B2" w:rsidRPr="006E317E" w:rsidRDefault="00EC24B2" w:rsidP="00AA241E">
      <w:pPr>
        <w:jc w:val="both"/>
      </w:pPr>
      <w:r w:rsidRPr="006E317E">
        <w:t>Soovituses 2003 nimetatud turg 11</w:t>
      </w:r>
      <w:r w:rsidRPr="005D266E">
        <w:rPr>
          <w:vertAlign w:val="superscript"/>
        </w:rPr>
        <w:footnoteReference w:id="95"/>
      </w:r>
      <w:r w:rsidRPr="006E317E">
        <w:t xml:space="preserve"> käsitleb hulgimüügitasandi eraldatud juurdepääsu üksnes </w:t>
      </w:r>
      <w:r w:rsidR="002D69F7">
        <w:t>vaskpaar</w:t>
      </w:r>
      <w:r w:rsidRPr="006E317E">
        <w:t xml:space="preserve"> juurdepääsuvõrgu kaudu. Seevastu  soovituses 2007 osutatud 4. turg</w:t>
      </w:r>
      <w:r w:rsidRPr="005D266E">
        <w:rPr>
          <w:vertAlign w:val="superscript"/>
        </w:rPr>
        <w:footnoteReference w:id="96"/>
      </w:r>
      <w:r w:rsidRPr="006E317E">
        <w:t>, soovituses 2014 osutatud turg 3a</w:t>
      </w:r>
      <w:r w:rsidRPr="005D266E">
        <w:rPr>
          <w:vertAlign w:val="superscript"/>
        </w:rPr>
        <w:footnoteReference w:id="97"/>
      </w:r>
      <w:r w:rsidRPr="006E317E">
        <w:t xml:space="preserve"> ja soovituses 2020 osutatud 1. </w:t>
      </w:r>
      <w:r w:rsidR="002E251B">
        <w:t>hulgi</w:t>
      </w:r>
      <w:r w:rsidRPr="006E317E">
        <w:t>turg hõlmavad</w:t>
      </w:r>
      <w:r w:rsidRPr="005D266E">
        <w:rPr>
          <w:vertAlign w:val="superscript"/>
        </w:rPr>
        <w:footnoteReference w:id="98"/>
      </w:r>
      <w:r w:rsidRPr="006E317E">
        <w:t xml:space="preserve"> nii vaskpaar- kui ka valguskaabel juurdepääsuvõrgu hulgimüügitasandi juurdepääsu. Ajalooliselt on FTTH (FTTH P2P või PON) ja FTTB või FTTN/VDSL puhul hulgimüügitasandi juurdepääsuteenuseid peetud </w:t>
      </w:r>
      <w:r w:rsidRPr="006E317E">
        <w:lastRenderedPageBreak/>
        <w:t>traditsioonilise vaskpaaril põhineva kliendiliini juurdepääsu funktsionaalseks asendajaks, kuna neid tehnoloogiaid peetakse eelmiste põlvkondade tehnoloogiliseks edasi arenguks.</w:t>
      </w:r>
    </w:p>
    <w:p w14:paraId="6EBF2198" w14:textId="77777777" w:rsidR="00EC24B2" w:rsidRPr="006E317E" w:rsidRDefault="00EC24B2" w:rsidP="00AA241E">
      <w:pPr>
        <w:jc w:val="both"/>
      </w:pPr>
      <w:r w:rsidRPr="006E317E">
        <w:t>Selles turuanalüüsi voorus ei hõlma hulgituru 1. valguskaabli alamturg enam vaskpaar kliendiliini juurdepääsuvõrgu arhitektuuri, sest:</w:t>
      </w:r>
    </w:p>
    <w:p w14:paraId="3578B882" w14:textId="6281D8AD" w:rsidR="00EC24B2" w:rsidRPr="006E317E" w:rsidRDefault="00EC24B2" w:rsidP="00AA241E">
      <w:pPr>
        <w:jc w:val="both"/>
      </w:pPr>
      <w:r w:rsidRPr="006E317E">
        <w:t xml:space="preserve">Tavainternet, mis põhineb DSL-, VDSL-, ja VDSL2- </w:t>
      </w:r>
      <w:proofErr w:type="spellStart"/>
      <w:r w:rsidRPr="006E317E">
        <w:t>vectoring</w:t>
      </w:r>
      <w:proofErr w:type="spellEnd"/>
      <w:r w:rsidRPr="006E317E">
        <w:t xml:space="preserve">, ei kujuta endast enam interneti ühtset </w:t>
      </w:r>
      <w:r w:rsidR="00FF4C6A">
        <w:t>jaeturgu</w:t>
      </w:r>
      <w:r w:rsidRPr="006E317E">
        <w:t xml:space="preserve">. Seega ei kuulu vaskpaar kliendiliinidel põhinevad DSL-, VDSL- ja VDSL2- </w:t>
      </w:r>
      <w:proofErr w:type="spellStart"/>
      <w:r w:rsidRPr="006E317E">
        <w:t>vectoring</w:t>
      </w:r>
      <w:proofErr w:type="spellEnd"/>
      <w:r w:rsidRPr="006E317E">
        <w:t xml:space="preserve"> tehnoloogiad </w:t>
      </w:r>
      <w:r w:rsidR="00183BEB">
        <w:rPr>
          <w:rFonts w:cs="Times New Roman"/>
        </w:rPr>
        <w:t>Vaskkaabli</w:t>
      </w:r>
      <w:r w:rsidR="00FF460C" w:rsidRPr="009D7FE5">
        <w:rPr>
          <w:rFonts w:cs="Times New Roman"/>
        </w:rPr>
        <w:t xml:space="preserve">- ja </w:t>
      </w:r>
      <w:r w:rsidR="00183BEB">
        <w:rPr>
          <w:rFonts w:cs="Times New Roman"/>
        </w:rPr>
        <w:t>mobiilsidevõr</w:t>
      </w:r>
      <w:r w:rsidR="00FF460C" w:rsidRPr="009D7FE5">
        <w:rPr>
          <w:rFonts w:cs="Times New Roman"/>
        </w:rPr>
        <w:t>gu hulgitur</w:t>
      </w:r>
      <w:r w:rsidR="00FF460C">
        <w:rPr>
          <w:rFonts w:cs="Times New Roman"/>
        </w:rPr>
        <w:t>ule</w:t>
      </w:r>
      <w:r w:rsidR="00FF460C" w:rsidRPr="009D7FE5">
        <w:rPr>
          <w:rFonts w:cs="Times New Roman"/>
        </w:rPr>
        <w:t xml:space="preserve"> </w:t>
      </w:r>
      <w:r w:rsidR="00FF460C">
        <w:rPr>
          <w:rFonts w:cs="Times New Roman"/>
        </w:rPr>
        <w:t>1</w:t>
      </w:r>
      <w:r w:rsidR="004D5645">
        <w:t>.</w:t>
      </w:r>
    </w:p>
    <w:p w14:paraId="734B2977" w14:textId="7BAD49E7" w:rsidR="00EC24B2" w:rsidRPr="004A6E91" w:rsidRDefault="00183BEB" w:rsidP="00AA241E">
      <w:pPr>
        <w:jc w:val="both"/>
        <w:rPr>
          <w:b/>
          <w:bCs/>
        </w:rPr>
      </w:pPr>
      <w:r>
        <w:rPr>
          <w:b/>
          <w:bCs/>
        </w:rPr>
        <w:t>Vaskkaabli</w:t>
      </w:r>
      <w:r w:rsidR="00866FA5" w:rsidRPr="00866FA5">
        <w:rPr>
          <w:b/>
          <w:bCs/>
        </w:rPr>
        <w:t xml:space="preserve">- ja </w:t>
      </w:r>
      <w:r>
        <w:rPr>
          <w:b/>
          <w:bCs/>
        </w:rPr>
        <w:t>mobiilsidevõr</w:t>
      </w:r>
      <w:r w:rsidR="00866FA5" w:rsidRPr="00866FA5">
        <w:rPr>
          <w:b/>
          <w:bCs/>
        </w:rPr>
        <w:t>gu hulgitur</w:t>
      </w:r>
      <w:r w:rsidR="00866FA5">
        <w:rPr>
          <w:b/>
          <w:bCs/>
        </w:rPr>
        <w:t>u</w:t>
      </w:r>
      <w:r w:rsidR="00932D9A">
        <w:rPr>
          <w:b/>
          <w:bCs/>
        </w:rPr>
        <w:t>l</w:t>
      </w:r>
      <w:r w:rsidR="00866FA5">
        <w:rPr>
          <w:b/>
          <w:bCs/>
        </w:rPr>
        <w:t xml:space="preserve"> </w:t>
      </w:r>
      <w:r w:rsidR="00866FA5" w:rsidRPr="00866FA5">
        <w:rPr>
          <w:b/>
          <w:bCs/>
        </w:rPr>
        <w:t>1</w:t>
      </w:r>
      <w:r w:rsidR="00866FA5">
        <w:rPr>
          <w:b/>
          <w:bCs/>
        </w:rPr>
        <w:t xml:space="preserve"> </w:t>
      </w:r>
      <w:r w:rsidR="003260C7" w:rsidRPr="004A6E91">
        <w:rPr>
          <w:b/>
          <w:bCs/>
        </w:rPr>
        <w:t>toimib</w:t>
      </w:r>
      <w:r w:rsidR="00EC24B2" w:rsidRPr="004A6E91">
        <w:rPr>
          <w:b/>
          <w:bCs/>
        </w:rPr>
        <w:t xml:space="preserve"> tõhus konkurents</w:t>
      </w:r>
      <w:r w:rsidR="00932D9A">
        <w:rPr>
          <w:b/>
          <w:bCs/>
        </w:rPr>
        <w:t>.</w:t>
      </w:r>
    </w:p>
    <w:p w14:paraId="2582BD0F" w14:textId="77777777" w:rsidR="00EC24B2" w:rsidRPr="006E317E" w:rsidRDefault="00EC24B2" w:rsidP="00AA241E">
      <w:pPr>
        <w:jc w:val="both"/>
      </w:pPr>
      <w:r w:rsidRPr="006E317E">
        <w:t>FTTH (P2P või PON) ja FTTB  valguskaabelvõrgu  arhitektuuride puhul  on hulgimüügitasandi juurdepääsuteenused hulgimüügis funktsionaalselt asendatavad.</w:t>
      </w:r>
    </w:p>
    <w:p w14:paraId="24941AF1" w14:textId="726E52AD" w:rsidR="00EC24B2" w:rsidRPr="006E317E" w:rsidRDefault="00EC24B2" w:rsidP="00AA241E">
      <w:pPr>
        <w:jc w:val="both"/>
      </w:pPr>
      <w:r w:rsidRPr="006E317E">
        <w:t xml:space="preserve">TTJA selgitab, et lõppkasutajad, kes kasutavad praegu kvaliteetseid teenuseid (t.sk. FTTH P2P juurdepääsuvõrk), peaks olema võimalik seda vahetada tavalise Interneti vastu. Tehnoloogia arengu mõjul on see võimalik, kui lõppkasutajal on vajalikud teadmised infotehnoloogiast ja </w:t>
      </w:r>
      <w:r w:rsidR="006B068A">
        <w:t xml:space="preserve">teenus </w:t>
      </w:r>
      <w:r w:rsidRPr="006E317E">
        <w:t>vastab lõppkasutaja kvaliteedinõuetele. Lõppkasutaja vajab ainult standardset internetti, kuid andmeedastuse loob lõppkasutaja ise, kasutades sobivat tarkvara. Arvestades, et andmete edastamine valguskaabel juurdepääsuvõrgu kaudu võib pakkuda kvaliteetset standardset internetti, võimaldab see lõppkasutajal kasutada operaatori pakutava kvaliteetse teenusega võrreldes odavamaid lahendusi.</w:t>
      </w:r>
    </w:p>
    <w:p w14:paraId="60DA62A5" w14:textId="627EBE89" w:rsidR="00EC24B2" w:rsidRPr="006E317E" w:rsidRDefault="00EC24B2" w:rsidP="00AA241E">
      <w:pPr>
        <w:jc w:val="both"/>
      </w:pPr>
      <w:r w:rsidRPr="006E317E">
        <w:t xml:space="preserve">Turu reguleerimine </w:t>
      </w:r>
      <w:r w:rsidR="003C7D3F">
        <w:t>hulgi</w:t>
      </w:r>
      <w:r w:rsidRPr="006E317E">
        <w:t>turul 1 tagab Telia lõppkasutajate</w:t>
      </w:r>
      <w:r w:rsidR="003C7D3F">
        <w:t>le</w:t>
      </w:r>
      <w:r w:rsidRPr="006E317E">
        <w:t xml:space="preserve"> õiguse vahetada operaatorit, säilitades samal ajal Telia sama kliendiliini/kiu. Seega on kõigil Telia lõppkasutajatel eranditult konkreetsel territooriumil õigus vahetada </w:t>
      </w:r>
      <w:r w:rsidR="00B84E33">
        <w:t>sideettevõtjat</w:t>
      </w:r>
      <w:r w:rsidRPr="006E317E">
        <w:t xml:space="preserve"> ja saada standardset internetti, mis tahes tüüpi juurdepääsuvõrgu arhitektuuris vastavalt hulgituru määratlusele, kui see vastab lõppkasutajate kvaliteedinõuetele.</w:t>
      </w:r>
    </w:p>
    <w:p w14:paraId="35073EA4" w14:textId="7B9655B0" w:rsidR="00EC24B2" w:rsidRPr="006E317E" w:rsidRDefault="00EC24B2" w:rsidP="00AA241E">
      <w:pPr>
        <w:jc w:val="both"/>
      </w:pPr>
      <w:r w:rsidRPr="006E317E">
        <w:t xml:space="preserve">FTTH puhul kasutab Telia ainult FTTH P2P ja FTTH PON tehnoloogiaid, mille TTJA oli lisanud hulgituru määratlusse ja millele </w:t>
      </w:r>
      <w:r w:rsidR="00D118CC">
        <w:t xml:space="preserve">on </w:t>
      </w:r>
      <w:r w:rsidRPr="006E317E">
        <w:t xml:space="preserve">kehtestatud </w:t>
      </w:r>
      <w:r w:rsidR="00D118CC">
        <w:t>kohustused</w:t>
      </w:r>
      <w:r w:rsidRPr="006E317E">
        <w:t xml:space="preserve">. </w:t>
      </w:r>
    </w:p>
    <w:p w14:paraId="71FAE63A" w14:textId="30409F6D" w:rsidR="00EC24B2" w:rsidRPr="006E317E" w:rsidRDefault="00EC24B2" w:rsidP="00AA241E">
      <w:pPr>
        <w:jc w:val="both"/>
      </w:pPr>
      <w:r w:rsidRPr="006E317E">
        <w:t>Võttes arvesse ee</w:t>
      </w:r>
      <w:r w:rsidR="00D118CC">
        <w:t>l</w:t>
      </w:r>
      <w:r w:rsidRPr="006E317E">
        <w:t xml:space="preserve">pool öeldut ja geograafiliste turgude määratlust, moodustavad FTTH (P2P ja PON) ja FTTB </w:t>
      </w:r>
      <w:r w:rsidR="00D978EC">
        <w:rPr>
          <w:rFonts w:cs="Times New Roman"/>
        </w:rPr>
        <w:t>v</w:t>
      </w:r>
      <w:r w:rsidR="00D978EC" w:rsidRPr="009D7FE5">
        <w:rPr>
          <w:rFonts w:cs="Times New Roman"/>
        </w:rPr>
        <w:t>alguskaablivõrgu</w:t>
      </w:r>
      <w:r w:rsidR="00D978EC">
        <w:rPr>
          <w:rFonts w:cs="Times New Roman"/>
        </w:rPr>
        <w:t xml:space="preserve"> B</w:t>
      </w:r>
      <w:r w:rsidR="00D978EC" w:rsidRPr="009D7FE5">
        <w:rPr>
          <w:rFonts w:cs="Times New Roman"/>
        </w:rPr>
        <w:t xml:space="preserve"> piirkonna hulgitur</w:t>
      </w:r>
      <w:r w:rsidR="00D978EC">
        <w:rPr>
          <w:rFonts w:cs="Times New Roman"/>
        </w:rPr>
        <w:t>u</w:t>
      </w:r>
      <w:r w:rsidR="00D978EC" w:rsidRPr="009D7FE5">
        <w:rPr>
          <w:rFonts w:cs="Times New Roman"/>
        </w:rPr>
        <w:t xml:space="preserve"> </w:t>
      </w:r>
      <w:r w:rsidR="00D978EC">
        <w:rPr>
          <w:rFonts w:cs="Times New Roman"/>
        </w:rPr>
        <w:t>1</w:t>
      </w:r>
      <w:r w:rsidR="001D6D68">
        <w:rPr>
          <w:rFonts w:cs="Times New Roman"/>
        </w:rPr>
        <w:t xml:space="preserve"> </w:t>
      </w:r>
      <w:r w:rsidRPr="006E317E">
        <w:t>ja hõlmavad kogu kliendiliini/valguskaabel kiu eraldamist.</w:t>
      </w:r>
    </w:p>
    <w:p w14:paraId="415F384E" w14:textId="3A4D4101" w:rsidR="00346D5D" w:rsidRDefault="00346D5D" w:rsidP="00AA241E">
      <w:pPr>
        <w:jc w:val="both"/>
      </w:pPr>
      <w:r>
        <w:br w:type="page"/>
      </w:r>
    </w:p>
    <w:p w14:paraId="7CFFDE46" w14:textId="77777777" w:rsidR="00EC24B2" w:rsidRPr="004A6E91" w:rsidRDefault="00EC24B2" w:rsidP="00AA241E">
      <w:pPr>
        <w:jc w:val="both"/>
        <w:rPr>
          <w:b/>
          <w:bCs/>
        </w:rPr>
      </w:pPr>
      <w:r w:rsidRPr="004A6E91">
        <w:rPr>
          <w:b/>
          <w:bCs/>
        </w:rPr>
        <w:lastRenderedPageBreak/>
        <w:t>Valguskaabel võrgu asendatavus VULA teenusega</w:t>
      </w:r>
    </w:p>
    <w:p w14:paraId="7EFF30BE" w14:textId="58BF9260" w:rsidR="00EC24B2" w:rsidRPr="006E317E" w:rsidRDefault="00EC24B2" w:rsidP="00AA241E">
      <w:pPr>
        <w:jc w:val="both"/>
      </w:pPr>
      <w:r w:rsidRPr="006E317E">
        <w:t>Ajalooliselt on hulgiteenused liigitatud passiivseteks ja aktiivseteks teenusteks, sest enne valguskaabel võrkude levikut oli füüsiline juurdepääs kliendiliinile võimalik nii terves ulatuses vaskpaar kliendiliini eraldamine kui ka alamkliendiliini eraldamine. Valguskaabel juurdepääsuvõrkude puhul on füüsiline eraldatud juurdepääs kliendiliinile või kiule ODF-</w:t>
      </w:r>
      <w:proofErr w:type="spellStart"/>
      <w:r w:rsidRPr="006E317E">
        <w:t>ile</w:t>
      </w:r>
      <w:proofErr w:type="spellEnd"/>
      <w:r w:rsidRPr="006E317E">
        <w:t xml:space="preserve"> võimalik ainult FTTH P2P tehnoloogiate puhul. FTTH PON puhul on füüsiline juurdepääs võimalik ainult siis, kui saadakse juurdepääs viimasele </w:t>
      </w:r>
      <w:proofErr w:type="spellStart"/>
      <w:r w:rsidRPr="006E317E">
        <w:t>splitterile</w:t>
      </w:r>
      <w:proofErr w:type="spellEnd"/>
      <w:r w:rsidRPr="006E317E">
        <w:t xml:space="preserve">, st ainult viimast etappi saab füüsiliselt lahti siduda. Samuti saab FTTB puhul füüsiliselt lahti siduda ainult viimase etapi. Olukorras, kus ühe juurdepääsuvõrgu segmendi ühendamist ei ole võimalik füüsiliselt lahti ühendada, on turul 1 valguskaabli alamturul kohalikul tasandil võimalus osutada VULA teenust operaatori põhivõrgus. VULA on </w:t>
      </w:r>
      <w:r w:rsidR="003257B9" w:rsidRPr="006E317E">
        <w:t>virtuaalne</w:t>
      </w:r>
      <w:r w:rsidRPr="006E317E">
        <w:t xml:space="preserve"> hulgimüügiteenus, mille tehnilised omadused ja kvaliteet on sisuliselt sellised, et need võivad dubleerida füüsilise eraldamist omadusi virtuaalselt.</w:t>
      </w:r>
    </w:p>
    <w:p w14:paraId="1EFDD90B" w14:textId="5CE53B43" w:rsidR="00EC24B2" w:rsidRPr="006E317E" w:rsidRDefault="00EC24B2" w:rsidP="00AA241E">
      <w:pPr>
        <w:spacing w:after="0"/>
        <w:jc w:val="both"/>
      </w:pPr>
      <w:r w:rsidRPr="006E317E">
        <w:t>TTJA-</w:t>
      </w:r>
      <w:proofErr w:type="spellStart"/>
      <w:r w:rsidRPr="006E317E">
        <w:t>le</w:t>
      </w:r>
      <w:proofErr w:type="spellEnd"/>
      <w:r w:rsidRPr="006E317E">
        <w:t xml:space="preserve"> esitatud teabest lähtuvalt viis operaatorit osutab valguskaabel teenuseid FTTB P2P tehnoloogia vahendusel</w:t>
      </w:r>
      <w:r w:rsidR="00266C8D">
        <w:t>.</w:t>
      </w:r>
      <w:r w:rsidRPr="006E317E">
        <w:t xml:space="preserve"> Viis operaatorit osutab valguskaabel teenuseid FTTH PON tehnoloogia vahendusel ja neli operaatorit osutab valguskaabel teenuseid FTTH P2P-d tehnoloogia vahendusel. FTTH P2P tehnoloogia kasutamine on kasutusel väikeses mahus. Viimase ajal eelistavad operaatorid kulude kokkuhoiuks peamiselt kasutada PON-tüüpi juurdepääsuvõrku, mitte FTTH P2P-d või FTTB lahendusi. Telia FTTH </w:t>
      </w:r>
      <w:proofErr w:type="spellStart"/>
      <w:r w:rsidRPr="006E317E">
        <w:t>PON-il</w:t>
      </w:r>
      <w:proofErr w:type="spellEnd"/>
      <w:r w:rsidRPr="006E317E">
        <w:t xml:space="preserve"> on ka kõige levinum juurdepääsuvõrgu arhitektuur/tehnoloogia, samuti pakub Telia ka FTTB ja FTTH P2P lahenduste vahendusel juurdepääsu lõpptarbijatel kuid nende mahud on tunduvalt väiksemad</w:t>
      </w:r>
      <w:r w:rsidR="000E7FF3">
        <w:t xml:space="preserve"> </w:t>
      </w:r>
      <w:r w:rsidRPr="006E317E">
        <w:t>( v</w:t>
      </w:r>
      <w:r w:rsidR="00346D5D">
        <w:t>t</w:t>
      </w:r>
      <w:r w:rsidRPr="006E317E">
        <w:t xml:space="preserve"> ka tabelit </w:t>
      </w:r>
      <w:r w:rsidR="004A6E91">
        <w:t>3</w:t>
      </w:r>
      <w:r w:rsidR="00346D5D">
        <w:t>3</w:t>
      </w:r>
      <w:r w:rsidRPr="006E317E">
        <w:t>)</w:t>
      </w:r>
      <w:r w:rsidR="000E7FF3">
        <w:t>.</w:t>
      </w:r>
    </w:p>
    <w:tbl>
      <w:tblPr>
        <w:tblStyle w:val="Kontuurtabel1"/>
        <w:tblW w:w="9629" w:type="dxa"/>
        <w:tblLook w:val="04A0" w:firstRow="1" w:lastRow="0" w:firstColumn="1" w:lastColumn="0" w:noHBand="0" w:noVBand="1"/>
      </w:tblPr>
      <w:tblGrid>
        <w:gridCol w:w="1677"/>
        <w:gridCol w:w="1686"/>
        <w:gridCol w:w="1767"/>
        <w:gridCol w:w="1608"/>
        <w:gridCol w:w="1285"/>
        <w:gridCol w:w="1606"/>
      </w:tblGrid>
      <w:tr w:rsidR="00EC24B2" w:rsidRPr="006E317E" w14:paraId="4C980DED" w14:textId="77777777" w:rsidTr="00BB1D21">
        <w:trPr>
          <w:trHeight w:val="20"/>
        </w:trPr>
        <w:tc>
          <w:tcPr>
            <w:tcW w:w="1677" w:type="dxa"/>
            <w:shd w:val="clear" w:color="auto" w:fill="92D050"/>
            <w:noWrap/>
            <w:hideMark/>
          </w:tcPr>
          <w:p w14:paraId="0B7C43C1" w14:textId="55A79FE9" w:rsidR="00EC24B2" w:rsidRPr="00BB1D21" w:rsidRDefault="00EC24B2" w:rsidP="00AA241E">
            <w:pPr>
              <w:jc w:val="both"/>
              <w:rPr>
                <w:b/>
                <w:bCs/>
              </w:rPr>
            </w:pPr>
          </w:p>
        </w:tc>
        <w:tc>
          <w:tcPr>
            <w:tcW w:w="1686" w:type="dxa"/>
            <w:shd w:val="clear" w:color="auto" w:fill="92D050"/>
            <w:noWrap/>
            <w:hideMark/>
          </w:tcPr>
          <w:p w14:paraId="394004E7" w14:textId="77777777" w:rsidR="00EC24B2" w:rsidRPr="00BB1D21" w:rsidRDefault="00EC24B2" w:rsidP="00AA241E">
            <w:pPr>
              <w:jc w:val="both"/>
              <w:rPr>
                <w:b/>
                <w:bCs/>
              </w:rPr>
            </w:pPr>
            <w:r w:rsidRPr="00BB1D21">
              <w:rPr>
                <w:b/>
                <w:bCs/>
              </w:rPr>
              <w:t>FTTB P2P</w:t>
            </w:r>
          </w:p>
        </w:tc>
        <w:tc>
          <w:tcPr>
            <w:tcW w:w="1767" w:type="dxa"/>
            <w:shd w:val="clear" w:color="auto" w:fill="92D050"/>
            <w:noWrap/>
            <w:hideMark/>
          </w:tcPr>
          <w:p w14:paraId="6808D7D3" w14:textId="77777777" w:rsidR="00EC24B2" w:rsidRPr="00BB1D21" w:rsidRDefault="00EC24B2" w:rsidP="00AA241E">
            <w:pPr>
              <w:jc w:val="both"/>
              <w:rPr>
                <w:b/>
                <w:bCs/>
              </w:rPr>
            </w:pPr>
            <w:r w:rsidRPr="00BB1D21">
              <w:rPr>
                <w:b/>
                <w:bCs/>
              </w:rPr>
              <w:t>FTTH P2P</w:t>
            </w:r>
          </w:p>
        </w:tc>
        <w:tc>
          <w:tcPr>
            <w:tcW w:w="1608" w:type="dxa"/>
            <w:shd w:val="clear" w:color="auto" w:fill="92D050"/>
            <w:noWrap/>
            <w:hideMark/>
          </w:tcPr>
          <w:p w14:paraId="364CA58D" w14:textId="77777777" w:rsidR="00EC24B2" w:rsidRPr="00BB1D21" w:rsidRDefault="00EC24B2" w:rsidP="00AA241E">
            <w:pPr>
              <w:jc w:val="both"/>
              <w:rPr>
                <w:b/>
                <w:bCs/>
              </w:rPr>
            </w:pPr>
            <w:r w:rsidRPr="00BB1D21">
              <w:rPr>
                <w:b/>
                <w:bCs/>
              </w:rPr>
              <w:t>FTTH PON</w:t>
            </w:r>
          </w:p>
        </w:tc>
        <w:tc>
          <w:tcPr>
            <w:tcW w:w="1285" w:type="dxa"/>
            <w:shd w:val="clear" w:color="auto" w:fill="92D050"/>
            <w:noWrap/>
            <w:hideMark/>
          </w:tcPr>
          <w:p w14:paraId="3577DB47" w14:textId="77777777" w:rsidR="00EC24B2" w:rsidRPr="00BB1D21" w:rsidRDefault="00EC24B2" w:rsidP="00AA241E">
            <w:pPr>
              <w:jc w:val="both"/>
              <w:rPr>
                <w:b/>
                <w:bCs/>
              </w:rPr>
            </w:pPr>
            <w:r w:rsidRPr="00BB1D21">
              <w:rPr>
                <w:b/>
                <w:bCs/>
              </w:rPr>
              <w:t>Kokku</w:t>
            </w:r>
          </w:p>
        </w:tc>
        <w:tc>
          <w:tcPr>
            <w:tcW w:w="1606" w:type="dxa"/>
            <w:shd w:val="clear" w:color="auto" w:fill="92D050"/>
            <w:noWrap/>
            <w:hideMark/>
          </w:tcPr>
          <w:p w14:paraId="52241074" w14:textId="77777777" w:rsidR="00EC24B2" w:rsidRPr="00BB1D21" w:rsidRDefault="00EC24B2" w:rsidP="00AA241E">
            <w:pPr>
              <w:jc w:val="both"/>
              <w:rPr>
                <w:b/>
                <w:bCs/>
              </w:rPr>
            </w:pPr>
            <w:r w:rsidRPr="00BB1D21">
              <w:rPr>
                <w:b/>
                <w:bCs/>
              </w:rPr>
              <w:t>% osakaal</w:t>
            </w:r>
          </w:p>
        </w:tc>
      </w:tr>
      <w:tr w:rsidR="00C22B37" w:rsidRPr="006E317E" w14:paraId="576F54ED" w14:textId="77777777" w:rsidTr="00BB1D21">
        <w:trPr>
          <w:trHeight w:val="20"/>
        </w:trPr>
        <w:tc>
          <w:tcPr>
            <w:tcW w:w="1677" w:type="dxa"/>
            <w:noWrap/>
            <w:hideMark/>
          </w:tcPr>
          <w:p w14:paraId="005B2A7F" w14:textId="77777777" w:rsidR="00C22B37" w:rsidRPr="006E317E" w:rsidRDefault="00C22B37" w:rsidP="00C22B37">
            <w:pPr>
              <w:jc w:val="both"/>
            </w:pPr>
            <w:r w:rsidRPr="006E317E">
              <w:t>Telia</w:t>
            </w:r>
          </w:p>
        </w:tc>
        <w:tc>
          <w:tcPr>
            <w:tcW w:w="1686" w:type="dxa"/>
            <w:noWrap/>
            <w:hideMark/>
          </w:tcPr>
          <w:p w14:paraId="447A051B" w14:textId="5AC44123" w:rsidR="00C22B37" w:rsidRPr="006E317E" w:rsidRDefault="00C22B37" w:rsidP="00C22B37">
            <w:pPr>
              <w:jc w:val="right"/>
            </w:pPr>
            <w:r w:rsidRPr="00564BD2">
              <w:t>…*</w:t>
            </w:r>
          </w:p>
        </w:tc>
        <w:tc>
          <w:tcPr>
            <w:tcW w:w="1767" w:type="dxa"/>
            <w:noWrap/>
            <w:hideMark/>
          </w:tcPr>
          <w:p w14:paraId="1822B4C7" w14:textId="48C5E9D5" w:rsidR="00C22B37" w:rsidRPr="006E317E" w:rsidRDefault="00C22B37" w:rsidP="00C22B37">
            <w:pPr>
              <w:jc w:val="right"/>
            </w:pPr>
            <w:r w:rsidRPr="00564BD2">
              <w:t>…*</w:t>
            </w:r>
          </w:p>
        </w:tc>
        <w:tc>
          <w:tcPr>
            <w:tcW w:w="1608" w:type="dxa"/>
            <w:noWrap/>
            <w:hideMark/>
          </w:tcPr>
          <w:p w14:paraId="067E019A" w14:textId="38FC8120" w:rsidR="00C22B37" w:rsidRPr="006E317E" w:rsidRDefault="00C22B37" w:rsidP="00C22B37">
            <w:pPr>
              <w:jc w:val="right"/>
            </w:pPr>
            <w:r w:rsidRPr="00564BD2">
              <w:t>…*</w:t>
            </w:r>
          </w:p>
        </w:tc>
        <w:tc>
          <w:tcPr>
            <w:tcW w:w="1285" w:type="dxa"/>
            <w:noWrap/>
            <w:hideMark/>
          </w:tcPr>
          <w:p w14:paraId="2B10131D" w14:textId="77616273" w:rsidR="00C22B37" w:rsidRPr="006E317E" w:rsidRDefault="00C22B37" w:rsidP="00C22B37">
            <w:pPr>
              <w:jc w:val="right"/>
            </w:pPr>
            <w:r w:rsidRPr="00564BD2">
              <w:t>…*</w:t>
            </w:r>
          </w:p>
        </w:tc>
        <w:tc>
          <w:tcPr>
            <w:tcW w:w="1606" w:type="dxa"/>
            <w:noWrap/>
            <w:hideMark/>
          </w:tcPr>
          <w:p w14:paraId="22BA12C8" w14:textId="3257FD91" w:rsidR="00C22B37" w:rsidRPr="006E317E" w:rsidRDefault="00C22B37" w:rsidP="00C22B37">
            <w:pPr>
              <w:jc w:val="center"/>
            </w:pPr>
            <w:r w:rsidRPr="009400D4">
              <w:t>…*</w:t>
            </w:r>
            <w:r w:rsidRPr="006E317E">
              <w:t>%</w:t>
            </w:r>
          </w:p>
        </w:tc>
      </w:tr>
      <w:tr w:rsidR="00A43E3F" w:rsidRPr="006E317E" w14:paraId="397B8F5F" w14:textId="77777777" w:rsidTr="00BB1D21">
        <w:trPr>
          <w:trHeight w:val="20"/>
        </w:trPr>
        <w:tc>
          <w:tcPr>
            <w:tcW w:w="1677" w:type="dxa"/>
            <w:noWrap/>
            <w:hideMark/>
          </w:tcPr>
          <w:p w14:paraId="6519F2DE" w14:textId="77777777" w:rsidR="00A43E3F" w:rsidRPr="006E317E" w:rsidRDefault="00A43E3F" w:rsidP="00A43E3F">
            <w:pPr>
              <w:jc w:val="both"/>
            </w:pPr>
            <w:r w:rsidRPr="006E317E">
              <w:t>STV</w:t>
            </w:r>
          </w:p>
        </w:tc>
        <w:tc>
          <w:tcPr>
            <w:tcW w:w="1686" w:type="dxa"/>
            <w:noWrap/>
            <w:hideMark/>
          </w:tcPr>
          <w:p w14:paraId="2F8728A2" w14:textId="3A550E27" w:rsidR="00A43E3F" w:rsidRPr="006E317E" w:rsidRDefault="00A43E3F" w:rsidP="00A43E3F">
            <w:pPr>
              <w:jc w:val="right"/>
            </w:pPr>
            <w:r w:rsidRPr="00F83490">
              <w:t>…*</w:t>
            </w:r>
          </w:p>
        </w:tc>
        <w:tc>
          <w:tcPr>
            <w:tcW w:w="1767" w:type="dxa"/>
            <w:noWrap/>
            <w:hideMark/>
          </w:tcPr>
          <w:p w14:paraId="6F2E9D99" w14:textId="00017FB3" w:rsidR="00A43E3F" w:rsidRPr="006E317E" w:rsidRDefault="00A43E3F" w:rsidP="00A43E3F">
            <w:pPr>
              <w:jc w:val="right"/>
            </w:pPr>
            <w:r w:rsidRPr="00F83490">
              <w:t>…*</w:t>
            </w:r>
          </w:p>
        </w:tc>
        <w:tc>
          <w:tcPr>
            <w:tcW w:w="1608" w:type="dxa"/>
            <w:noWrap/>
            <w:hideMark/>
          </w:tcPr>
          <w:p w14:paraId="6A60F31C" w14:textId="45CD1AFA" w:rsidR="00A43E3F" w:rsidRPr="006E317E" w:rsidRDefault="00A43E3F" w:rsidP="00A43E3F">
            <w:pPr>
              <w:jc w:val="right"/>
            </w:pPr>
            <w:r w:rsidRPr="00F83490">
              <w:t>…*</w:t>
            </w:r>
          </w:p>
        </w:tc>
        <w:tc>
          <w:tcPr>
            <w:tcW w:w="1285" w:type="dxa"/>
            <w:noWrap/>
            <w:hideMark/>
          </w:tcPr>
          <w:p w14:paraId="245B752E" w14:textId="7F2F995B" w:rsidR="00A43E3F" w:rsidRPr="006E317E" w:rsidRDefault="00A43E3F" w:rsidP="00A43E3F">
            <w:pPr>
              <w:jc w:val="right"/>
            </w:pPr>
            <w:r w:rsidRPr="00F83490">
              <w:t>…*</w:t>
            </w:r>
          </w:p>
        </w:tc>
        <w:tc>
          <w:tcPr>
            <w:tcW w:w="1606" w:type="dxa"/>
            <w:noWrap/>
            <w:hideMark/>
          </w:tcPr>
          <w:p w14:paraId="63AB30CA" w14:textId="225A9385" w:rsidR="00A43E3F" w:rsidRPr="006E317E" w:rsidRDefault="00A43E3F" w:rsidP="00A43E3F">
            <w:pPr>
              <w:jc w:val="center"/>
            </w:pPr>
            <w:r w:rsidRPr="00F70176">
              <w:t>…*</w:t>
            </w:r>
            <w:r w:rsidRPr="006E317E">
              <w:t>%</w:t>
            </w:r>
          </w:p>
        </w:tc>
      </w:tr>
      <w:tr w:rsidR="00A43E3F" w:rsidRPr="006E317E" w14:paraId="05E4DDEF" w14:textId="77777777" w:rsidTr="00BB1D21">
        <w:trPr>
          <w:trHeight w:val="20"/>
        </w:trPr>
        <w:tc>
          <w:tcPr>
            <w:tcW w:w="1677" w:type="dxa"/>
            <w:noWrap/>
            <w:hideMark/>
          </w:tcPr>
          <w:p w14:paraId="54380F1F" w14:textId="77777777" w:rsidR="00A43E3F" w:rsidRPr="006E317E" w:rsidRDefault="00A43E3F" w:rsidP="00A43E3F">
            <w:pPr>
              <w:jc w:val="both"/>
            </w:pPr>
            <w:r w:rsidRPr="006E317E">
              <w:t>Telset</w:t>
            </w:r>
          </w:p>
        </w:tc>
        <w:tc>
          <w:tcPr>
            <w:tcW w:w="1686" w:type="dxa"/>
            <w:noWrap/>
            <w:hideMark/>
          </w:tcPr>
          <w:p w14:paraId="05A8E96A" w14:textId="3EF7C234" w:rsidR="00A43E3F" w:rsidRPr="006E317E" w:rsidRDefault="00A43E3F" w:rsidP="00A43E3F">
            <w:pPr>
              <w:jc w:val="right"/>
            </w:pPr>
            <w:r w:rsidRPr="00F83490">
              <w:t>…*</w:t>
            </w:r>
          </w:p>
        </w:tc>
        <w:tc>
          <w:tcPr>
            <w:tcW w:w="1767" w:type="dxa"/>
            <w:noWrap/>
            <w:hideMark/>
          </w:tcPr>
          <w:p w14:paraId="3C0F301F" w14:textId="32EDCFEF" w:rsidR="00A43E3F" w:rsidRPr="006E317E" w:rsidRDefault="00A43E3F" w:rsidP="00A43E3F">
            <w:pPr>
              <w:jc w:val="right"/>
            </w:pPr>
            <w:r w:rsidRPr="00F83490">
              <w:t>…*</w:t>
            </w:r>
          </w:p>
        </w:tc>
        <w:tc>
          <w:tcPr>
            <w:tcW w:w="1608" w:type="dxa"/>
            <w:noWrap/>
            <w:hideMark/>
          </w:tcPr>
          <w:p w14:paraId="2DB5D9F9" w14:textId="1412C45F" w:rsidR="00A43E3F" w:rsidRPr="006E317E" w:rsidRDefault="00A43E3F" w:rsidP="00A43E3F">
            <w:pPr>
              <w:jc w:val="right"/>
            </w:pPr>
            <w:r w:rsidRPr="00F83490">
              <w:t>…*</w:t>
            </w:r>
          </w:p>
        </w:tc>
        <w:tc>
          <w:tcPr>
            <w:tcW w:w="1285" w:type="dxa"/>
            <w:noWrap/>
            <w:hideMark/>
          </w:tcPr>
          <w:p w14:paraId="3477EE97" w14:textId="0C16F906" w:rsidR="00A43E3F" w:rsidRPr="006E317E" w:rsidRDefault="00A43E3F" w:rsidP="00A43E3F">
            <w:pPr>
              <w:jc w:val="right"/>
            </w:pPr>
            <w:r w:rsidRPr="00F83490">
              <w:t>…*</w:t>
            </w:r>
          </w:p>
        </w:tc>
        <w:tc>
          <w:tcPr>
            <w:tcW w:w="1606" w:type="dxa"/>
            <w:noWrap/>
            <w:hideMark/>
          </w:tcPr>
          <w:p w14:paraId="7808D51E" w14:textId="32BA8DE6" w:rsidR="00A43E3F" w:rsidRPr="006E317E" w:rsidRDefault="00A43E3F" w:rsidP="00A43E3F">
            <w:pPr>
              <w:jc w:val="center"/>
            </w:pPr>
            <w:r w:rsidRPr="00695457">
              <w:t>…*%</w:t>
            </w:r>
          </w:p>
        </w:tc>
      </w:tr>
      <w:tr w:rsidR="00A43E3F" w:rsidRPr="006E317E" w14:paraId="23417F14" w14:textId="77777777" w:rsidTr="00BB1D21">
        <w:trPr>
          <w:trHeight w:val="20"/>
        </w:trPr>
        <w:tc>
          <w:tcPr>
            <w:tcW w:w="1677" w:type="dxa"/>
            <w:noWrap/>
            <w:hideMark/>
          </w:tcPr>
          <w:p w14:paraId="3822BB05" w14:textId="77777777" w:rsidR="00A43E3F" w:rsidRPr="006E317E" w:rsidRDefault="00A43E3F" w:rsidP="00A43E3F">
            <w:pPr>
              <w:jc w:val="both"/>
            </w:pPr>
            <w:r w:rsidRPr="006E317E">
              <w:t>Interframe</w:t>
            </w:r>
          </w:p>
        </w:tc>
        <w:tc>
          <w:tcPr>
            <w:tcW w:w="1686" w:type="dxa"/>
            <w:noWrap/>
            <w:hideMark/>
          </w:tcPr>
          <w:p w14:paraId="276D7434" w14:textId="1B4037EB" w:rsidR="00A43E3F" w:rsidRPr="006E317E" w:rsidRDefault="00A43E3F" w:rsidP="00A43E3F">
            <w:pPr>
              <w:jc w:val="right"/>
            </w:pPr>
            <w:r w:rsidRPr="00F83490">
              <w:t>…*</w:t>
            </w:r>
          </w:p>
        </w:tc>
        <w:tc>
          <w:tcPr>
            <w:tcW w:w="1767" w:type="dxa"/>
            <w:noWrap/>
            <w:hideMark/>
          </w:tcPr>
          <w:p w14:paraId="2D0FAA03" w14:textId="349D744D" w:rsidR="00A43E3F" w:rsidRPr="006E317E" w:rsidRDefault="00A43E3F" w:rsidP="00A43E3F">
            <w:pPr>
              <w:jc w:val="right"/>
            </w:pPr>
            <w:r w:rsidRPr="00F83490">
              <w:t>…*</w:t>
            </w:r>
          </w:p>
        </w:tc>
        <w:tc>
          <w:tcPr>
            <w:tcW w:w="1608" w:type="dxa"/>
            <w:noWrap/>
            <w:hideMark/>
          </w:tcPr>
          <w:p w14:paraId="4CF9F4A1" w14:textId="4F273896" w:rsidR="00A43E3F" w:rsidRPr="006E317E" w:rsidRDefault="00A43E3F" w:rsidP="00A43E3F">
            <w:pPr>
              <w:jc w:val="right"/>
            </w:pPr>
            <w:r w:rsidRPr="00F83490">
              <w:t>…*</w:t>
            </w:r>
          </w:p>
        </w:tc>
        <w:tc>
          <w:tcPr>
            <w:tcW w:w="1285" w:type="dxa"/>
            <w:noWrap/>
            <w:hideMark/>
          </w:tcPr>
          <w:p w14:paraId="2C2A9F87" w14:textId="2E7A36E7" w:rsidR="00A43E3F" w:rsidRPr="006E317E" w:rsidRDefault="00A43E3F" w:rsidP="00A43E3F">
            <w:pPr>
              <w:jc w:val="right"/>
            </w:pPr>
            <w:r w:rsidRPr="00F83490">
              <w:t>…*</w:t>
            </w:r>
          </w:p>
        </w:tc>
        <w:tc>
          <w:tcPr>
            <w:tcW w:w="1606" w:type="dxa"/>
            <w:noWrap/>
            <w:hideMark/>
          </w:tcPr>
          <w:p w14:paraId="7A36CC1D" w14:textId="4168A76F" w:rsidR="00A43E3F" w:rsidRPr="006E317E" w:rsidRDefault="00A43E3F" w:rsidP="00A43E3F">
            <w:pPr>
              <w:jc w:val="center"/>
            </w:pPr>
            <w:r w:rsidRPr="00695457">
              <w:t>…*%</w:t>
            </w:r>
          </w:p>
        </w:tc>
      </w:tr>
      <w:tr w:rsidR="00A43E3F" w:rsidRPr="006E317E" w14:paraId="62E9F64F" w14:textId="77777777" w:rsidTr="00BB1D21">
        <w:trPr>
          <w:trHeight w:val="20"/>
        </w:trPr>
        <w:tc>
          <w:tcPr>
            <w:tcW w:w="1677" w:type="dxa"/>
            <w:noWrap/>
            <w:hideMark/>
          </w:tcPr>
          <w:p w14:paraId="22B4F690" w14:textId="77777777" w:rsidR="00A43E3F" w:rsidRPr="006E317E" w:rsidRDefault="00A43E3F" w:rsidP="00A43E3F">
            <w:pPr>
              <w:jc w:val="both"/>
            </w:pPr>
            <w:r w:rsidRPr="006E317E">
              <w:t>Uus Programm</w:t>
            </w:r>
          </w:p>
        </w:tc>
        <w:tc>
          <w:tcPr>
            <w:tcW w:w="1686" w:type="dxa"/>
            <w:noWrap/>
            <w:hideMark/>
          </w:tcPr>
          <w:p w14:paraId="1363B30E" w14:textId="70D8B62C" w:rsidR="00A43E3F" w:rsidRPr="006E317E" w:rsidRDefault="00A43E3F" w:rsidP="00A43E3F">
            <w:pPr>
              <w:jc w:val="right"/>
            </w:pPr>
            <w:r w:rsidRPr="00F83490">
              <w:t>…*</w:t>
            </w:r>
          </w:p>
        </w:tc>
        <w:tc>
          <w:tcPr>
            <w:tcW w:w="1767" w:type="dxa"/>
            <w:noWrap/>
            <w:hideMark/>
          </w:tcPr>
          <w:p w14:paraId="72D8D129" w14:textId="2B4EB020" w:rsidR="00A43E3F" w:rsidRPr="006E317E" w:rsidRDefault="00A43E3F" w:rsidP="00A43E3F">
            <w:pPr>
              <w:jc w:val="right"/>
            </w:pPr>
            <w:r w:rsidRPr="00F83490">
              <w:t>…*</w:t>
            </w:r>
          </w:p>
        </w:tc>
        <w:tc>
          <w:tcPr>
            <w:tcW w:w="1608" w:type="dxa"/>
            <w:noWrap/>
            <w:hideMark/>
          </w:tcPr>
          <w:p w14:paraId="02DD1120" w14:textId="19D1904D" w:rsidR="00A43E3F" w:rsidRPr="006E317E" w:rsidRDefault="00A43E3F" w:rsidP="00A43E3F">
            <w:pPr>
              <w:jc w:val="right"/>
            </w:pPr>
            <w:r w:rsidRPr="00F83490">
              <w:t>…*</w:t>
            </w:r>
          </w:p>
        </w:tc>
        <w:tc>
          <w:tcPr>
            <w:tcW w:w="1285" w:type="dxa"/>
            <w:noWrap/>
            <w:hideMark/>
          </w:tcPr>
          <w:p w14:paraId="75E6BC95" w14:textId="07D37170" w:rsidR="00A43E3F" w:rsidRPr="006E317E" w:rsidRDefault="00A43E3F" w:rsidP="00A43E3F">
            <w:pPr>
              <w:jc w:val="right"/>
            </w:pPr>
            <w:r w:rsidRPr="00F83490">
              <w:t>…*</w:t>
            </w:r>
          </w:p>
        </w:tc>
        <w:tc>
          <w:tcPr>
            <w:tcW w:w="1606" w:type="dxa"/>
            <w:noWrap/>
            <w:hideMark/>
          </w:tcPr>
          <w:p w14:paraId="2FDD96AB" w14:textId="0D9E7CD0" w:rsidR="00A43E3F" w:rsidRPr="006E317E" w:rsidRDefault="00A43E3F" w:rsidP="00A43E3F">
            <w:pPr>
              <w:jc w:val="center"/>
            </w:pPr>
            <w:r w:rsidRPr="00695457">
              <w:t>…*%</w:t>
            </w:r>
          </w:p>
        </w:tc>
      </w:tr>
      <w:tr w:rsidR="00A43E3F" w:rsidRPr="006E317E" w14:paraId="184D9248" w14:textId="77777777" w:rsidTr="00BB1D21">
        <w:trPr>
          <w:trHeight w:val="20"/>
        </w:trPr>
        <w:tc>
          <w:tcPr>
            <w:tcW w:w="1677" w:type="dxa"/>
            <w:noWrap/>
            <w:hideMark/>
          </w:tcPr>
          <w:p w14:paraId="449B2CE2" w14:textId="77777777" w:rsidR="00A43E3F" w:rsidRPr="006E317E" w:rsidRDefault="00A43E3F" w:rsidP="00A43E3F">
            <w:pPr>
              <w:jc w:val="both"/>
            </w:pPr>
            <w:r w:rsidRPr="006E317E">
              <w:t>Tele2</w:t>
            </w:r>
          </w:p>
        </w:tc>
        <w:tc>
          <w:tcPr>
            <w:tcW w:w="1686" w:type="dxa"/>
            <w:noWrap/>
            <w:hideMark/>
          </w:tcPr>
          <w:p w14:paraId="1015C16E" w14:textId="39F13C16" w:rsidR="00A43E3F" w:rsidRPr="006E317E" w:rsidRDefault="00A43E3F" w:rsidP="00A43E3F">
            <w:pPr>
              <w:jc w:val="right"/>
            </w:pPr>
            <w:r w:rsidRPr="00F83490">
              <w:t>…*</w:t>
            </w:r>
          </w:p>
        </w:tc>
        <w:tc>
          <w:tcPr>
            <w:tcW w:w="1767" w:type="dxa"/>
            <w:noWrap/>
            <w:hideMark/>
          </w:tcPr>
          <w:p w14:paraId="2DAA5EF2" w14:textId="751A464A" w:rsidR="00A43E3F" w:rsidRPr="006E317E" w:rsidRDefault="00A43E3F" w:rsidP="00A43E3F">
            <w:pPr>
              <w:jc w:val="right"/>
            </w:pPr>
            <w:r w:rsidRPr="00F83490">
              <w:t>…*</w:t>
            </w:r>
          </w:p>
        </w:tc>
        <w:tc>
          <w:tcPr>
            <w:tcW w:w="1608" w:type="dxa"/>
            <w:noWrap/>
            <w:hideMark/>
          </w:tcPr>
          <w:p w14:paraId="7C09366A" w14:textId="79DF9A6B" w:rsidR="00A43E3F" w:rsidRPr="006E317E" w:rsidRDefault="00A43E3F" w:rsidP="00A43E3F">
            <w:pPr>
              <w:jc w:val="right"/>
            </w:pPr>
            <w:r w:rsidRPr="00F83490">
              <w:t>…*</w:t>
            </w:r>
          </w:p>
        </w:tc>
        <w:tc>
          <w:tcPr>
            <w:tcW w:w="1285" w:type="dxa"/>
            <w:noWrap/>
            <w:hideMark/>
          </w:tcPr>
          <w:p w14:paraId="08796BCF" w14:textId="64BE7520" w:rsidR="00A43E3F" w:rsidRPr="006E317E" w:rsidRDefault="00A43E3F" w:rsidP="00A43E3F">
            <w:pPr>
              <w:jc w:val="right"/>
            </w:pPr>
            <w:r w:rsidRPr="00F83490">
              <w:t>…*</w:t>
            </w:r>
          </w:p>
        </w:tc>
        <w:tc>
          <w:tcPr>
            <w:tcW w:w="1606" w:type="dxa"/>
            <w:noWrap/>
            <w:hideMark/>
          </w:tcPr>
          <w:p w14:paraId="35299BDF" w14:textId="32A3C0DC" w:rsidR="00A43E3F" w:rsidRPr="006E317E" w:rsidRDefault="00A43E3F" w:rsidP="00A43E3F">
            <w:pPr>
              <w:jc w:val="center"/>
            </w:pPr>
            <w:r w:rsidRPr="00695457">
              <w:t>…*%</w:t>
            </w:r>
          </w:p>
        </w:tc>
      </w:tr>
      <w:tr w:rsidR="00A43E3F" w:rsidRPr="006E317E" w14:paraId="77A744C5" w14:textId="77777777" w:rsidTr="00BB1D21">
        <w:trPr>
          <w:trHeight w:val="20"/>
        </w:trPr>
        <w:tc>
          <w:tcPr>
            <w:tcW w:w="1677" w:type="dxa"/>
            <w:noWrap/>
            <w:hideMark/>
          </w:tcPr>
          <w:p w14:paraId="72F18695" w14:textId="77777777" w:rsidR="00A43E3F" w:rsidRPr="006E317E" w:rsidRDefault="00A43E3F" w:rsidP="00A43E3F">
            <w:pPr>
              <w:jc w:val="both"/>
            </w:pPr>
            <w:r w:rsidRPr="006E317E">
              <w:t>Elisa</w:t>
            </w:r>
          </w:p>
        </w:tc>
        <w:tc>
          <w:tcPr>
            <w:tcW w:w="1686" w:type="dxa"/>
            <w:noWrap/>
            <w:hideMark/>
          </w:tcPr>
          <w:p w14:paraId="36C4E556" w14:textId="2E708A41" w:rsidR="00A43E3F" w:rsidRPr="006E317E" w:rsidRDefault="00A43E3F" w:rsidP="00A43E3F">
            <w:pPr>
              <w:jc w:val="right"/>
            </w:pPr>
            <w:r w:rsidRPr="00F83490">
              <w:t>…*</w:t>
            </w:r>
          </w:p>
        </w:tc>
        <w:tc>
          <w:tcPr>
            <w:tcW w:w="1767" w:type="dxa"/>
            <w:noWrap/>
            <w:hideMark/>
          </w:tcPr>
          <w:p w14:paraId="3A9EDA9A" w14:textId="18DF7F6D" w:rsidR="00A43E3F" w:rsidRPr="006E317E" w:rsidRDefault="00A43E3F" w:rsidP="00A43E3F">
            <w:pPr>
              <w:jc w:val="right"/>
            </w:pPr>
            <w:r w:rsidRPr="00F83490">
              <w:t>…*</w:t>
            </w:r>
          </w:p>
        </w:tc>
        <w:tc>
          <w:tcPr>
            <w:tcW w:w="1608" w:type="dxa"/>
            <w:noWrap/>
            <w:hideMark/>
          </w:tcPr>
          <w:p w14:paraId="7B350EEC" w14:textId="6F30F9DA" w:rsidR="00A43E3F" w:rsidRPr="006E317E" w:rsidRDefault="00A43E3F" w:rsidP="00A43E3F">
            <w:pPr>
              <w:jc w:val="right"/>
            </w:pPr>
            <w:r w:rsidRPr="00F83490">
              <w:t>…*</w:t>
            </w:r>
          </w:p>
        </w:tc>
        <w:tc>
          <w:tcPr>
            <w:tcW w:w="1285" w:type="dxa"/>
            <w:noWrap/>
            <w:hideMark/>
          </w:tcPr>
          <w:p w14:paraId="3D8A70CA" w14:textId="11F8BD7F" w:rsidR="00A43E3F" w:rsidRPr="006E317E" w:rsidRDefault="00A43E3F" w:rsidP="00A43E3F">
            <w:pPr>
              <w:jc w:val="right"/>
            </w:pPr>
            <w:r w:rsidRPr="00F83490">
              <w:t>…*</w:t>
            </w:r>
          </w:p>
        </w:tc>
        <w:tc>
          <w:tcPr>
            <w:tcW w:w="1606" w:type="dxa"/>
            <w:noWrap/>
            <w:hideMark/>
          </w:tcPr>
          <w:p w14:paraId="0315D55F" w14:textId="2DA588D8" w:rsidR="00A43E3F" w:rsidRPr="006E317E" w:rsidRDefault="00A43E3F" w:rsidP="00A43E3F">
            <w:pPr>
              <w:jc w:val="center"/>
            </w:pPr>
            <w:r w:rsidRPr="00695457">
              <w:t>…*%</w:t>
            </w:r>
          </w:p>
        </w:tc>
      </w:tr>
      <w:tr w:rsidR="00A43E3F" w:rsidRPr="006E317E" w14:paraId="57D4C6B6" w14:textId="77777777" w:rsidTr="00BB1D21">
        <w:trPr>
          <w:trHeight w:val="20"/>
        </w:trPr>
        <w:tc>
          <w:tcPr>
            <w:tcW w:w="1677" w:type="dxa"/>
            <w:noWrap/>
            <w:hideMark/>
          </w:tcPr>
          <w:p w14:paraId="670640AA" w14:textId="77777777" w:rsidR="00A43E3F" w:rsidRPr="006E317E" w:rsidRDefault="00A43E3F" w:rsidP="00A43E3F">
            <w:pPr>
              <w:jc w:val="both"/>
            </w:pPr>
            <w:r w:rsidRPr="006E317E">
              <w:t>Fill</w:t>
            </w:r>
          </w:p>
        </w:tc>
        <w:tc>
          <w:tcPr>
            <w:tcW w:w="1686" w:type="dxa"/>
            <w:noWrap/>
            <w:hideMark/>
          </w:tcPr>
          <w:p w14:paraId="75EB9757" w14:textId="4D7A3A24" w:rsidR="00A43E3F" w:rsidRPr="006E317E" w:rsidRDefault="00A43E3F" w:rsidP="00A43E3F">
            <w:pPr>
              <w:jc w:val="right"/>
            </w:pPr>
            <w:r w:rsidRPr="00F83490">
              <w:t>…*</w:t>
            </w:r>
          </w:p>
        </w:tc>
        <w:tc>
          <w:tcPr>
            <w:tcW w:w="1767" w:type="dxa"/>
            <w:noWrap/>
            <w:hideMark/>
          </w:tcPr>
          <w:p w14:paraId="6A19DFC9" w14:textId="107420F2" w:rsidR="00A43E3F" w:rsidRPr="006E317E" w:rsidRDefault="00A43E3F" w:rsidP="00A43E3F">
            <w:pPr>
              <w:jc w:val="right"/>
            </w:pPr>
            <w:r w:rsidRPr="00F83490">
              <w:t>…*</w:t>
            </w:r>
          </w:p>
        </w:tc>
        <w:tc>
          <w:tcPr>
            <w:tcW w:w="1608" w:type="dxa"/>
            <w:noWrap/>
            <w:hideMark/>
          </w:tcPr>
          <w:p w14:paraId="7DAB1388" w14:textId="7B417EB2" w:rsidR="00A43E3F" w:rsidRPr="006E317E" w:rsidRDefault="00A43E3F" w:rsidP="00A43E3F">
            <w:pPr>
              <w:jc w:val="right"/>
            </w:pPr>
            <w:r w:rsidRPr="00F83490">
              <w:t>…*</w:t>
            </w:r>
          </w:p>
        </w:tc>
        <w:tc>
          <w:tcPr>
            <w:tcW w:w="1285" w:type="dxa"/>
            <w:noWrap/>
            <w:hideMark/>
          </w:tcPr>
          <w:p w14:paraId="27194FBB" w14:textId="7167887E" w:rsidR="00A43E3F" w:rsidRPr="006E317E" w:rsidRDefault="00A43E3F" w:rsidP="00A43E3F">
            <w:pPr>
              <w:jc w:val="right"/>
            </w:pPr>
            <w:r w:rsidRPr="00F83490">
              <w:t>…*</w:t>
            </w:r>
          </w:p>
        </w:tc>
        <w:tc>
          <w:tcPr>
            <w:tcW w:w="1606" w:type="dxa"/>
            <w:noWrap/>
            <w:hideMark/>
          </w:tcPr>
          <w:p w14:paraId="11146E36" w14:textId="31A9713D" w:rsidR="00A43E3F" w:rsidRPr="006E317E" w:rsidRDefault="00A43E3F" w:rsidP="00A43E3F">
            <w:pPr>
              <w:jc w:val="center"/>
            </w:pPr>
            <w:r w:rsidRPr="00695457">
              <w:t>…*%</w:t>
            </w:r>
          </w:p>
        </w:tc>
      </w:tr>
      <w:tr w:rsidR="00EC24B2" w:rsidRPr="006E317E" w14:paraId="1B048DFB" w14:textId="77777777" w:rsidTr="00BB1D21">
        <w:trPr>
          <w:trHeight w:val="20"/>
        </w:trPr>
        <w:tc>
          <w:tcPr>
            <w:tcW w:w="1677" w:type="dxa"/>
            <w:noWrap/>
            <w:hideMark/>
          </w:tcPr>
          <w:p w14:paraId="18D81DB2" w14:textId="77777777" w:rsidR="00EC24B2" w:rsidRPr="006E317E" w:rsidRDefault="00EC24B2" w:rsidP="00AA241E">
            <w:pPr>
              <w:jc w:val="both"/>
            </w:pPr>
            <w:r w:rsidRPr="006E317E">
              <w:t>Kokku</w:t>
            </w:r>
          </w:p>
        </w:tc>
        <w:tc>
          <w:tcPr>
            <w:tcW w:w="1686" w:type="dxa"/>
            <w:noWrap/>
            <w:hideMark/>
          </w:tcPr>
          <w:p w14:paraId="35F7E685" w14:textId="77777777" w:rsidR="00EC24B2" w:rsidRPr="006E317E" w:rsidRDefault="00EC24B2" w:rsidP="00775AA7">
            <w:pPr>
              <w:jc w:val="right"/>
            </w:pPr>
            <w:r w:rsidRPr="006E317E">
              <w:t>116 588</w:t>
            </w:r>
          </w:p>
        </w:tc>
        <w:tc>
          <w:tcPr>
            <w:tcW w:w="1767" w:type="dxa"/>
            <w:noWrap/>
            <w:hideMark/>
          </w:tcPr>
          <w:p w14:paraId="02534048" w14:textId="77777777" w:rsidR="00EC24B2" w:rsidRPr="006E317E" w:rsidRDefault="00EC24B2" w:rsidP="00775AA7">
            <w:pPr>
              <w:jc w:val="right"/>
            </w:pPr>
            <w:r w:rsidRPr="006E317E">
              <w:t>11 358</w:t>
            </w:r>
          </w:p>
        </w:tc>
        <w:tc>
          <w:tcPr>
            <w:tcW w:w="1608" w:type="dxa"/>
            <w:noWrap/>
            <w:hideMark/>
          </w:tcPr>
          <w:p w14:paraId="4ED5B3F7" w14:textId="77777777" w:rsidR="00EC24B2" w:rsidRPr="006E317E" w:rsidRDefault="00EC24B2" w:rsidP="00775AA7">
            <w:pPr>
              <w:jc w:val="right"/>
            </w:pPr>
            <w:r w:rsidRPr="006E317E">
              <w:t>144 548</w:t>
            </w:r>
          </w:p>
        </w:tc>
        <w:tc>
          <w:tcPr>
            <w:tcW w:w="1285" w:type="dxa"/>
            <w:noWrap/>
            <w:hideMark/>
          </w:tcPr>
          <w:p w14:paraId="7765F235" w14:textId="77777777" w:rsidR="00EC24B2" w:rsidRPr="006E317E" w:rsidRDefault="00EC24B2" w:rsidP="00775AA7">
            <w:pPr>
              <w:jc w:val="right"/>
            </w:pPr>
            <w:r w:rsidRPr="006E317E">
              <w:t>272 494</w:t>
            </w:r>
          </w:p>
        </w:tc>
        <w:tc>
          <w:tcPr>
            <w:tcW w:w="1606" w:type="dxa"/>
            <w:noWrap/>
            <w:hideMark/>
          </w:tcPr>
          <w:p w14:paraId="1D09C62E" w14:textId="77777777" w:rsidR="00EC24B2" w:rsidRPr="006E317E" w:rsidRDefault="00EC24B2" w:rsidP="00775AA7">
            <w:pPr>
              <w:jc w:val="center"/>
            </w:pPr>
            <w:r w:rsidRPr="006E317E">
              <w:t>100%</w:t>
            </w:r>
          </w:p>
        </w:tc>
      </w:tr>
    </w:tbl>
    <w:p w14:paraId="18C7A3AA" w14:textId="2B9A6C15" w:rsidR="00BB1D21" w:rsidRDefault="00BB1D21" w:rsidP="00AA241E">
      <w:pPr>
        <w:pStyle w:val="Pealdis"/>
        <w:spacing w:after="0"/>
        <w:jc w:val="both"/>
      </w:pPr>
      <w:r>
        <w:t xml:space="preserve">Tabel </w:t>
      </w:r>
      <w:r>
        <w:fldChar w:fldCharType="begin"/>
      </w:r>
      <w:r>
        <w:instrText xml:space="preserve"> SEQ Tabel \* ARABIC </w:instrText>
      </w:r>
      <w:r>
        <w:fldChar w:fldCharType="separate"/>
      </w:r>
      <w:r w:rsidR="00247D84">
        <w:rPr>
          <w:noProof/>
        </w:rPr>
        <w:t>33</w:t>
      </w:r>
      <w:r>
        <w:fldChar w:fldCharType="end"/>
      </w:r>
      <w:r>
        <w:t xml:space="preserve"> </w:t>
      </w:r>
      <w:r w:rsidRPr="006E317E">
        <w:t xml:space="preserve">Valguskaabel </w:t>
      </w:r>
      <w:r w:rsidR="00EC24B2" w:rsidRPr="006E317E">
        <w:t xml:space="preserve">turul jaeteenuseid osutavate ettevõtjate aktiivsete </w:t>
      </w:r>
      <w:r w:rsidR="0007135D">
        <w:t>kliendiliin</w:t>
      </w:r>
      <w:r w:rsidR="00EC24B2" w:rsidRPr="006E317E">
        <w:t>ide arvu jagunemine tehnoloogiate vahel Eesti territooriumil 2023.</w:t>
      </w:r>
      <w:r>
        <w:t xml:space="preserve"> aastal</w:t>
      </w:r>
    </w:p>
    <w:p w14:paraId="7377F8BB" w14:textId="77777777" w:rsidR="00BB1D21" w:rsidRDefault="00BB1D21" w:rsidP="00AA241E">
      <w:pPr>
        <w:jc w:val="both"/>
        <w:rPr>
          <w:rFonts w:eastAsia="Times New Roman" w:cs="Times New Roman"/>
          <w:b/>
          <w:bCs/>
          <w:sz w:val="20"/>
          <w:szCs w:val="20"/>
          <w:lang w:eastAsia="ar-SA"/>
        </w:rPr>
      </w:pPr>
      <w:r>
        <w:br w:type="page"/>
      </w:r>
    </w:p>
    <w:p w14:paraId="0F5A44D1" w14:textId="77777777" w:rsidR="00EC24B2" w:rsidRPr="006E317E" w:rsidRDefault="00EC24B2" w:rsidP="00AA241E">
      <w:pPr>
        <w:pStyle w:val="Pealdis"/>
        <w:spacing w:after="0"/>
        <w:jc w:val="both"/>
      </w:pPr>
    </w:p>
    <w:tbl>
      <w:tblPr>
        <w:tblStyle w:val="Kontuurtabel1"/>
        <w:tblW w:w="9793" w:type="dxa"/>
        <w:tblLook w:val="04A0" w:firstRow="1" w:lastRow="0" w:firstColumn="1" w:lastColumn="0" w:noHBand="0" w:noVBand="1"/>
      </w:tblPr>
      <w:tblGrid>
        <w:gridCol w:w="1413"/>
        <w:gridCol w:w="2060"/>
        <w:gridCol w:w="1713"/>
        <w:gridCol w:w="1644"/>
        <w:gridCol w:w="1412"/>
        <w:gridCol w:w="1551"/>
      </w:tblGrid>
      <w:tr w:rsidR="00EC24B2" w:rsidRPr="006E317E" w14:paraId="19890F21" w14:textId="77777777" w:rsidTr="00BB1D21">
        <w:trPr>
          <w:trHeight w:val="20"/>
        </w:trPr>
        <w:tc>
          <w:tcPr>
            <w:tcW w:w="1413" w:type="dxa"/>
            <w:shd w:val="clear" w:color="auto" w:fill="92D050"/>
            <w:noWrap/>
            <w:hideMark/>
          </w:tcPr>
          <w:p w14:paraId="3DDE5D31" w14:textId="77777777" w:rsidR="00EC24B2" w:rsidRPr="00BB1D21" w:rsidRDefault="00EC24B2" w:rsidP="00AA241E">
            <w:pPr>
              <w:jc w:val="both"/>
              <w:rPr>
                <w:b/>
                <w:bCs/>
              </w:rPr>
            </w:pPr>
            <w:r w:rsidRPr="00BB1D21">
              <w:rPr>
                <w:b/>
                <w:bCs/>
              </w:rPr>
              <w:t> </w:t>
            </w:r>
          </w:p>
        </w:tc>
        <w:tc>
          <w:tcPr>
            <w:tcW w:w="2060" w:type="dxa"/>
            <w:shd w:val="clear" w:color="auto" w:fill="92D050"/>
            <w:noWrap/>
            <w:hideMark/>
          </w:tcPr>
          <w:p w14:paraId="16A9EFA1" w14:textId="43DDC874" w:rsidR="00EC24B2" w:rsidRPr="00BB1D21" w:rsidRDefault="00EC24B2" w:rsidP="00775AA7">
            <w:pPr>
              <w:jc w:val="center"/>
              <w:rPr>
                <w:b/>
                <w:bCs/>
              </w:rPr>
            </w:pPr>
            <w:r w:rsidRPr="00BB1D21">
              <w:rPr>
                <w:b/>
                <w:bCs/>
              </w:rPr>
              <w:t>FTTB</w:t>
            </w:r>
            <w:r w:rsidR="00BB1D21" w:rsidRPr="00BB1D21">
              <w:rPr>
                <w:b/>
                <w:bCs/>
              </w:rPr>
              <w:t xml:space="preserve"> </w:t>
            </w:r>
            <w:r w:rsidRPr="00BB1D21">
              <w:rPr>
                <w:b/>
                <w:bCs/>
              </w:rPr>
              <w:t>P2P</w:t>
            </w:r>
          </w:p>
        </w:tc>
        <w:tc>
          <w:tcPr>
            <w:tcW w:w="1713" w:type="dxa"/>
            <w:shd w:val="clear" w:color="auto" w:fill="92D050"/>
            <w:noWrap/>
            <w:hideMark/>
          </w:tcPr>
          <w:p w14:paraId="105AAA44" w14:textId="30665E19" w:rsidR="00EC24B2" w:rsidRPr="00BB1D21" w:rsidRDefault="00EC24B2" w:rsidP="00775AA7">
            <w:pPr>
              <w:jc w:val="center"/>
              <w:rPr>
                <w:b/>
                <w:bCs/>
              </w:rPr>
            </w:pPr>
            <w:r w:rsidRPr="00BB1D21">
              <w:rPr>
                <w:b/>
                <w:bCs/>
              </w:rPr>
              <w:t>FTTH</w:t>
            </w:r>
            <w:r w:rsidR="00BB1D21" w:rsidRPr="00BB1D21">
              <w:rPr>
                <w:b/>
                <w:bCs/>
              </w:rPr>
              <w:t xml:space="preserve"> </w:t>
            </w:r>
            <w:r w:rsidRPr="00BB1D21">
              <w:rPr>
                <w:b/>
                <w:bCs/>
              </w:rPr>
              <w:t xml:space="preserve"> P2P</w:t>
            </w:r>
          </w:p>
        </w:tc>
        <w:tc>
          <w:tcPr>
            <w:tcW w:w="1644" w:type="dxa"/>
            <w:shd w:val="clear" w:color="auto" w:fill="92D050"/>
            <w:noWrap/>
            <w:hideMark/>
          </w:tcPr>
          <w:p w14:paraId="01429DB7" w14:textId="19EC93AC" w:rsidR="00EC24B2" w:rsidRPr="00BB1D21" w:rsidRDefault="00EC24B2" w:rsidP="00775AA7">
            <w:pPr>
              <w:jc w:val="center"/>
              <w:rPr>
                <w:b/>
                <w:bCs/>
              </w:rPr>
            </w:pPr>
            <w:r w:rsidRPr="00BB1D21">
              <w:rPr>
                <w:b/>
                <w:bCs/>
              </w:rPr>
              <w:t>FTTH</w:t>
            </w:r>
            <w:r w:rsidR="00BB1D21" w:rsidRPr="00BB1D21">
              <w:rPr>
                <w:b/>
                <w:bCs/>
              </w:rPr>
              <w:t xml:space="preserve"> </w:t>
            </w:r>
            <w:r w:rsidRPr="00BB1D21">
              <w:rPr>
                <w:b/>
                <w:bCs/>
              </w:rPr>
              <w:t>PON</w:t>
            </w:r>
          </w:p>
        </w:tc>
        <w:tc>
          <w:tcPr>
            <w:tcW w:w="1412" w:type="dxa"/>
            <w:shd w:val="clear" w:color="auto" w:fill="92D050"/>
            <w:noWrap/>
            <w:hideMark/>
          </w:tcPr>
          <w:p w14:paraId="73A932FE" w14:textId="77777777" w:rsidR="00EC24B2" w:rsidRPr="00BB1D21" w:rsidRDefault="00EC24B2" w:rsidP="00775AA7">
            <w:pPr>
              <w:jc w:val="center"/>
              <w:rPr>
                <w:b/>
                <w:bCs/>
              </w:rPr>
            </w:pPr>
            <w:r w:rsidRPr="00BB1D21">
              <w:rPr>
                <w:b/>
                <w:bCs/>
              </w:rPr>
              <w:t>Kokku</w:t>
            </w:r>
          </w:p>
        </w:tc>
        <w:tc>
          <w:tcPr>
            <w:tcW w:w="1551" w:type="dxa"/>
            <w:shd w:val="clear" w:color="auto" w:fill="92D050"/>
            <w:noWrap/>
            <w:hideMark/>
          </w:tcPr>
          <w:p w14:paraId="3D163F59" w14:textId="77777777" w:rsidR="00EC24B2" w:rsidRPr="00BB1D21" w:rsidRDefault="00EC24B2" w:rsidP="00775AA7">
            <w:pPr>
              <w:jc w:val="center"/>
              <w:rPr>
                <w:b/>
                <w:bCs/>
              </w:rPr>
            </w:pPr>
            <w:r w:rsidRPr="00BB1D21">
              <w:rPr>
                <w:b/>
                <w:bCs/>
              </w:rPr>
              <w:t>% osakaal</w:t>
            </w:r>
          </w:p>
        </w:tc>
      </w:tr>
      <w:tr w:rsidR="00C22B37" w:rsidRPr="006E317E" w14:paraId="12637A94" w14:textId="77777777" w:rsidTr="00BB1D21">
        <w:trPr>
          <w:trHeight w:val="20"/>
        </w:trPr>
        <w:tc>
          <w:tcPr>
            <w:tcW w:w="1413" w:type="dxa"/>
            <w:noWrap/>
            <w:hideMark/>
          </w:tcPr>
          <w:p w14:paraId="3A1617A4" w14:textId="77777777" w:rsidR="00C22B37" w:rsidRPr="006E317E" w:rsidRDefault="00C22B37" w:rsidP="00C22B37">
            <w:pPr>
              <w:jc w:val="both"/>
            </w:pPr>
            <w:r w:rsidRPr="006E317E">
              <w:t>Telia</w:t>
            </w:r>
          </w:p>
        </w:tc>
        <w:tc>
          <w:tcPr>
            <w:tcW w:w="2060" w:type="dxa"/>
            <w:noWrap/>
            <w:hideMark/>
          </w:tcPr>
          <w:p w14:paraId="7C95C052" w14:textId="0C020BC2" w:rsidR="00C22B37" w:rsidRPr="006E317E" w:rsidRDefault="00C22B37" w:rsidP="00C22B37">
            <w:pPr>
              <w:jc w:val="right"/>
            </w:pPr>
            <w:r w:rsidRPr="00AB709F">
              <w:t>…*</w:t>
            </w:r>
          </w:p>
        </w:tc>
        <w:tc>
          <w:tcPr>
            <w:tcW w:w="1713" w:type="dxa"/>
            <w:noWrap/>
            <w:hideMark/>
          </w:tcPr>
          <w:p w14:paraId="18001083" w14:textId="5180B45F" w:rsidR="00C22B37" w:rsidRPr="006E317E" w:rsidRDefault="00C22B37" w:rsidP="00C22B37">
            <w:pPr>
              <w:jc w:val="right"/>
            </w:pPr>
            <w:r w:rsidRPr="00AB709F">
              <w:t>…*</w:t>
            </w:r>
          </w:p>
        </w:tc>
        <w:tc>
          <w:tcPr>
            <w:tcW w:w="1644" w:type="dxa"/>
            <w:noWrap/>
            <w:hideMark/>
          </w:tcPr>
          <w:p w14:paraId="55863BD8" w14:textId="4A516768" w:rsidR="00C22B37" w:rsidRPr="006E317E" w:rsidRDefault="00C22B37" w:rsidP="00C22B37">
            <w:pPr>
              <w:jc w:val="right"/>
            </w:pPr>
            <w:r w:rsidRPr="00AB709F">
              <w:t>…*</w:t>
            </w:r>
          </w:p>
        </w:tc>
        <w:tc>
          <w:tcPr>
            <w:tcW w:w="1412" w:type="dxa"/>
            <w:noWrap/>
            <w:hideMark/>
          </w:tcPr>
          <w:p w14:paraId="19B2A789" w14:textId="7A60667D" w:rsidR="00C22B37" w:rsidRPr="006E317E" w:rsidRDefault="00C22B37" w:rsidP="00C22B37">
            <w:pPr>
              <w:jc w:val="right"/>
            </w:pPr>
            <w:r w:rsidRPr="00AB709F">
              <w:t>…*</w:t>
            </w:r>
          </w:p>
        </w:tc>
        <w:tc>
          <w:tcPr>
            <w:tcW w:w="1551" w:type="dxa"/>
            <w:noWrap/>
            <w:hideMark/>
          </w:tcPr>
          <w:p w14:paraId="75D1F2FB" w14:textId="05EFC346" w:rsidR="00C22B37" w:rsidRPr="006E317E" w:rsidRDefault="00C22B37" w:rsidP="00C22B37">
            <w:pPr>
              <w:jc w:val="center"/>
            </w:pPr>
            <w:r w:rsidRPr="009400D4">
              <w:t>…*</w:t>
            </w:r>
            <w:r w:rsidRPr="006E317E">
              <w:t>%</w:t>
            </w:r>
          </w:p>
        </w:tc>
      </w:tr>
      <w:tr w:rsidR="006B1262" w:rsidRPr="006E317E" w14:paraId="7BE953AC" w14:textId="77777777" w:rsidTr="00BB1D21">
        <w:trPr>
          <w:trHeight w:val="20"/>
        </w:trPr>
        <w:tc>
          <w:tcPr>
            <w:tcW w:w="1413" w:type="dxa"/>
            <w:noWrap/>
            <w:hideMark/>
          </w:tcPr>
          <w:p w14:paraId="0D6228C1" w14:textId="77777777" w:rsidR="006B1262" w:rsidRPr="006E317E" w:rsidRDefault="006B1262" w:rsidP="006B1262">
            <w:pPr>
              <w:jc w:val="both"/>
            </w:pPr>
            <w:r w:rsidRPr="006E317E">
              <w:t>STV</w:t>
            </w:r>
          </w:p>
        </w:tc>
        <w:tc>
          <w:tcPr>
            <w:tcW w:w="2060" w:type="dxa"/>
            <w:noWrap/>
            <w:hideMark/>
          </w:tcPr>
          <w:p w14:paraId="09C2354E" w14:textId="7A5CEC63" w:rsidR="006B1262" w:rsidRPr="006E317E" w:rsidRDefault="006B1262" w:rsidP="006B1262">
            <w:pPr>
              <w:jc w:val="right"/>
            </w:pPr>
            <w:r w:rsidRPr="009400D4">
              <w:t>…*</w:t>
            </w:r>
          </w:p>
        </w:tc>
        <w:tc>
          <w:tcPr>
            <w:tcW w:w="1713" w:type="dxa"/>
            <w:noWrap/>
            <w:hideMark/>
          </w:tcPr>
          <w:p w14:paraId="7A83A5DC" w14:textId="0B520F77" w:rsidR="006B1262" w:rsidRPr="006E317E" w:rsidRDefault="006B1262" w:rsidP="006B1262">
            <w:pPr>
              <w:jc w:val="right"/>
            </w:pPr>
            <w:r w:rsidRPr="009400D4">
              <w:t>…*</w:t>
            </w:r>
          </w:p>
        </w:tc>
        <w:tc>
          <w:tcPr>
            <w:tcW w:w="1644" w:type="dxa"/>
            <w:noWrap/>
            <w:hideMark/>
          </w:tcPr>
          <w:p w14:paraId="277ECF6D" w14:textId="1A4B0192" w:rsidR="006B1262" w:rsidRPr="006E317E" w:rsidRDefault="006B1262" w:rsidP="006B1262">
            <w:pPr>
              <w:jc w:val="right"/>
            </w:pPr>
            <w:r w:rsidRPr="009400D4">
              <w:t>…*</w:t>
            </w:r>
          </w:p>
        </w:tc>
        <w:tc>
          <w:tcPr>
            <w:tcW w:w="1412" w:type="dxa"/>
            <w:noWrap/>
            <w:hideMark/>
          </w:tcPr>
          <w:p w14:paraId="46E84EA8" w14:textId="6F468D8C" w:rsidR="006B1262" w:rsidRPr="006E317E" w:rsidRDefault="006B1262" w:rsidP="006B1262">
            <w:pPr>
              <w:jc w:val="right"/>
            </w:pPr>
            <w:r w:rsidRPr="009400D4">
              <w:t>…*</w:t>
            </w:r>
          </w:p>
        </w:tc>
        <w:tc>
          <w:tcPr>
            <w:tcW w:w="1551" w:type="dxa"/>
            <w:noWrap/>
            <w:hideMark/>
          </w:tcPr>
          <w:p w14:paraId="591E5680" w14:textId="19A067F8" w:rsidR="006B1262" w:rsidRPr="006E317E" w:rsidRDefault="006B1262" w:rsidP="006B1262">
            <w:pPr>
              <w:jc w:val="center"/>
            </w:pPr>
            <w:r w:rsidRPr="002530F6">
              <w:t>…*%</w:t>
            </w:r>
          </w:p>
        </w:tc>
      </w:tr>
      <w:tr w:rsidR="006B1262" w:rsidRPr="006E317E" w14:paraId="4C2E07DB" w14:textId="77777777" w:rsidTr="00BB1D21">
        <w:trPr>
          <w:trHeight w:val="20"/>
        </w:trPr>
        <w:tc>
          <w:tcPr>
            <w:tcW w:w="1413" w:type="dxa"/>
            <w:noWrap/>
            <w:hideMark/>
          </w:tcPr>
          <w:p w14:paraId="413BF242" w14:textId="77777777" w:rsidR="006B1262" w:rsidRPr="006E317E" w:rsidRDefault="006B1262" w:rsidP="006B1262">
            <w:pPr>
              <w:jc w:val="both"/>
            </w:pPr>
            <w:r w:rsidRPr="006E317E">
              <w:t>Telset</w:t>
            </w:r>
          </w:p>
        </w:tc>
        <w:tc>
          <w:tcPr>
            <w:tcW w:w="2060" w:type="dxa"/>
            <w:noWrap/>
            <w:hideMark/>
          </w:tcPr>
          <w:p w14:paraId="33C9A2B9" w14:textId="57871482" w:rsidR="006B1262" w:rsidRPr="006E317E" w:rsidRDefault="006B1262" w:rsidP="006B1262">
            <w:pPr>
              <w:jc w:val="right"/>
            </w:pPr>
            <w:r w:rsidRPr="009400D4">
              <w:t>…*</w:t>
            </w:r>
          </w:p>
        </w:tc>
        <w:tc>
          <w:tcPr>
            <w:tcW w:w="1713" w:type="dxa"/>
            <w:noWrap/>
            <w:hideMark/>
          </w:tcPr>
          <w:p w14:paraId="59745764" w14:textId="28EFC968" w:rsidR="006B1262" w:rsidRPr="006E317E" w:rsidRDefault="006B1262" w:rsidP="006B1262">
            <w:pPr>
              <w:jc w:val="right"/>
            </w:pPr>
            <w:r w:rsidRPr="009400D4">
              <w:t>…*</w:t>
            </w:r>
          </w:p>
        </w:tc>
        <w:tc>
          <w:tcPr>
            <w:tcW w:w="1644" w:type="dxa"/>
            <w:noWrap/>
            <w:hideMark/>
          </w:tcPr>
          <w:p w14:paraId="5F497C68" w14:textId="5FE3DD1C" w:rsidR="006B1262" w:rsidRPr="006E317E" w:rsidRDefault="006B1262" w:rsidP="006B1262">
            <w:pPr>
              <w:jc w:val="right"/>
            </w:pPr>
            <w:r w:rsidRPr="009400D4">
              <w:t>…*</w:t>
            </w:r>
          </w:p>
        </w:tc>
        <w:tc>
          <w:tcPr>
            <w:tcW w:w="1412" w:type="dxa"/>
            <w:noWrap/>
            <w:hideMark/>
          </w:tcPr>
          <w:p w14:paraId="21367CE5" w14:textId="282D06BD" w:rsidR="006B1262" w:rsidRPr="006E317E" w:rsidRDefault="006B1262" w:rsidP="006B1262">
            <w:pPr>
              <w:jc w:val="right"/>
            </w:pPr>
            <w:r w:rsidRPr="009400D4">
              <w:t>…*</w:t>
            </w:r>
          </w:p>
        </w:tc>
        <w:tc>
          <w:tcPr>
            <w:tcW w:w="1551" w:type="dxa"/>
            <w:noWrap/>
            <w:hideMark/>
          </w:tcPr>
          <w:p w14:paraId="4262323C" w14:textId="466EA1B2" w:rsidR="006B1262" w:rsidRPr="006E317E" w:rsidRDefault="006B1262" w:rsidP="006B1262">
            <w:pPr>
              <w:jc w:val="center"/>
            </w:pPr>
            <w:r w:rsidRPr="002530F6">
              <w:t>…*%</w:t>
            </w:r>
          </w:p>
        </w:tc>
      </w:tr>
      <w:tr w:rsidR="006B1262" w:rsidRPr="006E317E" w14:paraId="0ECCAD66" w14:textId="77777777" w:rsidTr="00BB1D21">
        <w:trPr>
          <w:trHeight w:val="20"/>
        </w:trPr>
        <w:tc>
          <w:tcPr>
            <w:tcW w:w="1413" w:type="dxa"/>
            <w:noWrap/>
            <w:hideMark/>
          </w:tcPr>
          <w:p w14:paraId="1CF03128" w14:textId="77777777" w:rsidR="006B1262" w:rsidRPr="006E317E" w:rsidRDefault="006B1262" w:rsidP="006B1262">
            <w:pPr>
              <w:jc w:val="both"/>
            </w:pPr>
            <w:r w:rsidRPr="006E317E">
              <w:t>Elisa</w:t>
            </w:r>
          </w:p>
        </w:tc>
        <w:tc>
          <w:tcPr>
            <w:tcW w:w="2060" w:type="dxa"/>
            <w:noWrap/>
            <w:hideMark/>
          </w:tcPr>
          <w:p w14:paraId="459A81C8" w14:textId="24107264" w:rsidR="006B1262" w:rsidRPr="006E317E" w:rsidRDefault="006B1262" w:rsidP="006B1262">
            <w:pPr>
              <w:jc w:val="right"/>
            </w:pPr>
            <w:r w:rsidRPr="009400D4">
              <w:t>…*</w:t>
            </w:r>
          </w:p>
        </w:tc>
        <w:tc>
          <w:tcPr>
            <w:tcW w:w="1713" w:type="dxa"/>
            <w:noWrap/>
            <w:hideMark/>
          </w:tcPr>
          <w:p w14:paraId="53719C9D" w14:textId="4ED9523A" w:rsidR="006B1262" w:rsidRPr="006E317E" w:rsidRDefault="006B1262" w:rsidP="006B1262">
            <w:pPr>
              <w:jc w:val="right"/>
            </w:pPr>
            <w:r w:rsidRPr="009400D4">
              <w:t>…*</w:t>
            </w:r>
          </w:p>
        </w:tc>
        <w:tc>
          <w:tcPr>
            <w:tcW w:w="1644" w:type="dxa"/>
            <w:noWrap/>
            <w:hideMark/>
          </w:tcPr>
          <w:p w14:paraId="48920D66" w14:textId="6200A444" w:rsidR="006B1262" w:rsidRPr="006E317E" w:rsidRDefault="006B1262" w:rsidP="006B1262">
            <w:pPr>
              <w:jc w:val="right"/>
            </w:pPr>
            <w:r w:rsidRPr="009400D4">
              <w:t>…*</w:t>
            </w:r>
          </w:p>
        </w:tc>
        <w:tc>
          <w:tcPr>
            <w:tcW w:w="1412" w:type="dxa"/>
            <w:noWrap/>
            <w:hideMark/>
          </w:tcPr>
          <w:p w14:paraId="2618DE25" w14:textId="549089C6" w:rsidR="006B1262" w:rsidRPr="006E317E" w:rsidRDefault="006B1262" w:rsidP="006B1262">
            <w:pPr>
              <w:jc w:val="right"/>
            </w:pPr>
            <w:r w:rsidRPr="009400D4">
              <w:t>…*</w:t>
            </w:r>
          </w:p>
        </w:tc>
        <w:tc>
          <w:tcPr>
            <w:tcW w:w="1551" w:type="dxa"/>
            <w:noWrap/>
            <w:hideMark/>
          </w:tcPr>
          <w:p w14:paraId="230EEDFC" w14:textId="6DE2CB80" w:rsidR="006B1262" w:rsidRPr="006E317E" w:rsidRDefault="006B1262" w:rsidP="006B1262">
            <w:pPr>
              <w:jc w:val="center"/>
            </w:pPr>
            <w:r w:rsidRPr="002530F6">
              <w:t>…*%</w:t>
            </w:r>
          </w:p>
        </w:tc>
      </w:tr>
      <w:tr w:rsidR="006B1262" w:rsidRPr="006E317E" w14:paraId="08710BA6" w14:textId="77777777" w:rsidTr="00BB1D21">
        <w:trPr>
          <w:trHeight w:val="20"/>
        </w:trPr>
        <w:tc>
          <w:tcPr>
            <w:tcW w:w="1413" w:type="dxa"/>
            <w:noWrap/>
            <w:hideMark/>
          </w:tcPr>
          <w:p w14:paraId="5D24D528" w14:textId="77777777" w:rsidR="006B1262" w:rsidRPr="006E317E" w:rsidRDefault="006B1262" w:rsidP="006B1262">
            <w:pPr>
              <w:jc w:val="both"/>
            </w:pPr>
            <w:r w:rsidRPr="006E317E">
              <w:t>Tele2</w:t>
            </w:r>
          </w:p>
        </w:tc>
        <w:tc>
          <w:tcPr>
            <w:tcW w:w="2060" w:type="dxa"/>
            <w:noWrap/>
            <w:hideMark/>
          </w:tcPr>
          <w:p w14:paraId="691234B9" w14:textId="137003B3" w:rsidR="006B1262" w:rsidRPr="006E317E" w:rsidRDefault="006B1262" w:rsidP="006B1262">
            <w:pPr>
              <w:jc w:val="right"/>
            </w:pPr>
            <w:r w:rsidRPr="009400D4">
              <w:t>…*</w:t>
            </w:r>
          </w:p>
        </w:tc>
        <w:tc>
          <w:tcPr>
            <w:tcW w:w="1713" w:type="dxa"/>
            <w:noWrap/>
            <w:hideMark/>
          </w:tcPr>
          <w:p w14:paraId="7A7D8B33" w14:textId="2E596CEB" w:rsidR="006B1262" w:rsidRPr="006E317E" w:rsidRDefault="006B1262" w:rsidP="006B1262">
            <w:pPr>
              <w:jc w:val="right"/>
            </w:pPr>
            <w:r w:rsidRPr="009400D4">
              <w:t>…*</w:t>
            </w:r>
          </w:p>
        </w:tc>
        <w:tc>
          <w:tcPr>
            <w:tcW w:w="1644" w:type="dxa"/>
            <w:noWrap/>
            <w:hideMark/>
          </w:tcPr>
          <w:p w14:paraId="3D52163E" w14:textId="2685612D" w:rsidR="006B1262" w:rsidRPr="006E317E" w:rsidRDefault="006B1262" w:rsidP="006B1262">
            <w:pPr>
              <w:jc w:val="right"/>
            </w:pPr>
            <w:r w:rsidRPr="009400D4">
              <w:t>…*</w:t>
            </w:r>
          </w:p>
        </w:tc>
        <w:tc>
          <w:tcPr>
            <w:tcW w:w="1412" w:type="dxa"/>
            <w:noWrap/>
            <w:hideMark/>
          </w:tcPr>
          <w:p w14:paraId="112C25F6" w14:textId="1AFE191D" w:rsidR="006B1262" w:rsidRPr="006E317E" w:rsidRDefault="006B1262" w:rsidP="006B1262">
            <w:pPr>
              <w:jc w:val="right"/>
            </w:pPr>
            <w:r w:rsidRPr="009400D4">
              <w:t>…*</w:t>
            </w:r>
          </w:p>
        </w:tc>
        <w:tc>
          <w:tcPr>
            <w:tcW w:w="1551" w:type="dxa"/>
            <w:noWrap/>
            <w:hideMark/>
          </w:tcPr>
          <w:p w14:paraId="65B9153F" w14:textId="66413F4B" w:rsidR="006B1262" w:rsidRPr="006E317E" w:rsidRDefault="006B1262" w:rsidP="006B1262">
            <w:pPr>
              <w:jc w:val="center"/>
            </w:pPr>
            <w:r w:rsidRPr="002530F6">
              <w:t>…*%</w:t>
            </w:r>
          </w:p>
        </w:tc>
      </w:tr>
      <w:tr w:rsidR="00EC24B2" w:rsidRPr="006E317E" w14:paraId="79A88245" w14:textId="77777777" w:rsidTr="00BB1D21">
        <w:trPr>
          <w:trHeight w:val="20"/>
        </w:trPr>
        <w:tc>
          <w:tcPr>
            <w:tcW w:w="1413" w:type="dxa"/>
            <w:noWrap/>
            <w:hideMark/>
          </w:tcPr>
          <w:p w14:paraId="73D89926" w14:textId="77777777" w:rsidR="00EC24B2" w:rsidRPr="006E317E" w:rsidRDefault="00EC24B2" w:rsidP="00AA241E">
            <w:pPr>
              <w:jc w:val="both"/>
            </w:pPr>
            <w:r w:rsidRPr="006E317E">
              <w:t>Kokku</w:t>
            </w:r>
          </w:p>
        </w:tc>
        <w:tc>
          <w:tcPr>
            <w:tcW w:w="2060" w:type="dxa"/>
            <w:noWrap/>
            <w:hideMark/>
          </w:tcPr>
          <w:p w14:paraId="57782956" w14:textId="77777777" w:rsidR="00EC24B2" w:rsidRPr="006E317E" w:rsidRDefault="00EC24B2" w:rsidP="00775AA7">
            <w:pPr>
              <w:jc w:val="right"/>
            </w:pPr>
            <w:r w:rsidRPr="006E317E">
              <w:t>41 187</w:t>
            </w:r>
          </w:p>
        </w:tc>
        <w:tc>
          <w:tcPr>
            <w:tcW w:w="1713" w:type="dxa"/>
            <w:noWrap/>
            <w:hideMark/>
          </w:tcPr>
          <w:p w14:paraId="37D69CB0" w14:textId="77777777" w:rsidR="00EC24B2" w:rsidRPr="006E317E" w:rsidRDefault="00EC24B2" w:rsidP="00775AA7">
            <w:pPr>
              <w:jc w:val="right"/>
            </w:pPr>
            <w:r w:rsidRPr="006E317E">
              <w:t>2 453</w:t>
            </w:r>
          </w:p>
        </w:tc>
        <w:tc>
          <w:tcPr>
            <w:tcW w:w="1644" w:type="dxa"/>
            <w:noWrap/>
            <w:hideMark/>
          </w:tcPr>
          <w:p w14:paraId="3F45DA9D" w14:textId="77777777" w:rsidR="00EC24B2" w:rsidRPr="006E317E" w:rsidRDefault="00EC24B2" w:rsidP="00775AA7">
            <w:pPr>
              <w:jc w:val="right"/>
            </w:pPr>
            <w:r w:rsidRPr="006E317E">
              <w:t>102 652</w:t>
            </w:r>
          </w:p>
        </w:tc>
        <w:tc>
          <w:tcPr>
            <w:tcW w:w="1412" w:type="dxa"/>
            <w:noWrap/>
            <w:hideMark/>
          </w:tcPr>
          <w:p w14:paraId="75E0883B" w14:textId="77777777" w:rsidR="00EC24B2" w:rsidRPr="006E317E" w:rsidRDefault="00EC24B2" w:rsidP="00775AA7">
            <w:pPr>
              <w:jc w:val="right"/>
            </w:pPr>
            <w:r w:rsidRPr="006E317E">
              <w:t>146 292</w:t>
            </w:r>
          </w:p>
        </w:tc>
        <w:tc>
          <w:tcPr>
            <w:tcW w:w="1551" w:type="dxa"/>
            <w:noWrap/>
            <w:hideMark/>
          </w:tcPr>
          <w:p w14:paraId="41D73F69" w14:textId="77777777" w:rsidR="00EC24B2" w:rsidRPr="006E317E" w:rsidRDefault="00EC24B2" w:rsidP="00775AA7">
            <w:pPr>
              <w:jc w:val="center"/>
            </w:pPr>
            <w:r w:rsidRPr="006E317E">
              <w:t>100%</w:t>
            </w:r>
          </w:p>
        </w:tc>
      </w:tr>
    </w:tbl>
    <w:p w14:paraId="509A9D2E" w14:textId="1DC10A70" w:rsidR="00EC24B2" w:rsidRPr="006E317E" w:rsidRDefault="00BB1D21" w:rsidP="00AA241E">
      <w:pPr>
        <w:pStyle w:val="Pealdis"/>
        <w:jc w:val="both"/>
      </w:pPr>
      <w:r>
        <w:t xml:space="preserve">Tabel </w:t>
      </w:r>
      <w:r>
        <w:fldChar w:fldCharType="begin"/>
      </w:r>
      <w:r>
        <w:instrText xml:space="preserve"> SEQ Tabel \* ARABIC </w:instrText>
      </w:r>
      <w:r>
        <w:fldChar w:fldCharType="separate"/>
      </w:r>
      <w:r w:rsidR="00247D84">
        <w:rPr>
          <w:noProof/>
        </w:rPr>
        <w:t>34</w:t>
      </w:r>
      <w:r>
        <w:fldChar w:fldCharType="end"/>
      </w:r>
      <w:r>
        <w:t xml:space="preserve"> </w:t>
      </w:r>
      <w:r w:rsidRPr="006E317E">
        <w:t xml:space="preserve">Valguskaabel </w:t>
      </w:r>
      <w:r w:rsidR="00EC24B2" w:rsidRPr="006E317E">
        <w:t xml:space="preserve">turul jaeteenuseid osutavate ettevõtjate aktiivsete </w:t>
      </w:r>
      <w:r w:rsidR="0007135D">
        <w:t>kliendiliin</w:t>
      </w:r>
      <w:r w:rsidR="00EC24B2" w:rsidRPr="006E317E">
        <w:t>ide arvu jagunemine tehnoloogiate vahel B piirkonnas ja koond turuosa 2023.</w:t>
      </w:r>
      <w:r>
        <w:t xml:space="preserve"> aastal</w:t>
      </w:r>
    </w:p>
    <w:p w14:paraId="568CE153" w14:textId="26C8CC3F" w:rsidR="00EC24B2" w:rsidRPr="006E317E" w:rsidRDefault="00EC24B2" w:rsidP="00AA241E">
      <w:pPr>
        <w:jc w:val="both"/>
      </w:pPr>
      <w:r w:rsidRPr="006E317E">
        <w:t>Füüsilise eraldamis kohustust peetakse kõige asjakohasemaks, kuna see võimaldab alternatiivsel operaatoril tagada tehnoloogilise sõltumatuse ja mitmekesistada teenuseid lõppkasutaja jaoks</w:t>
      </w:r>
      <w:r w:rsidRPr="005D266E">
        <w:rPr>
          <w:vertAlign w:val="superscript"/>
        </w:rPr>
        <w:footnoteReference w:id="99"/>
      </w:r>
      <w:r w:rsidRPr="006E317E">
        <w:t>. See tähendab, et TTJA peab jätkama füüsilise eraldamise reguleerimist turul 1 valguskaabli alamturg B piirkonnas</w:t>
      </w:r>
      <w:r w:rsidR="000F5EB8">
        <w:t xml:space="preserve"> (tabel 34)</w:t>
      </w:r>
      <w:r w:rsidRPr="006E317E">
        <w:t>. Juhul kui füüsiline eraldamine ei ole ühe valguskaabel juurdepääsuvõrgu arhitektuuri puhul võimalik, peaks TTJA kindlaks määrama VULA.</w:t>
      </w:r>
      <w:r w:rsidRPr="005D266E">
        <w:rPr>
          <w:vertAlign w:val="superscript"/>
        </w:rPr>
        <w:footnoteReference w:id="100"/>
      </w:r>
      <w:r w:rsidRPr="006E317E">
        <w:t xml:space="preserve"> Seega saab kaasata turule 1 valguskaabli alamturg B piirkonnas VULA hulgimüügi teenuse. Alternatiivse operaatori jaoks antakse juurdepääs VULA hulgimüügiteenusele kohalikul tasandil võrguoperaatori põhivõrgus.</w:t>
      </w:r>
    </w:p>
    <w:p w14:paraId="75AD1167" w14:textId="77777777" w:rsidR="00EC24B2" w:rsidRPr="006E317E" w:rsidRDefault="00EC24B2" w:rsidP="00AA241E">
      <w:pPr>
        <w:jc w:val="both"/>
      </w:pPr>
      <w:r w:rsidRPr="006E317E">
        <w:t>Eespool öeldut silmas pidades leiab TTJA, et VULA tuleks lisada turule 1 valguskaabli alamturg B piirkonnas hulgimüügi teenuste hulka.</w:t>
      </w:r>
    </w:p>
    <w:p w14:paraId="06960F2F" w14:textId="7B8E6129" w:rsidR="00EC24B2" w:rsidRPr="004A6E91" w:rsidRDefault="004A6E91" w:rsidP="00AA241E">
      <w:pPr>
        <w:jc w:val="both"/>
        <w:rPr>
          <w:b/>
          <w:bCs/>
        </w:rPr>
      </w:pPr>
      <w:r>
        <w:rPr>
          <w:b/>
          <w:bCs/>
        </w:rPr>
        <w:t>Teiste</w:t>
      </w:r>
      <w:r w:rsidR="00EC24B2" w:rsidRPr="004A6E91">
        <w:rPr>
          <w:b/>
          <w:bCs/>
        </w:rPr>
        <w:t xml:space="preserve"> tehnoloogi</w:t>
      </w:r>
      <w:r>
        <w:rPr>
          <w:b/>
          <w:bCs/>
        </w:rPr>
        <w:t>ate kaasamine turu</w:t>
      </w:r>
      <w:r w:rsidR="00EC24B2" w:rsidRPr="004A6E91">
        <w:rPr>
          <w:b/>
          <w:bCs/>
        </w:rPr>
        <w:t xml:space="preserve"> 1 valguskaabli alamturu</w:t>
      </w:r>
      <w:r>
        <w:rPr>
          <w:b/>
          <w:bCs/>
        </w:rPr>
        <w:t>le</w:t>
      </w:r>
    </w:p>
    <w:p w14:paraId="45D13A9E" w14:textId="77777777" w:rsidR="00EC24B2" w:rsidRPr="006E317E" w:rsidRDefault="00EC24B2" w:rsidP="00AA241E">
      <w:pPr>
        <w:spacing w:after="240"/>
        <w:jc w:val="both"/>
      </w:pPr>
      <w:r w:rsidRPr="006E317E">
        <w:t>Muud tehnoloogiad, st DOCSIS ja mobiilne internet, ei kuulunud jaemüügi valguskaabli alamturule. Järelikult ei ole vaja lisada neid tehnoloogiaid 1. turu valguskaabli alamturule, sest kui nende tehnoloogiate asendatavus puudub jaemüügi tasandil, ei ole vaja neid tehnoloogiaid hulgiturul asendada.</w:t>
      </w:r>
    </w:p>
    <w:p w14:paraId="71249A59" w14:textId="77777777" w:rsidR="00EC24B2" w:rsidRPr="003260C7" w:rsidRDefault="00EC24B2" w:rsidP="00AA241E">
      <w:pPr>
        <w:spacing w:before="120" w:after="240"/>
        <w:jc w:val="both"/>
        <w:rPr>
          <w:b/>
          <w:bCs/>
        </w:rPr>
      </w:pPr>
      <w:r w:rsidRPr="003260C7">
        <w:rPr>
          <w:b/>
          <w:bCs/>
        </w:rPr>
        <w:t>Turu 1 valguskaabli alamturu hulgimüük B piirkonnas definitsiooni tulemused</w:t>
      </w:r>
    </w:p>
    <w:p w14:paraId="244243E4" w14:textId="044669EA" w:rsidR="00EC24B2" w:rsidRPr="006E317E" w:rsidRDefault="00EC24B2" w:rsidP="00AA241E">
      <w:pPr>
        <w:jc w:val="both"/>
      </w:pPr>
      <w:r w:rsidRPr="006E317E">
        <w:t>Turul 1 valguskaabli alamturul hõlmab hulgimüük</w:t>
      </w:r>
      <w:r w:rsidR="00775AA7">
        <w:t>i</w:t>
      </w:r>
      <w:r w:rsidRPr="006E317E">
        <w:t xml:space="preserve"> B piirkonnas </w:t>
      </w:r>
      <w:r w:rsidR="000214D5">
        <w:t>valguskaabel</w:t>
      </w:r>
      <w:r w:rsidRPr="006E317E">
        <w:t xml:space="preserve"> võrkude (FTTH (P2P ja PON) ja FTTB eraldamist), st kliendiliinide/kiu või alamkiu eraldamist, kui see on tehniliselt teostatav, ning virtuaalset juurdepääsu teenust-VULA ja juurdepääsu lisa teenuse</w:t>
      </w:r>
      <w:r w:rsidR="007C788E">
        <w:t>i</w:t>
      </w:r>
      <w:r w:rsidRPr="006E317E">
        <w:t>d.</w:t>
      </w:r>
    </w:p>
    <w:p w14:paraId="1D334989" w14:textId="77777777" w:rsidR="00EC24B2" w:rsidRPr="006E317E" w:rsidRDefault="00EC24B2" w:rsidP="00AA241E">
      <w:pPr>
        <w:jc w:val="both"/>
      </w:pPr>
    </w:p>
    <w:p w14:paraId="5398E017" w14:textId="17EDF364" w:rsidR="00EC24B2" w:rsidRPr="006E317E" w:rsidRDefault="00E15EB1" w:rsidP="009805E1">
      <w:pPr>
        <w:pStyle w:val="Pealkiri3"/>
      </w:pPr>
      <w:bookmarkStart w:id="794" w:name="_Toc164846153"/>
      <w:bookmarkStart w:id="795" w:name="_Toc174710797"/>
      <w:r w:rsidRPr="006E317E">
        <w:lastRenderedPageBreak/>
        <w:t xml:space="preserve">Turu </w:t>
      </w:r>
      <w:r w:rsidR="00EC24B2" w:rsidRPr="006E317E">
        <w:t>1. valguskaabli alamturu analüüs hulgimüük B piirkonnas</w:t>
      </w:r>
      <w:bookmarkEnd w:id="794"/>
      <w:bookmarkEnd w:id="795"/>
    </w:p>
    <w:p w14:paraId="68D8F2DB" w14:textId="77777777" w:rsidR="00407AFE" w:rsidRPr="00407AFE" w:rsidRDefault="00407AFE" w:rsidP="00AA241E">
      <w:pPr>
        <w:pStyle w:val="Loendilik"/>
        <w:keepNext/>
        <w:keepLines/>
        <w:numPr>
          <w:ilvl w:val="2"/>
          <w:numId w:val="36"/>
        </w:numPr>
        <w:tabs>
          <w:tab w:val="left" w:pos="1985"/>
        </w:tabs>
        <w:spacing w:after="0"/>
        <w:contextualSpacing w:val="0"/>
        <w:jc w:val="both"/>
        <w:outlineLvl w:val="3"/>
        <w:rPr>
          <w:rFonts w:eastAsiaTheme="majorEastAsia" w:cstheme="majorBidi"/>
          <w:i/>
          <w:iCs/>
          <w:vanish/>
          <w:lang w:eastAsia="en-US"/>
        </w:rPr>
      </w:pPr>
    </w:p>
    <w:p w14:paraId="2AD9AB99" w14:textId="32F47FD6" w:rsidR="00EC24B2" w:rsidRPr="00F74E80" w:rsidRDefault="00EC24B2" w:rsidP="00AA241E">
      <w:pPr>
        <w:pStyle w:val="Pealkiri4"/>
      </w:pPr>
      <w:r w:rsidRPr="001D121D">
        <w:t>Turu</w:t>
      </w:r>
      <w:r w:rsidRPr="00F74E80">
        <w:t xml:space="preserve"> analüüs</w:t>
      </w:r>
    </w:p>
    <w:p w14:paraId="7B98CCDE" w14:textId="43758797" w:rsidR="00EC24B2" w:rsidRPr="006E317E" w:rsidRDefault="003260C7" w:rsidP="00AA241E">
      <w:pPr>
        <w:jc w:val="both"/>
      </w:pPr>
      <w:r>
        <w:t>TTJA</w:t>
      </w:r>
      <w:r w:rsidR="00EC24B2" w:rsidRPr="006E317E">
        <w:t xml:space="preserve"> teostab turu 1 valguskaabli alamturu analüüsi B piirkonnas, võttes arvesse turu 1 valguskaabli alamturu määratlust hulgimüügis.</w:t>
      </w:r>
    </w:p>
    <w:p w14:paraId="2FF85B02" w14:textId="77777777" w:rsidR="00EC24B2" w:rsidRPr="006E317E" w:rsidRDefault="00EC24B2" w:rsidP="00AA241E">
      <w:pPr>
        <w:jc w:val="both"/>
      </w:pPr>
      <w:r w:rsidRPr="006E317E">
        <w:t xml:space="preserve">BEREC on analüüsinud (BERECi 2010. aasta märtsi aruandes </w:t>
      </w:r>
      <w:proofErr w:type="spellStart"/>
      <w:r w:rsidRPr="006E317E">
        <w:t>BoR</w:t>
      </w:r>
      <w:proofErr w:type="spellEnd"/>
      <w:r w:rsidRPr="006E317E">
        <w:t xml:space="preserve"> (10) 09 sideteenuste kohta) jae- ja hulgiturgude aspekte ning olukordi, kus jaemüügitasandil algavale operaatorile avaldatav konkurentsisurve peaks kajastuma hulgimüügis antavas hinnangus ja analüüsis.</w:t>
      </w:r>
    </w:p>
    <w:p w14:paraId="65C82707" w14:textId="141AE496" w:rsidR="00EC24B2" w:rsidRPr="006E317E" w:rsidRDefault="00EC24B2" w:rsidP="00AA241E">
      <w:pPr>
        <w:jc w:val="both"/>
      </w:pPr>
      <w:r w:rsidRPr="006E317E">
        <w:t>Kui märkimisväärse turujõuga kaupmees tegutseb hulgimüügi valdkonnas, võib seda vahetult piirata teine kaupleja, kes tegutseb samuti samal tasemel (edaspidi - otsene konkurentsimõju). Näiteks võib märkimisväärse turujõuga kauplejal olla keelatud tõsta hulgi</w:t>
      </w:r>
      <w:r w:rsidR="00400D08">
        <w:t>hindu</w:t>
      </w:r>
      <w:r w:rsidRPr="006E317E">
        <w:t xml:space="preserve"> kolmandate isikute jaoks, kuna ta valib lõppkasutajatele teenuste osutamiseks teise vertikaalselt integreeritud teenuseosutaja hulgimüügiteenused. Kui puudub veel üks või mitu hulgimüügiga tegelevat vertikaalselt integreeritud ettevõtja, puudub ka otsene konkurentsimõju.</w:t>
      </w:r>
    </w:p>
    <w:p w14:paraId="4A8E2670" w14:textId="10B1C346" w:rsidR="00EC24B2" w:rsidRPr="006E317E" w:rsidRDefault="00EC24B2" w:rsidP="00AA241E">
      <w:pPr>
        <w:jc w:val="both"/>
      </w:pPr>
      <w:r w:rsidRPr="006E317E">
        <w:t>Toodete vaheline konkurents jaemüügi tasandil võib kaudselt piirata kauplejat märkimisväärse turujõuga (edaspidi – kaudne mõju konkurentsile). Kui jaekaubanduses valitseb konkurents, piirab see kaudselt märkimisväärse turujõuga kauplejat, kuna lõppkasutajad võivad otsustada minna üle teisele kauplejale, kes tegeleb samuti jaemüügiga.</w:t>
      </w:r>
    </w:p>
    <w:p w14:paraId="4A6569EF" w14:textId="1C857F95" w:rsidR="00EC24B2" w:rsidRPr="006E317E" w:rsidRDefault="00EC24B2" w:rsidP="00AA241E">
      <w:pPr>
        <w:jc w:val="both"/>
      </w:pPr>
      <w:r w:rsidRPr="006E317E">
        <w:t xml:space="preserve">Turuvõimu hindamisel on üks olulise mõju hindamise põhinäitajaid turuosad. Kui kaalute hulgimüügis ainult teenuste osutamist kolmandatele isikutele (teistele kaupmeestele), võib see kaasa tuua ebatäieliku tulemuse, kuna tavaliselt (kuid mitte ainult) tegutseb turul teoreetiliselt üks kaupmees (monopoolne kaupmees) 100% turuosaga. Kui teenuste osutamine teistele hulgikaupmeestele toimub väikestes kogustes, on see väga väike osa </w:t>
      </w:r>
      <w:proofErr w:type="spellStart"/>
      <w:r w:rsidRPr="006E317E">
        <w:t>ühisturust</w:t>
      </w:r>
      <w:proofErr w:type="spellEnd"/>
      <w:r w:rsidRPr="006E317E">
        <w:t>. Seega on hulgituru turuosade õigeks hindamiseks vaja arvutada ka turuosad, sealhulgas sise</w:t>
      </w:r>
      <w:r w:rsidR="006B3769">
        <w:t>mine varustamine</w:t>
      </w:r>
      <w:r w:rsidRPr="006E317E">
        <w:t>. Eelkõige võivad hulgimüüjad, kes pakuvad hulgimüügitasandi juurdepääsu teistele ettevõtjatele, osutada samu teenuseid sisemiselt oma jaemüügiosale, kes osutab teenuseid lõppkasutajatele. Need sisemiselt osutatud teenuse (</w:t>
      </w:r>
      <w:proofErr w:type="spellStart"/>
      <w:r w:rsidRPr="007F082C">
        <w:rPr>
          <w:i/>
        </w:rPr>
        <w:t>self-supply</w:t>
      </w:r>
      <w:proofErr w:type="spellEnd"/>
      <w:r w:rsidRPr="006E317E">
        <w:t>) mahud tuleks kaasata konkreetse turu analüüsi – nii märkimisväärse turujõuga ettevõtja sisemiselt osutatud teenused kui ka teiste side ettevõtja sisemiselt osutatud teenused.</w:t>
      </w:r>
    </w:p>
    <w:p w14:paraId="2F9DC819" w14:textId="27A0ADFB" w:rsidR="00BB1D21" w:rsidRDefault="00EC24B2" w:rsidP="00AA241E">
      <w:pPr>
        <w:jc w:val="both"/>
      </w:pPr>
      <w:r w:rsidRPr="006E317E">
        <w:t>Eespool öeldut arvesse võttes arvutab TTJA hulgimüügi turuosade arvutamisel turuosad nii ilma sisemiselt osutatud teenusteta kui ka sisemiselt osutatud teenusetega</w:t>
      </w:r>
      <w:r w:rsidR="006B3769">
        <w:t xml:space="preserve"> (</w:t>
      </w:r>
      <w:r w:rsidR="00346D5D">
        <w:t>vt</w:t>
      </w:r>
      <w:r w:rsidR="006B3769">
        <w:t xml:space="preserve"> tabelid </w:t>
      </w:r>
      <w:r w:rsidR="00F45E60">
        <w:t>3</w:t>
      </w:r>
      <w:r w:rsidR="00346D5D">
        <w:t>5</w:t>
      </w:r>
      <w:r w:rsidR="00F45E60">
        <w:t xml:space="preserve"> ja 3</w:t>
      </w:r>
      <w:r w:rsidR="00346D5D">
        <w:t>6</w:t>
      </w:r>
      <w:r w:rsidR="006B3769">
        <w:t>)</w:t>
      </w:r>
      <w:r w:rsidR="00346D5D">
        <w:t>.</w:t>
      </w:r>
    </w:p>
    <w:p w14:paraId="3AA2D4CD" w14:textId="77777777" w:rsidR="00BB1D21" w:rsidRDefault="00BB1D21" w:rsidP="00AA241E">
      <w:pPr>
        <w:jc w:val="both"/>
      </w:pPr>
      <w:r>
        <w:br w:type="page"/>
      </w:r>
    </w:p>
    <w:tbl>
      <w:tblPr>
        <w:tblStyle w:val="Kontuurtabel1"/>
        <w:tblW w:w="9628" w:type="dxa"/>
        <w:tblLook w:val="04A0" w:firstRow="1" w:lastRow="0" w:firstColumn="1" w:lastColumn="0" w:noHBand="0" w:noVBand="1"/>
      </w:tblPr>
      <w:tblGrid>
        <w:gridCol w:w="1185"/>
        <w:gridCol w:w="1185"/>
        <w:gridCol w:w="1185"/>
        <w:gridCol w:w="1333"/>
        <w:gridCol w:w="1185"/>
        <w:gridCol w:w="1185"/>
        <w:gridCol w:w="1185"/>
        <w:gridCol w:w="1185"/>
      </w:tblGrid>
      <w:tr w:rsidR="00EC24B2" w:rsidRPr="006E317E" w14:paraId="49F64193" w14:textId="77777777" w:rsidTr="00B9437A">
        <w:trPr>
          <w:trHeight w:val="263"/>
        </w:trPr>
        <w:tc>
          <w:tcPr>
            <w:tcW w:w="1185" w:type="dxa"/>
            <w:shd w:val="clear" w:color="auto" w:fill="92D050"/>
            <w:noWrap/>
            <w:hideMark/>
          </w:tcPr>
          <w:p w14:paraId="53122B7E" w14:textId="77777777" w:rsidR="00EC24B2" w:rsidRPr="00BB1D21" w:rsidRDefault="00EC24B2" w:rsidP="00AA241E">
            <w:pPr>
              <w:jc w:val="both"/>
              <w:rPr>
                <w:b/>
                <w:bCs/>
              </w:rPr>
            </w:pPr>
            <w:r w:rsidRPr="00BB1D21">
              <w:rPr>
                <w:b/>
                <w:bCs/>
              </w:rPr>
              <w:lastRenderedPageBreak/>
              <w:t> </w:t>
            </w:r>
          </w:p>
        </w:tc>
        <w:tc>
          <w:tcPr>
            <w:tcW w:w="1185" w:type="dxa"/>
            <w:shd w:val="clear" w:color="auto" w:fill="92D050"/>
            <w:noWrap/>
            <w:vAlign w:val="center"/>
            <w:hideMark/>
          </w:tcPr>
          <w:p w14:paraId="7B1B5464" w14:textId="77777777" w:rsidR="00EC24B2" w:rsidRPr="00BB1D21" w:rsidRDefault="00EC24B2" w:rsidP="007C788E">
            <w:pPr>
              <w:jc w:val="center"/>
              <w:rPr>
                <w:b/>
                <w:bCs/>
              </w:rPr>
            </w:pPr>
            <w:r w:rsidRPr="00BB1D21">
              <w:rPr>
                <w:b/>
                <w:bCs/>
              </w:rPr>
              <w:t>2017</w:t>
            </w:r>
          </w:p>
        </w:tc>
        <w:tc>
          <w:tcPr>
            <w:tcW w:w="1185" w:type="dxa"/>
            <w:shd w:val="clear" w:color="auto" w:fill="92D050"/>
            <w:noWrap/>
            <w:vAlign w:val="center"/>
            <w:hideMark/>
          </w:tcPr>
          <w:p w14:paraId="62817570" w14:textId="77777777" w:rsidR="00EC24B2" w:rsidRPr="00BB1D21" w:rsidRDefault="00EC24B2" w:rsidP="007C788E">
            <w:pPr>
              <w:jc w:val="center"/>
              <w:rPr>
                <w:b/>
                <w:bCs/>
              </w:rPr>
            </w:pPr>
            <w:r w:rsidRPr="00BB1D21">
              <w:rPr>
                <w:b/>
                <w:bCs/>
              </w:rPr>
              <w:t>2018</w:t>
            </w:r>
          </w:p>
        </w:tc>
        <w:tc>
          <w:tcPr>
            <w:tcW w:w="1333" w:type="dxa"/>
            <w:shd w:val="clear" w:color="auto" w:fill="92D050"/>
            <w:noWrap/>
            <w:vAlign w:val="center"/>
            <w:hideMark/>
          </w:tcPr>
          <w:p w14:paraId="1B83464C" w14:textId="77777777" w:rsidR="00EC24B2" w:rsidRPr="00BB1D21" w:rsidRDefault="00EC24B2" w:rsidP="007C788E">
            <w:pPr>
              <w:jc w:val="center"/>
              <w:rPr>
                <w:b/>
                <w:bCs/>
              </w:rPr>
            </w:pPr>
            <w:r w:rsidRPr="00BB1D21">
              <w:rPr>
                <w:b/>
                <w:bCs/>
              </w:rPr>
              <w:t>2019</w:t>
            </w:r>
          </w:p>
        </w:tc>
        <w:tc>
          <w:tcPr>
            <w:tcW w:w="1185" w:type="dxa"/>
            <w:shd w:val="clear" w:color="auto" w:fill="92D050"/>
            <w:noWrap/>
            <w:vAlign w:val="center"/>
            <w:hideMark/>
          </w:tcPr>
          <w:p w14:paraId="162C87B6" w14:textId="77777777" w:rsidR="00EC24B2" w:rsidRPr="00BB1D21" w:rsidRDefault="00EC24B2" w:rsidP="007C788E">
            <w:pPr>
              <w:jc w:val="center"/>
              <w:rPr>
                <w:b/>
                <w:bCs/>
              </w:rPr>
            </w:pPr>
            <w:r w:rsidRPr="00BB1D21">
              <w:rPr>
                <w:b/>
                <w:bCs/>
              </w:rPr>
              <w:t>2020</w:t>
            </w:r>
          </w:p>
        </w:tc>
        <w:tc>
          <w:tcPr>
            <w:tcW w:w="1185" w:type="dxa"/>
            <w:shd w:val="clear" w:color="auto" w:fill="92D050"/>
            <w:noWrap/>
            <w:vAlign w:val="center"/>
            <w:hideMark/>
          </w:tcPr>
          <w:p w14:paraId="455F0A23" w14:textId="77777777" w:rsidR="00EC24B2" w:rsidRPr="00BB1D21" w:rsidRDefault="00EC24B2" w:rsidP="007C788E">
            <w:pPr>
              <w:jc w:val="center"/>
              <w:rPr>
                <w:b/>
                <w:bCs/>
              </w:rPr>
            </w:pPr>
            <w:r w:rsidRPr="00BB1D21">
              <w:rPr>
                <w:b/>
                <w:bCs/>
              </w:rPr>
              <w:t>2021</w:t>
            </w:r>
          </w:p>
        </w:tc>
        <w:tc>
          <w:tcPr>
            <w:tcW w:w="1185" w:type="dxa"/>
            <w:shd w:val="clear" w:color="auto" w:fill="92D050"/>
            <w:noWrap/>
            <w:vAlign w:val="center"/>
            <w:hideMark/>
          </w:tcPr>
          <w:p w14:paraId="6A14C351" w14:textId="77777777" w:rsidR="00EC24B2" w:rsidRPr="00BB1D21" w:rsidRDefault="00EC24B2" w:rsidP="007C788E">
            <w:pPr>
              <w:jc w:val="center"/>
              <w:rPr>
                <w:b/>
                <w:bCs/>
              </w:rPr>
            </w:pPr>
            <w:r w:rsidRPr="00BB1D21">
              <w:rPr>
                <w:b/>
                <w:bCs/>
              </w:rPr>
              <w:t>2022</w:t>
            </w:r>
          </w:p>
        </w:tc>
        <w:tc>
          <w:tcPr>
            <w:tcW w:w="1185" w:type="dxa"/>
            <w:shd w:val="clear" w:color="auto" w:fill="92D050"/>
            <w:noWrap/>
            <w:vAlign w:val="center"/>
            <w:hideMark/>
          </w:tcPr>
          <w:p w14:paraId="3995FC21" w14:textId="77777777" w:rsidR="00EC24B2" w:rsidRPr="00BB1D21" w:rsidRDefault="00EC24B2" w:rsidP="007C788E">
            <w:pPr>
              <w:jc w:val="center"/>
              <w:rPr>
                <w:b/>
                <w:bCs/>
              </w:rPr>
            </w:pPr>
            <w:r w:rsidRPr="00BB1D21">
              <w:rPr>
                <w:b/>
                <w:bCs/>
              </w:rPr>
              <w:t>2023</w:t>
            </w:r>
          </w:p>
        </w:tc>
      </w:tr>
      <w:tr w:rsidR="00C22B37" w:rsidRPr="006E317E" w14:paraId="418B245A" w14:textId="77777777" w:rsidTr="00A75E69">
        <w:trPr>
          <w:trHeight w:val="263"/>
        </w:trPr>
        <w:tc>
          <w:tcPr>
            <w:tcW w:w="1185" w:type="dxa"/>
            <w:noWrap/>
            <w:hideMark/>
          </w:tcPr>
          <w:p w14:paraId="073E781A" w14:textId="77777777" w:rsidR="00C22B37" w:rsidRPr="006E317E" w:rsidRDefault="00C22B37" w:rsidP="00C22B37">
            <w:pPr>
              <w:jc w:val="both"/>
            </w:pPr>
            <w:r w:rsidRPr="006E317E">
              <w:t>Telia</w:t>
            </w:r>
          </w:p>
        </w:tc>
        <w:tc>
          <w:tcPr>
            <w:tcW w:w="1185" w:type="dxa"/>
            <w:noWrap/>
            <w:hideMark/>
          </w:tcPr>
          <w:p w14:paraId="02922CCE" w14:textId="3AE6E8A2" w:rsidR="00C22B37" w:rsidRPr="006E317E" w:rsidRDefault="00C22B37" w:rsidP="00C22B37">
            <w:pPr>
              <w:jc w:val="right"/>
            </w:pPr>
            <w:r w:rsidRPr="00B479FB">
              <w:t>…*</w:t>
            </w:r>
          </w:p>
        </w:tc>
        <w:tc>
          <w:tcPr>
            <w:tcW w:w="1185" w:type="dxa"/>
            <w:noWrap/>
            <w:hideMark/>
          </w:tcPr>
          <w:p w14:paraId="3CCD8685" w14:textId="49968FE1" w:rsidR="00C22B37" w:rsidRPr="006E317E" w:rsidRDefault="00C22B37" w:rsidP="00C22B37">
            <w:pPr>
              <w:jc w:val="right"/>
            </w:pPr>
            <w:r w:rsidRPr="00B479FB">
              <w:t>…*</w:t>
            </w:r>
          </w:p>
        </w:tc>
        <w:tc>
          <w:tcPr>
            <w:tcW w:w="1333" w:type="dxa"/>
            <w:noWrap/>
            <w:hideMark/>
          </w:tcPr>
          <w:p w14:paraId="33AE7230" w14:textId="0585061F" w:rsidR="00C22B37" w:rsidRPr="006E317E" w:rsidRDefault="00C22B37" w:rsidP="00C22B37">
            <w:pPr>
              <w:jc w:val="right"/>
            </w:pPr>
            <w:r w:rsidRPr="00B479FB">
              <w:t>…*</w:t>
            </w:r>
          </w:p>
        </w:tc>
        <w:tc>
          <w:tcPr>
            <w:tcW w:w="1185" w:type="dxa"/>
            <w:noWrap/>
            <w:hideMark/>
          </w:tcPr>
          <w:p w14:paraId="465F6C0F" w14:textId="07F5B761" w:rsidR="00C22B37" w:rsidRPr="006E317E" w:rsidRDefault="00C22B37" w:rsidP="00C22B37">
            <w:pPr>
              <w:jc w:val="right"/>
            </w:pPr>
            <w:r w:rsidRPr="00B479FB">
              <w:t>…*</w:t>
            </w:r>
          </w:p>
        </w:tc>
        <w:tc>
          <w:tcPr>
            <w:tcW w:w="1185" w:type="dxa"/>
            <w:noWrap/>
            <w:hideMark/>
          </w:tcPr>
          <w:p w14:paraId="55C1665F" w14:textId="31024D63" w:rsidR="00C22B37" w:rsidRPr="006E317E" w:rsidRDefault="00C22B37" w:rsidP="00C22B37">
            <w:pPr>
              <w:jc w:val="right"/>
            </w:pPr>
            <w:r w:rsidRPr="00B479FB">
              <w:t>…*</w:t>
            </w:r>
          </w:p>
        </w:tc>
        <w:tc>
          <w:tcPr>
            <w:tcW w:w="1185" w:type="dxa"/>
            <w:noWrap/>
            <w:hideMark/>
          </w:tcPr>
          <w:p w14:paraId="77812C11" w14:textId="2C582C80" w:rsidR="00C22B37" w:rsidRPr="006E317E" w:rsidRDefault="00C22B37" w:rsidP="00C22B37">
            <w:pPr>
              <w:jc w:val="right"/>
            </w:pPr>
            <w:r w:rsidRPr="00B479FB">
              <w:t>…*</w:t>
            </w:r>
          </w:p>
        </w:tc>
        <w:tc>
          <w:tcPr>
            <w:tcW w:w="1185" w:type="dxa"/>
            <w:noWrap/>
            <w:hideMark/>
          </w:tcPr>
          <w:p w14:paraId="3184750C" w14:textId="6FE0861C" w:rsidR="00C22B37" w:rsidRPr="006E317E" w:rsidRDefault="00C22B37" w:rsidP="00C22B37">
            <w:pPr>
              <w:jc w:val="right"/>
            </w:pPr>
            <w:r w:rsidRPr="00B479FB">
              <w:t>…*</w:t>
            </w:r>
          </w:p>
        </w:tc>
      </w:tr>
      <w:tr w:rsidR="006B1262" w:rsidRPr="006E317E" w14:paraId="6C276683" w14:textId="77777777" w:rsidTr="004C003F">
        <w:trPr>
          <w:trHeight w:val="263"/>
        </w:trPr>
        <w:tc>
          <w:tcPr>
            <w:tcW w:w="1185" w:type="dxa"/>
            <w:noWrap/>
            <w:hideMark/>
          </w:tcPr>
          <w:p w14:paraId="11FE661E" w14:textId="77777777" w:rsidR="006B1262" w:rsidRPr="006E317E" w:rsidRDefault="006B1262" w:rsidP="006B1262">
            <w:pPr>
              <w:jc w:val="both"/>
            </w:pPr>
            <w:r w:rsidRPr="006E317E">
              <w:t>Elisa</w:t>
            </w:r>
          </w:p>
        </w:tc>
        <w:tc>
          <w:tcPr>
            <w:tcW w:w="1185" w:type="dxa"/>
            <w:noWrap/>
            <w:hideMark/>
          </w:tcPr>
          <w:p w14:paraId="67A04312" w14:textId="54934E7F" w:rsidR="006B1262" w:rsidRPr="006E317E" w:rsidRDefault="006B1262" w:rsidP="006B1262">
            <w:pPr>
              <w:jc w:val="right"/>
            </w:pPr>
            <w:r w:rsidRPr="00AF6039">
              <w:t>…*</w:t>
            </w:r>
          </w:p>
        </w:tc>
        <w:tc>
          <w:tcPr>
            <w:tcW w:w="1185" w:type="dxa"/>
            <w:noWrap/>
            <w:hideMark/>
          </w:tcPr>
          <w:p w14:paraId="0A39EFE5" w14:textId="420247DE" w:rsidR="006B1262" w:rsidRPr="006E317E" w:rsidRDefault="006B1262" w:rsidP="006B1262">
            <w:pPr>
              <w:jc w:val="right"/>
            </w:pPr>
            <w:r w:rsidRPr="00AF6039">
              <w:t>…*</w:t>
            </w:r>
          </w:p>
        </w:tc>
        <w:tc>
          <w:tcPr>
            <w:tcW w:w="1333" w:type="dxa"/>
            <w:noWrap/>
            <w:hideMark/>
          </w:tcPr>
          <w:p w14:paraId="6BB4DC4F" w14:textId="7712110E" w:rsidR="006B1262" w:rsidRPr="006E317E" w:rsidRDefault="006B1262" w:rsidP="006B1262">
            <w:pPr>
              <w:jc w:val="right"/>
            </w:pPr>
            <w:r w:rsidRPr="00AF6039">
              <w:t>…*</w:t>
            </w:r>
          </w:p>
        </w:tc>
        <w:tc>
          <w:tcPr>
            <w:tcW w:w="1185" w:type="dxa"/>
            <w:noWrap/>
            <w:hideMark/>
          </w:tcPr>
          <w:p w14:paraId="1474C4C7" w14:textId="37C8FA75" w:rsidR="006B1262" w:rsidRPr="006E317E" w:rsidRDefault="006B1262" w:rsidP="006B1262">
            <w:pPr>
              <w:jc w:val="right"/>
            </w:pPr>
            <w:r w:rsidRPr="00AF6039">
              <w:t>…*</w:t>
            </w:r>
          </w:p>
        </w:tc>
        <w:tc>
          <w:tcPr>
            <w:tcW w:w="1185" w:type="dxa"/>
            <w:noWrap/>
            <w:hideMark/>
          </w:tcPr>
          <w:p w14:paraId="5EADC65B" w14:textId="426618C5" w:rsidR="006B1262" w:rsidRPr="006E317E" w:rsidRDefault="006B1262" w:rsidP="006B1262">
            <w:pPr>
              <w:jc w:val="right"/>
            </w:pPr>
            <w:r w:rsidRPr="00AF6039">
              <w:t>…*</w:t>
            </w:r>
          </w:p>
        </w:tc>
        <w:tc>
          <w:tcPr>
            <w:tcW w:w="1185" w:type="dxa"/>
            <w:noWrap/>
            <w:hideMark/>
          </w:tcPr>
          <w:p w14:paraId="4B9F7683" w14:textId="701D7781" w:rsidR="006B1262" w:rsidRPr="006E317E" w:rsidRDefault="006B1262" w:rsidP="006B1262">
            <w:pPr>
              <w:jc w:val="right"/>
            </w:pPr>
            <w:r w:rsidRPr="00AF6039">
              <w:t>…*</w:t>
            </w:r>
          </w:p>
        </w:tc>
        <w:tc>
          <w:tcPr>
            <w:tcW w:w="1185" w:type="dxa"/>
            <w:noWrap/>
            <w:hideMark/>
          </w:tcPr>
          <w:p w14:paraId="3F92572E" w14:textId="71EF0DCD" w:rsidR="006B1262" w:rsidRPr="006E317E" w:rsidRDefault="006B1262" w:rsidP="006B1262">
            <w:pPr>
              <w:jc w:val="right"/>
            </w:pPr>
            <w:r w:rsidRPr="00AF6039">
              <w:t>…*</w:t>
            </w:r>
          </w:p>
        </w:tc>
      </w:tr>
      <w:tr w:rsidR="006B1262" w:rsidRPr="006E317E" w14:paraId="372F0B96" w14:textId="77777777" w:rsidTr="004C003F">
        <w:trPr>
          <w:trHeight w:val="263"/>
        </w:trPr>
        <w:tc>
          <w:tcPr>
            <w:tcW w:w="1185" w:type="dxa"/>
            <w:noWrap/>
            <w:hideMark/>
          </w:tcPr>
          <w:p w14:paraId="3E949186" w14:textId="77777777" w:rsidR="006B1262" w:rsidRPr="006E317E" w:rsidRDefault="006B1262" w:rsidP="006B1262">
            <w:pPr>
              <w:jc w:val="both"/>
            </w:pPr>
            <w:r w:rsidRPr="006E317E">
              <w:t>Telset</w:t>
            </w:r>
          </w:p>
        </w:tc>
        <w:tc>
          <w:tcPr>
            <w:tcW w:w="1185" w:type="dxa"/>
            <w:noWrap/>
            <w:hideMark/>
          </w:tcPr>
          <w:p w14:paraId="649F84BD" w14:textId="0C9915EB" w:rsidR="006B1262" w:rsidRPr="006E317E" w:rsidRDefault="006B1262" w:rsidP="006B1262">
            <w:pPr>
              <w:jc w:val="right"/>
            </w:pPr>
            <w:r w:rsidRPr="00AF6039">
              <w:t>…*</w:t>
            </w:r>
          </w:p>
        </w:tc>
        <w:tc>
          <w:tcPr>
            <w:tcW w:w="1185" w:type="dxa"/>
            <w:noWrap/>
            <w:hideMark/>
          </w:tcPr>
          <w:p w14:paraId="56B4364D" w14:textId="4E38B5B4" w:rsidR="006B1262" w:rsidRPr="006E317E" w:rsidRDefault="006B1262" w:rsidP="006B1262">
            <w:pPr>
              <w:jc w:val="right"/>
            </w:pPr>
            <w:r w:rsidRPr="00AF6039">
              <w:t>…*</w:t>
            </w:r>
          </w:p>
        </w:tc>
        <w:tc>
          <w:tcPr>
            <w:tcW w:w="1333" w:type="dxa"/>
            <w:noWrap/>
            <w:hideMark/>
          </w:tcPr>
          <w:p w14:paraId="5A941A89" w14:textId="2FF51768" w:rsidR="006B1262" w:rsidRPr="006E317E" w:rsidRDefault="006B1262" w:rsidP="006B1262">
            <w:pPr>
              <w:jc w:val="right"/>
            </w:pPr>
            <w:r w:rsidRPr="00AF6039">
              <w:t>…*</w:t>
            </w:r>
          </w:p>
        </w:tc>
        <w:tc>
          <w:tcPr>
            <w:tcW w:w="1185" w:type="dxa"/>
            <w:noWrap/>
            <w:hideMark/>
          </w:tcPr>
          <w:p w14:paraId="7ECAEF8E" w14:textId="29A975AE" w:rsidR="006B1262" w:rsidRPr="006E317E" w:rsidRDefault="006B1262" w:rsidP="006B1262">
            <w:pPr>
              <w:jc w:val="right"/>
            </w:pPr>
            <w:r w:rsidRPr="00AF6039">
              <w:t>…*</w:t>
            </w:r>
          </w:p>
        </w:tc>
        <w:tc>
          <w:tcPr>
            <w:tcW w:w="1185" w:type="dxa"/>
            <w:noWrap/>
            <w:hideMark/>
          </w:tcPr>
          <w:p w14:paraId="4A55091B" w14:textId="2C17527E" w:rsidR="006B1262" w:rsidRPr="006E317E" w:rsidRDefault="006B1262" w:rsidP="006B1262">
            <w:pPr>
              <w:jc w:val="right"/>
            </w:pPr>
            <w:r w:rsidRPr="00AF6039">
              <w:t>…*</w:t>
            </w:r>
          </w:p>
        </w:tc>
        <w:tc>
          <w:tcPr>
            <w:tcW w:w="1185" w:type="dxa"/>
            <w:noWrap/>
            <w:hideMark/>
          </w:tcPr>
          <w:p w14:paraId="3B4B27A7" w14:textId="50F70A1D" w:rsidR="006B1262" w:rsidRPr="006E317E" w:rsidRDefault="006B1262" w:rsidP="006B1262">
            <w:pPr>
              <w:jc w:val="right"/>
            </w:pPr>
            <w:r w:rsidRPr="00AF6039">
              <w:t>…*</w:t>
            </w:r>
          </w:p>
        </w:tc>
        <w:tc>
          <w:tcPr>
            <w:tcW w:w="1185" w:type="dxa"/>
            <w:noWrap/>
            <w:hideMark/>
          </w:tcPr>
          <w:p w14:paraId="4D3CF926" w14:textId="1AC575A1" w:rsidR="006B1262" w:rsidRPr="006E317E" w:rsidRDefault="006B1262" w:rsidP="006B1262">
            <w:pPr>
              <w:jc w:val="right"/>
            </w:pPr>
            <w:r w:rsidRPr="00AF6039">
              <w:t>…*</w:t>
            </w:r>
          </w:p>
        </w:tc>
      </w:tr>
      <w:tr w:rsidR="006B1262" w:rsidRPr="006E317E" w14:paraId="4C71C08A" w14:textId="77777777" w:rsidTr="004C003F">
        <w:trPr>
          <w:trHeight w:val="263"/>
        </w:trPr>
        <w:tc>
          <w:tcPr>
            <w:tcW w:w="1185" w:type="dxa"/>
            <w:noWrap/>
            <w:hideMark/>
          </w:tcPr>
          <w:p w14:paraId="22DC38BC" w14:textId="77777777" w:rsidR="006B1262" w:rsidRPr="006E317E" w:rsidRDefault="006B1262" w:rsidP="006B1262">
            <w:pPr>
              <w:jc w:val="both"/>
            </w:pPr>
            <w:r w:rsidRPr="006E317E">
              <w:t>Enefit</w:t>
            </w:r>
          </w:p>
        </w:tc>
        <w:tc>
          <w:tcPr>
            <w:tcW w:w="1185" w:type="dxa"/>
            <w:noWrap/>
            <w:hideMark/>
          </w:tcPr>
          <w:p w14:paraId="75794375" w14:textId="2A5788C6" w:rsidR="006B1262" w:rsidRPr="006E317E" w:rsidRDefault="006B1262" w:rsidP="006B1262">
            <w:pPr>
              <w:jc w:val="right"/>
            </w:pPr>
            <w:r w:rsidRPr="00AF6039">
              <w:t>…*</w:t>
            </w:r>
          </w:p>
        </w:tc>
        <w:tc>
          <w:tcPr>
            <w:tcW w:w="1185" w:type="dxa"/>
            <w:noWrap/>
            <w:hideMark/>
          </w:tcPr>
          <w:p w14:paraId="481DE46D" w14:textId="35066D1B" w:rsidR="006B1262" w:rsidRPr="006E317E" w:rsidRDefault="006B1262" w:rsidP="006B1262">
            <w:pPr>
              <w:jc w:val="right"/>
            </w:pPr>
            <w:r w:rsidRPr="00AF6039">
              <w:t>…*</w:t>
            </w:r>
          </w:p>
        </w:tc>
        <w:tc>
          <w:tcPr>
            <w:tcW w:w="1333" w:type="dxa"/>
            <w:noWrap/>
            <w:hideMark/>
          </w:tcPr>
          <w:p w14:paraId="3DD10C6E" w14:textId="6E4BF3B8" w:rsidR="006B1262" w:rsidRPr="006E317E" w:rsidRDefault="006B1262" w:rsidP="006B1262">
            <w:pPr>
              <w:jc w:val="right"/>
            </w:pPr>
            <w:r w:rsidRPr="00AF6039">
              <w:t>…*</w:t>
            </w:r>
          </w:p>
        </w:tc>
        <w:tc>
          <w:tcPr>
            <w:tcW w:w="1185" w:type="dxa"/>
            <w:noWrap/>
            <w:hideMark/>
          </w:tcPr>
          <w:p w14:paraId="17D6A1D8" w14:textId="57D5282D" w:rsidR="006B1262" w:rsidRPr="006E317E" w:rsidRDefault="006B1262" w:rsidP="006B1262">
            <w:pPr>
              <w:jc w:val="right"/>
            </w:pPr>
            <w:r w:rsidRPr="00AF6039">
              <w:t>…*</w:t>
            </w:r>
          </w:p>
        </w:tc>
        <w:tc>
          <w:tcPr>
            <w:tcW w:w="1185" w:type="dxa"/>
            <w:noWrap/>
            <w:hideMark/>
          </w:tcPr>
          <w:p w14:paraId="200B92B1" w14:textId="2B4D177D" w:rsidR="006B1262" w:rsidRPr="006E317E" w:rsidRDefault="006B1262" w:rsidP="006B1262">
            <w:pPr>
              <w:jc w:val="right"/>
            </w:pPr>
            <w:r w:rsidRPr="00AF6039">
              <w:t>…*</w:t>
            </w:r>
          </w:p>
        </w:tc>
        <w:tc>
          <w:tcPr>
            <w:tcW w:w="1185" w:type="dxa"/>
            <w:noWrap/>
            <w:hideMark/>
          </w:tcPr>
          <w:p w14:paraId="7707651E" w14:textId="6B80719E" w:rsidR="006B1262" w:rsidRPr="006E317E" w:rsidRDefault="006B1262" w:rsidP="006B1262">
            <w:pPr>
              <w:jc w:val="right"/>
            </w:pPr>
            <w:r w:rsidRPr="00AF6039">
              <w:t>…*</w:t>
            </w:r>
          </w:p>
        </w:tc>
        <w:tc>
          <w:tcPr>
            <w:tcW w:w="1185" w:type="dxa"/>
            <w:noWrap/>
            <w:hideMark/>
          </w:tcPr>
          <w:p w14:paraId="71BF2169" w14:textId="09E63006" w:rsidR="006B1262" w:rsidRPr="006E317E" w:rsidRDefault="006B1262" w:rsidP="006B1262">
            <w:pPr>
              <w:jc w:val="right"/>
            </w:pPr>
            <w:r w:rsidRPr="00AF6039">
              <w:t>…*</w:t>
            </w:r>
          </w:p>
        </w:tc>
      </w:tr>
      <w:tr w:rsidR="006B1262" w:rsidRPr="006E317E" w14:paraId="605B90C5" w14:textId="77777777" w:rsidTr="004C003F">
        <w:trPr>
          <w:trHeight w:val="263"/>
        </w:trPr>
        <w:tc>
          <w:tcPr>
            <w:tcW w:w="1185" w:type="dxa"/>
            <w:noWrap/>
            <w:hideMark/>
          </w:tcPr>
          <w:p w14:paraId="42F450AA" w14:textId="77777777" w:rsidR="006B1262" w:rsidRPr="006E317E" w:rsidRDefault="006B1262" w:rsidP="006B1262">
            <w:pPr>
              <w:jc w:val="both"/>
            </w:pPr>
            <w:r w:rsidRPr="006E317E">
              <w:t>Corle</w:t>
            </w:r>
          </w:p>
        </w:tc>
        <w:tc>
          <w:tcPr>
            <w:tcW w:w="1185" w:type="dxa"/>
            <w:noWrap/>
            <w:hideMark/>
          </w:tcPr>
          <w:p w14:paraId="31C75E21" w14:textId="1F73D0A1" w:rsidR="006B1262" w:rsidRPr="006E317E" w:rsidRDefault="006B1262" w:rsidP="006B1262">
            <w:pPr>
              <w:jc w:val="right"/>
            </w:pPr>
            <w:r w:rsidRPr="00AF6039">
              <w:t>…*</w:t>
            </w:r>
          </w:p>
        </w:tc>
        <w:tc>
          <w:tcPr>
            <w:tcW w:w="1185" w:type="dxa"/>
            <w:noWrap/>
            <w:hideMark/>
          </w:tcPr>
          <w:p w14:paraId="4872DFB2" w14:textId="25BFF87F" w:rsidR="006B1262" w:rsidRPr="006E317E" w:rsidRDefault="006B1262" w:rsidP="006B1262">
            <w:pPr>
              <w:jc w:val="right"/>
            </w:pPr>
            <w:r w:rsidRPr="00AF6039">
              <w:t>…*</w:t>
            </w:r>
          </w:p>
        </w:tc>
        <w:tc>
          <w:tcPr>
            <w:tcW w:w="1333" w:type="dxa"/>
            <w:noWrap/>
            <w:hideMark/>
          </w:tcPr>
          <w:p w14:paraId="79FC82FB" w14:textId="7303A597" w:rsidR="006B1262" w:rsidRPr="006E317E" w:rsidRDefault="006B1262" w:rsidP="006B1262">
            <w:pPr>
              <w:jc w:val="right"/>
            </w:pPr>
            <w:r w:rsidRPr="00AF6039">
              <w:t>…*</w:t>
            </w:r>
          </w:p>
        </w:tc>
        <w:tc>
          <w:tcPr>
            <w:tcW w:w="1185" w:type="dxa"/>
            <w:noWrap/>
            <w:hideMark/>
          </w:tcPr>
          <w:p w14:paraId="6739D6C9" w14:textId="06BDA214" w:rsidR="006B1262" w:rsidRPr="006E317E" w:rsidRDefault="006B1262" w:rsidP="006B1262">
            <w:pPr>
              <w:jc w:val="right"/>
            </w:pPr>
            <w:r w:rsidRPr="00AF6039">
              <w:t>…*</w:t>
            </w:r>
          </w:p>
        </w:tc>
        <w:tc>
          <w:tcPr>
            <w:tcW w:w="1185" w:type="dxa"/>
            <w:noWrap/>
            <w:hideMark/>
          </w:tcPr>
          <w:p w14:paraId="30F1C3BF" w14:textId="384697E3" w:rsidR="006B1262" w:rsidRPr="006E317E" w:rsidRDefault="006B1262" w:rsidP="006B1262">
            <w:pPr>
              <w:jc w:val="right"/>
            </w:pPr>
            <w:r w:rsidRPr="00AF6039">
              <w:t>…*</w:t>
            </w:r>
          </w:p>
        </w:tc>
        <w:tc>
          <w:tcPr>
            <w:tcW w:w="1185" w:type="dxa"/>
            <w:noWrap/>
            <w:hideMark/>
          </w:tcPr>
          <w:p w14:paraId="45EF515A" w14:textId="716DAEA8" w:rsidR="006B1262" w:rsidRPr="006E317E" w:rsidRDefault="006B1262" w:rsidP="006B1262">
            <w:pPr>
              <w:jc w:val="right"/>
            </w:pPr>
            <w:r w:rsidRPr="00AF6039">
              <w:t>…*</w:t>
            </w:r>
          </w:p>
        </w:tc>
        <w:tc>
          <w:tcPr>
            <w:tcW w:w="1185" w:type="dxa"/>
            <w:noWrap/>
            <w:hideMark/>
          </w:tcPr>
          <w:p w14:paraId="0910B0CE" w14:textId="78BF1D4E" w:rsidR="006B1262" w:rsidRPr="006E317E" w:rsidRDefault="006B1262" w:rsidP="006B1262">
            <w:pPr>
              <w:jc w:val="right"/>
            </w:pPr>
            <w:r w:rsidRPr="00AF6039">
              <w:t>…*</w:t>
            </w:r>
          </w:p>
        </w:tc>
      </w:tr>
      <w:tr w:rsidR="006B1262" w:rsidRPr="006E317E" w14:paraId="06B7E067" w14:textId="77777777" w:rsidTr="004C003F">
        <w:trPr>
          <w:trHeight w:val="263"/>
        </w:trPr>
        <w:tc>
          <w:tcPr>
            <w:tcW w:w="1185" w:type="dxa"/>
            <w:noWrap/>
            <w:hideMark/>
          </w:tcPr>
          <w:p w14:paraId="33CDCFC7" w14:textId="77777777" w:rsidR="006B1262" w:rsidRPr="006E317E" w:rsidRDefault="006B1262" w:rsidP="006B1262">
            <w:pPr>
              <w:jc w:val="both"/>
            </w:pPr>
            <w:r w:rsidRPr="006E317E">
              <w:t>ELA SA</w:t>
            </w:r>
          </w:p>
        </w:tc>
        <w:tc>
          <w:tcPr>
            <w:tcW w:w="1185" w:type="dxa"/>
            <w:noWrap/>
            <w:hideMark/>
          </w:tcPr>
          <w:p w14:paraId="79A8C295" w14:textId="532EB7B6" w:rsidR="006B1262" w:rsidRPr="006E317E" w:rsidRDefault="006B1262" w:rsidP="006B1262">
            <w:pPr>
              <w:jc w:val="right"/>
            </w:pPr>
            <w:r w:rsidRPr="00AF6039">
              <w:t>…*</w:t>
            </w:r>
          </w:p>
        </w:tc>
        <w:tc>
          <w:tcPr>
            <w:tcW w:w="1185" w:type="dxa"/>
            <w:noWrap/>
            <w:hideMark/>
          </w:tcPr>
          <w:p w14:paraId="5A3DBE4C" w14:textId="13A62409" w:rsidR="006B1262" w:rsidRPr="006E317E" w:rsidRDefault="006B1262" w:rsidP="006B1262">
            <w:pPr>
              <w:jc w:val="right"/>
            </w:pPr>
            <w:r w:rsidRPr="00AF6039">
              <w:t>…*</w:t>
            </w:r>
          </w:p>
        </w:tc>
        <w:tc>
          <w:tcPr>
            <w:tcW w:w="1333" w:type="dxa"/>
            <w:noWrap/>
            <w:hideMark/>
          </w:tcPr>
          <w:p w14:paraId="0DBA404E" w14:textId="58F62DD1" w:rsidR="006B1262" w:rsidRPr="006E317E" w:rsidRDefault="006B1262" w:rsidP="006B1262">
            <w:pPr>
              <w:jc w:val="right"/>
            </w:pPr>
            <w:r w:rsidRPr="00AF6039">
              <w:t>…*</w:t>
            </w:r>
          </w:p>
        </w:tc>
        <w:tc>
          <w:tcPr>
            <w:tcW w:w="1185" w:type="dxa"/>
            <w:noWrap/>
            <w:hideMark/>
          </w:tcPr>
          <w:p w14:paraId="3D41A9E2" w14:textId="6E84DE28" w:rsidR="006B1262" w:rsidRPr="006E317E" w:rsidRDefault="006B1262" w:rsidP="006B1262">
            <w:pPr>
              <w:jc w:val="right"/>
            </w:pPr>
            <w:r w:rsidRPr="00AF6039">
              <w:t>…*</w:t>
            </w:r>
          </w:p>
        </w:tc>
        <w:tc>
          <w:tcPr>
            <w:tcW w:w="1185" w:type="dxa"/>
            <w:noWrap/>
            <w:hideMark/>
          </w:tcPr>
          <w:p w14:paraId="1B1F09C3" w14:textId="66B86E78" w:rsidR="006B1262" w:rsidRPr="006E317E" w:rsidRDefault="006B1262" w:rsidP="006B1262">
            <w:pPr>
              <w:jc w:val="right"/>
            </w:pPr>
            <w:r w:rsidRPr="00AF6039">
              <w:t>…*</w:t>
            </w:r>
          </w:p>
        </w:tc>
        <w:tc>
          <w:tcPr>
            <w:tcW w:w="1185" w:type="dxa"/>
            <w:noWrap/>
            <w:hideMark/>
          </w:tcPr>
          <w:p w14:paraId="10C63C55" w14:textId="798F90A5" w:rsidR="006B1262" w:rsidRPr="006E317E" w:rsidRDefault="006B1262" w:rsidP="006B1262">
            <w:pPr>
              <w:jc w:val="right"/>
            </w:pPr>
            <w:r w:rsidRPr="00AF6039">
              <w:t>…*</w:t>
            </w:r>
          </w:p>
        </w:tc>
        <w:tc>
          <w:tcPr>
            <w:tcW w:w="1185" w:type="dxa"/>
            <w:noWrap/>
            <w:hideMark/>
          </w:tcPr>
          <w:p w14:paraId="20054F17" w14:textId="282BA3CF" w:rsidR="006B1262" w:rsidRPr="006E317E" w:rsidRDefault="006B1262" w:rsidP="006B1262">
            <w:pPr>
              <w:jc w:val="right"/>
            </w:pPr>
            <w:r w:rsidRPr="00AF6039">
              <w:t>…*</w:t>
            </w:r>
          </w:p>
        </w:tc>
      </w:tr>
      <w:tr w:rsidR="00EC24B2" w:rsidRPr="006E317E" w14:paraId="224058B3" w14:textId="77777777" w:rsidTr="00B9437A">
        <w:trPr>
          <w:trHeight w:val="272"/>
        </w:trPr>
        <w:tc>
          <w:tcPr>
            <w:tcW w:w="1185" w:type="dxa"/>
            <w:noWrap/>
            <w:hideMark/>
          </w:tcPr>
          <w:p w14:paraId="572887FD" w14:textId="77777777" w:rsidR="00EC24B2" w:rsidRPr="006E317E" w:rsidRDefault="00EC24B2" w:rsidP="00AA241E">
            <w:pPr>
              <w:jc w:val="both"/>
            </w:pPr>
            <w:r w:rsidRPr="006E317E">
              <w:t>Kokku</w:t>
            </w:r>
          </w:p>
        </w:tc>
        <w:tc>
          <w:tcPr>
            <w:tcW w:w="1185" w:type="dxa"/>
            <w:noWrap/>
            <w:vAlign w:val="center"/>
            <w:hideMark/>
          </w:tcPr>
          <w:p w14:paraId="48F5D412" w14:textId="77777777" w:rsidR="00EC24B2" w:rsidRPr="006E317E" w:rsidRDefault="00EC24B2" w:rsidP="007C788E">
            <w:pPr>
              <w:jc w:val="right"/>
            </w:pPr>
            <w:r w:rsidRPr="006E317E">
              <w:t>108</w:t>
            </w:r>
          </w:p>
        </w:tc>
        <w:tc>
          <w:tcPr>
            <w:tcW w:w="1185" w:type="dxa"/>
            <w:noWrap/>
            <w:vAlign w:val="center"/>
            <w:hideMark/>
          </w:tcPr>
          <w:p w14:paraId="19D5843E" w14:textId="77777777" w:rsidR="00EC24B2" w:rsidRPr="006E317E" w:rsidRDefault="00EC24B2" w:rsidP="007C788E">
            <w:pPr>
              <w:jc w:val="right"/>
            </w:pPr>
            <w:r w:rsidRPr="006E317E">
              <w:t>109</w:t>
            </w:r>
          </w:p>
        </w:tc>
        <w:tc>
          <w:tcPr>
            <w:tcW w:w="1333" w:type="dxa"/>
            <w:noWrap/>
            <w:vAlign w:val="center"/>
            <w:hideMark/>
          </w:tcPr>
          <w:p w14:paraId="2F3EFFDD" w14:textId="77777777" w:rsidR="00EC24B2" w:rsidRPr="006E317E" w:rsidRDefault="00EC24B2" w:rsidP="007C788E">
            <w:pPr>
              <w:jc w:val="right"/>
            </w:pPr>
            <w:r w:rsidRPr="006E317E">
              <w:t>122</w:t>
            </w:r>
          </w:p>
        </w:tc>
        <w:tc>
          <w:tcPr>
            <w:tcW w:w="1185" w:type="dxa"/>
            <w:noWrap/>
            <w:vAlign w:val="center"/>
            <w:hideMark/>
          </w:tcPr>
          <w:p w14:paraId="1EEA83C0" w14:textId="77777777" w:rsidR="00EC24B2" w:rsidRPr="006E317E" w:rsidRDefault="00EC24B2" w:rsidP="007C788E">
            <w:pPr>
              <w:jc w:val="right"/>
            </w:pPr>
            <w:r w:rsidRPr="006E317E">
              <w:t>2 515</w:t>
            </w:r>
          </w:p>
        </w:tc>
        <w:tc>
          <w:tcPr>
            <w:tcW w:w="1185" w:type="dxa"/>
            <w:noWrap/>
            <w:vAlign w:val="center"/>
            <w:hideMark/>
          </w:tcPr>
          <w:p w14:paraId="25CD14A6" w14:textId="77777777" w:rsidR="00EC24B2" w:rsidRPr="006E317E" w:rsidRDefault="00EC24B2" w:rsidP="007C788E">
            <w:pPr>
              <w:jc w:val="right"/>
            </w:pPr>
            <w:r w:rsidRPr="006E317E">
              <w:t>7 039</w:t>
            </w:r>
          </w:p>
        </w:tc>
        <w:tc>
          <w:tcPr>
            <w:tcW w:w="1185" w:type="dxa"/>
            <w:noWrap/>
            <w:vAlign w:val="center"/>
            <w:hideMark/>
          </w:tcPr>
          <w:p w14:paraId="479DEB1D" w14:textId="3E958080" w:rsidR="00EC24B2" w:rsidRPr="006E317E" w:rsidRDefault="00EC24B2" w:rsidP="007C788E">
            <w:pPr>
              <w:jc w:val="right"/>
            </w:pPr>
            <w:r w:rsidRPr="006E317E">
              <w:t>9 65</w:t>
            </w:r>
            <w:r w:rsidR="00A05CAC">
              <w:t>6</w:t>
            </w:r>
          </w:p>
        </w:tc>
        <w:tc>
          <w:tcPr>
            <w:tcW w:w="1185" w:type="dxa"/>
            <w:noWrap/>
            <w:vAlign w:val="center"/>
            <w:hideMark/>
          </w:tcPr>
          <w:p w14:paraId="105183F7" w14:textId="00F76AC8" w:rsidR="00A05CAC" w:rsidRPr="006E317E" w:rsidRDefault="00EC24B2" w:rsidP="007C788E">
            <w:pPr>
              <w:jc w:val="right"/>
            </w:pPr>
            <w:r w:rsidRPr="006E317E">
              <w:t>13</w:t>
            </w:r>
            <w:r w:rsidR="00A05CAC">
              <w:t> </w:t>
            </w:r>
            <w:r w:rsidRPr="006E317E">
              <w:t>95</w:t>
            </w:r>
            <w:r w:rsidR="00A05CAC">
              <w:t>7</w:t>
            </w:r>
          </w:p>
        </w:tc>
      </w:tr>
    </w:tbl>
    <w:p w14:paraId="199786D3" w14:textId="5DA89A30" w:rsidR="00EC24B2" w:rsidRPr="006E317E" w:rsidRDefault="00BB1D21" w:rsidP="00AA241E">
      <w:pPr>
        <w:pStyle w:val="Pealdis"/>
        <w:jc w:val="both"/>
      </w:pPr>
      <w:r>
        <w:t xml:space="preserve">Tabel </w:t>
      </w:r>
      <w:r>
        <w:fldChar w:fldCharType="begin"/>
      </w:r>
      <w:r>
        <w:instrText xml:space="preserve"> SEQ Tabel \* ARABIC </w:instrText>
      </w:r>
      <w:r>
        <w:fldChar w:fldCharType="separate"/>
      </w:r>
      <w:r w:rsidR="00247D84">
        <w:rPr>
          <w:noProof/>
        </w:rPr>
        <w:t>35</w:t>
      </w:r>
      <w:r>
        <w:fldChar w:fldCharType="end"/>
      </w:r>
      <w:r>
        <w:t xml:space="preserve"> </w:t>
      </w:r>
      <w:r w:rsidR="00EC24B2" w:rsidRPr="006E317E">
        <w:t>Valguskaabel juurdepääsu kiu rendi hulgiteenuse osutamise mahud B piirkonnas aasta</w:t>
      </w:r>
      <w:r w:rsidR="00B9437A">
        <w:t>tel</w:t>
      </w:r>
      <w:r w:rsidR="00EC24B2" w:rsidRPr="006E317E">
        <w:t xml:space="preserve"> 2017 -2023</w:t>
      </w:r>
    </w:p>
    <w:tbl>
      <w:tblPr>
        <w:tblStyle w:val="Kontuurtabel1"/>
        <w:tblW w:w="9686" w:type="dxa"/>
        <w:tblLook w:val="04A0" w:firstRow="1" w:lastRow="0" w:firstColumn="1" w:lastColumn="0" w:noHBand="0" w:noVBand="1"/>
      </w:tblPr>
      <w:tblGrid>
        <w:gridCol w:w="1194"/>
        <w:gridCol w:w="1194"/>
        <w:gridCol w:w="1303"/>
        <w:gridCol w:w="1234"/>
        <w:gridCol w:w="1235"/>
        <w:gridCol w:w="1234"/>
        <w:gridCol w:w="1057"/>
        <w:gridCol w:w="1235"/>
      </w:tblGrid>
      <w:tr w:rsidR="00EC24B2" w:rsidRPr="006E317E" w14:paraId="5B2F27DF" w14:textId="77777777" w:rsidTr="00B9437A">
        <w:trPr>
          <w:trHeight w:val="256"/>
        </w:trPr>
        <w:tc>
          <w:tcPr>
            <w:tcW w:w="1194" w:type="dxa"/>
            <w:shd w:val="clear" w:color="auto" w:fill="92D050"/>
            <w:noWrap/>
            <w:hideMark/>
          </w:tcPr>
          <w:p w14:paraId="651BFE2E" w14:textId="77777777" w:rsidR="00EC24B2" w:rsidRPr="00B9437A" w:rsidRDefault="00EC24B2" w:rsidP="00AA241E">
            <w:pPr>
              <w:jc w:val="both"/>
              <w:rPr>
                <w:b/>
                <w:bCs/>
              </w:rPr>
            </w:pPr>
            <w:r w:rsidRPr="00B9437A">
              <w:rPr>
                <w:b/>
                <w:bCs/>
              </w:rPr>
              <w:t> </w:t>
            </w:r>
          </w:p>
        </w:tc>
        <w:tc>
          <w:tcPr>
            <w:tcW w:w="1194" w:type="dxa"/>
            <w:shd w:val="clear" w:color="auto" w:fill="92D050"/>
            <w:noWrap/>
            <w:vAlign w:val="center"/>
            <w:hideMark/>
          </w:tcPr>
          <w:p w14:paraId="7DF30705" w14:textId="77777777" w:rsidR="00EC24B2" w:rsidRPr="00B9437A" w:rsidRDefault="00EC24B2" w:rsidP="007C788E">
            <w:pPr>
              <w:jc w:val="center"/>
              <w:rPr>
                <w:b/>
                <w:bCs/>
              </w:rPr>
            </w:pPr>
            <w:r w:rsidRPr="00B9437A">
              <w:rPr>
                <w:b/>
                <w:bCs/>
              </w:rPr>
              <w:t>2017</w:t>
            </w:r>
          </w:p>
        </w:tc>
        <w:tc>
          <w:tcPr>
            <w:tcW w:w="1303" w:type="dxa"/>
            <w:shd w:val="clear" w:color="auto" w:fill="92D050"/>
            <w:noWrap/>
            <w:vAlign w:val="center"/>
            <w:hideMark/>
          </w:tcPr>
          <w:p w14:paraId="6F6142A0" w14:textId="77777777" w:rsidR="00EC24B2" w:rsidRPr="00B9437A" w:rsidRDefault="00EC24B2" w:rsidP="007C788E">
            <w:pPr>
              <w:jc w:val="center"/>
              <w:rPr>
                <w:b/>
                <w:bCs/>
              </w:rPr>
            </w:pPr>
            <w:r w:rsidRPr="00B9437A">
              <w:rPr>
                <w:b/>
                <w:bCs/>
              </w:rPr>
              <w:t>2018</w:t>
            </w:r>
          </w:p>
        </w:tc>
        <w:tc>
          <w:tcPr>
            <w:tcW w:w="1234" w:type="dxa"/>
            <w:shd w:val="clear" w:color="auto" w:fill="92D050"/>
            <w:noWrap/>
            <w:vAlign w:val="center"/>
            <w:hideMark/>
          </w:tcPr>
          <w:p w14:paraId="0145DF0D" w14:textId="77777777" w:rsidR="00EC24B2" w:rsidRPr="00B9437A" w:rsidRDefault="00EC24B2" w:rsidP="007C788E">
            <w:pPr>
              <w:jc w:val="center"/>
              <w:rPr>
                <w:b/>
                <w:bCs/>
              </w:rPr>
            </w:pPr>
            <w:r w:rsidRPr="00B9437A">
              <w:rPr>
                <w:b/>
                <w:bCs/>
              </w:rPr>
              <w:t>2019</w:t>
            </w:r>
          </w:p>
        </w:tc>
        <w:tc>
          <w:tcPr>
            <w:tcW w:w="1235" w:type="dxa"/>
            <w:shd w:val="clear" w:color="auto" w:fill="92D050"/>
            <w:noWrap/>
            <w:vAlign w:val="center"/>
            <w:hideMark/>
          </w:tcPr>
          <w:p w14:paraId="708AB0FD" w14:textId="77777777" w:rsidR="00EC24B2" w:rsidRPr="00B9437A" w:rsidRDefault="00EC24B2" w:rsidP="007C788E">
            <w:pPr>
              <w:jc w:val="center"/>
              <w:rPr>
                <w:b/>
                <w:bCs/>
              </w:rPr>
            </w:pPr>
            <w:r w:rsidRPr="00B9437A">
              <w:rPr>
                <w:b/>
                <w:bCs/>
              </w:rPr>
              <w:t>2020</w:t>
            </w:r>
          </w:p>
        </w:tc>
        <w:tc>
          <w:tcPr>
            <w:tcW w:w="1234" w:type="dxa"/>
            <w:shd w:val="clear" w:color="auto" w:fill="92D050"/>
            <w:noWrap/>
            <w:vAlign w:val="center"/>
            <w:hideMark/>
          </w:tcPr>
          <w:p w14:paraId="13B4CDC1" w14:textId="77777777" w:rsidR="00EC24B2" w:rsidRPr="00B9437A" w:rsidRDefault="00EC24B2" w:rsidP="007C788E">
            <w:pPr>
              <w:jc w:val="center"/>
              <w:rPr>
                <w:b/>
                <w:bCs/>
              </w:rPr>
            </w:pPr>
            <w:r w:rsidRPr="00B9437A">
              <w:rPr>
                <w:b/>
                <w:bCs/>
              </w:rPr>
              <w:t>2021</w:t>
            </w:r>
          </w:p>
        </w:tc>
        <w:tc>
          <w:tcPr>
            <w:tcW w:w="1057" w:type="dxa"/>
            <w:shd w:val="clear" w:color="auto" w:fill="92D050"/>
            <w:noWrap/>
            <w:vAlign w:val="center"/>
            <w:hideMark/>
          </w:tcPr>
          <w:p w14:paraId="1A461D16" w14:textId="77777777" w:rsidR="00EC24B2" w:rsidRPr="00B9437A" w:rsidRDefault="00EC24B2" w:rsidP="007C788E">
            <w:pPr>
              <w:jc w:val="center"/>
              <w:rPr>
                <w:b/>
                <w:bCs/>
              </w:rPr>
            </w:pPr>
            <w:r w:rsidRPr="00B9437A">
              <w:rPr>
                <w:b/>
                <w:bCs/>
              </w:rPr>
              <w:t>2022</w:t>
            </w:r>
          </w:p>
        </w:tc>
        <w:tc>
          <w:tcPr>
            <w:tcW w:w="1235" w:type="dxa"/>
            <w:shd w:val="clear" w:color="auto" w:fill="92D050"/>
            <w:noWrap/>
            <w:vAlign w:val="center"/>
            <w:hideMark/>
          </w:tcPr>
          <w:p w14:paraId="0ED6A2C5" w14:textId="77777777" w:rsidR="00EC24B2" w:rsidRPr="00B9437A" w:rsidRDefault="00EC24B2" w:rsidP="007C788E">
            <w:pPr>
              <w:jc w:val="center"/>
              <w:rPr>
                <w:b/>
                <w:bCs/>
              </w:rPr>
            </w:pPr>
            <w:r w:rsidRPr="00B9437A">
              <w:rPr>
                <w:b/>
                <w:bCs/>
              </w:rPr>
              <w:t>2023</w:t>
            </w:r>
          </w:p>
        </w:tc>
      </w:tr>
      <w:tr w:rsidR="00C22B37" w:rsidRPr="006E317E" w14:paraId="24D23537" w14:textId="77777777" w:rsidTr="00A74F39">
        <w:trPr>
          <w:trHeight w:val="256"/>
        </w:trPr>
        <w:tc>
          <w:tcPr>
            <w:tcW w:w="1194" w:type="dxa"/>
            <w:noWrap/>
            <w:hideMark/>
          </w:tcPr>
          <w:p w14:paraId="3B197AB7" w14:textId="77777777" w:rsidR="00C22B37" w:rsidRPr="006E317E" w:rsidRDefault="00C22B37" w:rsidP="00C22B37">
            <w:pPr>
              <w:jc w:val="both"/>
            </w:pPr>
            <w:r w:rsidRPr="006E317E">
              <w:t>Telia</w:t>
            </w:r>
          </w:p>
        </w:tc>
        <w:tc>
          <w:tcPr>
            <w:tcW w:w="1194" w:type="dxa"/>
            <w:noWrap/>
            <w:hideMark/>
          </w:tcPr>
          <w:p w14:paraId="5B859D1D" w14:textId="3DCF6566" w:rsidR="00C22B37" w:rsidRPr="006E317E" w:rsidRDefault="00C22B37" w:rsidP="00C22B37">
            <w:pPr>
              <w:jc w:val="center"/>
            </w:pPr>
            <w:r w:rsidRPr="00915435">
              <w:t>…*%</w:t>
            </w:r>
          </w:p>
        </w:tc>
        <w:tc>
          <w:tcPr>
            <w:tcW w:w="1303" w:type="dxa"/>
            <w:noWrap/>
            <w:hideMark/>
          </w:tcPr>
          <w:p w14:paraId="2FE94B2F" w14:textId="1F45A79C" w:rsidR="00C22B37" w:rsidRPr="006E317E" w:rsidRDefault="00C22B37" w:rsidP="00C22B37">
            <w:pPr>
              <w:jc w:val="center"/>
            </w:pPr>
            <w:r w:rsidRPr="00915435">
              <w:t>…*%</w:t>
            </w:r>
          </w:p>
        </w:tc>
        <w:tc>
          <w:tcPr>
            <w:tcW w:w="1234" w:type="dxa"/>
            <w:noWrap/>
            <w:hideMark/>
          </w:tcPr>
          <w:p w14:paraId="23F62843" w14:textId="6920386F" w:rsidR="00C22B37" w:rsidRPr="006E317E" w:rsidRDefault="00C22B37" w:rsidP="00C22B37">
            <w:pPr>
              <w:jc w:val="center"/>
            </w:pPr>
            <w:r w:rsidRPr="00915435">
              <w:t>…*%</w:t>
            </w:r>
          </w:p>
        </w:tc>
        <w:tc>
          <w:tcPr>
            <w:tcW w:w="1235" w:type="dxa"/>
            <w:noWrap/>
            <w:hideMark/>
          </w:tcPr>
          <w:p w14:paraId="3573522E" w14:textId="751F2F86" w:rsidR="00C22B37" w:rsidRPr="006E317E" w:rsidRDefault="00C22B37" w:rsidP="00C22B37">
            <w:pPr>
              <w:jc w:val="center"/>
            </w:pPr>
            <w:r w:rsidRPr="00915435">
              <w:t>…*%</w:t>
            </w:r>
          </w:p>
        </w:tc>
        <w:tc>
          <w:tcPr>
            <w:tcW w:w="1234" w:type="dxa"/>
            <w:noWrap/>
            <w:hideMark/>
          </w:tcPr>
          <w:p w14:paraId="24247F43" w14:textId="6B14DDF3" w:rsidR="00C22B37" w:rsidRPr="006E317E" w:rsidRDefault="00C22B37" w:rsidP="00C22B37">
            <w:pPr>
              <w:jc w:val="center"/>
            </w:pPr>
            <w:r w:rsidRPr="00915435">
              <w:t>…*%</w:t>
            </w:r>
          </w:p>
        </w:tc>
        <w:tc>
          <w:tcPr>
            <w:tcW w:w="1057" w:type="dxa"/>
            <w:noWrap/>
            <w:hideMark/>
          </w:tcPr>
          <w:p w14:paraId="2732EAEF" w14:textId="2DE67831" w:rsidR="00C22B37" w:rsidRPr="006E317E" w:rsidRDefault="00C22B37" w:rsidP="00C22B37">
            <w:pPr>
              <w:jc w:val="center"/>
            </w:pPr>
            <w:r w:rsidRPr="00915435">
              <w:t>…*%</w:t>
            </w:r>
          </w:p>
        </w:tc>
        <w:tc>
          <w:tcPr>
            <w:tcW w:w="1235" w:type="dxa"/>
            <w:noWrap/>
            <w:hideMark/>
          </w:tcPr>
          <w:p w14:paraId="676B9223" w14:textId="24C13EA1" w:rsidR="00C22B37" w:rsidRPr="006E317E" w:rsidRDefault="00C22B37" w:rsidP="00C22B37">
            <w:pPr>
              <w:jc w:val="center"/>
            </w:pPr>
            <w:r w:rsidRPr="00915435">
              <w:t>…*%</w:t>
            </w:r>
          </w:p>
        </w:tc>
      </w:tr>
      <w:tr w:rsidR="006B1262" w:rsidRPr="006E317E" w14:paraId="52A16663" w14:textId="77777777" w:rsidTr="00873E5A">
        <w:trPr>
          <w:trHeight w:val="256"/>
        </w:trPr>
        <w:tc>
          <w:tcPr>
            <w:tcW w:w="1194" w:type="dxa"/>
            <w:noWrap/>
            <w:hideMark/>
          </w:tcPr>
          <w:p w14:paraId="2F50330F" w14:textId="77777777" w:rsidR="006B1262" w:rsidRPr="006E317E" w:rsidRDefault="006B1262" w:rsidP="006B1262">
            <w:pPr>
              <w:jc w:val="both"/>
            </w:pPr>
            <w:r w:rsidRPr="006E317E">
              <w:t>Elisa</w:t>
            </w:r>
          </w:p>
        </w:tc>
        <w:tc>
          <w:tcPr>
            <w:tcW w:w="1194" w:type="dxa"/>
            <w:noWrap/>
            <w:hideMark/>
          </w:tcPr>
          <w:p w14:paraId="32C38324" w14:textId="5CAC886D" w:rsidR="006B1262" w:rsidRPr="006E317E" w:rsidRDefault="006B1262" w:rsidP="006B1262">
            <w:pPr>
              <w:jc w:val="center"/>
            </w:pPr>
            <w:r w:rsidRPr="00442BFF">
              <w:t>…*%</w:t>
            </w:r>
          </w:p>
        </w:tc>
        <w:tc>
          <w:tcPr>
            <w:tcW w:w="1303" w:type="dxa"/>
            <w:noWrap/>
            <w:hideMark/>
          </w:tcPr>
          <w:p w14:paraId="118ADADE" w14:textId="3577211D" w:rsidR="006B1262" w:rsidRPr="006E317E" w:rsidRDefault="006B1262" w:rsidP="006B1262">
            <w:pPr>
              <w:jc w:val="center"/>
            </w:pPr>
            <w:r w:rsidRPr="00442BFF">
              <w:t>…*%</w:t>
            </w:r>
          </w:p>
        </w:tc>
        <w:tc>
          <w:tcPr>
            <w:tcW w:w="1234" w:type="dxa"/>
            <w:noWrap/>
            <w:hideMark/>
          </w:tcPr>
          <w:p w14:paraId="16FB2183" w14:textId="0B35B981" w:rsidR="006B1262" w:rsidRPr="006E317E" w:rsidRDefault="006B1262" w:rsidP="006B1262">
            <w:pPr>
              <w:jc w:val="center"/>
            </w:pPr>
            <w:r w:rsidRPr="00442BFF">
              <w:t>…*%</w:t>
            </w:r>
          </w:p>
        </w:tc>
        <w:tc>
          <w:tcPr>
            <w:tcW w:w="1235" w:type="dxa"/>
            <w:noWrap/>
            <w:hideMark/>
          </w:tcPr>
          <w:p w14:paraId="3B414E2C" w14:textId="2351E7A2" w:rsidR="006B1262" w:rsidRPr="006E317E" w:rsidRDefault="006B1262" w:rsidP="006B1262">
            <w:pPr>
              <w:jc w:val="center"/>
            </w:pPr>
            <w:r w:rsidRPr="00442BFF">
              <w:t>…*%</w:t>
            </w:r>
          </w:p>
        </w:tc>
        <w:tc>
          <w:tcPr>
            <w:tcW w:w="1234" w:type="dxa"/>
            <w:noWrap/>
            <w:hideMark/>
          </w:tcPr>
          <w:p w14:paraId="5360AE92" w14:textId="6DD31A65" w:rsidR="006B1262" w:rsidRPr="006E317E" w:rsidRDefault="006B1262" w:rsidP="006B1262">
            <w:pPr>
              <w:jc w:val="center"/>
            </w:pPr>
            <w:r w:rsidRPr="00442BFF">
              <w:t>…*%</w:t>
            </w:r>
          </w:p>
        </w:tc>
        <w:tc>
          <w:tcPr>
            <w:tcW w:w="1057" w:type="dxa"/>
            <w:noWrap/>
            <w:hideMark/>
          </w:tcPr>
          <w:p w14:paraId="3F1606E8" w14:textId="139E123D" w:rsidR="006B1262" w:rsidRPr="006E317E" w:rsidRDefault="006B1262" w:rsidP="006B1262">
            <w:pPr>
              <w:jc w:val="center"/>
            </w:pPr>
            <w:r w:rsidRPr="00442BFF">
              <w:t>…*%</w:t>
            </w:r>
          </w:p>
        </w:tc>
        <w:tc>
          <w:tcPr>
            <w:tcW w:w="1235" w:type="dxa"/>
            <w:noWrap/>
            <w:hideMark/>
          </w:tcPr>
          <w:p w14:paraId="4B13D363" w14:textId="6E22C932" w:rsidR="006B1262" w:rsidRPr="006E317E" w:rsidRDefault="006B1262" w:rsidP="006B1262">
            <w:pPr>
              <w:jc w:val="center"/>
            </w:pPr>
            <w:r w:rsidRPr="00442BFF">
              <w:t>…*%</w:t>
            </w:r>
          </w:p>
        </w:tc>
      </w:tr>
      <w:tr w:rsidR="006B1262" w:rsidRPr="006E317E" w14:paraId="1D3F3472" w14:textId="77777777" w:rsidTr="00873E5A">
        <w:trPr>
          <w:trHeight w:val="256"/>
        </w:trPr>
        <w:tc>
          <w:tcPr>
            <w:tcW w:w="1194" w:type="dxa"/>
            <w:noWrap/>
            <w:hideMark/>
          </w:tcPr>
          <w:p w14:paraId="14E1D39C" w14:textId="77777777" w:rsidR="006B1262" w:rsidRPr="006E317E" w:rsidRDefault="006B1262" w:rsidP="006B1262">
            <w:pPr>
              <w:jc w:val="both"/>
            </w:pPr>
            <w:r w:rsidRPr="006E317E">
              <w:t>Telset</w:t>
            </w:r>
          </w:p>
        </w:tc>
        <w:tc>
          <w:tcPr>
            <w:tcW w:w="1194" w:type="dxa"/>
            <w:noWrap/>
            <w:hideMark/>
          </w:tcPr>
          <w:p w14:paraId="367FD3E0" w14:textId="66CCA722" w:rsidR="006B1262" w:rsidRPr="006E317E" w:rsidRDefault="006B1262" w:rsidP="006B1262">
            <w:pPr>
              <w:jc w:val="center"/>
            </w:pPr>
            <w:r w:rsidRPr="00442BFF">
              <w:t>…*%</w:t>
            </w:r>
          </w:p>
        </w:tc>
        <w:tc>
          <w:tcPr>
            <w:tcW w:w="1303" w:type="dxa"/>
            <w:noWrap/>
            <w:hideMark/>
          </w:tcPr>
          <w:p w14:paraId="60F007CC" w14:textId="0695F6A0" w:rsidR="006B1262" w:rsidRPr="006E317E" w:rsidRDefault="006B1262" w:rsidP="006B1262">
            <w:pPr>
              <w:jc w:val="center"/>
            </w:pPr>
            <w:r w:rsidRPr="00442BFF">
              <w:t>…*%</w:t>
            </w:r>
          </w:p>
        </w:tc>
        <w:tc>
          <w:tcPr>
            <w:tcW w:w="1234" w:type="dxa"/>
            <w:noWrap/>
            <w:hideMark/>
          </w:tcPr>
          <w:p w14:paraId="73680BA0" w14:textId="36C0EC7B" w:rsidR="006B1262" w:rsidRPr="006E317E" w:rsidRDefault="006B1262" w:rsidP="006B1262">
            <w:pPr>
              <w:jc w:val="center"/>
            </w:pPr>
            <w:r w:rsidRPr="00442BFF">
              <w:t>…*%</w:t>
            </w:r>
          </w:p>
        </w:tc>
        <w:tc>
          <w:tcPr>
            <w:tcW w:w="1235" w:type="dxa"/>
            <w:noWrap/>
            <w:hideMark/>
          </w:tcPr>
          <w:p w14:paraId="7992F641" w14:textId="04BC284E" w:rsidR="006B1262" w:rsidRPr="006E317E" w:rsidRDefault="006B1262" w:rsidP="006B1262">
            <w:pPr>
              <w:jc w:val="center"/>
            </w:pPr>
            <w:r w:rsidRPr="00442BFF">
              <w:t>…*%</w:t>
            </w:r>
          </w:p>
        </w:tc>
        <w:tc>
          <w:tcPr>
            <w:tcW w:w="1234" w:type="dxa"/>
            <w:noWrap/>
            <w:hideMark/>
          </w:tcPr>
          <w:p w14:paraId="15FE02A5" w14:textId="19A7867F" w:rsidR="006B1262" w:rsidRPr="006E317E" w:rsidRDefault="006B1262" w:rsidP="006B1262">
            <w:pPr>
              <w:jc w:val="center"/>
            </w:pPr>
            <w:r w:rsidRPr="00442BFF">
              <w:t>…*%</w:t>
            </w:r>
          </w:p>
        </w:tc>
        <w:tc>
          <w:tcPr>
            <w:tcW w:w="1057" w:type="dxa"/>
            <w:noWrap/>
            <w:hideMark/>
          </w:tcPr>
          <w:p w14:paraId="4CB81E20" w14:textId="37D4C25B" w:rsidR="006B1262" w:rsidRPr="006E317E" w:rsidRDefault="006B1262" w:rsidP="006B1262">
            <w:pPr>
              <w:jc w:val="center"/>
            </w:pPr>
            <w:r w:rsidRPr="00442BFF">
              <w:t>…*%</w:t>
            </w:r>
          </w:p>
        </w:tc>
        <w:tc>
          <w:tcPr>
            <w:tcW w:w="1235" w:type="dxa"/>
            <w:noWrap/>
            <w:hideMark/>
          </w:tcPr>
          <w:p w14:paraId="4E689594" w14:textId="1A23A86A" w:rsidR="006B1262" w:rsidRPr="006E317E" w:rsidRDefault="006B1262" w:rsidP="006B1262">
            <w:pPr>
              <w:jc w:val="center"/>
            </w:pPr>
            <w:r w:rsidRPr="00442BFF">
              <w:t>…*%</w:t>
            </w:r>
          </w:p>
        </w:tc>
      </w:tr>
      <w:tr w:rsidR="006B1262" w:rsidRPr="006E317E" w14:paraId="3BEBAD3C" w14:textId="77777777" w:rsidTr="00873E5A">
        <w:trPr>
          <w:trHeight w:val="256"/>
        </w:trPr>
        <w:tc>
          <w:tcPr>
            <w:tcW w:w="1194" w:type="dxa"/>
            <w:noWrap/>
            <w:hideMark/>
          </w:tcPr>
          <w:p w14:paraId="1CCBBF8D" w14:textId="77777777" w:rsidR="006B1262" w:rsidRPr="006E317E" w:rsidRDefault="006B1262" w:rsidP="006B1262">
            <w:pPr>
              <w:jc w:val="both"/>
            </w:pPr>
            <w:r w:rsidRPr="006E317E">
              <w:t>Enefit</w:t>
            </w:r>
          </w:p>
        </w:tc>
        <w:tc>
          <w:tcPr>
            <w:tcW w:w="1194" w:type="dxa"/>
            <w:noWrap/>
            <w:hideMark/>
          </w:tcPr>
          <w:p w14:paraId="4F80384C" w14:textId="027C2719" w:rsidR="006B1262" w:rsidRPr="006E317E" w:rsidRDefault="006B1262" w:rsidP="006B1262">
            <w:pPr>
              <w:jc w:val="center"/>
            </w:pPr>
            <w:r w:rsidRPr="00442BFF">
              <w:t>…*%</w:t>
            </w:r>
          </w:p>
        </w:tc>
        <w:tc>
          <w:tcPr>
            <w:tcW w:w="1303" w:type="dxa"/>
            <w:noWrap/>
            <w:hideMark/>
          </w:tcPr>
          <w:p w14:paraId="04FC9EAB" w14:textId="56051EAB" w:rsidR="006B1262" w:rsidRPr="006E317E" w:rsidRDefault="006B1262" w:rsidP="006B1262">
            <w:pPr>
              <w:jc w:val="center"/>
            </w:pPr>
            <w:r w:rsidRPr="00442BFF">
              <w:t>…*%</w:t>
            </w:r>
          </w:p>
        </w:tc>
        <w:tc>
          <w:tcPr>
            <w:tcW w:w="1234" w:type="dxa"/>
            <w:noWrap/>
            <w:hideMark/>
          </w:tcPr>
          <w:p w14:paraId="6A5FBE8A" w14:textId="1B2B0B9C" w:rsidR="006B1262" w:rsidRPr="006E317E" w:rsidRDefault="006B1262" w:rsidP="006B1262">
            <w:pPr>
              <w:jc w:val="center"/>
            </w:pPr>
            <w:r w:rsidRPr="00442BFF">
              <w:t>…*%</w:t>
            </w:r>
          </w:p>
        </w:tc>
        <w:tc>
          <w:tcPr>
            <w:tcW w:w="1235" w:type="dxa"/>
            <w:noWrap/>
            <w:hideMark/>
          </w:tcPr>
          <w:p w14:paraId="761DABB7" w14:textId="0D30C2E4" w:rsidR="006B1262" w:rsidRPr="006E317E" w:rsidRDefault="006B1262" w:rsidP="006B1262">
            <w:pPr>
              <w:jc w:val="center"/>
            </w:pPr>
            <w:r w:rsidRPr="00442BFF">
              <w:t>…*%</w:t>
            </w:r>
          </w:p>
        </w:tc>
        <w:tc>
          <w:tcPr>
            <w:tcW w:w="1234" w:type="dxa"/>
            <w:noWrap/>
            <w:hideMark/>
          </w:tcPr>
          <w:p w14:paraId="6B5187C9" w14:textId="7A14047C" w:rsidR="006B1262" w:rsidRPr="006E317E" w:rsidRDefault="006B1262" w:rsidP="006B1262">
            <w:pPr>
              <w:jc w:val="center"/>
            </w:pPr>
            <w:r w:rsidRPr="00442BFF">
              <w:t>…*%</w:t>
            </w:r>
          </w:p>
        </w:tc>
        <w:tc>
          <w:tcPr>
            <w:tcW w:w="1057" w:type="dxa"/>
            <w:noWrap/>
            <w:hideMark/>
          </w:tcPr>
          <w:p w14:paraId="31D3110C" w14:textId="05CDD1A6" w:rsidR="006B1262" w:rsidRPr="006E317E" w:rsidRDefault="006B1262" w:rsidP="006B1262">
            <w:pPr>
              <w:jc w:val="center"/>
            </w:pPr>
            <w:r w:rsidRPr="00442BFF">
              <w:t>…*%</w:t>
            </w:r>
          </w:p>
        </w:tc>
        <w:tc>
          <w:tcPr>
            <w:tcW w:w="1235" w:type="dxa"/>
            <w:noWrap/>
            <w:hideMark/>
          </w:tcPr>
          <w:p w14:paraId="0941C9E9" w14:textId="64D6316A" w:rsidR="006B1262" w:rsidRPr="006E317E" w:rsidRDefault="006B1262" w:rsidP="006B1262">
            <w:pPr>
              <w:jc w:val="center"/>
            </w:pPr>
            <w:r w:rsidRPr="00442BFF">
              <w:t>…*%</w:t>
            </w:r>
          </w:p>
        </w:tc>
      </w:tr>
      <w:tr w:rsidR="006B1262" w:rsidRPr="006E317E" w14:paraId="028536FF" w14:textId="77777777" w:rsidTr="00873E5A">
        <w:trPr>
          <w:trHeight w:val="256"/>
        </w:trPr>
        <w:tc>
          <w:tcPr>
            <w:tcW w:w="1194" w:type="dxa"/>
            <w:noWrap/>
            <w:hideMark/>
          </w:tcPr>
          <w:p w14:paraId="5B61BC79" w14:textId="77777777" w:rsidR="006B1262" w:rsidRPr="006E317E" w:rsidRDefault="006B1262" w:rsidP="006B1262">
            <w:pPr>
              <w:jc w:val="both"/>
            </w:pPr>
            <w:r w:rsidRPr="006E317E">
              <w:t>Corle</w:t>
            </w:r>
          </w:p>
        </w:tc>
        <w:tc>
          <w:tcPr>
            <w:tcW w:w="1194" w:type="dxa"/>
            <w:noWrap/>
            <w:hideMark/>
          </w:tcPr>
          <w:p w14:paraId="4F885A74" w14:textId="13A12768" w:rsidR="006B1262" w:rsidRPr="006E317E" w:rsidRDefault="006B1262" w:rsidP="006B1262">
            <w:pPr>
              <w:jc w:val="center"/>
            </w:pPr>
            <w:r w:rsidRPr="00442BFF">
              <w:t>…*%</w:t>
            </w:r>
          </w:p>
        </w:tc>
        <w:tc>
          <w:tcPr>
            <w:tcW w:w="1303" w:type="dxa"/>
            <w:noWrap/>
            <w:hideMark/>
          </w:tcPr>
          <w:p w14:paraId="3D02EE94" w14:textId="61912EEF" w:rsidR="006B1262" w:rsidRPr="006E317E" w:rsidRDefault="006B1262" w:rsidP="006B1262">
            <w:pPr>
              <w:jc w:val="center"/>
            </w:pPr>
            <w:r w:rsidRPr="00442BFF">
              <w:t>…*%</w:t>
            </w:r>
          </w:p>
        </w:tc>
        <w:tc>
          <w:tcPr>
            <w:tcW w:w="1234" w:type="dxa"/>
            <w:noWrap/>
            <w:hideMark/>
          </w:tcPr>
          <w:p w14:paraId="348786D2" w14:textId="2754B956" w:rsidR="006B1262" w:rsidRPr="006E317E" w:rsidRDefault="006B1262" w:rsidP="006B1262">
            <w:pPr>
              <w:jc w:val="center"/>
            </w:pPr>
            <w:r w:rsidRPr="00442BFF">
              <w:t>…*%</w:t>
            </w:r>
          </w:p>
        </w:tc>
        <w:tc>
          <w:tcPr>
            <w:tcW w:w="1235" w:type="dxa"/>
            <w:noWrap/>
            <w:hideMark/>
          </w:tcPr>
          <w:p w14:paraId="4E4C0513" w14:textId="0833BE69" w:rsidR="006B1262" w:rsidRPr="006E317E" w:rsidRDefault="006B1262" w:rsidP="006B1262">
            <w:pPr>
              <w:jc w:val="center"/>
            </w:pPr>
            <w:r w:rsidRPr="00442BFF">
              <w:t>…*%</w:t>
            </w:r>
          </w:p>
        </w:tc>
        <w:tc>
          <w:tcPr>
            <w:tcW w:w="1234" w:type="dxa"/>
            <w:noWrap/>
            <w:hideMark/>
          </w:tcPr>
          <w:p w14:paraId="556B7B20" w14:textId="42950B35" w:rsidR="006B1262" w:rsidRPr="006E317E" w:rsidRDefault="006B1262" w:rsidP="006B1262">
            <w:pPr>
              <w:jc w:val="center"/>
            </w:pPr>
            <w:r w:rsidRPr="00442BFF">
              <w:t>…*%</w:t>
            </w:r>
          </w:p>
        </w:tc>
        <w:tc>
          <w:tcPr>
            <w:tcW w:w="1057" w:type="dxa"/>
            <w:noWrap/>
            <w:hideMark/>
          </w:tcPr>
          <w:p w14:paraId="175F5092" w14:textId="7DD6BB53" w:rsidR="006B1262" w:rsidRPr="006E317E" w:rsidRDefault="006B1262" w:rsidP="006B1262">
            <w:pPr>
              <w:jc w:val="center"/>
            </w:pPr>
            <w:r w:rsidRPr="00442BFF">
              <w:t>…*%</w:t>
            </w:r>
          </w:p>
        </w:tc>
        <w:tc>
          <w:tcPr>
            <w:tcW w:w="1235" w:type="dxa"/>
            <w:noWrap/>
            <w:hideMark/>
          </w:tcPr>
          <w:p w14:paraId="3EA2B1A1" w14:textId="17D43599" w:rsidR="006B1262" w:rsidRPr="006E317E" w:rsidRDefault="006B1262" w:rsidP="006B1262">
            <w:pPr>
              <w:jc w:val="center"/>
            </w:pPr>
            <w:r w:rsidRPr="00442BFF">
              <w:t>…*%</w:t>
            </w:r>
          </w:p>
        </w:tc>
      </w:tr>
      <w:tr w:rsidR="006B1262" w:rsidRPr="006E317E" w14:paraId="3C6B2C41" w14:textId="77777777" w:rsidTr="00873E5A">
        <w:trPr>
          <w:trHeight w:val="256"/>
        </w:trPr>
        <w:tc>
          <w:tcPr>
            <w:tcW w:w="1194" w:type="dxa"/>
            <w:noWrap/>
            <w:hideMark/>
          </w:tcPr>
          <w:p w14:paraId="4B9B8F61" w14:textId="77777777" w:rsidR="006B1262" w:rsidRPr="006E317E" w:rsidRDefault="006B1262" w:rsidP="006B1262">
            <w:pPr>
              <w:jc w:val="both"/>
            </w:pPr>
            <w:r w:rsidRPr="006E317E">
              <w:t>ELA SA</w:t>
            </w:r>
          </w:p>
        </w:tc>
        <w:tc>
          <w:tcPr>
            <w:tcW w:w="1194" w:type="dxa"/>
            <w:noWrap/>
            <w:hideMark/>
          </w:tcPr>
          <w:p w14:paraId="29D865AB" w14:textId="246BCF4E" w:rsidR="006B1262" w:rsidRPr="006E317E" w:rsidRDefault="006B1262" w:rsidP="006B1262">
            <w:pPr>
              <w:jc w:val="center"/>
            </w:pPr>
            <w:r w:rsidRPr="00442BFF">
              <w:t>…*%</w:t>
            </w:r>
          </w:p>
        </w:tc>
        <w:tc>
          <w:tcPr>
            <w:tcW w:w="1303" w:type="dxa"/>
            <w:noWrap/>
            <w:hideMark/>
          </w:tcPr>
          <w:p w14:paraId="6DC10B0A" w14:textId="535ED045" w:rsidR="006B1262" w:rsidRPr="006E317E" w:rsidRDefault="006B1262" w:rsidP="006B1262">
            <w:pPr>
              <w:jc w:val="center"/>
            </w:pPr>
            <w:r w:rsidRPr="00442BFF">
              <w:t>…*%</w:t>
            </w:r>
          </w:p>
        </w:tc>
        <w:tc>
          <w:tcPr>
            <w:tcW w:w="1234" w:type="dxa"/>
            <w:noWrap/>
            <w:hideMark/>
          </w:tcPr>
          <w:p w14:paraId="21D16822" w14:textId="35C95865" w:rsidR="006B1262" w:rsidRPr="006E317E" w:rsidRDefault="006B1262" w:rsidP="006B1262">
            <w:pPr>
              <w:jc w:val="center"/>
            </w:pPr>
            <w:r w:rsidRPr="00442BFF">
              <w:t>…*%</w:t>
            </w:r>
          </w:p>
        </w:tc>
        <w:tc>
          <w:tcPr>
            <w:tcW w:w="1235" w:type="dxa"/>
            <w:noWrap/>
            <w:hideMark/>
          </w:tcPr>
          <w:p w14:paraId="7994B099" w14:textId="10C83E3C" w:rsidR="006B1262" w:rsidRPr="006E317E" w:rsidRDefault="006B1262" w:rsidP="006B1262">
            <w:pPr>
              <w:jc w:val="center"/>
            </w:pPr>
            <w:r w:rsidRPr="00442BFF">
              <w:t>…*%</w:t>
            </w:r>
          </w:p>
        </w:tc>
        <w:tc>
          <w:tcPr>
            <w:tcW w:w="1234" w:type="dxa"/>
            <w:noWrap/>
            <w:hideMark/>
          </w:tcPr>
          <w:p w14:paraId="5847CC06" w14:textId="0B5DDDFC" w:rsidR="006B1262" w:rsidRPr="006E317E" w:rsidRDefault="006B1262" w:rsidP="006B1262">
            <w:pPr>
              <w:jc w:val="center"/>
            </w:pPr>
            <w:r w:rsidRPr="00442BFF">
              <w:t>…*%</w:t>
            </w:r>
          </w:p>
        </w:tc>
        <w:tc>
          <w:tcPr>
            <w:tcW w:w="1057" w:type="dxa"/>
            <w:noWrap/>
            <w:hideMark/>
          </w:tcPr>
          <w:p w14:paraId="556AF87E" w14:textId="11E8571B" w:rsidR="006B1262" w:rsidRPr="006E317E" w:rsidRDefault="006B1262" w:rsidP="006B1262">
            <w:pPr>
              <w:jc w:val="center"/>
            </w:pPr>
            <w:r w:rsidRPr="00442BFF">
              <w:t>…*%</w:t>
            </w:r>
          </w:p>
        </w:tc>
        <w:tc>
          <w:tcPr>
            <w:tcW w:w="1235" w:type="dxa"/>
            <w:noWrap/>
            <w:hideMark/>
          </w:tcPr>
          <w:p w14:paraId="03CBCC59" w14:textId="2FC7270A" w:rsidR="006B1262" w:rsidRPr="006E317E" w:rsidRDefault="006B1262" w:rsidP="006B1262">
            <w:pPr>
              <w:jc w:val="center"/>
            </w:pPr>
            <w:r w:rsidRPr="00442BFF">
              <w:t>…*%</w:t>
            </w:r>
          </w:p>
        </w:tc>
      </w:tr>
      <w:tr w:rsidR="00EC24B2" w:rsidRPr="006E317E" w14:paraId="65F323CA" w14:textId="77777777" w:rsidTr="00B9437A">
        <w:trPr>
          <w:trHeight w:val="265"/>
        </w:trPr>
        <w:tc>
          <w:tcPr>
            <w:tcW w:w="1194" w:type="dxa"/>
            <w:noWrap/>
            <w:hideMark/>
          </w:tcPr>
          <w:p w14:paraId="768D7CBF" w14:textId="77777777" w:rsidR="00EC24B2" w:rsidRPr="006E317E" w:rsidRDefault="00EC24B2" w:rsidP="00AA241E">
            <w:pPr>
              <w:jc w:val="both"/>
            </w:pPr>
            <w:r w:rsidRPr="006E317E">
              <w:t>Kokku</w:t>
            </w:r>
          </w:p>
        </w:tc>
        <w:tc>
          <w:tcPr>
            <w:tcW w:w="1194" w:type="dxa"/>
            <w:noWrap/>
            <w:vAlign w:val="center"/>
            <w:hideMark/>
          </w:tcPr>
          <w:p w14:paraId="2CF7A200" w14:textId="77777777" w:rsidR="00EC24B2" w:rsidRPr="006E317E" w:rsidRDefault="00EC24B2" w:rsidP="007C788E">
            <w:pPr>
              <w:jc w:val="center"/>
            </w:pPr>
            <w:r w:rsidRPr="006E317E">
              <w:t>100%</w:t>
            </w:r>
          </w:p>
        </w:tc>
        <w:tc>
          <w:tcPr>
            <w:tcW w:w="1303" w:type="dxa"/>
            <w:noWrap/>
            <w:vAlign w:val="center"/>
            <w:hideMark/>
          </w:tcPr>
          <w:p w14:paraId="330EA228" w14:textId="77777777" w:rsidR="00EC24B2" w:rsidRPr="006E317E" w:rsidRDefault="00EC24B2" w:rsidP="007C788E">
            <w:pPr>
              <w:jc w:val="center"/>
            </w:pPr>
            <w:r w:rsidRPr="006E317E">
              <w:t>100%</w:t>
            </w:r>
          </w:p>
        </w:tc>
        <w:tc>
          <w:tcPr>
            <w:tcW w:w="1234" w:type="dxa"/>
            <w:noWrap/>
            <w:vAlign w:val="center"/>
            <w:hideMark/>
          </w:tcPr>
          <w:p w14:paraId="536FAF4C" w14:textId="77777777" w:rsidR="00EC24B2" w:rsidRPr="006E317E" w:rsidRDefault="00EC24B2" w:rsidP="007C788E">
            <w:pPr>
              <w:jc w:val="center"/>
            </w:pPr>
            <w:r w:rsidRPr="006E317E">
              <w:t>100%</w:t>
            </w:r>
          </w:p>
        </w:tc>
        <w:tc>
          <w:tcPr>
            <w:tcW w:w="1235" w:type="dxa"/>
            <w:noWrap/>
            <w:vAlign w:val="center"/>
            <w:hideMark/>
          </w:tcPr>
          <w:p w14:paraId="7EA4DD7B" w14:textId="77777777" w:rsidR="00EC24B2" w:rsidRPr="006E317E" w:rsidRDefault="00EC24B2" w:rsidP="007C788E">
            <w:pPr>
              <w:jc w:val="center"/>
            </w:pPr>
            <w:r w:rsidRPr="006E317E">
              <w:t>100%</w:t>
            </w:r>
          </w:p>
        </w:tc>
        <w:tc>
          <w:tcPr>
            <w:tcW w:w="1234" w:type="dxa"/>
            <w:noWrap/>
            <w:vAlign w:val="center"/>
            <w:hideMark/>
          </w:tcPr>
          <w:p w14:paraId="15D1C6F3" w14:textId="77777777" w:rsidR="00EC24B2" w:rsidRPr="006E317E" w:rsidRDefault="00EC24B2" w:rsidP="007C788E">
            <w:pPr>
              <w:jc w:val="center"/>
            </w:pPr>
            <w:r w:rsidRPr="006E317E">
              <w:t>100%</w:t>
            </w:r>
          </w:p>
        </w:tc>
        <w:tc>
          <w:tcPr>
            <w:tcW w:w="1057" w:type="dxa"/>
            <w:noWrap/>
            <w:vAlign w:val="center"/>
            <w:hideMark/>
          </w:tcPr>
          <w:p w14:paraId="2BCA1725" w14:textId="77777777" w:rsidR="00EC24B2" w:rsidRPr="006E317E" w:rsidRDefault="00EC24B2" w:rsidP="007C788E">
            <w:pPr>
              <w:jc w:val="center"/>
            </w:pPr>
            <w:r w:rsidRPr="006E317E">
              <w:t>100%</w:t>
            </w:r>
          </w:p>
        </w:tc>
        <w:tc>
          <w:tcPr>
            <w:tcW w:w="1235" w:type="dxa"/>
            <w:noWrap/>
            <w:vAlign w:val="center"/>
            <w:hideMark/>
          </w:tcPr>
          <w:p w14:paraId="02E6A922" w14:textId="77777777" w:rsidR="00EC24B2" w:rsidRPr="006E317E" w:rsidRDefault="00EC24B2" w:rsidP="007C788E">
            <w:pPr>
              <w:jc w:val="center"/>
            </w:pPr>
            <w:r w:rsidRPr="006E317E">
              <w:t>100%</w:t>
            </w:r>
          </w:p>
        </w:tc>
      </w:tr>
    </w:tbl>
    <w:p w14:paraId="3BB0DD31" w14:textId="1E615372" w:rsidR="00EC24B2" w:rsidRPr="006E317E" w:rsidRDefault="00B9437A" w:rsidP="00AA241E">
      <w:pPr>
        <w:pStyle w:val="Pealdis"/>
        <w:jc w:val="both"/>
      </w:pPr>
      <w:r>
        <w:t xml:space="preserve">Tabel </w:t>
      </w:r>
      <w:r>
        <w:fldChar w:fldCharType="begin"/>
      </w:r>
      <w:r>
        <w:instrText xml:space="preserve"> SEQ Tabel \* ARABIC </w:instrText>
      </w:r>
      <w:r>
        <w:fldChar w:fldCharType="separate"/>
      </w:r>
      <w:r w:rsidR="00247D84">
        <w:rPr>
          <w:noProof/>
        </w:rPr>
        <w:t>36</w:t>
      </w:r>
      <w:r>
        <w:fldChar w:fldCharType="end"/>
      </w:r>
      <w:r>
        <w:t xml:space="preserve"> </w:t>
      </w:r>
      <w:r w:rsidR="00EC24B2" w:rsidRPr="006E317E">
        <w:t>Valguskaabel juurdepääsu kiu rendi hulgiteenuse osutamise turuosad B piirkonnas aasta</w:t>
      </w:r>
      <w:r>
        <w:t>tel</w:t>
      </w:r>
      <w:r w:rsidR="00EC24B2" w:rsidRPr="006E317E">
        <w:t xml:space="preserve"> 2017 -2023 </w:t>
      </w:r>
    </w:p>
    <w:p w14:paraId="0B22855C" w14:textId="2BF155EF" w:rsidR="00EC24B2" w:rsidRPr="006E317E" w:rsidRDefault="00EC24B2" w:rsidP="00AA241E">
      <w:pPr>
        <w:jc w:val="both"/>
      </w:pPr>
      <w:r w:rsidRPr="006E317E">
        <w:t>Nõudlus turu 1 teenuste järele on suur kuna alternatiivsed jaeteenuse osutajad ise valguskaabel võrke B piirkonna maa piirkondadesse ei raja, kuna see ei ole äriliste tasuv. Hoolimata asjaolust, et Telia on valguskaabli alamturul B piirkonnas määratlenud märkimisväärse turujõu ettevõtja eelneva analüüsi otsustega ja temale, kui MTE-</w:t>
      </w:r>
      <w:proofErr w:type="spellStart"/>
      <w:r w:rsidRPr="006E317E">
        <w:t>le</w:t>
      </w:r>
      <w:proofErr w:type="spellEnd"/>
      <w:r w:rsidRPr="006E317E">
        <w:t xml:space="preserve"> on kehtestanud kohustused, on ta pakkunud eraldatud juurdepääsu väga väikeses ulatuses ja VULA teenust teistele valguskaabli juurdepääsuvõrgu kauplejatele ei ole osutanud, kuna sellist nõudlust ei ole olnud. B piirkonnas valguskaabli juurdepääsuvõrgu vahendusel pakub Telia </w:t>
      </w:r>
      <w:r w:rsidRPr="002E251B">
        <w:t>hulgimüügi teenuseid neljale teisele</w:t>
      </w:r>
      <w:r w:rsidRPr="006E317E">
        <w:t xml:space="preserve"> teenuseosutajale turu 3b raames lairiba juurdepääsuteenust </w:t>
      </w:r>
      <w:r w:rsidR="00C22B37" w:rsidRPr="006379B0">
        <w:t>…*</w:t>
      </w:r>
      <w:r w:rsidRPr="006E317E">
        <w:t xml:space="preserve"> aktiivse </w:t>
      </w:r>
      <w:r w:rsidR="0007135D">
        <w:t>kliendiliin</w:t>
      </w:r>
      <w:r w:rsidRPr="006E317E">
        <w:t>i/ühenduse vahendusel.</w:t>
      </w:r>
    </w:p>
    <w:p w14:paraId="4662C4C2" w14:textId="4AE988A3" w:rsidR="00EC24B2" w:rsidRPr="006E317E" w:rsidRDefault="00EC24B2" w:rsidP="00AA241E">
      <w:pPr>
        <w:jc w:val="both"/>
      </w:pPr>
      <w:r w:rsidRPr="006E317E">
        <w:t xml:space="preserve">TTJA esitatud teabe kohaselt osutavad kaks jaeteenuse osutajat Elisa ja Telset, kes hulgimüügitasandil pakub eraldatud juurdepääsu kliendiliinile valguskaabli juurdepääsuvõrgus B piirkonnas, kuid seda väga väikeses ulatuses vastavalt </w:t>
      </w:r>
      <w:r w:rsidR="006B1262" w:rsidRPr="009400D4">
        <w:t>…*</w:t>
      </w:r>
      <w:r w:rsidRPr="006E317E">
        <w:t xml:space="preserve"> </w:t>
      </w:r>
      <w:r w:rsidR="0007135D">
        <w:t>Kliendiliin</w:t>
      </w:r>
      <w:r w:rsidRPr="006E317E">
        <w:t xml:space="preserve">i/kiudu ja </w:t>
      </w:r>
      <w:r w:rsidR="006B1262" w:rsidRPr="009400D4">
        <w:t>…*</w:t>
      </w:r>
      <w:r w:rsidRPr="006E317E">
        <w:t xml:space="preserve"> </w:t>
      </w:r>
      <w:r w:rsidR="0007135D">
        <w:t>kliendiliin</w:t>
      </w:r>
      <w:r w:rsidRPr="006E317E">
        <w:t xml:space="preserve">i/kiudu. Hulgimüügitasandil eraldatud juurdepääsu kliendiliinile valguskaabli juurdepääsuvõrgus B piirkonnas on suurimateks teenuseosutajateks Enefit, Corle ja ELA SA, nemad on ainult hulgiteenuse osutajad ja suurema osa nende valguskaabel võrke on loodud riigiabi projektide raames, mis muudab need võrgud jae tasandil teenuse osutaja neutraalseks. </w:t>
      </w:r>
      <w:r w:rsidR="007F082C" w:rsidRPr="006E317E">
        <w:t>Enefit</w:t>
      </w:r>
      <w:r w:rsidRPr="006E317E">
        <w:t xml:space="preserve"> teenuse maht on muutunud valdavaks moodustades B piirkonnas osutatavatest eraldatud juurdepääsu teenuste kogumahust </w:t>
      </w:r>
      <w:r w:rsidR="006B1262" w:rsidRPr="009400D4">
        <w:t>…*</w:t>
      </w:r>
      <w:r w:rsidRPr="006E317E">
        <w:t xml:space="preserve">% ja mahuks 2023 aasta lõpu seisuga oli </w:t>
      </w:r>
      <w:r w:rsidR="006B1262" w:rsidRPr="009400D4">
        <w:t>…*</w:t>
      </w:r>
      <w:r w:rsidR="006B1262">
        <w:t xml:space="preserve"> </w:t>
      </w:r>
      <w:r w:rsidR="0007135D">
        <w:t>kliendiliin</w:t>
      </w:r>
      <w:r w:rsidRPr="006E317E">
        <w:t xml:space="preserve">i/kiudu. Ka Corle ja ELA SA poolt osutatud eraldatud juurdepääsu teenuste mahud ületavad jaeteenuse osutajate poolt hulgiteenusena osutatud mahtusid, mahud olid 2023 lõpu seisuga vastavalt </w:t>
      </w:r>
      <w:r w:rsidR="006B1262" w:rsidRPr="009400D4">
        <w:t>…*</w:t>
      </w:r>
      <w:r w:rsidRPr="006E317E">
        <w:t xml:space="preserve"> ja </w:t>
      </w:r>
      <w:r w:rsidR="006B1262" w:rsidRPr="009400D4">
        <w:t>…*</w:t>
      </w:r>
      <w:r w:rsidRPr="006E317E">
        <w:t xml:space="preserve"> </w:t>
      </w:r>
      <w:r w:rsidR="0007135D">
        <w:t>kliendiliin</w:t>
      </w:r>
      <w:r w:rsidRPr="006E317E">
        <w:t xml:space="preserve">i/kiudu. Riigiabiga loodud võrgud ei avalda Teliale survet jaeteenuse turul kuna need on ehitatud maa piirkondadesse kus eelnevat puudusid juurdepääsu </w:t>
      </w:r>
      <w:r w:rsidRPr="006E317E">
        <w:lastRenderedPageBreak/>
        <w:t xml:space="preserve">võrgud või need olid madala kvaliteediga. Telia on suurim </w:t>
      </w:r>
      <w:r w:rsidR="007F082C" w:rsidRPr="006E317E">
        <w:t>Enefit</w:t>
      </w:r>
      <w:r w:rsidRPr="006E317E">
        <w:t xml:space="preserve">, Corle ja ELA SA poolt osutatava eraldatud kliendiliinide  tarbija e rendib neid suurimas mahus. </w:t>
      </w:r>
    </w:p>
    <w:p w14:paraId="24F02FB3" w14:textId="3658DC1B" w:rsidR="007C04B5" w:rsidRDefault="00EC24B2" w:rsidP="00AA241E">
      <w:pPr>
        <w:jc w:val="both"/>
      </w:pPr>
      <w:r w:rsidRPr="006E317E">
        <w:t xml:space="preserve"> See tähendab, et Telia hulgikaubanduses ei ole valguskaabli juurdepääsuvõrgus praktiliselt mingeid otseseid konkurentsipiiranguid B piirkonnas. Seega on </w:t>
      </w:r>
      <w:r w:rsidR="00014198" w:rsidRPr="006E317E">
        <w:t>Enefit</w:t>
      </w:r>
      <w:r w:rsidRPr="006E317E">
        <w:t xml:space="preserve"> turuosa turul 1 valguskaabli alamturu hulgimüük B piirkonnas on </w:t>
      </w:r>
      <w:r w:rsidR="006B1262" w:rsidRPr="009400D4">
        <w:t>…*</w:t>
      </w:r>
      <w:r w:rsidRPr="006E317E">
        <w:t xml:space="preserve">%. Võttes arvesse, et B piirkonnas on   valguskaabli juurdepääsuvõrgu leviala piiratud, ei kajasta </w:t>
      </w:r>
      <w:r w:rsidR="00BC6962" w:rsidRPr="006E317E">
        <w:t>Enefit</w:t>
      </w:r>
      <w:r w:rsidRPr="006E317E">
        <w:t xml:space="preserve"> turuosa tegelikku olukorda ja tegelikku turuvõimu turul 1 valguskaabli alamturul B piirkonnas. Enefit on võrgu ulatus on B piirkonnas viimasel aastal kasvanud ca </w:t>
      </w:r>
      <w:r w:rsidR="006B1262" w:rsidRPr="009400D4">
        <w:t>…*</w:t>
      </w:r>
      <w:r w:rsidRPr="006E317E">
        <w:t xml:space="preserve"> tuhande </w:t>
      </w:r>
      <w:r w:rsidR="0007135D">
        <w:t>kliendiliin</w:t>
      </w:r>
      <w:r w:rsidRPr="006E317E">
        <w:t xml:space="preserve">ini, kuid see moodustab ainult </w:t>
      </w:r>
      <w:r w:rsidR="006B1262" w:rsidRPr="009400D4">
        <w:t>…*</w:t>
      </w:r>
      <w:r w:rsidRPr="006E317E">
        <w:t xml:space="preserve">% B piirkonna aadressiobjektidest/(elu või äri ruumidest) ja välja renditud </w:t>
      </w:r>
      <w:r w:rsidR="006B1262" w:rsidRPr="009400D4">
        <w:t>…*</w:t>
      </w:r>
      <w:r w:rsidRPr="006E317E">
        <w:t xml:space="preserve"> tuhat aktiivne </w:t>
      </w:r>
      <w:r w:rsidR="0007135D">
        <w:t>kliendiliin</w:t>
      </w:r>
      <w:r w:rsidRPr="006E317E">
        <w:t xml:space="preserve"> moodustavad </w:t>
      </w:r>
      <w:r w:rsidR="006B1262" w:rsidRPr="009400D4">
        <w:t>…*</w:t>
      </w:r>
      <w:r w:rsidRPr="006E317E">
        <w:t xml:space="preserve">% kõigist aktiivsetest valguskaabe </w:t>
      </w:r>
      <w:r w:rsidR="0007135D">
        <w:t>kliendiliin</w:t>
      </w:r>
      <w:r w:rsidRPr="006E317E">
        <w:t>idest B piirkonnas. Nagu eespool mainitud, on turuosade õige arvutamise saamiseks vaja lisada sisemiselt osutatud teenused.</w:t>
      </w:r>
    </w:p>
    <w:tbl>
      <w:tblPr>
        <w:tblW w:w="9312" w:type="dxa"/>
        <w:tblCellMar>
          <w:left w:w="70" w:type="dxa"/>
          <w:right w:w="70" w:type="dxa"/>
        </w:tblCellMar>
        <w:tblLook w:val="04A0" w:firstRow="1" w:lastRow="0" w:firstColumn="1" w:lastColumn="0" w:noHBand="0" w:noVBand="1"/>
      </w:tblPr>
      <w:tblGrid>
        <w:gridCol w:w="1063"/>
        <w:gridCol w:w="1303"/>
        <w:gridCol w:w="1134"/>
        <w:gridCol w:w="1134"/>
        <w:gridCol w:w="1276"/>
        <w:gridCol w:w="1134"/>
        <w:gridCol w:w="1134"/>
        <w:gridCol w:w="1134"/>
      </w:tblGrid>
      <w:tr w:rsidR="007C04B5" w:rsidRPr="00B14FE2" w14:paraId="37CFE932" w14:textId="77777777" w:rsidTr="006B1262">
        <w:trPr>
          <w:trHeight w:val="290"/>
        </w:trPr>
        <w:tc>
          <w:tcPr>
            <w:tcW w:w="1063"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2D62BA9F" w14:textId="6633C575" w:rsidR="007C04B5" w:rsidRPr="00781BC4" w:rsidRDefault="007C04B5" w:rsidP="00AA241E">
            <w:pPr>
              <w:spacing w:after="0" w:line="240" w:lineRule="auto"/>
              <w:jc w:val="both"/>
              <w:rPr>
                <w:rFonts w:eastAsia="Times New Roman" w:cs="Times New Roman"/>
                <w:b/>
                <w:bCs/>
                <w:color w:val="000000"/>
                <w:sz w:val="22"/>
                <w:szCs w:val="22"/>
                <w:lang w:eastAsia="et-EE"/>
              </w:rPr>
            </w:pPr>
            <w:r w:rsidRPr="00781BC4">
              <w:rPr>
                <w:rFonts w:eastAsia="Times New Roman" w:cs="Times New Roman"/>
                <w:b/>
                <w:bCs/>
                <w:color w:val="000000"/>
                <w:sz w:val="22"/>
                <w:szCs w:val="22"/>
                <w:lang w:eastAsia="et-EE"/>
              </w:rPr>
              <w:t> </w:t>
            </w:r>
            <w:r w:rsidR="00781BC4">
              <w:rPr>
                <w:rFonts w:eastAsia="Times New Roman" w:cs="Times New Roman"/>
                <w:b/>
                <w:bCs/>
                <w:color w:val="000000"/>
                <w:sz w:val="22"/>
                <w:szCs w:val="22"/>
                <w:lang w:eastAsia="et-EE"/>
              </w:rPr>
              <w:t>Ettevõtja</w:t>
            </w:r>
          </w:p>
        </w:tc>
        <w:tc>
          <w:tcPr>
            <w:tcW w:w="1303" w:type="dxa"/>
            <w:tcBorders>
              <w:top w:val="single" w:sz="4" w:space="0" w:color="auto"/>
              <w:left w:val="nil"/>
              <w:bottom w:val="single" w:sz="4" w:space="0" w:color="auto"/>
              <w:right w:val="single" w:sz="4" w:space="0" w:color="auto"/>
            </w:tcBorders>
            <w:shd w:val="clear" w:color="auto" w:fill="92D050"/>
            <w:noWrap/>
            <w:vAlign w:val="bottom"/>
            <w:hideMark/>
          </w:tcPr>
          <w:p w14:paraId="3F9E4260" w14:textId="77777777" w:rsidR="007C04B5" w:rsidRPr="00781BC4" w:rsidRDefault="007C04B5" w:rsidP="007C788E">
            <w:pPr>
              <w:spacing w:after="0" w:line="240" w:lineRule="auto"/>
              <w:jc w:val="center"/>
              <w:rPr>
                <w:rFonts w:eastAsia="Times New Roman" w:cs="Times New Roman"/>
                <w:b/>
                <w:bCs/>
                <w:color w:val="000000"/>
                <w:sz w:val="22"/>
                <w:szCs w:val="22"/>
                <w:lang w:eastAsia="et-EE"/>
              </w:rPr>
            </w:pPr>
            <w:r w:rsidRPr="00781BC4">
              <w:rPr>
                <w:rFonts w:eastAsia="Times New Roman" w:cs="Times New Roman"/>
                <w:b/>
                <w:bCs/>
                <w:color w:val="000000"/>
                <w:sz w:val="22"/>
                <w:szCs w:val="22"/>
                <w:lang w:eastAsia="et-EE"/>
              </w:rPr>
              <w:t>2017</w:t>
            </w:r>
          </w:p>
        </w:tc>
        <w:tc>
          <w:tcPr>
            <w:tcW w:w="1134" w:type="dxa"/>
            <w:tcBorders>
              <w:top w:val="single" w:sz="4" w:space="0" w:color="auto"/>
              <w:left w:val="nil"/>
              <w:bottom w:val="single" w:sz="4" w:space="0" w:color="auto"/>
              <w:right w:val="single" w:sz="4" w:space="0" w:color="auto"/>
            </w:tcBorders>
            <w:shd w:val="clear" w:color="auto" w:fill="92D050"/>
            <w:noWrap/>
            <w:vAlign w:val="bottom"/>
            <w:hideMark/>
          </w:tcPr>
          <w:p w14:paraId="356523D5" w14:textId="77777777" w:rsidR="007C04B5" w:rsidRPr="00781BC4" w:rsidRDefault="007C04B5" w:rsidP="007C788E">
            <w:pPr>
              <w:spacing w:after="0" w:line="240" w:lineRule="auto"/>
              <w:jc w:val="center"/>
              <w:rPr>
                <w:rFonts w:eastAsia="Times New Roman" w:cs="Times New Roman"/>
                <w:b/>
                <w:bCs/>
                <w:color w:val="000000"/>
                <w:sz w:val="22"/>
                <w:szCs w:val="22"/>
                <w:lang w:eastAsia="et-EE"/>
              </w:rPr>
            </w:pPr>
            <w:r w:rsidRPr="00781BC4">
              <w:rPr>
                <w:rFonts w:eastAsia="Times New Roman" w:cs="Times New Roman"/>
                <w:b/>
                <w:bCs/>
                <w:color w:val="000000"/>
                <w:sz w:val="22"/>
                <w:szCs w:val="22"/>
                <w:lang w:eastAsia="et-EE"/>
              </w:rPr>
              <w:t>2018</w:t>
            </w:r>
          </w:p>
        </w:tc>
        <w:tc>
          <w:tcPr>
            <w:tcW w:w="1134" w:type="dxa"/>
            <w:tcBorders>
              <w:top w:val="single" w:sz="4" w:space="0" w:color="auto"/>
              <w:left w:val="nil"/>
              <w:bottom w:val="single" w:sz="4" w:space="0" w:color="auto"/>
              <w:right w:val="single" w:sz="4" w:space="0" w:color="auto"/>
            </w:tcBorders>
            <w:shd w:val="clear" w:color="auto" w:fill="92D050"/>
            <w:noWrap/>
            <w:vAlign w:val="bottom"/>
            <w:hideMark/>
          </w:tcPr>
          <w:p w14:paraId="041C7CBF" w14:textId="77777777" w:rsidR="007C04B5" w:rsidRPr="00781BC4" w:rsidRDefault="007C04B5" w:rsidP="007C788E">
            <w:pPr>
              <w:spacing w:after="0" w:line="240" w:lineRule="auto"/>
              <w:jc w:val="center"/>
              <w:rPr>
                <w:rFonts w:eastAsia="Times New Roman" w:cs="Times New Roman"/>
                <w:b/>
                <w:bCs/>
                <w:color w:val="000000"/>
                <w:sz w:val="22"/>
                <w:szCs w:val="22"/>
                <w:lang w:eastAsia="et-EE"/>
              </w:rPr>
            </w:pPr>
            <w:r w:rsidRPr="00781BC4">
              <w:rPr>
                <w:rFonts w:eastAsia="Times New Roman" w:cs="Times New Roman"/>
                <w:b/>
                <w:bCs/>
                <w:color w:val="000000"/>
                <w:sz w:val="22"/>
                <w:szCs w:val="22"/>
                <w:lang w:eastAsia="et-EE"/>
              </w:rPr>
              <w:t>2019</w:t>
            </w:r>
          </w:p>
        </w:tc>
        <w:tc>
          <w:tcPr>
            <w:tcW w:w="1276" w:type="dxa"/>
            <w:tcBorders>
              <w:top w:val="single" w:sz="4" w:space="0" w:color="auto"/>
              <w:left w:val="nil"/>
              <w:bottom w:val="single" w:sz="4" w:space="0" w:color="auto"/>
              <w:right w:val="single" w:sz="4" w:space="0" w:color="auto"/>
            </w:tcBorders>
            <w:shd w:val="clear" w:color="auto" w:fill="92D050"/>
            <w:noWrap/>
            <w:vAlign w:val="bottom"/>
            <w:hideMark/>
          </w:tcPr>
          <w:p w14:paraId="53EA611C" w14:textId="77777777" w:rsidR="007C04B5" w:rsidRPr="00781BC4" w:rsidRDefault="007C04B5" w:rsidP="007C788E">
            <w:pPr>
              <w:spacing w:after="0" w:line="240" w:lineRule="auto"/>
              <w:jc w:val="center"/>
              <w:rPr>
                <w:rFonts w:eastAsia="Times New Roman" w:cs="Times New Roman"/>
                <w:b/>
                <w:bCs/>
                <w:color w:val="000000"/>
                <w:sz w:val="22"/>
                <w:szCs w:val="22"/>
                <w:lang w:eastAsia="et-EE"/>
              </w:rPr>
            </w:pPr>
            <w:r w:rsidRPr="00781BC4">
              <w:rPr>
                <w:rFonts w:eastAsia="Times New Roman" w:cs="Times New Roman"/>
                <w:b/>
                <w:bCs/>
                <w:color w:val="000000"/>
                <w:sz w:val="22"/>
                <w:szCs w:val="22"/>
                <w:lang w:eastAsia="et-EE"/>
              </w:rPr>
              <w:t>2020</w:t>
            </w:r>
          </w:p>
        </w:tc>
        <w:tc>
          <w:tcPr>
            <w:tcW w:w="1134" w:type="dxa"/>
            <w:tcBorders>
              <w:top w:val="single" w:sz="4" w:space="0" w:color="auto"/>
              <w:left w:val="nil"/>
              <w:bottom w:val="single" w:sz="4" w:space="0" w:color="auto"/>
              <w:right w:val="single" w:sz="4" w:space="0" w:color="auto"/>
            </w:tcBorders>
            <w:shd w:val="clear" w:color="auto" w:fill="92D050"/>
            <w:noWrap/>
            <w:vAlign w:val="bottom"/>
            <w:hideMark/>
          </w:tcPr>
          <w:p w14:paraId="619C5213" w14:textId="77777777" w:rsidR="007C04B5" w:rsidRPr="00781BC4" w:rsidRDefault="007C04B5" w:rsidP="007C788E">
            <w:pPr>
              <w:spacing w:after="0" w:line="240" w:lineRule="auto"/>
              <w:jc w:val="center"/>
              <w:rPr>
                <w:rFonts w:eastAsia="Times New Roman" w:cs="Times New Roman"/>
                <w:b/>
                <w:bCs/>
                <w:color w:val="000000"/>
                <w:sz w:val="22"/>
                <w:szCs w:val="22"/>
                <w:lang w:eastAsia="et-EE"/>
              </w:rPr>
            </w:pPr>
            <w:r w:rsidRPr="00781BC4">
              <w:rPr>
                <w:rFonts w:eastAsia="Times New Roman" w:cs="Times New Roman"/>
                <w:b/>
                <w:bCs/>
                <w:color w:val="000000"/>
                <w:sz w:val="22"/>
                <w:szCs w:val="22"/>
                <w:lang w:eastAsia="et-EE"/>
              </w:rPr>
              <w:t>2021</w:t>
            </w:r>
          </w:p>
        </w:tc>
        <w:tc>
          <w:tcPr>
            <w:tcW w:w="1134" w:type="dxa"/>
            <w:tcBorders>
              <w:top w:val="single" w:sz="4" w:space="0" w:color="auto"/>
              <w:left w:val="nil"/>
              <w:bottom w:val="single" w:sz="4" w:space="0" w:color="auto"/>
              <w:right w:val="single" w:sz="4" w:space="0" w:color="auto"/>
            </w:tcBorders>
            <w:shd w:val="clear" w:color="auto" w:fill="92D050"/>
            <w:noWrap/>
            <w:vAlign w:val="bottom"/>
            <w:hideMark/>
          </w:tcPr>
          <w:p w14:paraId="45059A1D" w14:textId="77777777" w:rsidR="007C04B5" w:rsidRPr="00781BC4" w:rsidRDefault="007C04B5" w:rsidP="007C788E">
            <w:pPr>
              <w:spacing w:after="0" w:line="240" w:lineRule="auto"/>
              <w:jc w:val="center"/>
              <w:rPr>
                <w:rFonts w:eastAsia="Times New Roman" w:cs="Times New Roman"/>
                <w:b/>
                <w:bCs/>
                <w:color w:val="000000"/>
                <w:sz w:val="22"/>
                <w:szCs w:val="22"/>
                <w:lang w:eastAsia="et-EE"/>
              </w:rPr>
            </w:pPr>
            <w:r w:rsidRPr="00781BC4">
              <w:rPr>
                <w:rFonts w:eastAsia="Times New Roman" w:cs="Times New Roman"/>
                <w:b/>
                <w:bCs/>
                <w:color w:val="000000"/>
                <w:sz w:val="22"/>
                <w:szCs w:val="22"/>
                <w:lang w:eastAsia="et-EE"/>
              </w:rPr>
              <w:t>2022</w:t>
            </w:r>
          </w:p>
        </w:tc>
        <w:tc>
          <w:tcPr>
            <w:tcW w:w="1134" w:type="dxa"/>
            <w:tcBorders>
              <w:top w:val="single" w:sz="4" w:space="0" w:color="auto"/>
              <w:left w:val="nil"/>
              <w:bottom w:val="single" w:sz="4" w:space="0" w:color="auto"/>
              <w:right w:val="single" w:sz="4" w:space="0" w:color="auto"/>
            </w:tcBorders>
            <w:shd w:val="clear" w:color="auto" w:fill="92D050"/>
            <w:noWrap/>
            <w:vAlign w:val="bottom"/>
            <w:hideMark/>
          </w:tcPr>
          <w:p w14:paraId="02F62401" w14:textId="77777777" w:rsidR="007C04B5" w:rsidRPr="00781BC4" w:rsidRDefault="007C04B5" w:rsidP="007C788E">
            <w:pPr>
              <w:spacing w:after="0" w:line="240" w:lineRule="auto"/>
              <w:jc w:val="center"/>
              <w:rPr>
                <w:rFonts w:eastAsia="Times New Roman" w:cs="Times New Roman"/>
                <w:b/>
                <w:bCs/>
                <w:color w:val="000000"/>
                <w:sz w:val="22"/>
                <w:szCs w:val="22"/>
                <w:lang w:eastAsia="et-EE"/>
              </w:rPr>
            </w:pPr>
            <w:r w:rsidRPr="00781BC4">
              <w:rPr>
                <w:rFonts w:eastAsia="Times New Roman" w:cs="Times New Roman"/>
                <w:b/>
                <w:bCs/>
                <w:color w:val="000000"/>
                <w:sz w:val="22"/>
                <w:szCs w:val="22"/>
                <w:lang w:eastAsia="et-EE"/>
              </w:rPr>
              <w:t>2023</w:t>
            </w:r>
          </w:p>
        </w:tc>
      </w:tr>
      <w:tr w:rsidR="00C22B37" w:rsidRPr="00B14FE2" w14:paraId="30EAF893" w14:textId="77777777" w:rsidTr="000219D4">
        <w:trPr>
          <w:trHeight w:val="290"/>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3E31EACC" w14:textId="77777777" w:rsidR="00C22B37" w:rsidRPr="00B14FE2" w:rsidRDefault="00C22B37" w:rsidP="00C22B37">
            <w:pPr>
              <w:spacing w:after="0" w:line="240" w:lineRule="auto"/>
              <w:jc w:val="both"/>
              <w:rPr>
                <w:rFonts w:eastAsia="Times New Roman" w:cs="Times New Roman"/>
                <w:color w:val="000000"/>
                <w:sz w:val="22"/>
                <w:szCs w:val="22"/>
                <w:lang w:eastAsia="et-EE"/>
              </w:rPr>
            </w:pPr>
            <w:r w:rsidRPr="00B14FE2">
              <w:rPr>
                <w:rFonts w:eastAsia="Times New Roman" w:cs="Times New Roman"/>
                <w:color w:val="000000"/>
                <w:sz w:val="22"/>
                <w:szCs w:val="22"/>
                <w:lang w:eastAsia="et-EE"/>
              </w:rPr>
              <w:t>Telia</w:t>
            </w:r>
          </w:p>
        </w:tc>
        <w:tc>
          <w:tcPr>
            <w:tcW w:w="1303" w:type="dxa"/>
            <w:tcBorders>
              <w:top w:val="nil"/>
              <w:left w:val="nil"/>
              <w:bottom w:val="single" w:sz="4" w:space="0" w:color="auto"/>
              <w:right w:val="single" w:sz="4" w:space="0" w:color="auto"/>
            </w:tcBorders>
            <w:shd w:val="clear" w:color="auto" w:fill="auto"/>
            <w:noWrap/>
            <w:hideMark/>
          </w:tcPr>
          <w:p w14:paraId="1C097778" w14:textId="248775D3" w:rsidR="00C22B37" w:rsidRPr="00B14FE2" w:rsidRDefault="00C22B37" w:rsidP="00C22B37">
            <w:pPr>
              <w:spacing w:after="0" w:line="240" w:lineRule="auto"/>
              <w:jc w:val="center"/>
              <w:rPr>
                <w:rFonts w:eastAsia="Times New Roman" w:cs="Times New Roman"/>
                <w:color w:val="000000"/>
                <w:sz w:val="22"/>
                <w:szCs w:val="22"/>
                <w:lang w:eastAsia="et-EE"/>
              </w:rPr>
            </w:pPr>
            <w:r w:rsidRPr="001A2E09">
              <w:t>…*%</w:t>
            </w:r>
          </w:p>
        </w:tc>
        <w:tc>
          <w:tcPr>
            <w:tcW w:w="1134" w:type="dxa"/>
            <w:tcBorders>
              <w:top w:val="nil"/>
              <w:left w:val="nil"/>
              <w:bottom w:val="single" w:sz="4" w:space="0" w:color="auto"/>
              <w:right w:val="single" w:sz="4" w:space="0" w:color="auto"/>
            </w:tcBorders>
            <w:shd w:val="clear" w:color="auto" w:fill="auto"/>
            <w:noWrap/>
            <w:hideMark/>
          </w:tcPr>
          <w:p w14:paraId="3238E487" w14:textId="09022B71" w:rsidR="00C22B37" w:rsidRPr="00B14FE2" w:rsidRDefault="00C22B37" w:rsidP="00C22B37">
            <w:pPr>
              <w:spacing w:after="0" w:line="240" w:lineRule="auto"/>
              <w:jc w:val="center"/>
              <w:rPr>
                <w:rFonts w:eastAsia="Times New Roman" w:cs="Times New Roman"/>
                <w:color w:val="000000"/>
                <w:sz w:val="22"/>
                <w:szCs w:val="22"/>
                <w:lang w:eastAsia="et-EE"/>
              </w:rPr>
            </w:pPr>
            <w:r w:rsidRPr="001A2E09">
              <w:t>…*%</w:t>
            </w:r>
          </w:p>
        </w:tc>
        <w:tc>
          <w:tcPr>
            <w:tcW w:w="1134" w:type="dxa"/>
            <w:tcBorders>
              <w:top w:val="nil"/>
              <w:left w:val="nil"/>
              <w:bottom w:val="single" w:sz="4" w:space="0" w:color="auto"/>
              <w:right w:val="single" w:sz="4" w:space="0" w:color="auto"/>
            </w:tcBorders>
            <w:shd w:val="clear" w:color="auto" w:fill="auto"/>
            <w:noWrap/>
            <w:hideMark/>
          </w:tcPr>
          <w:p w14:paraId="4BA3CFC8" w14:textId="1A474208" w:rsidR="00C22B37" w:rsidRPr="00B14FE2" w:rsidRDefault="00C22B37" w:rsidP="00C22B37">
            <w:pPr>
              <w:spacing w:after="0" w:line="240" w:lineRule="auto"/>
              <w:jc w:val="center"/>
              <w:rPr>
                <w:rFonts w:eastAsia="Times New Roman" w:cs="Times New Roman"/>
                <w:color w:val="000000"/>
                <w:sz w:val="22"/>
                <w:szCs w:val="22"/>
                <w:lang w:eastAsia="et-EE"/>
              </w:rPr>
            </w:pPr>
            <w:r w:rsidRPr="001A2E09">
              <w:t>…*%</w:t>
            </w:r>
          </w:p>
        </w:tc>
        <w:tc>
          <w:tcPr>
            <w:tcW w:w="1276" w:type="dxa"/>
            <w:tcBorders>
              <w:top w:val="nil"/>
              <w:left w:val="nil"/>
              <w:bottom w:val="single" w:sz="4" w:space="0" w:color="auto"/>
              <w:right w:val="single" w:sz="4" w:space="0" w:color="auto"/>
            </w:tcBorders>
            <w:shd w:val="clear" w:color="auto" w:fill="auto"/>
            <w:noWrap/>
            <w:hideMark/>
          </w:tcPr>
          <w:p w14:paraId="66670318" w14:textId="7C07151D" w:rsidR="00C22B37" w:rsidRPr="00B14FE2" w:rsidRDefault="00C22B37" w:rsidP="00C22B37">
            <w:pPr>
              <w:spacing w:after="0" w:line="240" w:lineRule="auto"/>
              <w:jc w:val="center"/>
              <w:rPr>
                <w:rFonts w:eastAsia="Times New Roman" w:cs="Times New Roman"/>
                <w:color w:val="000000"/>
                <w:sz w:val="22"/>
                <w:szCs w:val="22"/>
                <w:lang w:eastAsia="et-EE"/>
              </w:rPr>
            </w:pPr>
            <w:r w:rsidRPr="001A2E09">
              <w:t>…*%</w:t>
            </w:r>
          </w:p>
        </w:tc>
        <w:tc>
          <w:tcPr>
            <w:tcW w:w="1134" w:type="dxa"/>
            <w:tcBorders>
              <w:top w:val="nil"/>
              <w:left w:val="nil"/>
              <w:bottom w:val="single" w:sz="4" w:space="0" w:color="auto"/>
              <w:right w:val="single" w:sz="4" w:space="0" w:color="auto"/>
            </w:tcBorders>
            <w:shd w:val="clear" w:color="auto" w:fill="auto"/>
            <w:noWrap/>
            <w:hideMark/>
          </w:tcPr>
          <w:p w14:paraId="18EEAEF3" w14:textId="49F5A0A6" w:rsidR="00C22B37" w:rsidRPr="00B14FE2" w:rsidRDefault="00C22B37" w:rsidP="00C22B37">
            <w:pPr>
              <w:spacing w:after="0" w:line="240" w:lineRule="auto"/>
              <w:jc w:val="center"/>
              <w:rPr>
                <w:rFonts w:eastAsia="Times New Roman" w:cs="Times New Roman"/>
                <w:color w:val="000000"/>
                <w:sz w:val="22"/>
                <w:szCs w:val="22"/>
                <w:lang w:eastAsia="et-EE"/>
              </w:rPr>
            </w:pPr>
            <w:r w:rsidRPr="001A2E09">
              <w:t>…*%</w:t>
            </w:r>
          </w:p>
        </w:tc>
        <w:tc>
          <w:tcPr>
            <w:tcW w:w="1134" w:type="dxa"/>
            <w:tcBorders>
              <w:top w:val="nil"/>
              <w:left w:val="nil"/>
              <w:bottom w:val="single" w:sz="4" w:space="0" w:color="auto"/>
              <w:right w:val="single" w:sz="4" w:space="0" w:color="auto"/>
            </w:tcBorders>
            <w:shd w:val="clear" w:color="auto" w:fill="auto"/>
            <w:noWrap/>
            <w:hideMark/>
          </w:tcPr>
          <w:p w14:paraId="17BA6417" w14:textId="5B6EA2D3" w:rsidR="00C22B37" w:rsidRPr="00B14FE2" w:rsidRDefault="00C22B37" w:rsidP="00C22B37">
            <w:pPr>
              <w:spacing w:after="0" w:line="240" w:lineRule="auto"/>
              <w:jc w:val="center"/>
              <w:rPr>
                <w:rFonts w:eastAsia="Times New Roman" w:cs="Times New Roman"/>
                <w:color w:val="000000"/>
                <w:sz w:val="22"/>
                <w:szCs w:val="22"/>
                <w:lang w:eastAsia="et-EE"/>
              </w:rPr>
            </w:pPr>
            <w:r w:rsidRPr="001A2E09">
              <w:t>…*%</w:t>
            </w:r>
          </w:p>
        </w:tc>
        <w:tc>
          <w:tcPr>
            <w:tcW w:w="1134" w:type="dxa"/>
            <w:tcBorders>
              <w:top w:val="nil"/>
              <w:left w:val="nil"/>
              <w:bottom w:val="single" w:sz="4" w:space="0" w:color="auto"/>
              <w:right w:val="single" w:sz="4" w:space="0" w:color="auto"/>
            </w:tcBorders>
            <w:shd w:val="clear" w:color="auto" w:fill="auto"/>
            <w:noWrap/>
            <w:hideMark/>
          </w:tcPr>
          <w:p w14:paraId="649E8897" w14:textId="6E120974" w:rsidR="00C22B37" w:rsidRPr="00B14FE2" w:rsidRDefault="00C22B37" w:rsidP="00C22B37">
            <w:pPr>
              <w:spacing w:after="0" w:line="240" w:lineRule="auto"/>
              <w:jc w:val="center"/>
              <w:rPr>
                <w:rFonts w:eastAsia="Times New Roman" w:cs="Times New Roman"/>
                <w:color w:val="000000"/>
                <w:sz w:val="22"/>
                <w:szCs w:val="22"/>
                <w:lang w:eastAsia="et-EE"/>
              </w:rPr>
            </w:pPr>
            <w:r w:rsidRPr="001A2E09">
              <w:t>…*%</w:t>
            </w:r>
          </w:p>
        </w:tc>
      </w:tr>
      <w:tr w:rsidR="006B1262" w:rsidRPr="00B14FE2" w14:paraId="5C865E92" w14:textId="77777777" w:rsidTr="006B1262">
        <w:trPr>
          <w:trHeight w:val="290"/>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414EF293" w14:textId="77777777" w:rsidR="006B1262" w:rsidRPr="00B14FE2" w:rsidRDefault="006B1262" w:rsidP="006B1262">
            <w:pPr>
              <w:spacing w:after="0" w:line="240" w:lineRule="auto"/>
              <w:jc w:val="both"/>
              <w:rPr>
                <w:rFonts w:eastAsia="Times New Roman" w:cs="Times New Roman"/>
                <w:color w:val="000000"/>
                <w:sz w:val="22"/>
                <w:szCs w:val="22"/>
                <w:lang w:eastAsia="et-EE"/>
              </w:rPr>
            </w:pPr>
            <w:r w:rsidRPr="00B14FE2">
              <w:rPr>
                <w:rFonts w:eastAsia="Times New Roman" w:cs="Times New Roman"/>
                <w:color w:val="000000"/>
                <w:sz w:val="22"/>
                <w:szCs w:val="22"/>
                <w:lang w:eastAsia="et-EE"/>
              </w:rPr>
              <w:t>Elisa</w:t>
            </w:r>
          </w:p>
        </w:tc>
        <w:tc>
          <w:tcPr>
            <w:tcW w:w="1303" w:type="dxa"/>
            <w:tcBorders>
              <w:top w:val="nil"/>
              <w:left w:val="nil"/>
              <w:bottom w:val="single" w:sz="4" w:space="0" w:color="auto"/>
              <w:right w:val="single" w:sz="4" w:space="0" w:color="auto"/>
            </w:tcBorders>
            <w:shd w:val="clear" w:color="auto" w:fill="auto"/>
            <w:noWrap/>
            <w:hideMark/>
          </w:tcPr>
          <w:p w14:paraId="0CBCBCB5" w14:textId="717D1426"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3FA03449" w14:textId="348C72A0"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0002A7C5" w14:textId="70E58086"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276" w:type="dxa"/>
            <w:tcBorders>
              <w:top w:val="nil"/>
              <w:left w:val="nil"/>
              <w:bottom w:val="single" w:sz="4" w:space="0" w:color="auto"/>
              <w:right w:val="single" w:sz="4" w:space="0" w:color="auto"/>
            </w:tcBorders>
            <w:shd w:val="clear" w:color="auto" w:fill="auto"/>
            <w:noWrap/>
            <w:hideMark/>
          </w:tcPr>
          <w:p w14:paraId="00EADC7B" w14:textId="2088D66F"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4D18F8BB" w14:textId="12FB2986"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520AFF63" w14:textId="4833A5D2"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0AF462FE" w14:textId="33467A2D"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r>
      <w:tr w:rsidR="006B1262" w:rsidRPr="00B14FE2" w14:paraId="4515E4A8" w14:textId="77777777" w:rsidTr="006B1262">
        <w:trPr>
          <w:trHeight w:val="300"/>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29E6FF00" w14:textId="77777777" w:rsidR="006B1262" w:rsidRPr="00B14FE2" w:rsidRDefault="006B1262" w:rsidP="006B1262">
            <w:pPr>
              <w:spacing w:after="0" w:line="240" w:lineRule="auto"/>
              <w:jc w:val="both"/>
              <w:rPr>
                <w:rFonts w:eastAsia="Times New Roman" w:cs="Times New Roman"/>
                <w:color w:val="000000"/>
                <w:sz w:val="22"/>
                <w:szCs w:val="22"/>
                <w:lang w:eastAsia="et-EE"/>
              </w:rPr>
            </w:pPr>
            <w:r w:rsidRPr="00B14FE2">
              <w:rPr>
                <w:rFonts w:eastAsia="Times New Roman" w:cs="Times New Roman"/>
                <w:color w:val="000000"/>
                <w:sz w:val="22"/>
                <w:szCs w:val="22"/>
                <w:lang w:eastAsia="et-EE"/>
              </w:rPr>
              <w:t>Telset</w:t>
            </w:r>
          </w:p>
        </w:tc>
        <w:tc>
          <w:tcPr>
            <w:tcW w:w="1303" w:type="dxa"/>
            <w:tcBorders>
              <w:top w:val="nil"/>
              <w:left w:val="nil"/>
              <w:bottom w:val="single" w:sz="4" w:space="0" w:color="auto"/>
              <w:right w:val="single" w:sz="4" w:space="0" w:color="auto"/>
            </w:tcBorders>
            <w:shd w:val="clear" w:color="auto" w:fill="auto"/>
            <w:noWrap/>
            <w:hideMark/>
          </w:tcPr>
          <w:p w14:paraId="1DD1756C" w14:textId="16EEB475"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07928296" w14:textId="6FF7D707"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1AA85982" w14:textId="7249DA5E"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276" w:type="dxa"/>
            <w:tcBorders>
              <w:top w:val="nil"/>
              <w:left w:val="nil"/>
              <w:bottom w:val="single" w:sz="4" w:space="0" w:color="auto"/>
              <w:right w:val="single" w:sz="4" w:space="0" w:color="auto"/>
            </w:tcBorders>
            <w:shd w:val="clear" w:color="auto" w:fill="auto"/>
            <w:noWrap/>
            <w:hideMark/>
          </w:tcPr>
          <w:p w14:paraId="477E9FBA" w14:textId="0AE810C3"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5FC271B1" w14:textId="40659AB8"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41908C4F" w14:textId="7AE5F875"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616399F3" w14:textId="2B3838F4"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r>
      <w:tr w:rsidR="006B1262" w:rsidRPr="00B14FE2" w14:paraId="48CDC990" w14:textId="77777777" w:rsidTr="006B1262">
        <w:trPr>
          <w:trHeight w:val="300"/>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73F1D1A7" w14:textId="77777777" w:rsidR="006B1262" w:rsidRPr="00B14FE2" w:rsidRDefault="006B1262" w:rsidP="006B1262">
            <w:pPr>
              <w:spacing w:after="0" w:line="240" w:lineRule="auto"/>
              <w:jc w:val="both"/>
              <w:rPr>
                <w:rFonts w:eastAsia="Times New Roman" w:cs="Times New Roman"/>
                <w:color w:val="000000"/>
                <w:sz w:val="22"/>
                <w:szCs w:val="22"/>
                <w:lang w:eastAsia="et-EE"/>
              </w:rPr>
            </w:pPr>
            <w:r w:rsidRPr="00B14FE2">
              <w:rPr>
                <w:rFonts w:eastAsia="Times New Roman" w:cs="Times New Roman"/>
                <w:color w:val="000000"/>
                <w:sz w:val="22"/>
                <w:szCs w:val="22"/>
                <w:lang w:eastAsia="et-EE"/>
              </w:rPr>
              <w:t>STV</w:t>
            </w:r>
          </w:p>
        </w:tc>
        <w:tc>
          <w:tcPr>
            <w:tcW w:w="1303" w:type="dxa"/>
            <w:tcBorders>
              <w:top w:val="nil"/>
              <w:left w:val="nil"/>
              <w:bottom w:val="single" w:sz="4" w:space="0" w:color="auto"/>
              <w:right w:val="single" w:sz="4" w:space="0" w:color="auto"/>
            </w:tcBorders>
            <w:shd w:val="clear" w:color="auto" w:fill="auto"/>
            <w:noWrap/>
            <w:hideMark/>
          </w:tcPr>
          <w:p w14:paraId="1F04DE98" w14:textId="7D2D7019"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18DC287D" w14:textId="50984522"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510A10E3" w14:textId="5E12B9D2"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276" w:type="dxa"/>
            <w:tcBorders>
              <w:top w:val="nil"/>
              <w:left w:val="nil"/>
              <w:bottom w:val="single" w:sz="4" w:space="0" w:color="auto"/>
              <w:right w:val="single" w:sz="4" w:space="0" w:color="auto"/>
            </w:tcBorders>
            <w:shd w:val="clear" w:color="auto" w:fill="auto"/>
            <w:noWrap/>
            <w:hideMark/>
          </w:tcPr>
          <w:p w14:paraId="0A36A744" w14:textId="0474B737"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6DBB8429" w14:textId="7116F417"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4DCA1C65" w14:textId="4D05B23B"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5DB02023" w14:textId="09A9C19A"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r>
      <w:tr w:rsidR="006B1262" w:rsidRPr="00B14FE2" w14:paraId="22A611EF" w14:textId="77777777" w:rsidTr="006B1262">
        <w:trPr>
          <w:trHeight w:val="290"/>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19BA73E7" w14:textId="77777777" w:rsidR="006B1262" w:rsidRPr="00B14FE2" w:rsidRDefault="006B1262" w:rsidP="006B1262">
            <w:pPr>
              <w:spacing w:after="0" w:line="240" w:lineRule="auto"/>
              <w:jc w:val="both"/>
              <w:rPr>
                <w:rFonts w:eastAsia="Times New Roman" w:cs="Times New Roman"/>
                <w:color w:val="000000"/>
                <w:sz w:val="22"/>
                <w:szCs w:val="22"/>
                <w:lang w:eastAsia="et-EE"/>
              </w:rPr>
            </w:pPr>
            <w:r w:rsidRPr="00B14FE2">
              <w:rPr>
                <w:rFonts w:eastAsia="Times New Roman" w:cs="Times New Roman"/>
                <w:color w:val="000000"/>
                <w:sz w:val="22"/>
                <w:szCs w:val="22"/>
                <w:lang w:eastAsia="et-EE"/>
              </w:rPr>
              <w:t>Enefit</w:t>
            </w:r>
          </w:p>
        </w:tc>
        <w:tc>
          <w:tcPr>
            <w:tcW w:w="1303" w:type="dxa"/>
            <w:tcBorders>
              <w:top w:val="nil"/>
              <w:left w:val="nil"/>
              <w:bottom w:val="single" w:sz="4" w:space="0" w:color="auto"/>
              <w:right w:val="single" w:sz="4" w:space="0" w:color="auto"/>
            </w:tcBorders>
            <w:shd w:val="clear" w:color="auto" w:fill="auto"/>
            <w:noWrap/>
            <w:hideMark/>
          </w:tcPr>
          <w:p w14:paraId="20FD2F8C" w14:textId="509C3893"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2C15E467" w14:textId="46A8701F"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5EE81563" w14:textId="488541C9"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276" w:type="dxa"/>
            <w:tcBorders>
              <w:top w:val="nil"/>
              <w:left w:val="nil"/>
              <w:bottom w:val="single" w:sz="4" w:space="0" w:color="auto"/>
              <w:right w:val="single" w:sz="4" w:space="0" w:color="auto"/>
            </w:tcBorders>
            <w:shd w:val="clear" w:color="auto" w:fill="auto"/>
            <w:noWrap/>
            <w:hideMark/>
          </w:tcPr>
          <w:p w14:paraId="08896C3B" w14:textId="434C9E82"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1B09D12D" w14:textId="2676E8A2"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62AA7899" w14:textId="26637B21"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40E169D6" w14:textId="2F7194A6"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r>
      <w:tr w:rsidR="006B1262" w:rsidRPr="00B14FE2" w14:paraId="0BAE05BB" w14:textId="77777777" w:rsidTr="006B1262">
        <w:trPr>
          <w:trHeight w:val="290"/>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580AB379" w14:textId="77777777" w:rsidR="006B1262" w:rsidRPr="00B14FE2" w:rsidRDefault="006B1262" w:rsidP="006B1262">
            <w:pPr>
              <w:spacing w:after="0" w:line="240" w:lineRule="auto"/>
              <w:jc w:val="both"/>
              <w:rPr>
                <w:rFonts w:eastAsia="Times New Roman" w:cs="Times New Roman"/>
                <w:color w:val="000000"/>
                <w:sz w:val="22"/>
                <w:szCs w:val="22"/>
                <w:lang w:eastAsia="et-EE"/>
              </w:rPr>
            </w:pPr>
            <w:r w:rsidRPr="00B14FE2">
              <w:rPr>
                <w:rFonts w:eastAsia="Times New Roman" w:cs="Times New Roman"/>
                <w:color w:val="000000"/>
                <w:sz w:val="22"/>
                <w:szCs w:val="22"/>
                <w:lang w:eastAsia="et-EE"/>
              </w:rPr>
              <w:t>Corle</w:t>
            </w:r>
          </w:p>
        </w:tc>
        <w:tc>
          <w:tcPr>
            <w:tcW w:w="1303" w:type="dxa"/>
            <w:tcBorders>
              <w:top w:val="nil"/>
              <w:left w:val="nil"/>
              <w:bottom w:val="single" w:sz="4" w:space="0" w:color="auto"/>
              <w:right w:val="single" w:sz="4" w:space="0" w:color="auto"/>
            </w:tcBorders>
            <w:shd w:val="clear" w:color="auto" w:fill="auto"/>
            <w:noWrap/>
            <w:hideMark/>
          </w:tcPr>
          <w:p w14:paraId="2D9404E5" w14:textId="0C5E6EBE"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228C9A2A" w14:textId="6E248AE4"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0702EFFD" w14:textId="29905D9B"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276" w:type="dxa"/>
            <w:tcBorders>
              <w:top w:val="nil"/>
              <w:left w:val="nil"/>
              <w:bottom w:val="single" w:sz="4" w:space="0" w:color="auto"/>
              <w:right w:val="single" w:sz="4" w:space="0" w:color="auto"/>
            </w:tcBorders>
            <w:shd w:val="clear" w:color="auto" w:fill="auto"/>
            <w:noWrap/>
            <w:hideMark/>
          </w:tcPr>
          <w:p w14:paraId="16BD6F44" w14:textId="0E2016FF"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7C623993" w14:textId="0E13CAF8"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5F47AD3E" w14:textId="6CECC880"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5BCE12A4" w14:textId="1686B21E"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r>
      <w:tr w:rsidR="006B1262" w:rsidRPr="00B14FE2" w14:paraId="72CE3AB9" w14:textId="77777777" w:rsidTr="006B1262">
        <w:trPr>
          <w:trHeight w:val="290"/>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2E1E9CD8" w14:textId="77777777" w:rsidR="006B1262" w:rsidRPr="00B14FE2" w:rsidRDefault="006B1262" w:rsidP="006B1262">
            <w:pPr>
              <w:spacing w:after="0" w:line="240" w:lineRule="auto"/>
              <w:jc w:val="both"/>
              <w:rPr>
                <w:rFonts w:eastAsia="Times New Roman" w:cs="Times New Roman"/>
                <w:color w:val="000000"/>
                <w:sz w:val="22"/>
                <w:szCs w:val="22"/>
                <w:lang w:eastAsia="et-EE"/>
              </w:rPr>
            </w:pPr>
            <w:r w:rsidRPr="00B14FE2">
              <w:rPr>
                <w:rFonts w:eastAsia="Times New Roman" w:cs="Times New Roman"/>
                <w:color w:val="000000"/>
                <w:sz w:val="22"/>
                <w:szCs w:val="22"/>
                <w:lang w:eastAsia="et-EE"/>
              </w:rPr>
              <w:t>ELA SA</w:t>
            </w:r>
          </w:p>
        </w:tc>
        <w:tc>
          <w:tcPr>
            <w:tcW w:w="1303" w:type="dxa"/>
            <w:tcBorders>
              <w:top w:val="nil"/>
              <w:left w:val="nil"/>
              <w:bottom w:val="single" w:sz="4" w:space="0" w:color="auto"/>
              <w:right w:val="single" w:sz="4" w:space="0" w:color="auto"/>
            </w:tcBorders>
            <w:shd w:val="clear" w:color="auto" w:fill="auto"/>
            <w:noWrap/>
            <w:hideMark/>
          </w:tcPr>
          <w:p w14:paraId="6773D000" w14:textId="14A9BDAB"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60FF7F6B" w14:textId="640895F7"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44C80988" w14:textId="6AE2FB17"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276" w:type="dxa"/>
            <w:tcBorders>
              <w:top w:val="nil"/>
              <w:left w:val="nil"/>
              <w:bottom w:val="single" w:sz="4" w:space="0" w:color="auto"/>
              <w:right w:val="single" w:sz="4" w:space="0" w:color="auto"/>
            </w:tcBorders>
            <w:shd w:val="clear" w:color="auto" w:fill="auto"/>
            <w:noWrap/>
            <w:hideMark/>
          </w:tcPr>
          <w:p w14:paraId="49228231" w14:textId="3BC9FD12"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4BE97F32" w14:textId="4368EDD2"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57C1827F" w14:textId="46DF2FEF"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c>
          <w:tcPr>
            <w:tcW w:w="1134" w:type="dxa"/>
            <w:tcBorders>
              <w:top w:val="nil"/>
              <w:left w:val="nil"/>
              <w:bottom w:val="single" w:sz="4" w:space="0" w:color="auto"/>
              <w:right w:val="single" w:sz="4" w:space="0" w:color="auto"/>
            </w:tcBorders>
            <w:shd w:val="clear" w:color="auto" w:fill="auto"/>
            <w:noWrap/>
            <w:hideMark/>
          </w:tcPr>
          <w:p w14:paraId="35B81A1A" w14:textId="6F8742CD" w:rsidR="006B1262" w:rsidRPr="00B14FE2" w:rsidRDefault="006B1262" w:rsidP="006B1262">
            <w:pPr>
              <w:spacing w:after="0" w:line="240" w:lineRule="auto"/>
              <w:jc w:val="center"/>
              <w:rPr>
                <w:rFonts w:eastAsia="Times New Roman" w:cs="Times New Roman"/>
                <w:color w:val="000000"/>
                <w:sz w:val="22"/>
                <w:szCs w:val="22"/>
                <w:lang w:eastAsia="et-EE"/>
              </w:rPr>
            </w:pPr>
            <w:r w:rsidRPr="009C7CBE">
              <w:t>…*%</w:t>
            </w:r>
          </w:p>
        </w:tc>
      </w:tr>
      <w:tr w:rsidR="007C04B5" w:rsidRPr="00B14FE2" w14:paraId="21362161" w14:textId="77777777" w:rsidTr="006B1262">
        <w:trPr>
          <w:trHeight w:val="290"/>
        </w:trPr>
        <w:tc>
          <w:tcPr>
            <w:tcW w:w="1063" w:type="dxa"/>
            <w:tcBorders>
              <w:top w:val="nil"/>
              <w:left w:val="single" w:sz="4" w:space="0" w:color="auto"/>
              <w:bottom w:val="single" w:sz="4" w:space="0" w:color="auto"/>
              <w:right w:val="single" w:sz="4" w:space="0" w:color="auto"/>
            </w:tcBorders>
            <w:shd w:val="clear" w:color="auto" w:fill="auto"/>
            <w:noWrap/>
            <w:vAlign w:val="bottom"/>
            <w:hideMark/>
          </w:tcPr>
          <w:p w14:paraId="6CAFBEE5" w14:textId="77777777" w:rsidR="007C04B5" w:rsidRPr="00B14FE2" w:rsidRDefault="007C04B5" w:rsidP="00AA241E">
            <w:pPr>
              <w:spacing w:after="0" w:line="240" w:lineRule="auto"/>
              <w:jc w:val="both"/>
              <w:rPr>
                <w:rFonts w:eastAsia="Times New Roman" w:cs="Times New Roman"/>
                <w:color w:val="000000"/>
                <w:sz w:val="22"/>
                <w:szCs w:val="22"/>
                <w:lang w:eastAsia="et-EE"/>
              </w:rPr>
            </w:pPr>
            <w:r w:rsidRPr="00B14FE2">
              <w:rPr>
                <w:rFonts w:eastAsia="Times New Roman" w:cs="Times New Roman"/>
                <w:color w:val="000000"/>
                <w:sz w:val="22"/>
                <w:szCs w:val="22"/>
                <w:lang w:eastAsia="et-EE"/>
              </w:rPr>
              <w:t>Kokku</w:t>
            </w:r>
          </w:p>
        </w:tc>
        <w:tc>
          <w:tcPr>
            <w:tcW w:w="1303" w:type="dxa"/>
            <w:tcBorders>
              <w:top w:val="nil"/>
              <w:left w:val="nil"/>
              <w:bottom w:val="single" w:sz="4" w:space="0" w:color="auto"/>
              <w:right w:val="single" w:sz="4" w:space="0" w:color="auto"/>
            </w:tcBorders>
            <w:shd w:val="clear" w:color="auto" w:fill="auto"/>
            <w:noWrap/>
            <w:vAlign w:val="bottom"/>
            <w:hideMark/>
          </w:tcPr>
          <w:p w14:paraId="2D3B426A" w14:textId="77777777" w:rsidR="007C04B5" w:rsidRPr="00B14FE2" w:rsidRDefault="007C04B5" w:rsidP="007C788E">
            <w:pPr>
              <w:spacing w:after="0" w:line="240" w:lineRule="auto"/>
              <w:jc w:val="center"/>
              <w:rPr>
                <w:rFonts w:eastAsia="Times New Roman" w:cs="Times New Roman"/>
                <w:color w:val="000000"/>
                <w:sz w:val="22"/>
                <w:szCs w:val="22"/>
                <w:lang w:eastAsia="et-EE"/>
              </w:rPr>
            </w:pPr>
            <w:r w:rsidRPr="00B14FE2">
              <w:rPr>
                <w:rFonts w:eastAsia="Times New Roman" w:cs="Times New Roman"/>
                <w:color w:val="000000"/>
                <w:sz w:val="22"/>
                <w:szCs w:val="22"/>
                <w:lang w:eastAsia="et-EE"/>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556FB3A6" w14:textId="77777777" w:rsidR="007C04B5" w:rsidRPr="00B14FE2" w:rsidRDefault="007C04B5" w:rsidP="007C788E">
            <w:pPr>
              <w:spacing w:after="0" w:line="240" w:lineRule="auto"/>
              <w:jc w:val="center"/>
              <w:rPr>
                <w:rFonts w:eastAsia="Times New Roman" w:cs="Times New Roman"/>
                <w:color w:val="000000"/>
                <w:sz w:val="22"/>
                <w:szCs w:val="22"/>
                <w:lang w:eastAsia="et-EE"/>
              </w:rPr>
            </w:pPr>
            <w:r w:rsidRPr="00B14FE2">
              <w:rPr>
                <w:rFonts w:eastAsia="Times New Roman" w:cs="Times New Roman"/>
                <w:color w:val="000000"/>
                <w:sz w:val="22"/>
                <w:szCs w:val="22"/>
                <w:lang w:eastAsia="et-EE"/>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394BCAA9" w14:textId="77777777" w:rsidR="007C04B5" w:rsidRPr="00B14FE2" w:rsidRDefault="007C04B5" w:rsidP="007C788E">
            <w:pPr>
              <w:spacing w:after="0" w:line="240" w:lineRule="auto"/>
              <w:jc w:val="center"/>
              <w:rPr>
                <w:rFonts w:eastAsia="Times New Roman" w:cs="Times New Roman"/>
                <w:color w:val="000000"/>
                <w:sz w:val="22"/>
                <w:szCs w:val="22"/>
                <w:lang w:eastAsia="et-EE"/>
              </w:rPr>
            </w:pPr>
            <w:r w:rsidRPr="00B14FE2">
              <w:rPr>
                <w:rFonts w:eastAsia="Times New Roman" w:cs="Times New Roman"/>
                <w:color w:val="000000"/>
                <w:sz w:val="22"/>
                <w:szCs w:val="22"/>
                <w:lang w:eastAsia="et-EE"/>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2BAA89B1" w14:textId="77777777" w:rsidR="007C04B5" w:rsidRPr="00B14FE2" w:rsidRDefault="007C04B5" w:rsidP="007C788E">
            <w:pPr>
              <w:spacing w:after="0" w:line="240" w:lineRule="auto"/>
              <w:jc w:val="center"/>
              <w:rPr>
                <w:rFonts w:eastAsia="Times New Roman" w:cs="Times New Roman"/>
                <w:color w:val="000000"/>
                <w:sz w:val="22"/>
                <w:szCs w:val="22"/>
                <w:lang w:eastAsia="et-EE"/>
              </w:rPr>
            </w:pPr>
            <w:r w:rsidRPr="00B14FE2">
              <w:rPr>
                <w:rFonts w:eastAsia="Times New Roman" w:cs="Times New Roman"/>
                <w:color w:val="000000"/>
                <w:sz w:val="22"/>
                <w:szCs w:val="22"/>
                <w:lang w:eastAsia="et-EE"/>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48710C0A" w14:textId="77777777" w:rsidR="007C04B5" w:rsidRPr="00B14FE2" w:rsidRDefault="007C04B5" w:rsidP="007C788E">
            <w:pPr>
              <w:spacing w:after="0" w:line="240" w:lineRule="auto"/>
              <w:jc w:val="center"/>
              <w:rPr>
                <w:rFonts w:eastAsia="Times New Roman" w:cs="Times New Roman"/>
                <w:color w:val="000000"/>
                <w:sz w:val="22"/>
                <w:szCs w:val="22"/>
                <w:lang w:eastAsia="et-EE"/>
              </w:rPr>
            </w:pPr>
            <w:r w:rsidRPr="00B14FE2">
              <w:rPr>
                <w:rFonts w:eastAsia="Times New Roman" w:cs="Times New Roman"/>
                <w:color w:val="000000"/>
                <w:sz w:val="22"/>
                <w:szCs w:val="22"/>
                <w:lang w:eastAsia="et-EE"/>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33E7B313" w14:textId="77777777" w:rsidR="007C04B5" w:rsidRPr="00B14FE2" w:rsidRDefault="007C04B5" w:rsidP="007C788E">
            <w:pPr>
              <w:spacing w:after="0" w:line="240" w:lineRule="auto"/>
              <w:jc w:val="center"/>
              <w:rPr>
                <w:rFonts w:eastAsia="Times New Roman" w:cs="Times New Roman"/>
                <w:color w:val="000000"/>
                <w:sz w:val="22"/>
                <w:szCs w:val="22"/>
                <w:lang w:eastAsia="et-EE"/>
              </w:rPr>
            </w:pPr>
            <w:r w:rsidRPr="00B14FE2">
              <w:rPr>
                <w:rFonts w:eastAsia="Times New Roman" w:cs="Times New Roman"/>
                <w:color w:val="000000"/>
                <w:sz w:val="22"/>
                <w:szCs w:val="22"/>
                <w:lang w:eastAsia="et-EE"/>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5ACDB8C4" w14:textId="77777777" w:rsidR="007C04B5" w:rsidRPr="00B14FE2" w:rsidRDefault="007C04B5" w:rsidP="007C788E">
            <w:pPr>
              <w:spacing w:after="0" w:line="240" w:lineRule="auto"/>
              <w:jc w:val="center"/>
              <w:rPr>
                <w:rFonts w:eastAsia="Times New Roman" w:cs="Times New Roman"/>
                <w:color w:val="000000"/>
                <w:sz w:val="22"/>
                <w:szCs w:val="22"/>
                <w:lang w:eastAsia="et-EE"/>
              </w:rPr>
            </w:pPr>
            <w:r w:rsidRPr="00B14FE2">
              <w:rPr>
                <w:rFonts w:eastAsia="Times New Roman" w:cs="Times New Roman"/>
                <w:color w:val="000000"/>
                <w:sz w:val="22"/>
                <w:szCs w:val="22"/>
                <w:lang w:eastAsia="et-EE"/>
              </w:rPr>
              <w:t>100%</w:t>
            </w:r>
          </w:p>
        </w:tc>
      </w:tr>
    </w:tbl>
    <w:p w14:paraId="590F73EF" w14:textId="78ECE5DA" w:rsidR="007C04B5" w:rsidRPr="006E317E" w:rsidRDefault="007C04B5" w:rsidP="00AA241E">
      <w:pPr>
        <w:pStyle w:val="Pealdis"/>
        <w:jc w:val="both"/>
      </w:pPr>
      <w:r>
        <w:t xml:space="preserve">Tabel </w:t>
      </w:r>
      <w:r>
        <w:fldChar w:fldCharType="begin"/>
      </w:r>
      <w:r>
        <w:instrText xml:space="preserve"> SEQ Tabel \* ARABIC </w:instrText>
      </w:r>
      <w:r>
        <w:fldChar w:fldCharType="separate"/>
      </w:r>
      <w:r w:rsidR="00247D84">
        <w:rPr>
          <w:noProof/>
        </w:rPr>
        <w:t>37</w:t>
      </w:r>
      <w:r>
        <w:fldChar w:fldCharType="end"/>
      </w:r>
      <w:r>
        <w:t xml:space="preserve"> </w:t>
      </w:r>
      <w:r w:rsidRPr="006E317E">
        <w:t>Valguskaabel juurdepääsu</w:t>
      </w:r>
      <w:r>
        <w:t xml:space="preserve">võrgus iseendale teenuse </w:t>
      </w:r>
      <w:r w:rsidRPr="006E317E">
        <w:t>osutamise</w:t>
      </w:r>
      <w:r>
        <w:t xml:space="preserve"> (</w:t>
      </w:r>
      <w:proofErr w:type="spellStart"/>
      <w:r w:rsidRPr="00AD2A3F">
        <w:rPr>
          <w:i/>
          <w:iCs/>
        </w:rPr>
        <w:t>self-supply</w:t>
      </w:r>
      <w:proofErr w:type="spellEnd"/>
      <w:r>
        <w:t>)</w:t>
      </w:r>
      <w:r w:rsidRPr="006E317E">
        <w:t xml:space="preserve"> turuosad B piirkonnas aasta</w:t>
      </w:r>
      <w:r>
        <w:t>tel</w:t>
      </w:r>
      <w:r w:rsidRPr="006E317E">
        <w:t xml:space="preserve"> 2017 -2023 </w:t>
      </w:r>
    </w:p>
    <w:p w14:paraId="1A768DCD" w14:textId="28D13489" w:rsidR="00EC24B2" w:rsidRPr="006E317E" w:rsidRDefault="00EC24B2" w:rsidP="00AA241E">
      <w:pPr>
        <w:jc w:val="both"/>
      </w:pPr>
      <w:r w:rsidRPr="006E317E">
        <w:t xml:space="preserve">Kui arvutatakse turuosad, sealhulgas Telia sisemiselt osutatud teenused ja alternatiivsed operaatorite sisemiselt osutatud teenused, nende tehnoloogiate jaoks, mis olid hõlmatud turu määratlusega, st FTTH ja FTTB, siis 2023 aasta lõpu seisuga on Telia turuosa B piirkonnas asuva 1 valguskaabli alamturu hulgiturul </w:t>
      </w:r>
      <w:r w:rsidR="00C22B37" w:rsidRPr="006379B0">
        <w:t>…*</w:t>
      </w:r>
      <w:r w:rsidRPr="006E317E">
        <w:t>%, mis vastab turuosadele turul 1 valguskaabli</w:t>
      </w:r>
      <w:r w:rsidR="00F45E60">
        <w:t xml:space="preserve"> jaeturu</w:t>
      </w:r>
      <w:r w:rsidRPr="006E317E">
        <w:t xml:space="preserve"> alamturg B piirkonnas </w:t>
      </w:r>
      <w:r w:rsidR="007C04B5" w:rsidRPr="002E251B">
        <w:t>(vaata tabelit 3</w:t>
      </w:r>
      <w:r w:rsidR="009C60DB" w:rsidRPr="002E251B">
        <w:t>7</w:t>
      </w:r>
      <w:r w:rsidR="007C04B5" w:rsidRPr="002E251B">
        <w:t xml:space="preserve"> ja tabel 25, p </w:t>
      </w:r>
      <w:r w:rsidR="004624D7" w:rsidRPr="002E251B">
        <w:t>5</w:t>
      </w:r>
      <w:r w:rsidR="007C04B5" w:rsidRPr="002E251B">
        <w:t>.1.2.1).</w:t>
      </w:r>
      <w:r w:rsidR="007C04B5" w:rsidRPr="006E317E">
        <w:t xml:space="preserve"> </w:t>
      </w:r>
      <w:r w:rsidRPr="006E317E">
        <w:t>Eelkõige on turuosad olnud stabiilsed ja ilma tugeva langussuundumuseta. TTJA järeldab, et analüüsitud turuosad ei viita tõhusale konkurentsile valguskaabli alamturul B piirkonnas.</w:t>
      </w:r>
    </w:p>
    <w:p w14:paraId="512AB85B" w14:textId="77777777" w:rsidR="00EC24B2" w:rsidRPr="006E317E" w:rsidRDefault="00EC24B2" w:rsidP="00AA241E">
      <w:pPr>
        <w:jc w:val="both"/>
      </w:pPr>
      <w:r w:rsidRPr="006E317E">
        <w:t>Telia turuosad on suured, mis näitab, et B piirkonnas on üks kaupmees – Telia, keda peetakse turuliidriks – tema turuosa on suurim ja see on oluliselt suurem kui ühegi teise konkurendi turuosa. Võib järeldada, et B piirkonnas on Telia turul endiselt turgu valitsevas seisundis. Seega on Telia turuvõim pakkuda 1. turu teenuseid teistele teenuseosutajatele või oma jaemüügiosale. TTJA arvates ei oleks Telial stiimulit pakkuda eraldatud juurdepääsu kliendiliinile ilma reguleerimiseta ega ka VULA valguskaabli alamturul B piirkonnas.</w:t>
      </w:r>
    </w:p>
    <w:p w14:paraId="6EEF4E74" w14:textId="1E234AE7" w:rsidR="00EC24B2" w:rsidRPr="006E317E" w:rsidRDefault="00EC24B2" w:rsidP="00AA241E">
      <w:pPr>
        <w:jc w:val="both"/>
      </w:pPr>
      <w:r w:rsidRPr="006E317E">
        <w:t xml:space="preserve">TTJA, analüüsides </w:t>
      </w:r>
      <w:r w:rsidR="002E251B" w:rsidRPr="00530054">
        <w:rPr>
          <w:rFonts w:cs="Times New Roman"/>
        </w:rPr>
        <w:t>valguskaabelvõrgu internetiühenduste</w:t>
      </w:r>
      <w:r w:rsidR="002E251B" w:rsidRPr="006E317E">
        <w:t xml:space="preserve"> B </w:t>
      </w:r>
      <w:r w:rsidR="002E251B" w:rsidRPr="00530054">
        <w:rPr>
          <w:rFonts w:cs="Times New Roman"/>
        </w:rPr>
        <w:t>piirkonna jaeturg</w:t>
      </w:r>
      <w:r w:rsidR="002E251B">
        <w:rPr>
          <w:rFonts w:cs="Times New Roman"/>
        </w:rPr>
        <w:t>u</w:t>
      </w:r>
      <w:r w:rsidRPr="006E317E">
        <w:t xml:space="preserve">, analüüsis </w:t>
      </w:r>
      <w:r w:rsidR="002E251B">
        <w:t xml:space="preserve">lisaks ka </w:t>
      </w:r>
      <w:r w:rsidRPr="006E317E">
        <w:t>erinevaid kriteeriume (</w:t>
      </w:r>
      <w:r w:rsidRPr="002E251B">
        <w:t xml:space="preserve">vt punktid </w:t>
      </w:r>
      <w:r w:rsidR="004624D7" w:rsidRPr="002E251B">
        <w:t>5</w:t>
      </w:r>
      <w:r w:rsidRPr="002E251B">
        <w:t>.1.2.2–</w:t>
      </w:r>
      <w:r w:rsidR="004624D7" w:rsidRPr="002E251B">
        <w:t>5</w:t>
      </w:r>
      <w:r w:rsidRPr="002E251B">
        <w:t>.1.2.6) ja jõudis</w:t>
      </w:r>
      <w:r w:rsidRPr="006E317E">
        <w:t xml:space="preserve"> järeldusele, et:</w:t>
      </w:r>
    </w:p>
    <w:p w14:paraId="6DA19859" w14:textId="66F3DE5D" w:rsidR="00EC24B2" w:rsidRPr="006E317E" w:rsidRDefault="00EC24B2" w:rsidP="00AA241E">
      <w:pPr>
        <w:pStyle w:val="Loendilik"/>
        <w:numPr>
          <w:ilvl w:val="0"/>
          <w:numId w:val="102"/>
        </w:numPr>
        <w:jc w:val="both"/>
      </w:pPr>
      <w:r w:rsidRPr="006E317E">
        <w:lastRenderedPageBreak/>
        <w:t>kuigi on olemas alternatiivsed infrastruktuurid, on tõkked elektroonilise side võr</w:t>
      </w:r>
      <w:r w:rsidR="002E251B">
        <w:t>k</w:t>
      </w:r>
      <w:r w:rsidRPr="006E317E">
        <w:t xml:space="preserve">u sisenemisel ja selle </w:t>
      </w:r>
      <w:r w:rsidR="002E251B">
        <w:t>katvuse</w:t>
      </w:r>
      <w:r w:rsidRPr="006E317E">
        <w:t xml:space="preserve"> laiendamisel </w:t>
      </w:r>
      <w:r w:rsidR="002E251B" w:rsidRPr="002E251B">
        <w:t>valguskaabelvõrgu internetiühenduste B piirkonna jaetur</w:t>
      </w:r>
      <w:r w:rsidR="002E251B">
        <w:t>ul</w:t>
      </w:r>
      <w:r w:rsidR="002E251B" w:rsidRPr="002E251B">
        <w:t xml:space="preserve"> </w:t>
      </w:r>
      <w:r w:rsidRPr="006E317E">
        <w:t>kõrged ning eriti oluline on FTTH ja FTTB leviala edendamine B piirkonnas;</w:t>
      </w:r>
    </w:p>
    <w:p w14:paraId="6B5E70DC" w14:textId="6EFE648C" w:rsidR="00EC24B2" w:rsidRPr="006E317E" w:rsidRDefault="00EC24B2" w:rsidP="00AA241E">
      <w:pPr>
        <w:pStyle w:val="Loendilik"/>
        <w:numPr>
          <w:ilvl w:val="0"/>
          <w:numId w:val="102"/>
        </w:numPr>
        <w:jc w:val="both"/>
      </w:pPr>
      <w:r w:rsidRPr="006E317E">
        <w:t xml:space="preserve">Telial on endiselt kontroll olulise elektroonilise side infrastruktuuri üle ja tehnoloogilised eelised </w:t>
      </w:r>
      <w:r w:rsidR="002E251B" w:rsidRPr="00530054">
        <w:rPr>
          <w:rFonts w:cs="Times New Roman"/>
        </w:rPr>
        <w:t>valguskaabelvõrgu internetiühenduste</w:t>
      </w:r>
      <w:r w:rsidR="002E251B" w:rsidRPr="006E317E">
        <w:t xml:space="preserve"> B piirkonna </w:t>
      </w:r>
      <w:r w:rsidR="002E251B" w:rsidRPr="00530054">
        <w:rPr>
          <w:rFonts w:cs="Times New Roman"/>
        </w:rPr>
        <w:t>jaetur</w:t>
      </w:r>
      <w:r w:rsidR="002E251B">
        <w:rPr>
          <w:rFonts w:cs="Times New Roman"/>
        </w:rPr>
        <w:t>ul</w:t>
      </w:r>
      <w:r w:rsidR="002E251B" w:rsidRPr="006E317E">
        <w:t xml:space="preserve"> </w:t>
      </w:r>
      <w:r w:rsidRPr="006E317E">
        <w:t>ulatuses, mis individuaalselt võimaldab tal olla valitseva seisundiga samaväärses majandusliku võimsuse seisundis;</w:t>
      </w:r>
    </w:p>
    <w:p w14:paraId="211CA2BB" w14:textId="4460E74E" w:rsidR="00EC24B2" w:rsidRPr="006E317E" w:rsidRDefault="002E251B" w:rsidP="00AA241E">
      <w:pPr>
        <w:pStyle w:val="Loendilik"/>
        <w:numPr>
          <w:ilvl w:val="0"/>
          <w:numId w:val="102"/>
        </w:numPr>
        <w:jc w:val="both"/>
      </w:pPr>
      <w:r w:rsidRPr="00530054">
        <w:rPr>
          <w:rFonts w:cs="Times New Roman"/>
        </w:rPr>
        <w:t xml:space="preserve">Valguskaabelvõrgu internetiühenduste </w:t>
      </w:r>
      <w:r w:rsidRPr="006E317E">
        <w:t xml:space="preserve">B </w:t>
      </w:r>
      <w:r w:rsidRPr="00530054">
        <w:rPr>
          <w:rFonts w:cs="Times New Roman"/>
        </w:rPr>
        <w:t>piirkonna jaetur</w:t>
      </w:r>
      <w:r>
        <w:rPr>
          <w:rFonts w:cs="Times New Roman"/>
        </w:rPr>
        <w:t>ul</w:t>
      </w:r>
      <w:r w:rsidRPr="006E317E">
        <w:t xml:space="preserve"> </w:t>
      </w:r>
      <w:r w:rsidR="00EC24B2" w:rsidRPr="006E317E">
        <w:t xml:space="preserve">ei ole tasakaalustav </w:t>
      </w:r>
      <w:r w:rsidR="00EE71F9">
        <w:t>ostjaj</w:t>
      </w:r>
      <w:r w:rsidR="00EC24B2" w:rsidRPr="006E317E">
        <w:t>õud piisav;</w:t>
      </w:r>
    </w:p>
    <w:p w14:paraId="629BAEAE" w14:textId="3502381C" w:rsidR="00EC24B2" w:rsidRPr="006E317E" w:rsidRDefault="00EC24B2" w:rsidP="00AA241E">
      <w:pPr>
        <w:pStyle w:val="Loendilik"/>
        <w:numPr>
          <w:ilvl w:val="0"/>
          <w:numId w:val="102"/>
        </w:numPr>
        <w:jc w:val="both"/>
      </w:pPr>
      <w:r w:rsidRPr="006E317E">
        <w:t xml:space="preserve">Telial on </w:t>
      </w:r>
      <w:r w:rsidR="002E251B" w:rsidRPr="002E251B">
        <w:t>valguskaabelvõrgu internetiühenduste B piirkonna jaetur</w:t>
      </w:r>
      <w:r w:rsidR="002E251B">
        <w:t>ul</w:t>
      </w:r>
      <w:r w:rsidR="002E251B" w:rsidRPr="002E251B">
        <w:t xml:space="preserve"> </w:t>
      </w:r>
      <w:r w:rsidRPr="006E317E">
        <w:t xml:space="preserve">endiselt eeliseid seoses </w:t>
      </w:r>
      <w:r w:rsidR="002E251B">
        <w:t>kompleks</w:t>
      </w:r>
      <w:r w:rsidRPr="006E317E">
        <w:t>teenustega niivõrd, kuivõrd see individuaalselt võimaldab tal olla turgu valitseva seisundiga samaväärses majandusliku tugevuse seisundis;</w:t>
      </w:r>
    </w:p>
    <w:p w14:paraId="098945BF" w14:textId="31DCE183" w:rsidR="00EC24B2" w:rsidRPr="006E317E" w:rsidRDefault="00EC24B2" w:rsidP="00AA241E">
      <w:pPr>
        <w:pStyle w:val="Loendilik"/>
        <w:numPr>
          <w:ilvl w:val="0"/>
          <w:numId w:val="102"/>
        </w:numPr>
        <w:jc w:val="both"/>
      </w:pPr>
      <w:r w:rsidRPr="006E317E">
        <w:t xml:space="preserve">Telial on nii mastaabi- kui ka mahusäästu eelised, samuti eelisjuurdepääs rahalistele vahenditele </w:t>
      </w:r>
      <w:r w:rsidR="002E251B" w:rsidRPr="002E251B">
        <w:t>valguskaabelvõrgu internetiühenduste B piirkonna jaetur</w:t>
      </w:r>
      <w:r w:rsidR="002E251B">
        <w:t>ul</w:t>
      </w:r>
      <w:r w:rsidR="002E251B" w:rsidRPr="002E251B">
        <w:t xml:space="preserve"> </w:t>
      </w:r>
      <w:r w:rsidRPr="006E317E">
        <w:t>niivõrd, kuivõrd see individuaalselt võimaldab tal olla valitseva seisundiga samaväärses majandusliku võimu positsioonis.</w:t>
      </w:r>
    </w:p>
    <w:p w14:paraId="72455F84" w14:textId="00B7CB45" w:rsidR="00EC24B2" w:rsidRPr="006E317E" w:rsidRDefault="00EC24B2" w:rsidP="00AA241E">
      <w:pPr>
        <w:jc w:val="both"/>
      </w:pPr>
      <w:r w:rsidRPr="006E317E">
        <w:t xml:space="preserve">Seega on eespool </w:t>
      </w:r>
      <w:r w:rsidRPr="002E251B">
        <w:t xml:space="preserve">nimetatud kriteeriumide analüüs </w:t>
      </w:r>
      <w:r w:rsidR="00E0796B" w:rsidRPr="002E251B">
        <w:t>jaeturul</w:t>
      </w:r>
      <w:r w:rsidRPr="002E251B">
        <w:t xml:space="preserve"> kooskõlas ka hulgituru</w:t>
      </w:r>
      <w:r w:rsidR="00DB4DAF" w:rsidRPr="002E251B">
        <w:t xml:space="preserve"> 1</w:t>
      </w:r>
      <w:r w:rsidRPr="002E251B">
        <w:t xml:space="preserve"> analüüsiga. Nimelt, võttes arvesse punktides </w:t>
      </w:r>
      <w:r w:rsidR="004624D7" w:rsidRPr="002E251B">
        <w:t>5</w:t>
      </w:r>
      <w:r w:rsidRPr="002E251B">
        <w:t>.1.2.2–</w:t>
      </w:r>
      <w:r w:rsidR="004624D7" w:rsidRPr="002E251B">
        <w:t>5</w:t>
      </w:r>
      <w:r w:rsidRPr="002E251B">
        <w:t>.1.2.6 analüüsitud</w:t>
      </w:r>
      <w:r w:rsidRPr="006E317E">
        <w:t xml:space="preserve"> kriteeriume, teeb TTJA hulgi</w:t>
      </w:r>
      <w:r w:rsidR="002E251B">
        <w:t>turu</w:t>
      </w:r>
      <w:r w:rsidRPr="006E317E">
        <w:t xml:space="preserve"> kohta järgmised järeldused:</w:t>
      </w:r>
    </w:p>
    <w:p w14:paraId="6A6E2E75" w14:textId="164333D2" w:rsidR="00EC24B2" w:rsidRPr="006E317E" w:rsidRDefault="006B3769" w:rsidP="00AA241E">
      <w:pPr>
        <w:pStyle w:val="Loendilik"/>
        <w:numPr>
          <w:ilvl w:val="0"/>
          <w:numId w:val="103"/>
        </w:numPr>
        <w:jc w:val="both"/>
      </w:pPr>
      <w:r>
        <w:t>T</w:t>
      </w:r>
      <w:r w:rsidR="00EC24B2" w:rsidRPr="006E317E">
        <w:t xml:space="preserve">akistused elektroonilise side võrgu levialale sisenemisel ja selle leviala laiendamisel </w:t>
      </w:r>
      <w:bookmarkStart w:id="796" w:name="_Hlk174629362"/>
      <w:r w:rsidR="002E251B" w:rsidRPr="002E251B">
        <w:t>valguskaablivõrgu B piirkonna hulgitur</w:t>
      </w:r>
      <w:r w:rsidR="002E251B">
        <w:t>ul</w:t>
      </w:r>
      <w:r w:rsidR="002E251B" w:rsidRPr="002E251B">
        <w:t xml:space="preserve"> 1</w:t>
      </w:r>
      <w:r w:rsidR="002E251B">
        <w:t xml:space="preserve"> </w:t>
      </w:r>
      <w:bookmarkEnd w:id="796"/>
      <w:r w:rsidR="00EC24B2" w:rsidRPr="006E317E">
        <w:t>on suured;</w:t>
      </w:r>
    </w:p>
    <w:p w14:paraId="1FF920BD" w14:textId="37F1A9F1" w:rsidR="00EC24B2" w:rsidRPr="006E317E" w:rsidRDefault="00EC24B2" w:rsidP="00AA241E">
      <w:pPr>
        <w:pStyle w:val="Loendilik"/>
        <w:numPr>
          <w:ilvl w:val="0"/>
          <w:numId w:val="103"/>
        </w:numPr>
        <w:jc w:val="both"/>
      </w:pPr>
      <w:r w:rsidRPr="006E317E">
        <w:t xml:space="preserve">Telial on endiselt kontroll olulise elektroonilise side infrastruktuuri üle ja tehnoloogilised eelised </w:t>
      </w:r>
      <w:r w:rsidR="002E251B" w:rsidRPr="002E251B">
        <w:t xml:space="preserve">valguskaablivõrgu B piirkonna hulgiturul 1 </w:t>
      </w:r>
      <w:r w:rsidRPr="006E317E">
        <w:t>niivõrd, kuivõrd see individuaalselt võimaldab tal olla turgu valitseva seisundiga samaväärses majandusliku võimsusega seisundis;</w:t>
      </w:r>
    </w:p>
    <w:p w14:paraId="3369AB28" w14:textId="4CEDD5C2" w:rsidR="00EC24B2" w:rsidRPr="006E317E" w:rsidRDefault="00EC24B2" w:rsidP="00AA241E">
      <w:pPr>
        <w:pStyle w:val="Loendilik"/>
        <w:numPr>
          <w:ilvl w:val="0"/>
          <w:numId w:val="103"/>
        </w:numPr>
        <w:jc w:val="both"/>
      </w:pPr>
      <w:r w:rsidRPr="006E317E">
        <w:t xml:space="preserve">Tasakaalustav ostja jõud hulgiturul on olemas juhul, kui alternatiivsed operaatorid saavad valida hulgimüügiteenuse osutajaid, kes ei ole turgu valitsevad operaatorid. Tuleb meeles pidada, et alternatiivse operaatori võrgu katvus, kui see pakub hulgitasandi juurdepääsu, on sageli piiratud. Seega </w:t>
      </w:r>
      <w:r w:rsidR="002E251B" w:rsidRPr="002E251B">
        <w:t xml:space="preserve">valguskaablivõrgu B piirkonna hulgiturul 1 </w:t>
      </w:r>
      <w:r w:rsidRPr="006E317E">
        <w:t xml:space="preserve">ei piisa tasakaalustavast </w:t>
      </w:r>
      <w:r w:rsidR="00EE71F9">
        <w:t>ostjaj</w:t>
      </w:r>
      <w:r w:rsidRPr="006E317E">
        <w:t>õust, sest hetkel osutavad teenuseid küll viis teenuseosutajat, kuid ainult üks teenuseosutaja Enefit pakub teenuseid mitmes B-piirkonna maa või linnalises piirkonnas, samas ei ole tema valguskaabli juurdepääsuvõrgu leviala ca (</w:t>
      </w:r>
      <w:r w:rsidR="001C5941" w:rsidRPr="006379B0">
        <w:t>…*</w:t>
      </w:r>
      <w:r w:rsidRPr="006E317E">
        <w:t xml:space="preserve">%)* B piirkonnas veel küllaldane, et avaldada survet Teliale. Tasakaalustav </w:t>
      </w:r>
      <w:r w:rsidR="00EE71F9">
        <w:t>ostjaj</w:t>
      </w:r>
      <w:r w:rsidRPr="006E317E">
        <w:t xml:space="preserve">õud ei ole piisav, sest ühelgi teisel Eesti operaatoril ei ole samaväärset katvust, et pakkuda eraldatud juurdepääsu või </w:t>
      </w:r>
      <w:proofErr w:type="spellStart"/>
      <w:r w:rsidRPr="006E317E">
        <w:t>VULA-d</w:t>
      </w:r>
      <w:proofErr w:type="spellEnd"/>
      <w:r w:rsidRPr="006E317E">
        <w:t xml:space="preserve"> teisele B piirkonnas asuvale kauplejale sellises ulatuses, nagu Telia suudab;</w:t>
      </w:r>
    </w:p>
    <w:p w14:paraId="77D7F5B8" w14:textId="0A656DE1" w:rsidR="00EC24B2" w:rsidRPr="006E317E" w:rsidRDefault="00EC24B2" w:rsidP="00AA241E">
      <w:pPr>
        <w:pStyle w:val="Loendilik"/>
        <w:numPr>
          <w:ilvl w:val="0"/>
          <w:numId w:val="103"/>
        </w:numPr>
        <w:jc w:val="both"/>
      </w:pPr>
      <w:r w:rsidRPr="006E317E">
        <w:t xml:space="preserve">Telia on nii mastaabi- kui ka mahuökonoomika eelised, samuti eelisjuurdepääs rahalistele ressurssidele </w:t>
      </w:r>
      <w:r w:rsidR="002E251B" w:rsidRPr="002E251B">
        <w:t xml:space="preserve">valguskaablivõrgu B piirkonna hulgiturul 1 </w:t>
      </w:r>
      <w:r w:rsidRPr="006E317E">
        <w:t xml:space="preserve">niivõrd, kuivõrd see </w:t>
      </w:r>
      <w:r w:rsidRPr="006E317E">
        <w:lastRenderedPageBreak/>
        <w:t>individuaalselt võimaldab tal olla turgu valitseva seisundiga samaväärses majandusliku võimu seisundis.</w:t>
      </w:r>
    </w:p>
    <w:p w14:paraId="32FA8C08" w14:textId="3505BF54" w:rsidR="00EC24B2" w:rsidRPr="00BE0FB7" w:rsidRDefault="00EC24B2" w:rsidP="00AA241E">
      <w:pPr>
        <w:jc w:val="both"/>
        <w:rPr>
          <w:b/>
          <w:bCs/>
        </w:rPr>
      </w:pPr>
      <w:r w:rsidRPr="00BE0FB7">
        <w:rPr>
          <w:b/>
          <w:bCs/>
        </w:rPr>
        <w:t xml:space="preserve">Võttes arvesse analüüsitud turuosa analüüsi ja muid kriteeriume, puudub turul tõhus konkurents </w:t>
      </w:r>
      <w:r w:rsidR="002E251B" w:rsidRPr="002E251B">
        <w:rPr>
          <w:b/>
          <w:bCs/>
        </w:rPr>
        <w:t xml:space="preserve">valguskaablivõrgu B piirkonna hulgiturul 1 </w:t>
      </w:r>
      <w:r w:rsidRPr="00BE0FB7">
        <w:rPr>
          <w:b/>
          <w:bCs/>
        </w:rPr>
        <w:t>ja Telia on endiselt majandusliku tugevusega positsioonis, mis on samaväärne turgu valitseva seisundiga. Nimelt on Telia endiselt märkimisväärse turujõuga ettevõtja.</w:t>
      </w:r>
    </w:p>
    <w:p w14:paraId="756563FE" w14:textId="3806C229" w:rsidR="00EC24B2" w:rsidRPr="006E317E" w:rsidRDefault="00872035" w:rsidP="00AA241E">
      <w:pPr>
        <w:pStyle w:val="Pealkiri4"/>
      </w:pPr>
      <w:r w:rsidRPr="006E317E">
        <w:t xml:space="preserve">Kolme </w:t>
      </w:r>
      <w:r w:rsidR="00EC24B2" w:rsidRPr="006E317E">
        <w:t>kriteeriumi testi kokkuvõte</w:t>
      </w:r>
    </w:p>
    <w:p w14:paraId="4DB9FA23" w14:textId="16466C7E" w:rsidR="00EC24B2" w:rsidRPr="002E251B" w:rsidRDefault="00EC24B2" w:rsidP="00AA241E">
      <w:pPr>
        <w:jc w:val="both"/>
      </w:pPr>
      <w:r w:rsidRPr="006E317E">
        <w:t>Võttes arvesse, et B piirkonnas mahtude hulgimüük (</w:t>
      </w:r>
      <w:r w:rsidR="0007135D">
        <w:t>kliendiliin</w:t>
      </w:r>
      <w:r w:rsidRPr="006E317E">
        <w:t xml:space="preserve">ide arv) on väike moodustades 9,5% </w:t>
      </w:r>
      <w:r w:rsidRPr="002E251B">
        <w:t>aktiivsetest kli</w:t>
      </w:r>
      <w:r w:rsidR="0007135D" w:rsidRPr="002E251B">
        <w:t>e</w:t>
      </w:r>
      <w:r w:rsidRPr="002E251B">
        <w:t xml:space="preserve">ndi </w:t>
      </w:r>
      <w:r w:rsidR="0007135D" w:rsidRPr="002E251B">
        <w:t>kliendiliin</w:t>
      </w:r>
      <w:r w:rsidRPr="002E251B">
        <w:t>idest, seisneb hulgiturg 1 põhimõtteliselt abstraktse hulgi juurdepääsu pakkumises oma jaeturule. Seega vastab teave jae</w:t>
      </w:r>
      <w:r w:rsidR="00397D54" w:rsidRPr="002E251B">
        <w:t>turu</w:t>
      </w:r>
      <w:r w:rsidR="00A52EDA" w:rsidRPr="002E251B">
        <w:t>l</w:t>
      </w:r>
      <w:r w:rsidRPr="002E251B">
        <w:t xml:space="preserve"> kasutatava kolme kriteeriumi testi kohta (punkt </w:t>
      </w:r>
      <w:r w:rsidR="004624D7" w:rsidRPr="002E251B">
        <w:t>5</w:t>
      </w:r>
      <w:r w:rsidRPr="002E251B">
        <w:t>.1.2.7) ka hulgi</w:t>
      </w:r>
      <w:r w:rsidR="000E4D08" w:rsidRPr="002E251B">
        <w:t>turul</w:t>
      </w:r>
      <w:r w:rsidRPr="002E251B">
        <w:t xml:space="preserve"> kasutatava kolme kriteeriumi testi kohta käivale teabele.</w:t>
      </w:r>
    </w:p>
    <w:p w14:paraId="72BDFC16" w14:textId="456744E1" w:rsidR="00EC24B2" w:rsidRPr="002E251B" w:rsidRDefault="00EC24B2" w:rsidP="00AA241E">
      <w:pPr>
        <w:jc w:val="both"/>
      </w:pPr>
      <w:r w:rsidRPr="002E251B">
        <w:t xml:space="preserve">TTJA analüüsis B piirkonnas asuva valguskaabli </w:t>
      </w:r>
      <w:r w:rsidR="004712E8" w:rsidRPr="002E251B">
        <w:t xml:space="preserve">jaeturul </w:t>
      </w:r>
      <w:r w:rsidRPr="002E251B">
        <w:t xml:space="preserve">üksikasjalikult punktis </w:t>
      </w:r>
      <w:r w:rsidR="004624D7" w:rsidRPr="002E251B">
        <w:t>5</w:t>
      </w:r>
      <w:r w:rsidRPr="002E251B">
        <w:t xml:space="preserve">.1.2.2 esitatud sisenemistõkkeid ja jõudis järeldusele, et tõkked </w:t>
      </w:r>
      <w:r w:rsidR="000E4D08" w:rsidRPr="002E251B">
        <w:t xml:space="preserve">teenuse osutamise turule sisenemisel ja võrgu laiendamisel </w:t>
      </w:r>
      <w:r w:rsidRPr="002E251B">
        <w:t xml:space="preserve">B piirkonnas asuval valguskaabli </w:t>
      </w:r>
      <w:r w:rsidR="004712E8" w:rsidRPr="002E251B">
        <w:t>jaeturul on</w:t>
      </w:r>
      <w:r w:rsidRPr="002E251B">
        <w:t xml:space="preserve"> suured. </w:t>
      </w:r>
      <w:r w:rsidR="004712E8" w:rsidRPr="002E251B">
        <w:t xml:space="preserve">Jaetasandil </w:t>
      </w:r>
      <w:r w:rsidRPr="002E251B">
        <w:t xml:space="preserve">analüüsitud turule </w:t>
      </w:r>
      <w:r w:rsidR="00B052DA" w:rsidRPr="002E251B">
        <w:t>sisenemise</w:t>
      </w:r>
      <w:r w:rsidRPr="002E251B">
        <w:t xml:space="preserve"> tõkked kehtivad ka hulgit</w:t>
      </w:r>
      <w:r w:rsidR="000E4D08" w:rsidRPr="002E251B">
        <w:t>urul</w:t>
      </w:r>
      <w:r w:rsidRPr="002E251B">
        <w:t xml:space="preserve">. Seega, arvestades punktides </w:t>
      </w:r>
      <w:r w:rsidR="004624D7" w:rsidRPr="002E251B">
        <w:t>5</w:t>
      </w:r>
      <w:r w:rsidRPr="002E251B">
        <w:t xml:space="preserve">.1.2.2 ja </w:t>
      </w:r>
      <w:r w:rsidR="004624D7" w:rsidRPr="002E251B">
        <w:t>5</w:t>
      </w:r>
      <w:r w:rsidRPr="002E251B">
        <w:t>.1.2.7 tehtud analüüsi, on täidetud kolme kriteeriumi esimene kriteerium, mis on määratletud kui suurte ja pikaajaliste struktuursete, õiguslike või regulatiivsete turule sisenemise tõkete olemasolu.</w:t>
      </w:r>
    </w:p>
    <w:p w14:paraId="7D7CBCFE" w14:textId="3B552832" w:rsidR="00EC24B2" w:rsidRPr="006E317E" w:rsidRDefault="00EC24B2" w:rsidP="00AA241E">
      <w:pPr>
        <w:jc w:val="both"/>
      </w:pPr>
      <w:r w:rsidRPr="002E251B">
        <w:t xml:space="preserve">TTJA viis punktides </w:t>
      </w:r>
      <w:r w:rsidR="004624D7" w:rsidRPr="002E251B">
        <w:t>5</w:t>
      </w:r>
      <w:r w:rsidRPr="002E251B">
        <w:t xml:space="preserve">.1.2 ja </w:t>
      </w:r>
      <w:r w:rsidR="004624D7" w:rsidRPr="002E251B">
        <w:t>5</w:t>
      </w:r>
      <w:r w:rsidRPr="002E251B">
        <w:t xml:space="preserve">.1.2.7 läbi turuanalüüsi B piirkonnas </w:t>
      </w:r>
      <w:r w:rsidR="007271DA" w:rsidRPr="002E251B">
        <w:t>valguskaabelvõrgu internetiteenuse jaeturu</w:t>
      </w:r>
      <w:r w:rsidR="002301DD" w:rsidRPr="002E251B">
        <w:t>l</w:t>
      </w:r>
      <w:r w:rsidR="007271DA" w:rsidRPr="002E251B">
        <w:t xml:space="preserve"> </w:t>
      </w:r>
      <w:r w:rsidRPr="002E251B">
        <w:t>ja jõudis järeldusele, et kolme kriteeriumi testi teine kriteerium, mis on määratletud kui turustruktuur,</w:t>
      </w:r>
      <w:r w:rsidR="002301DD" w:rsidRPr="002E251B">
        <w:t xml:space="preserve"> mis</w:t>
      </w:r>
      <w:r w:rsidRPr="002E251B">
        <w:t xml:space="preserve"> ei ole suunatud tõhusale konkurentsile, on täidetud, sest </w:t>
      </w:r>
      <w:r w:rsidR="002301DD" w:rsidRPr="002E251B">
        <w:t>TTJA</w:t>
      </w:r>
      <w:r w:rsidRPr="002E251B">
        <w:t xml:space="preserve"> analüüsi kohaselt puudub B piirkonnas </w:t>
      </w:r>
      <w:r w:rsidR="002301DD" w:rsidRPr="002E251B">
        <w:t>valguskaabelvõrgu internetiteenuse jaeturu</w:t>
      </w:r>
      <w:r w:rsidR="000503EE" w:rsidRPr="002E251B">
        <w:t>l</w:t>
      </w:r>
      <w:r w:rsidR="002301DD" w:rsidRPr="002E251B">
        <w:t xml:space="preserve"> </w:t>
      </w:r>
      <w:r w:rsidRPr="002E251B">
        <w:t>tõhus konkurents. Seega, võttes arvesse Telia suuri turuosasid jae</w:t>
      </w:r>
      <w:r w:rsidR="000503EE" w:rsidRPr="002E251B">
        <w:t>turul</w:t>
      </w:r>
      <w:r w:rsidRPr="002E251B">
        <w:t xml:space="preserve"> ja sisemi</w:t>
      </w:r>
      <w:r w:rsidR="00E34D05" w:rsidRPr="002E251B">
        <w:t>st</w:t>
      </w:r>
      <w:r w:rsidRPr="002E251B">
        <w:t xml:space="preserve"> hulgimüü</w:t>
      </w:r>
      <w:r w:rsidR="00E34D05" w:rsidRPr="002E251B">
        <w:t>ki</w:t>
      </w:r>
      <w:r w:rsidRPr="002E251B">
        <w:t xml:space="preserve"> B piirkonnas (vt punkt </w:t>
      </w:r>
      <w:r w:rsidR="004624D7" w:rsidRPr="002E251B">
        <w:t>5</w:t>
      </w:r>
      <w:r w:rsidRPr="002E251B">
        <w:t xml:space="preserve">.2.2.1) ja muid punktides </w:t>
      </w:r>
      <w:r w:rsidR="004624D7" w:rsidRPr="002E251B">
        <w:t>5</w:t>
      </w:r>
      <w:r w:rsidRPr="002E251B">
        <w:t xml:space="preserve">.1.2 ja </w:t>
      </w:r>
      <w:r w:rsidR="004624D7" w:rsidRPr="002E251B">
        <w:t>5</w:t>
      </w:r>
      <w:r w:rsidRPr="002E251B">
        <w:t>.2.2.1 analüüsitud kriteeriume, on täidetud kolme kriteeriumi testi teine kriteerium</w:t>
      </w:r>
      <w:r w:rsidR="00397D54" w:rsidRPr="002E251B">
        <w:t>:</w:t>
      </w:r>
      <w:r w:rsidRPr="002E251B">
        <w:t xml:space="preserve"> </w:t>
      </w:r>
      <w:r w:rsidR="00E34D05" w:rsidRPr="002E251B">
        <w:t>turustruktuur</w:t>
      </w:r>
      <w:r w:rsidR="00C73FFA" w:rsidRPr="002E251B">
        <w:t>, mis ei võimalda tõhusa konkurentsi saavutamist ettenähtud ajavahemiku jooksul</w:t>
      </w:r>
      <w:r w:rsidRPr="002E251B">
        <w:t>.</w:t>
      </w:r>
    </w:p>
    <w:p w14:paraId="356B56C8" w14:textId="3652FE2A" w:rsidR="00EC24B2" w:rsidRPr="006E317E" w:rsidRDefault="00EC24B2" w:rsidP="00AA241E">
      <w:pPr>
        <w:jc w:val="both"/>
      </w:pPr>
      <w:r w:rsidRPr="006E317E">
        <w:t xml:space="preserve">Kuigi </w:t>
      </w:r>
      <w:r w:rsidR="002E251B" w:rsidRPr="002E251B">
        <w:t>valguskaabelvõrgu internetiühenduste B piirkonna jaetur</w:t>
      </w:r>
      <w:r w:rsidR="002E251B">
        <w:t>u</w:t>
      </w:r>
      <w:r w:rsidR="002E251B" w:rsidRPr="002E251B">
        <w:t xml:space="preserve"> </w:t>
      </w:r>
      <w:r w:rsidRPr="006E317E">
        <w:t xml:space="preserve">infrastruktuuris valitseb endiselt ebapiisav ja täielik konkurents, ei piisa ka üldise konkurentsiõiguse kohaldamisest hulgiturul, kuna püsivate turutõrgete kõrvaldamine nõuab kohest sekkumist. Seega on kõik kolm kriteeriumi </w:t>
      </w:r>
      <w:r w:rsidR="002E251B" w:rsidRPr="002E251B">
        <w:t>valguskaablivõrgu B piirkonna hulgitur</w:t>
      </w:r>
      <w:r w:rsidR="002E251B">
        <w:t>ul</w:t>
      </w:r>
      <w:r w:rsidR="002E251B" w:rsidRPr="002E251B">
        <w:t xml:space="preserve"> 1</w:t>
      </w:r>
      <w:r w:rsidR="002E251B">
        <w:t xml:space="preserve"> </w:t>
      </w:r>
      <w:r w:rsidRPr="006E317E">
        <w:t xml:space="preserve"> täidetud ja TTJA järeldab, et regulatiivne sekkumine asjaomasel hulgiturul on endiselt vajalik.</w:t>
      </w:r>
    </w:p>
    <w:p w14:paraId="2E87AAD8" w14:textId="77777777" w:rsidR="00EC24B2" w:rsidRPr="006E317E" w:rsidRDefault="00EC24B2" w:rsidP="00AA241E">
      <w:pPr>
        <w:pStyle w:val="Pealkiri4"/>
      </w:pPr>
      <w:r w:rsidRPr="006E317E">
        <w:t>Turuanalüüsi tulemused</w:t>
      </w:r>
    </w:p>
    <w:p w14:paraId="25B1F49D" w14:textId="1C6826E5" w:rsidR="00EC24B2" w:rsidRPr="006E317E" w:rsidRDefault="00EC24B2" w:rsidP="00AA241E">
      <w:pPr>
        <w:jc w:val="both"/>
      </w:pPr>
      <w:r w:rsidRPr="006E317E">
        <w:t xml:space="preserve">Võttes arvesse punktis </w:t>
      </w:r>
      <w:r w:rsidR="004624D7" w:rsidRPr="002E251B">
        <w:t>5</w:t>
      </w:r>
      <w:r w:rsidRPr="002E251B">
        <w:t xml:space="preserve">.2.2 tehtud analüüsi, </w:t>
      </w:r>
      <w:bookmarkStart w:id="797" w:name="_Hlk174018466"/>
      <w:r w:rsidRPr="002E251B">
        <w:t xml:space="preserve">puudub </w:t>
      </w:r>
      <w:r w:rsidR="002E251B" w:rsidRPr="002E251B">
        <w:t xml:space="preserve">valguskaablivõrgu B piirkonna hulgiturul 1  </w:t>
      </w:r>
      <w:r w:rsidRPr="002E251B">
        <w:t>tõhus konkurents</w:t>
      </w:r>
      <w:r w:rsidRPr="006E317E">
        <w:t xml:space="preserve"> ja Telia majanduslik tugevus on endiselt samaväärne turgu valitseva seisundiga.</w:t>
      </w:r>
    </w:p>
    <w:p w14:paraId="37020433" w14:textId="4E6B0182" w:rsidR="00EC24B2" w:rsidRPr="002B60AB" w:rsidRDefault="00EC24B2" w:rsidP="00AA241E">
      <w:pPr>
        <w:jc w:val="both"/>
        <w:rPr>
          <w:b/>
          <w:bCs/>
        </w:rPr>
      </w:pPr>
      <w:r w:rsidRPr="002B60AB">
        <w:rPr>
          <w:b/>
          <w:bCs/>
        </w:rPr>
        <w:lastRenderedPageBreak/>
        <w:t>Seega määratleb TTJA Telia</w:t>
      </w:r>
      <w:r w:rsidR="00593916" w:rsidRPr="002B60AB">
        <w:rPr>
          <w:b/>
          <w:bCs/>
        </w:rPr>
        <w:t>,</w:t>
      </w:r>
      <w:r w:rsidRPr="002B60AB">
        <w:rPr>
          <w:b/>
          <w:bCs/>
        </w:rPr>
        <w:t xml:space="preserve"> kui teenuseosutaja, kellel on märkimisväärne turu jõud </w:t>
      </w:r>
      <w:r w:rsidR="002E251B" w:rsidRPr="002E251B">
        <w:rPr>
          <w:b/>
          <w:bCs/>
        </w:rPr>
        <w:t xml:space="preserve">valguskaablivõrgu B piirkonna hulgiturul 1  </w:t>
      </w:r>
      <w:r w:rsidRPr="002B60AB">
        <w:rPr>
          <w:b/>
          <w:bCs/>
        </w:rPr>
        <w:t>(kindlaksmääratud asukohas kohaliku juurdepääsu hulgiturg).</w:t>
      </w:r>
    </w:p>
    <w:bookmarkEnd w:id="797"/>
    <w:p w14:paraId="41586DA7" w14:textId="77777777" w:rsidR="0019768D" w:rsidRPr="006E317E" w:rsidRDefault="0019768D" w:rsidP="00AA241E">
      <w:pPr>
        <w:jc w:val="both"/>
      </w:pPr>
    </w:p>
    <w:p w14:paraId="25913B80" w14:textId="2DB5A0B4" w:rsidR="054BD844" w:rsidRPr="006E317E" w:rsidRDefault="0007135D" w:rsidP="00AA241E">
      <w:pPr>
        <w:pStyle w:val="Pealkiri1"/>
      </w:pPr>
      <w:bookmarkStart w:id="798" w:name="_Toc174710798"/>
      <w:r>
        <w:t>H</w:t>
      </w:r>
      <w:r w:rsidR="001C4466">
        <w:t>ULGITUR</w:t>
      </w:r>
      <w:r w:rsidR="00C75C5D">
        <w:t>U</w:t>
      </w:r>
      <w:r>
        <w:t xml:space="preserve"> 3b</w:t>
      </w:r>
      <w:r w:rsidR="001C4466">
        <w:t xml:space="preserve"> ANALÜÜS</w:t>
      </w:r>
      <w:bookmarkEnd w:id="798"/>
    </w:p>
    <w:p w14:paraId="7ABC53CB" w14:textId="2E99E489" w:rsidR="00150039" w:rsidRPr="006E317E" w:rsidRDefault="65055489" w:rsidP="00AA241E">
      <w:pPr>
        <w:jc w:val="both"/>
      </w:pPr>
      <w:r w:rsidRPr="006E317E">
        <w:t xml:space="preserve"> </w:t>
      </w:r>
    </w:p>
    <w:p w14:paraId="08EB7A3A" w14:textId="77777777" w:rsidR="00797DBE" w:rsidRPr="00797DBE" w:rsidRDefault="00797DBE" w:rsidP="00AA241E">
      <w:pPr>
        <w:pStyle w:val="Loendilik"/>
        <w:numPr>
          <w:ilvl w:val="0"/>
          <w:numId w:val="43"/>
        </w:numPr>
        <w:contextualSpacing w:val="0"/>
        <w:jc w:val="both"/>
        <w:outlineLvl w:val="1"/>
        <w:rPr>
          <w:b/>
          <w:vanish/>
        </w:rPr>
      </w:pPr>
      <w:bookmarkStart w:id="799" w:name="_Toc174094590"/>
      <w:bookmarkStart w:id="800" w:name="_Toc174094857"/>
      <w:bookmarkStart w:id="801" w:name="_Toc174095123"/>
      <w:bookmarkStart w:id="802" w:name="_Toc174095388"/>
      <w:bookmarkStart w:id="803" w:name="_Toc174095926"/>
      <w:bookmarkStart w:id="804" w:name="_Toc174096192"/>
      <w:bookmarkStart w:id="805" w:name="_Toc174536082"/>
      <w:bookmarkStart w:id="806" w:name="_Toc174617183"/>
      <w:bookmarkStart w:id="807" w:name="_Toc174618540"/>
      <w:bookmarkStart w:id="808" w:name="_Toc174627602"/>
      <w:bookmarkStart w:id="809" w:name="_Toc174705026"/>
      <w:bookmarkStart w:id="810" w:name="_Toc174709570"/>
      <w:bookmarkStart w:id="811" w:name="_Toc174710799"/>
      <w:bookmarkEnd w:id="799"/>
      <w:bookmarkEnd w:id="800"/>
      <w:bookmarkEnd w:id="801"/>
      <w:bookmarkEnd w:id="802"/>
      <w:bookmarkEnd w:id="803"/>
      <w:bookmarkEnd w:id="804"/>
      <w:bookmarkEnd w:id="805"/>
      <w:bookmarkEnd w:id="806"/>
      <w:bookmarkEnd w:id="807"/>
      <w:bookmarkEnd w:id="808"/>
      <w:bookmarkEnd w:id="809"/>
      <w:bookmarkEnd w:id="810"/>
      <w:bookmarkEnd w:id="811"/>
    </w:p>
    <w:p w14:paraId="2997EDB5" w14:textId="77777777" w:rsidR="00156111" w:rsidRPr="00156111" w:rsidRDefault="00156111" w:rsidP="00AA241E">
      <w:pPr>
        <w:pStyle w:val="Loendilik"/>
        <w:numPr>
          <w:ilvl w:val="0"/>
          <w:numId w:val="81"/>
        </w:numPr>
        <w:spacing w:before="120" w:after="240"/>
        <w:contextualSpacing w:val="0"/>
        <w:jc w:val="both"/>
        <w:outlineLvl w:val="1"/>
        <w:rPr>
          <w:b/>
          <w:iCs/>
          <w:vanish/>
        </w:rPr>
      </w:pPr>
      <w:bookmarkStart w:id="812" w:name="_Toc174094591"/>
      <w:bookmarkStart w:id="813" w:name="_Toc174094858"/>
      <w:bookmarkStart w:id="814" w:name="_Toc174095124"/>
      <w:bookmarkStart w:id="815" w:name="_Toc174095389"/>
      <w:bookmarkStart w:id="816" w:name="_Toc174095927"/>
      <w:bookmarkStart w:id="817" w:name="_Toc174096193"/>
      <w:bookmarkStart w:id="818" w:name="_Toc174536083"/>
      <w:bookmarkStart w:id="819" w:name="_Toc174617184"/>
      <w:bookmarkStart w:id="820" w:name="_Toc174618541"/>
      <w:bookmarkStart w:id="821" w:name="_Toc174627603"/>
      <w:bookmarkStart w:id="822" w:name="_Toc174705027"/>
      <w:bookmarkStart w:id="823" w:name="_Toc174709571"/>
      <w:bookmarkStart w:id="824" w:name="_Toc174710800"/>
      <w:bookmarkEnd w:id="812"/>
      <w:bookmarkEnd w:id="813"/>
      <w:bookmarkEnd w:id="814"/>
      <w:bookmarkEnd w:id="815"/>
      <w:bookmarkEnd w:id="816"/>
      <w:bookmarkEnd w:id="817"/>
      <w:bookmarkEnd w:id="818"/>
      <w:bookmarkEnd w:id="819"/>
      <w:bookmarkEnd w:id="820"/>
      <w:bookmarkEnd w:id="821"/>
      <w:bookmarkEnd w:id="822"/>
      <w:bookmarkEnd w:id="823"/>
      <w:bookmarkEnd w:id="824"/>
    </w:p>
    <w:p w14:paraId="5F2B85D8" w14:textId="445BCA49" w:rsidR="054BD844" w:rsidRPr="006E317E" w:rsidRDefault="00D663B4" w:rsidP="00AA241E">
      <w:pPr>
        <w:pStyle w:val="Pealkiri2"/>
        <w:jc w:val="both"/>
      </w:pPr>
      <w:bookmarkStart w:id="825" w:name="_Toc174710801"/>
      <w:r>
        <w:t>Hulgit</w:t>
      </w:r>
      <w:r w:rsidR="65055489" w:rsidRPr="006E317E">
        <w:t>uru 3b analüüs jaeturu tasandil</w:t>
      </w:r>
      <w:bookmarkEnd w:id="825"/>
    </w:p>
    <w:p w14:paraId="7787E632" w14:textId="59D14F91" w:rsidR="054BD844" w:rsidRPr="006E317E" w:rsidRDefault="65055489" w:rsidP="00AA241E">
      <w:pPr>
        <w:jc w:val="both"/>
      </w:pPr>
      <w:r w:rsidRPr="006E317E">
        <w:t>2014. aasta toote- ja teenuseturgude soovituse lisa punktis 3b määratletakse turuna, mille riigi reguleeriv asutus peab piiritlema eesmärgiga kindlaks teha, kas piiritletud sideteenuse turul toimib efektiivne konkurents, kindlaksmääratud asukohas masstoodete keskse juurdepääsu hulgiteenuse turg (ehk lairiba juurdepääsu hulgiturg). Lairiba juurdepääsu hulgiturg hõlmab lairibaühendusele juurdepääsu hulgiteenust (</w:t>
      </w:r>
      <w:r w:rsidRPr="00A932A8">
        <w:rPr>
          <w:i/>
          <w:iCs/>
        </w:rPr>
        <w:t xml:space="preserve">bitstream </w:t>
      </w:r>
      <w:proofErr w:type="spellStart"/>
      <w:r w:rsidRPr="00A932A8">
        <w:rPr>
          <w:i/>
          <w:iCs/>
        </w:rPr>
        <w:t>access</w:t>
      </w:r>
      <w:proofErr w:type="spellEnd"/>
      <w:r w:rsidRPr="006E317E">
        <w:t>), mis vastavalt soovituse seletuskirjale</w:t>
      </w:r>
      <w:r w:rsidR="00D458EB" w:rsidRPr="005D266E">
        <w:rPr>
          <w:vertAlign w:val="superscript"/>
        </w:rPr>
        <w:footnoteReference w:id="101"/>
      </w:r>
      <w:r w:rsidRPr="006E317E">
        <w:t xml:space="preserve"> võimaldab </w:t>
      </w:r>
      <w:proofErr w:type="spellStart"/>
      <w:r w:rsidRPr="006E317E">
        <w:t>mõlemasuunalist</w:t>
      </w:r>
      <w:proofErr w:type="spellEnd"/>
      <w:r w:rsidRPr="006E317E">
        <w:t xml:space="preserve"> lairiba-andmeedastust.</w:t>
      </w:r>
    </w:p>
    <w:p w14:paraId="2BF22C0B" w14:textId="438F8EE1" w:rsidR="054BD844" w:rsidRPr="006E317E" w:rsidRDefault="65055489" w:rsidP="00AA241E">
      <w:pPr>
        <w:jc w:val="both"/>
      </w:pPr>
      <w:r w:rsidRPr="006E317E">
        <w:t xml:space="preserve">2020. aasta soovitus ei hõlma enam </w:t>
      </w:r>
      <w:r w:rsidR="00041118">
        <w:t>hulgi</w:t>
      </w:r>
      <w:r w:rsidRPr="006E317E">
        <w:t xml:space="preserve">turgu 3b. Varasematest turuanalüüsidest aga kehtivad Teliale siiani kehtestatud kohustused. TTJA lähtub järjepidevuse tagamiseks olemasolevast turu nimetusest ning sellest tulenevalt analüüsib varasemate analüüsi voorude põhjal </w:t>
      </w:r>
      <w:r w:rsidR="00041118">
        <w:t>hulgi</w:t>
      </w:r>
      <w:r w:rsidRPr="006E317E">
        <w:t>turgu 3b, mis ei ole loetletud 2020</w:t>
      </w:r>
      <w:r w:rsidR="00A932A8">
        <w:t>.</w:t>
      </w:r>
      <w:r w:rsidRPr="006E317E">
        <w:t xml:space="preserve"> soovituses, kuid millel kehtivad MTE-</w:t>
      </w:r>
      <w:proofErr w:type="spellStart"/>
      <w:r w:rsidRPr="006E317E">
        <w:t>le</w:t>
      </w:r>
      <w:proofErr w:type="spellEnd"/>
      <w:r w:rsidRPr="006E317E">
        <w:t xml:space="preserve"> kohustused. Seega peab TTJA tõendama, et asjaomasel  turul on kumulatiivselt täidetud kolm kriteeriumi.</w:t>
      </w:r>
      <w:r w:rsidR="00843319" w:rsidRPr="005D266E">
        <w:rPr>
          <w:vertAlign w:val="superscript"/>
        </w:rPr>
        <w:footnoteReference w:id="102"/>
      </w:r>
      <w:r w:rsidR="00843319" w:rsidRPr="006E317E">
        <w:t xml:space="preserve"> </w:t>
      </w:r>
    </w:p>
    <w:p w14:paraId="303D7B08" w14:textId="19F65795" w:rsidR="054BD844" w:rsidRPr="006E317E" w:rsidRDefault="65055489" w:rsidP="00AA241E">
      <w:pPr>
        <w:jc w:val="both"/>
      </w:pPr>
      <w:r w:rsidRPr="006E317E">
        <w:t xml:space="preserve">Lähtepunktiks selliste hulgiturgude kindlaksmääramisel, kus  </w:t>
      </w:r>
      <w:proofErr w:type="spellStart"/>
      <w:r w:rsidRPr="00916350">
        <w:rPr>
          <w:i/>
          <w:iCs/>
        </w:rPr>
        <w:t>ex</w:t>
      </w:r>
      <w:proofErr w:type="spellEnd"/>
      <w:r w:rsidRPr="00916350">
        <w:rPr>
          <w:i/>
          <w:iCs/>
        </w:rPr>
        <w:t xml:space="preserve"> ante</w:t>
      </w:r>
      <w:r w:rsidRPr="006E317E">
        <w:t xml:space="preserve"> reguleerimine võib olla vajalik, on asjaomaste jaeturgude analüüs. Tõhusa konkurentsi analüüs viiakse läbi tulevikku suunatud perspektiivis, mis hõlmab teatud ajavahemikku. Kui TTJA jõuab turuanalüüsi tulemuste põhjal järeldusele, et jaeturul puudub tõhus konkurents, kehtestab ta kohustused, mis vastavad ja on proportsionaalsed märkimisväärse turujõuga kauplejatele, ning lahendab turuanalüüsi tulemusena tuvastatud probleemid. Kui TTJA jõuab järeldusele, et jaeturul on tõhus konkurents, ei kehtesta ta sideettevõtja suhtes kohustusi ega tühista </w:t>
      </w:r>
      <w:r w:rsidR="00916350">
        <w:t>kohustusi</w:t>
      </w:r>
      <w:r w:rsidRPr="006E317E">
        <w:t xml:space="preserve">, mida varem kohaldati </w:t>
      </w:r>
      <w:r w:rsidR="00916350">
        <w:t>MTE-</w:t>
      </w:r>
      <w:proofErr w:type="spellStart"/>
      <w:r w:rsidR="00916350">
        <w:t>le</w:t>
      </w:r>
      <w:proofErr w:type="spellEnd"/>
      <w:r w:rsidR="00476BE9" w:rsidRPr="005D266E">
        <w:rPr>
          <w:vertAlign w:val="superscript"/>
        </w:rPr>
        <w:footnoteReference w:id="103"/>
      </w:r>
      <w:r w:rsidR="00F808CE">
        <w:t>.</w:t>
      </w:r>
    </w:p>
    <w:p w14:paraId="071E8425" w14:textId="65A3517C" w:rsidR="054BD844" w:rsidRPr="006E317E" w:rsidRDefault="65055489" w:rsidP="00AA241E">
      <w:pPr>
        <w:jc w:val="both"/>
      </w:pPr>
      <w:r w:rsidRPr="006E317E">
        <w:lastRenderedPageBreak/>
        <w:t xml:space="preserve">Lairiba juurdepääsu hulgituru puhul on tegemist sisendturuga sideteenuste osutajatele, kes pakuvad lairibateenuseid lõppkasutajatele või edasimüüjatele. Peamiselt toodetakse lairiba juurdepääsu hulgiturul sisendit lairibateenuse osutajatele, kellel puudub ülekandevõrk ja juurdepääs lõppkasutajani (juurdepääsuvõrk) või kelle ülekandevõrk on n-ö piiratud ulatusega. Seega ilma nimetatud hulgituru teenusteta ei ole lõppkasutajale lairibateenuse osutamine võimalik. </w:t>
      </w:r>
      <w:r w:rsidR="005E3EF1">
        <w:t>Hulgiturul 3b</w:t>
      </w:r>
      <w:r w:rsidRPr="006E317E">
        <w:t xml:space="preserve"> pakutakse üldjuhult teenust ühe keskse juurdepääsupunkti kaudu (tavaliselt võrgu peajaamast).</w:t>
      </w:r>
    </w:p>
    <w:p w14:paraId="77B26A56" w14:textId="103EA634" w:rsidR="054BD844" w:rsidRPr="006E317E" w:rsidRDefault="005E3EF1" w:rsidP="00AA241E">
      <w:pPr>
        <w:jc w:val="both"/>
      </w:pPr>
      <w:r w:rsidRPr="006E317E">
        <w:t xml:space="preserve">Hulgituru </w:t>
      </w:r>
      <w:r>
        <w:t>3b</w:t>
      </w:r>
      <w:r w:rsidR="65055489" w:rsidRPr="006E317E">
        <w:t xml:space="preserve"> koosseisu kuuluvad tooted ja teenused on seotud andmeedastuskanalite kaudu, mis võimaldavad andmeedastust mõlemas suunas kiirustel, mis on vastavuses nõutud teenuse </w:t>
      </w:r>
      <w:r w:rsidR="00916350">
        <w:t>osutamisega</w:t>
      </w:r>
      <w:r w:rsidR="65055489" w:rsidRPr="006E317E">
        <w:t xml:space="preserve"> sidevõrgu ühenduspunktist lõppkasutajani (</w:t>
      </w:r>
      <w:proofErr w:type="spellStart"/>
      <w:r w:rsidR="65055489" w:rsidRPr="006E317E">
        <w:t>jaetarbijani</w:t>
      </w:r>
      <w:proofErr w:type="spellEnd"/>
      <w:r w:rsidR="65055489" w:rsidRPr="006E317E">
        <w:t xml:space="preserve">). Seega võimaldab asjaomaste hulgiteenuste tarbimine teenuseosutaja poolt osutada lõppkasutajale vähemalt lairibateenuseid, kuid ei pea piirduma ainult sellega. </w:t>
      </w:r>
    </w:p>
    <w:p w14:paraId="3A9ECC01" w14:textId="12EC1232" w:rsidR="054BD844" w:rsidRPr="002E251B" w:rsidRDefault="65055489" w:rsidP="00AA241E">
      <w:pPr>
        <w:jc w:val="both"/>
      </w:pPr>
      <w:r w:rsidRPr="006E317E">
        <w:t xml:space="preserve">Seega hindab </w:t>
      </w:r>
      <w:r w:rsidR="006B4022">
        <w:t>TTJA</w:t>
      </w:r>
      <w:r w:rsidRPr="006E317E">
        <w:t xml:space="preserve"> käesolevas peatükis, kas lairiba juurdepääsu hulgituru </w:t>
      </w:r>
      <w:r w:rsidR="00183BEB">
        <w:t>vaskkaabli</w:t>
      </w:r>
      <w:r w:rsidR="006B4022">
        <w:t>-</w:t>
      </w:r>
      <w:r w:rsidRPr="006E317E">
        <w:t xml:space="preserve"> ja </w:t>
      </w:r>
      <w:r w:rsidR="006B4022">
        <w:t>mobiil</w:t>
      </w:r>
      <w:r w:rsidR="009A1AE4">
        <w:t>side</w:t>
      </w:r>
      <w:r w:rsidR="006B4022">
        <w:t xml:space="preserve">võrgu </w:t>
      </w:r>
      <w:r w:rsidRPr="006E317E">
        <w:t xml:space="preserve">tehnoloogial juurdepääsu ning valguskaabel tehnoloogial juurdepääsu jaeturul on </w:t>
      </w:r>
      <w:r w:rsidRPr="002E251B">
        <w:t xml:space="preserve">tõhus konkurents. </w:t>
      </w:r>
    </w:p>
    <w:p w14:paraId="48B80B9F" w14:textId="566AC70C" w:rsidR="00524DF7" w:rsidRPr="00983C5E" w:rsidRDefault="65055489" w:rsidP="00AA241E">
      <w:pPr>
        <w:jc w:val="both"/>
      </w:pPr>
      <w:r w:rsidRPr="002E251B">
        <w:t xml:space="preserve">Võttes arvesse </w:t>
      </w:r>
      <w:proofErr w:type="spellStart"/>
      <w:r w:rsidR="002A1662" w:rsidRPr="002E251B">
        <w:rPr>
          <w:i/>
        </w:rPr>
        <w:t>Gr</w:t>
      </w:r>
      <w:r w:rsidR="00C318C1" w:rsidRPr="002E251B">
        <w:rPr>
          <w:i/>
        </w:rPr>
        <w:t>e</w:t>
      </w:r>
      <w:r w:rsidR="002A1662" w:rsidRPr="002E251B">
        <w:rPr>
          <w:i/>
        </w:rPr>
        <w:t>enfieldi</w:t>
      </w:r>
      <w:proofErr w:type="spellEnd"/>
      <w:r w:rsidRPr="002E251B">
        <w:t xml:space="preserve"> lähenemisviisi (vt</w:t>
      </w:r>
      <w:r w:rsidR="00E57BEC" w:rsidRPr="002E251B">
        <w:t xml:space="preserve"> </w:t>
      </w:r>
      <w:r w:rsidR="00F26DB1" w:rsidRPr="002E251B">
        <w:t>punkt 2.</w:t>
      </w:r>
      <w:r w:rsidR="00E57BEC" w:rsidRPr="002E251B">
        <w:t>1.2</w:t>
      </w:r>
      <w:r w:rsidRPr="002E251B">
        <w:t>)</w:t>
      </w:r>
      <w:r w:rsidR="00336455" w:rsidRPr="002E251B">
        <w:rPr>
          <w:vertAlign w:val="superscript"/>
        </w:rPr>
        <w:footnoteReference w:id="104"/>
      </w:r>
      <w:r w:rsidRPr="002E251B">
        <w:t xml:space="preserve">, st eeldades, et Telia ei paku turu 1 (kohaliku juurdepääsu) teenuseid teistele sideettevõtjatele, on </w:t>
      </w:r>
      <w:r w:rsidR="007D30BA" w:rsidRPr="002E251B">
        <w:t>hulgi</w:t>
      </w:r>
      <w:r w:rsidRPr="002E251B">
        <w:t>tur</w:t>
      </w:r>
      <w:r w:rsidR="007D30BA" w:rsidRPr="002E251B">
        <w:t>gude</w:t>
      </w:r>
      <w:r w:rsidRPr="002E251B">
        <w:t xml:space="preserve"> 1 ja 3b analüüsimisel palju kattuvusi. Mõlema turu analüüs hõlmab konkurentsi dünaamika, regulatiivsete mõjude ja erinevate </w:t>
      </w:r>
      <w:r w:rsidR="006B4022" w:rsidRPr="002E251B">
        <w:t>turuosaliste</w:t>
      </w:r>
      <w:r w:rsidRPr="002E251B">
        <w:t xml:space="preserve"> rollide hindamist, eriti olukordades, kus turgu mõjutab </w:t>
      </w:r>
      <w:r w:rsidR="006B4022" w:rsidRPr="002E251B">
        <w:t>MTE</w:t>
      </w:r>
      <w:r w:rsidRPr="002E251B">
        <w:t>, nagu Telia.</w:t>
      </w:r>
      <w:r w:rsidRPr="006E317E">
        <w:t xml:space="preserve"> Seega katab põhjalik </w:t>
      </w:r>
      <w:r w:rsidR="007D30BA">
        <w:t>hulgi</w:t>
      </w:r>
      <w:r w:rsidRPr="006E317E">
        <w:t xml:space="preserve">turu 3b analüüs ka palju </w:t>
      </w:r>
      <w:r w:rsidR="007D30BA">
        <w:t>hulgi</w:t>
      </w:r>
      <w:r w:rsidRPr="006E317E">
        <w:t xml:space="preserve">turu 1 analüüsiks vajalikke aspekte, mistõttu on </w:t>
      </w:r>
      <w:r w:rsidR="007455A3">
        <w:t>hulgi</w:t>
      </w:r>
      <w:r w:rsidR="007455A3" w:rsidRPr="006E317E">
        <w:t xml:space="preserve">turu </w:t>
      </w:r>
      <w:r w:rsidRPr="006E317E">
        <w:t>3b</w:t>
      </w:r>
      <w:r w:rsidR="007455A3">
        <w:t xml:space="preserve"> </w:t>
      </w:r>
      <w:r w:rsidRPr="006E317E">
        <w:t xml:space="preserve">analüüs paljuski </w:t>
      </w:r>
      <w:r w:rsidR="007455A3">
        <w:t>hulgi</w:t>
      </w:r>
      <w:r w:rsidRPr="006E317E">
        <w:t>turu 1 analüüsi dubleer</w:t>
      </w:r>
      <w:r w:rsidR="00896EB0">
        <w:t>iv.</w:t>
      </w:r>
    </w:p>
    <w:p w14:paraId="4ECDFF41" w14:textId="77777777" w:rsidR="00983C5E" w:rsidRPr="00983C5E" w:rsidRDefault="00983C5E" w:rsidP="00AA241E">
      <w:pPr>
        <w:pStyle w:val="Loendilik"/>
        <w:keepNext/>
        <w:keepLines/>
        <w:numPr>
          <w:ilvl w:val="0"/>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826" w:name="_Toc174096195"/>
      <w:bookmarkStart w:id="827" w:name="_Toc174536085"/>
      <w:bookmarkStart w:id="828" w:name="_Toc174618543"/>
      <w:bookmarkStart w:id="829" w:name="_Toc174627605"/>
      <w:bookmarkStart w:id="830" w:name="_Toc174705029"/>
      <w:bookmarkStart w:id="831" w:name="_Toc174709573"/>
      <w:bookmarkStart w:id="832" w:name="_Toc174710802"/>
      <w:bookmarkEnd w:id="826"/>
      <w:bookmarkEnd w:id="827"/>
      <w:bookmarkEnd w:id="828"/>
      <w:bookmarkEnd w:id="829"/>
      <w:bookmarkEnd w:id="830"/>
      <w:bookmarkEnd w:id="831"/>
      <w:bookmarkEnd w:id="832"/>
    </w:p>
    <w:p w14:paraId="00F15A82" w14:textId="77777777" w:rsidR="00983C5E" w:rsidRPr="00983C5E" w:rsidRDefault="00983C5E"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833" w:name="_Toc174094594"/>
      <w:bookmarkStart w:id="834" w:name="_Toc174094861"/>
      <w:bookmarkStart w:id="835" w:name="_Toc174095127"/>
      <w:bookmarkStart w:id="836" w:name="_Toc174095392"/>
      <w:bookmarkStart w:id="837" w:name="_Toc174095930"/>
      <w:bookmarkStart w:id="838" w:name="_Toc174096196"/>
      <w:bookmarkStart w:id="839" w:name="_Toc174536086"/>
      <w:bookmarkStart w:id="840" w:name="_Toc174617187"/>
      <w:bookmarkStart w:id="841" w:name="_Toc174618544"/>
      <w:bookmarkStart w:id="842" w:name="_Toc174627606"/>
      <w:bookmarkStart w:id="843" w:name="_Toc174705030"/>
      <w:bookmarkStart w:id="844" w:name="_Toc174709574"/>
      <w:bookmarkStart w:id="845" w:name="_Toc174710803"/>
      <w:bookmarkEnd w:id="833"/>
      <w:bookmarkEnd w:id="834"/>
      <w:bookmarkEnd w:id="835"/>
      <w:bookmarkEnd w:id="836"/>
      <w:bookmarkEnd w:id="837"/>
      <w:bookmarkEnd w:id="838"/>
      <w:bookmarkEnd w:id="839"/>
      <w:bookmarkEnd w:id="840"/>
      <w:bookmarkEnd w:id="841"/>
      <w:bookmarkEnd w:id="842"/>
      <w:bookmarkEnd w:id="843"/>
      <w:bookmarkEnd w:id="844"/>
      <w:bookmarkEnd w:id="845"/>
    </w:p>
    <w:p w14:paraId="421131CA" w14:textId="43342CE4" w:rsidR="054BD844" w:rsidRPr="009522AF" w:rsidRDefault="00183BEB" w:rsidP="009805E1">
      <w:pPr>
        <w:pStyle w:val="Pealkiri3"/>
      </w:pPr>
      <w:bookmarkStart w:id="846" w:name="_Toc174710804"/>
      <w:r>
        <w:t>Vaskkaabli</w:t>
      </w:r>
      <w:r w:rsidR="001A6554" w:rsidRPr="008B7E69">
        <w:t xml:space="preserve">- ja </w:t>
      </w:r>
      <w:r>
        <w:t>mobiilsidevõr</w:t>
      </w:r>
      <w:r w:rsidR="001A6554" w:rsidRPr="008B7E69">
        <w:t xml:space="preserve">gu internetiühenduste </w:t>
      </w:r>
      <w:r w:rsidR="00E8672A" w:rsidRPr="008B7E69">
        <w:t>üleriigili</w:t>
      </w:r>
      <w:r w:rsidR="00E8672A">
        <w:t>ne</w:t>
      </w:r>
      <w:r w:rsidR="00E8672A" w:rsidRPr="008B7E69">
        <w:t xml:space="preserve"> jaetur</w:t>
      </w:r>
      <w:r w:rsidR="00E8672A">
        <w:t>g</w:t>
      </w:r>
      <w:bookmarkEnd w:id="846"/>
      <w:r w:rsidR="001A6554" w:rsidRPr="001A6554">
        <w:t xml:space="preserve"> </w:t>
      </w:r>
    </w:p>
    <w:p w14:paraId="6B5D112A" w14:textId="77777777" w:rsidR="008412A5" w:rsidRPr="008412A5" w:rsidRDefault="008412A5" w:rsidP="008412A5">
      <w:pPr>
        <w:pStyle w:val="Loendilik"/>
        <w:keepNext/>
        <w:keepLines/>
        <w:numPr>
          <w:ilvl w:val="0"/>
          <w:numId w:val="68"/>
        </w:numPr>
        <w:tabs>
          <w:tab w:val="left" w:pos="1985"/>
        </w:tabs>
        <w:spacing w:before="120" w:after="240"/>
        <w:contextualSpacing w:val="0"/>
        <w:jc w:val="both"/>
        <w:outlineLvl w:val="3"/>
        <w:rPr>
          <w:rFonts w:eastAsiaTheme="majorEastAsia" w:cstheme="majorBidi"/>
          <w:i/>
          <w:iCs/>
          <w:vanish/>
          <w:lang w:eastAsia="en-US"/>
        </w:rPr>
      </w:pPr>
    </w:p>
    <w:p w14:paraId="117FACD5" w14:textId="77777777" w:rsidR="008412A5" w:rsidRPr="008412A5" w:rsidRDefault="008412A5" w:rsidP="008412A5">
      <w:pPr>
        <w:pStyle w:val="Loendilik"/>
        <w:keepNext/>
        <w:keepLines/>
        <w:numPr>
          <w:ilvl w:val="0"/>
          <w:numId w:val="68"/>
        </w:numPr>
        <w:tabs>
          <w:tab w:val="left" w:pos="1985"/>
        </w:tabs>
        <w:spacing w:before="120" w:after="240"/>
        <w:contextualSpacing w:val="0"/>
        <w:jc w:val="both"/>
        <w:outlineLvl w:val="3"/>
        <w:rPr>
          <w:rFonts w:eastAsiaTheme="majorEastAsia" w:cstheme="majorBidi"/>
          <w:i/>
          <w:iCs/>
          <w:vanish/>
          <w:lang w:eastAsia="en-US"/>
        </w:rPr>
      </w:pPr>
    </w:p>
    <w:p w14:paraId="6D1F7495" w14:textId="77777777" w:rsidR="008412A5" w:rsidRPr="008412A5" w:rsidRDefault="008412A5" w:rsidP="008412A5">
      <w:pPr>
        <w:pStyle w:val="Loendilik"/>
        <w:keepNext/>
        <w:keepLines/>
        <w:numPr>
          <w:ilvl w:val="0"/>
          <w:numId w:val="68"/>
        </w:numPr>
        <w:tabs>
          <w:tab w:val="left" w:pos="1985"/>
        </w:tabs>
        <w:spacing w:before="120" w:after="240"/>
        <w:contextualSpacing w:val="0"/>
        <w:jc w:val="both"/>
        <w:outlineLvl w:val="3"/>
        <w:rPr>
          <w:rFonts w:eastAsiaTheme="majorEastAsia" w:cstheme="majorBidi"/>
          <w:i/>
          <w:iCs/>
          <w:vanish/>
          <w:lang w:eastAsia="en-US"/>
        </w:rPr>
      </w:pPr>
    </w:p>
    <w:p w14:paraId="24956B0B" w14:textId="77777777" w:rsidR="008412A5" w:rsidRPr="008412A5" w:rsidRDefault="008412A5" w:rsidP="008412A5">
      <w:pPr>
        <w:pStyle w:val="Loendilik"/>
        <w:keepNext/>
        <w:keepLines/>
        <w:numPr>
          <w:ilvl w:val="0"/>
          <w:numId w:val="68"/>
        </w:numPr>
        <w:tabs>
          <w:tab w:val="left" w:pos="1985"/>
        </w:tabs>
        <w:spacing w:before="120" w:after="240"/>
        <w:contextualSpacing w:val="0"/>
        <w:jc w:val="both"/>
        <w:outlineLvl w:val="3"/>
        <w:rPr>
          <w:rFonts w:eastAsiaTheme="majorEastAsia" w:cstheme="majorBidi"/>
          <w:i/>
          <w:iCs/>
          <w:vanish/>
          <w:lang w:eastAsia="en-US"/>
        </w:rPr>
      </w:pPr>
    </w:p>
    <w:p w14:paraId="71F4A7EF" w14:textId="77777777" w:rsidR="008412A5" w:rsidRPr="008412A5" w:rsidRDefault="008412A5" w:rsidP="008412A5">
      <w:pPr>
        <w:pStyle w:val="Loendilik"/>
        <w:keepNext/>
        <w:keepLines/>
        <w:numPr>
          <w:ilvl w:val="0"/>
          <w:numId w:val="68"/>
        </w:numPr>
        <w:tabs>
          <w:tab w:val="left" w:pos="1985"/>
        </w:tabs>
        <w:spacing w:before="120" w:after="240"/>
        <w:contextualSpacing w:val="0"/>
        <w:jc w:val="both"/>
        <w:outlineLvl w:val="3"/>
        <w:rPr>
          <w:rFonts w:eastAsiaTheme="majorEastAsia" w:cstheme="majorBidi"/>
          <w:i/>
          <w:iCs/>
          <w:vanish/>
          <w:lang w:eastAsia="en-US"/>
        </w:rPr>
      </w:pPr>
    </w:p>
    <w:p w14:paraId="68665600" w14:textId="77777777" w:rsidR="008412A5" w:rsidRPr="008412A5" w:rsidRDefault="008412A5" w:rsidP="008412A5">
      <w:pPr>
        <w:pStyle w:val="Loendilik"/>
        <w:keepNext/>
        <w:keepLines/>
        <w:numPr>
          <w:ilvl w:val="0"/>
          <w:numId w:val="68"/>
        </w:numPr>
        <w:tabs>
          <w:tab w:val="left" w:pos="1985"/>
        </w:tabs>
        <w:spacing w:before="120" w:after="240"/>
        <w:contextualSpacing w:val="0"/>
        <w:jc w:val="both"/>
        <w:outlineLvl w:val="3"/>
        <w:rPr>
          <w:rFonts w:eastAsiaTheme="majorEastAsia" w:cstheme="majorBidi"/>
          <w:i/>
          <w:iCs/>
          <w:vanish/>
          <w:lang w:eastAsia="en-US"/>
        </w:rPr>
      </w:pPr>
    </w:p>
    <w:p w14:paraId="09A5A519" w14:textId="77777777" w:rsidR="008412A5" w:rsidRPr="008412A5" w:rsidRDefault="008412A5" w:rsidP="008412A5">
      <w:pPr>
        <w:pStyle w:val="Loendilik"/>
        <w:keepNext/>
        <w:keepLines/>
        <w:numPr>
          <w:ilvl w:val="1"/>
          <w:numId w:val="68"/>
        </w:numPr>
        <w:tabs>
          <w:tab w:val="left" w:pos="1985"/>
        </w:tabs>
        <w:spacing w:before="120" w:after="240"/>
        <w:contextualSpacing w:val="0"/>
        <w:jc w:val="both"/>
        <w:outlineLvl w:val="3"/>
        <w:rPr>
          <w:rFonts w:eastAsiaTheme="majorEastAsia" w:cstheme="majorBidi"/>
          <w:i/>
          <w:iCs/>
          <w:vanish/>
          <w:lang w:eastAsia="en-US"/>
        </w:rPr>
      </w:pPr>
    </w:p>
    <w:p w14:paraId="58016C7A" w14:textId="77777777" w:rsidR="008412A5" w:rsidRPr="008412A5" w:rsidRDefault="008412A5" w:rsidP="008412A5">
      <w:pPr>
        <w:pStyle w:val="Loendilik"/>
        <w:keepNext/>
        <w:keepLines/>
        <w:numPr>
          <w:ilvl w:val="2"/>
          <w:numId w:val="68"/>
        </w:numPr>
        <w:tabs>
          <w:tab w:val="left" w:pos="1985"/>
        </w:tabs>
        <w:spacing w:before="120" w:after="240"/>
        <w:contextualSpacing w:val="0"/>
        <w:jc w:val="both"/>
        <w:outlineLvl w:val="3"/>
        <w:rPr>
          <w:rFonts w:eastAsiaTheme="majorEastAsia" w:cstheme="majorBidi"/>
          <w:i/>
          <w:iCs/>
          <w:vanish/>
          <w:lang w:eastAsia="en-US"/>
        </w:rPr>
      </w:pPr>
    </w:p>
    <w:p w14:paraId="07C255F3" w14:textId="32BB56E5" w:rsidR="054BD844" w:rsidRPr="006E317E" w:rsidRDefault="00970DE1" w:rsidP="008412A5">
      <w:pPr>
        <w:pStyle w:val="Heading49"/>
        <w:numPr>
          <w:ilvl w:val="3"/>
          <w:numId w:val="68"/>
        </w:numPr>
      </w:pPr>
      <w:r w:rsidRPr="006E317E">
        <w:t>Turuosad</w:t>
      </w:r>
      <w:r w:rsidR="65055489" w:rsidRPr="006E317E">
        <w:t xml:space="preserve"> </w:t>
      </w:r>
    </w:p>
    <w:p w14:paraId="30BCBF15" w14:textId="5FB8726E" w:rsidR="054BD844" w:rsidRPr="002E251B" w:rsidRDefault="65055489" w:rsidP="00AA241E">
      <w:pPr>
        <w:jc w:val="both"/>
      </w:pPr>
      <w:r w:rsidRPr="006E317E">
        <w:t xml:space="preserve">Turuosade omaduste ja suuruse kohta </w:t>
      </w:r>
      <w:r w:rsidRPr="002E251B">
        <w:t xml:space="preserve">vt eelmise peatüki punkt </w:t>
      </w:r>
      <w:r w:rsidR="001F01D6" w:rsidRPr="002E251B">
        <w:t>5</w:t>
      </w:r>
      <w:r w:rsidRPr="002E251B">
        <w:t>.1.1.1.</w:t>
      </w:r>
    </w:p>
    <w:p w14:paraId="0C92D922" w14:textId="3724AD1A" w:rsidR="054BD844" w:rsidRPr="006E317E" w:rsidRDefault="65055489" w:rsidP="00AA241E">
      <w:pPr>
        <w:jc w:val="both"/>
      </w:pPr>
      <w:r w:rsidRPr="006E317E">
        <w:t xml:space="preserve">Nagu eelpool mainitud, on hulgituru analüüsi lähtepunktiks asjaomaste jaeturgude analüüs ja sideettevõtjate, kes pakuvad oma elektroonilise side võrgu kaudu </w:t>
      </w:r>
      <w:r w:rsidRPr="002E251B">
        <w:t xml:space="preserve">lõppkasutajatele internetiteenust, turuosade arvutamine. Lisaks tuleb turuosade arvutamisel arvesse võtta ka </w:t>
      </w:r>
      <w:proofErr w:type="spellStart"/>
      <w:r w:rsidR="002A1662" w:rsidRPr="002E251B">
        <w:rPr>
          <w:i/>
        </w:rPr>
        <w:t>Gr</w:t>
      </w:r>
      <w:r w:rsidR="00C318C1" w:rsidRPr="002E251B">
        <w:rPr>
          <w:i/>
        </w:rPr>
        <w:t>e</w:t>
      </w:r>
      <w:r w:rsidR="002A1662" w:rsidRPr="002E251B">
        <w:rPr>
          <w:i/>
        </w:rPr>
        <w:t>enfieldi</w:t>
      </w:r>
      <w:proofErr w:type="spellEnd"/>
      <w:r w:rsidRPr="002E251B">
        <w:t xml:space="preserve"> lähenemisviisi (vt punkt </w:t>
      </w:r>
      <w:r w:rsidR="001F01D6" w:rsidRPr="002E251B">
        <w:t>2.</w:t>
      </w:r>
      <w:r w:rsidR="00E57BEC" w:rsidRPr="002E251B">
        <w:t>1.2</w:t>
      </w:r>
      <w:r w:rsidRPr="002E251B">
        <w:t>), eeldades, et asjaomastel turgudel puudub hulgitasandil regulatsioon.</w:t>
      </w:r>
    </w:p>
    <w:p w14:paraId="3DE09FEC" w14:textId="08EC5321" w:rsidR="054BD844" w:rsidRPr="006E317E" w:rsidRDefault="002A1662" w:rsidP="00AA241E">
      <w:pPr>
        <w:jc w:val="both"/>
      </w:pPr>
      <w:proofErr w:type="spellStart"/>
      <w:r w:rsidRPr="002A1662">
        <w:rPr>
          <w:i/>
        </w:rPr>
        <w:t>Gr</w:t>
      </w:r>
      <w:r w:rsidR="00C318C1">
        <w:rPr>
          <w:i/>
        </w:rPr>
        <w:t>e</w:t>
      </w:r>
      <w:r w:rsidRPr="002A1662">
        <w:rPr>
          <w:i/>
        </w:rPr>
        <w:t>enfieldi</w:t>
      </w:r>
      <w:proofErr w:type="spellEnd"/>
      <w:r w:rsidR="65055489" w:rsidRPr="006E317E">
        <w:t xml:space="preserve"> lähenemisviis </w:t>
      </w:r>
      <w:r w:rsidR="00F82468">
        <w:t>hulgi</w:t>
      </w:r>
      <w:r w:rsidR="65055489" w:rsidRPr="006E317E">
        <w:t xml:space="preserve">turule 3b tähendab, et konkurentsi hindamisel jaeturul ja sideettevõtjate turuosade arvutamisel eeldatakse, et  </w:t>
      </w:r>
      <w:r w:rsidR="00F82468">
        <w:t>hulgi</w:t>
      </w:r>
      <w:r w:rsidR="65055489" w:rsidRPr="006E317E">
        <w:t xml:space="preserve">turu 3b teenuste aktiivseid </w:t>
      </w:r>
      <w:r w:rsidR="0007135D">
        <w:t>kliendiliin</w:t>
      </w:r>
      <w:r w:rsidR="65055489" w:rsidRPr="006E317E">
        <w:t xml:space="preserve">e </w:t>
      </w:r>
      <w:r w:rsidR="65055489" w:rsidRPr="006E317E">
        <w:lastRenderedPageBreak/>
        <w:t>pakub Telia  (</w:t>
      </w:r>
      <w:r w:rsidR="00890038" w:rsidRPr="006E317E">
        <w:t>MTE</w:t>
      </w:r>
      <w:r w:rsidR="65055489" w:rsidRPr="006E317E">
        <w:t xml:space="preserve"> ), mitte sideettevõtjad, kes neid teenuseid vahendavad, samas kui </w:t>
      </w:r>
      <w:r w:rsidR="00054957">
        <w:t>hulgi</w:t>
      </w:r>
      <w:r w:rsidR="65055489" w:rsidRPr="006E317E">
        <w:t xml:space="preserve">turu 1 aktiivseid </w:t>
      </w:r>
      <w:r w:rsidR="0007135D">
        <w:t>kliendiliin</w:t>
      </w:r>
      <w:r w:rsidR="65055489" w:rsidRPr="006E317E">
        <w:t xml:space="preserve">e jaetasandil osutab teenust osutav sideettevõtja,  ja mitte märkimisväärse turujõuga ettevõtja e (praegusel hetkel) Telia. Seda lähenemisviisi õigustab asjaolu, et </w:t>
      </w:r>
      <w:r w:rsidR="0007135D">
        <w:t>hulgiturg</w:t>
      </w:r>
      <w:r w:rsidR="65055489" w:rsidRPr="006E317E">
        <w:t xml:space="preserve"> 3b järgneb </w:t>
      </w:r>
      <w:r w:rsidR="00F82468">
        <w:t>hulgi</w:t>
      </w:r>
      <w:r w:rsidR="65055489" w:rsidRPr="006E317E">
        <w:t xml:space="preserve">turule 1. Kui sideettevõtja osutab vabatahtlikult </w:t>
      </w:r>
      <w:r w:rsidR="00F82468">
        <w:t>hulgi</w:t>
      </w:r>
      <w:r w:rsidR="65055489" w:rsidRPr="006E317E">
        <w:t xml:space="preserve">turul 1. või </w:t>
      </w:r>
      <w:r w:rsidR="00F82468">
        <w:t>hulgi</w:t>
      </w:r>
      <w:r w:rsidR="65055489" w:rsidRPr="006E317E">
        <w:t xml:space="preserve">turul 3b teenuseid hulgi teistele sideettevõtjatele, siis ei eeldata, et </w:t>
      </w:r>
      <w:r w:rsidR="007D4E16">
        <w:t>järgne</w:t>
      </w:r>
      <w:r w:rsidR="007D4E16" w:rsidRPr="006E317E">
        <w:t>vaid</w:t>
      </w:r>
      <w:r w:rsidR="65055489" w:rsidRPr="006E317E">
        <w:t xml:space="preserve"> jaemüügiteenuseid osutaks sideettevõtja ise vaid sideettevõtjad, kes ostavad </w:t>
      </w:r>
      <w:r w:rsidR="00F82468">
        <w:t>hulgi</w:t>
      </w:r>
      <w:r w:rsidR="65055489" w:rsidRPr="006E317E">
        <w:t>turu 1 ja 3b teenuseid hulgitasandil.</w:t>
      </w:r>
    </w:p>
    <w:p w14:paraId="5E7E85AA" w14:textId="5EED4C05" w:rsidR="054BD844" w:rsidRPr="006E317E" w:rsidRDefault="65055489" w:rsidP="00AA241E">
      <w:pPr>
        <w:jc w:val="both"/>
      </w:pPr>
      <w:r w:rsidRPr="006E317E">
        <w:t xml:space="preserve">Suurimad </w:t>
      </w:r>
      <w:r w:rsidR="00183BEB">
        <w:rPr>
          <w:rFonts w:cs="Times New Roman"/>
        </w:rPr>
        <w:t>vaskkaabli</w:t>
      </w:r>
      <w:r w:rsidR="00EC072E" w:rsidRPr="008B7E69">
        <w:rPr>
          <w:rFonts w:cs="Times New Roman"/>
        </w:rPr>
        <w:t xml:space="preserve">- ja </w:t>
      </w:r>
      <w:r w:rsidR="00183BEB">
        <w:rPr>
          <w:rFonts w:cs="Times New Roman"/>
        </w:rPr>
        <w:t>mobiilsidevõr</w:t>
      </w:r>
      <w:r w:rsidR="00EC072E" w:rsidRPr="008B7E69">
        <w:rPr>
          <w:rFonts w:cs="Times New Roman"/>
        </w:rPr>
        <w:t xml:space="preserve">gu internetiühenduste </w:t>
      </w:r>
      <w:r w:rsidR="007F1F3C" w:rsidRPr="008B7E69">
        <w:rPr>
          <w:rFonts w:cs="Times New Roman"/>
        </w:rPr>
        <w:t>jae</w:t>
      </w:r>
      <w:r w:rsidRPr="006E317E">
        <w:t>teenust osutavad sideettevõtjad on:</w:t>
      </w:r>
    </w:p>
    <w:p w14:paraId="76B2CE42" w14:textId="31211F2D" w:rsidR="054BD844" w:rsidRPr="006E317E" w:rsidRDefault="65055489" w:rsidP="00AA241E">
      <w:pPr>
        <w:jc w:val="both"/>
      </w:pPr>
      <w:r w:rsidRPr="006E317E">
        <w:t>Vask</w:t>
      </w:r>
      <w:r w:rsidR="00425439" w:rsidRPr="006E317E">
        <w:t>võrgus</w:t>
      </w:r>
      <w:r w:rsidRPr="006E317E">
        <w:t xml:space="preserve">: </w:t>
      </w:r>
    </w:p>
    <w:p w14:paraId="0BDD4982" w14:textId="5E27F807" w:rsidR="054BD844" w:rsidRPr="006E317E" w:rsidRDefault="65055489" w:rsidP="00AA241E">
      <w:pPr>
        <w:jc w:val="both"/>
      </w:pPr>
      <w:r w:rsidRPr="006E317E">
        <w:t>Elisa;</w:t>
      </w:r>
    </w:p>
    <w:p w14:paraId="5F22F7D2" w14:textId="3048A8C8" w:rsidR="054BD844" w:rsidRPr="006E317E" w:rsidRDefault="65055489" w:rsidP="00AA241E">
      <w:pPr>
        <w:jc w:val="both"/>
      </w:pPr>
      <w:r w:rsidRPr="006E317E">
        <w:t>STV;</w:t>
      </w:r>
    </w:p>
    <w:p w14:paraId="4CACF422" w14:textId="1E2B1A46" w:rsidR="054BD844" w:rsidRPr="006E317E" w:rsidRDefault="65055489" w:rsidP="00AA241E">
      <w:pPr>
        <w:jc w:val="both"/>
      </w:pPr>
      <w:r w:rsidRPr="006E317E">
        <w:t>Telia;</w:t>
      </w:r>
    </w:p>
    <w:p w14:paraId="0D160F98" w14:textId="180E2F37" w:rsidR="054BD844" w:rsidRPr="006E317E" w:rsidRDefault="65055489" w:rsidP="00AA241E">
      <w:pPr>
        <w:jc w:val="both"/>
      </w:pPr>
      <w:r w:rsidRPr="006E317E">
        <w:t>Telset;</w:t>
      </w:r>
    </w:p>
    <w:p w14:paraId="7C0F6AFF" w14:textId="5A166C99" w:rsidR="054BD844" w:rsidRPr="006E317E" w:rsidRDefault="65055489" w:rsidP="00AA241E">
      <w:pPr>
        <w:jc w:val="both"/>
      </w:pPr>
      <w:r w:rsidRPr="006E317E">
        <w:t>Uus Programm.</w:t>
      </w:r>
    </w:p>
    <w:p w14:paraId="47C3BA4E" w14:textId="033FF59E" w:rsidR="054BD844" w:rsidRPr="006E317E" w:rsidRDefault="65055489" w:rsidP="00AA241E">
      <w:pPr>
        <w:jc w:val="both"/>
      </w:pPr>
      <w:r w:rsidRPr="006E317E">
        <w:t>Viimase kahe turuosa on marginaalne.</w:t>
      </w:r>
    </w:p>
    <w:p w14:paraId="5AACE7BF" w14:textId="63E77334" w:rsidR="054BD844" w:rsidRPr="006E317E" w:rsidRDefault="00425439" w:rsidP="00AA241E">
      <w:pPr>
        <w:jc w:val="both"/>
      </w:pPr>
      <w:r w:rsidRPr="006E317E">
        <w:t>Mobiil</w:t>
      </w:r>
      <w:r w:rsidR="009A1AE4">
        <w:t>side</w:t>
      </w:r>
      <w:r w:rsidRPr="006E317E">
        <w:t>võrgus</w:t>
      </w:r>
      <w:r w:rsidR="65055489" w:rsidRPr="006E317E">
        <w:t>:</w:t>
      </w:r>
    </w:p>
    <w:p w14:paraId="04891F72" w14:textId="477694B8" w:rsidR="054BD844" w:rsidRPr="006E317E" w:rsidRDefault="65055489" w:rsidP="00AA241E">
      <w:pPr>
        <w:jc w:val="both"/>
      </w:pPr>
      <w:r w:rsidRPr="006E317E">
        <w:t>Elisa;</w:t>
      </w:r>
    </w:p>
    <w:p w14:paraId="4C7C152E" w14:textId="5CBBE391" w:rsidR="054BD844" w:rsidRDefault="65055489" w:rsidP="00AA241E">
      <w:pPr>
        <w:jc w:val="both"/>
      </w:pPr>
      <w:r w:rsidRPr="006E317E">
        <w:t>Telia</w:t>
      </w:r>
      <w:r w:rsidR="008E79CA">
        <w:t>;</w:t>
      </w:r>
    </w:p>
    <w:p w14:paraId="009E60C3" w14:textId="230CB6B0" w:rsidR="008E79CA" w:rsidRPr="006E317E" w:rsidRDefault="008E79CA" w:rsidP="00AA241E">
      <w:pPr>
        <w:jc w:val="both"/>
      </w:pPr>
      <w:r>
        <w:t>Tele2</w:t>
      </w:r>
      <w:r w:rsidR="009C60DB">
        <w:t xml:space="preserve"> (vt ka tabel 38)</w:t>
      </w:r>
      <w:r>
        <w:t>.</w:t>
      </w:r>
    </w:p>
    <w:tbl>
      <w:tblPr>
        <w:tblStyle w:val="Kontuurtabel1"/>
        <w:tblW w:w="9784" w:type="dxa"/>
        <w:tblInd w:w="-147" w:type="dxa"/>
        <w:tblLayout w:type="fixed"/>
        <w:tblLook w:val="04A0" w:firstRow="1" w:lastRow="0" w:firstColumn="1" w:lastColumn="0" w:noHBand="0" w:noVBand="1"/>
      </w:tblPr>
      <w:tblGrid>
        <w:gridCol w:w="1418"/>
        <w:gridCol w:w="813"/>
        <w:gridCol w:w="686"/>
        <w:gridCol w:w="686"/>
        <w:gridCol w:w="688"/>
        <w:gridCol w:w="686"/>
        <w:gridCol w:w="686"/>
        <w:gridCol w:w="686"/>
        <w:gridCol w:w="688"/>
        <w:gridCol w:w="686"/>
        <w:gridCol w:w="686"/>
        <w:gridCol w:w="686"/>
        <w:gridCol w:w="689"/>
      </w:tblGrid>
      <w:tr w:rsidR="001468D7" w:rsidRPr="00A92CA7" w14:paraId="50222332" w14:textId="77777777" w:rsidTr="008F5CF2">
        <w:trPr>
          <w:trHeight w:val="20"/>
        </w:trPr>
        <w:tc>
          <w:tcPr>
            <w:tcW w:w="1418" w:type="dxa"/>
            <w:shd w:val="clear" w:color="auto" w:fill="92D050"/>
          </w:tcPr>
          <w:p w14:paraId="5CDBDECC" w14:textId="77777777" w:rsidR="00A92CA7" w:rsidRPr="00A92CA7" w:rsidRDefault="00A92CA7" w:rsidP="00AA241E">
            <w:pPr>
              <w:jc w:val="both"/>
              <w:rPr>
                <w:b/>
                <w:bCs/>
                <w:sz w:val="20"/>
                <w:szCs w:val="20"/>
              </w:rPr>
            </w:pPr>
            <w:r w:rsidRPr="00A92CA7">
              <w:rPr>
                <w:b/>
                <w:bCs/>
                <w:sz w:val="20"/>
                <w:szCs w:val="20"/>
              </w:rPr>
              <w:t>Ettevõtja/</w:t>
            </w:r>
          </w:p>
          <w:p w14:paraId="6DB1B103" w14:textId="7F5AE3A3" w:rsidR="00A92CA7" w:rsidRPr="00A92CA7" w:rsidRDefault="00A92CA7" w:rsidP="00AA241E">
            <w:pPr>
              <w:jc w:val="both"/>
              <w:rPr>
                <w:b/>
                <w:bCs/>
                <w:sz w:val="20"/>
                <w:szCs w:val="20"/>
              </w:rPr>
            </w:pPr>
            <w:r w:rsidRPr="00A92CA7">
              <w:rPr>
                <w:b/>
                <w:bCs/>
                <w:sz w:val="20"/>
                <w:szCs w:val="20"/>
              </w:rPr>
              <w:t>Tehnoloogia</w:t>
            </w:r>
          </w:p>
        </w:tc>
        <w:tc>
          <w:tcPr>
            <w:tcW w:w="1499" w:type="dxa"/>
            <w:gridSpan w:val="2"/>
            <w:shd w:val="clear" w:color="auto" w:fill="92D050"/>
            <w:vAlign w:val="center"/>
          </w:tcPr>
          <w:p w14:paraId="6E7D24D5" w14:textId="4A51DE16" w:rsidR="00A92CA7" w:rsidRPr="00A92CA7" w:rsidRDefault="00A92CA7" w:rsidP="00AA241E">
            <w:pPr>
              <w:jc w:val="both"/>
              <w:rPr>
                <w:b/>
                <w:bCs/>
                <w:sz w:val="20"/>
                <w:szCs w:val="20"/>
              </w:rPr>
            </w:pPr>
            <w:proofErr w:type="spellStart"/>
            <w:r w:rsidRPr="00A92CA7">
              <w:rPr>
                <w:b/>
                <w:bCs/>
                <w:sz w:val="20"/>
                <w:szCs w:val="20"/>
              </w:rPr>
              <w:t>ADSLx</w:t>
            </w:r>
            <w:proofErr w:type="spellEnd"/>
          </w:p>
          <w:p w14:paraId="0356D0EA" w14:textId="51FAF970" w:rsidR="00A92CA7" w:rsidRPr="00A92CA7" w:rsidRDefault="00A92CA7" w:rsidP="00AA241E">
            <w:pPr>
              <w:jc w:val="both"/>
              <w:rPr>
                <w:b/>
                <w:bCs/>
                <w:sz w:val="20"/>
                <w:szCs w:val="20"/>
              </w:rPr>
            </w:pPr>
          </w:p>
        </w:tc>
        <w:tc>
          <w:tcPr>
            <w:tcW w:w="1374" w:type="dxa"/>
            <w:gridSpan w:val="2"/>
            <w:shd w:val="clear" w:color="auto" w:fill="92D050"/>
            <w:vAlign w:val="center"/>
          </w:tcPr>
          <w:p w14:paraId="27A64AB6" w14:textId="41C1CAA2" w:rsidR="00A92CA7" w:rsidRPr="00A92CA7" w:rsidRDefault="00A92CA7" w:rsidP="00AA241E">
            <w:pPr>
              <w:jc w:val="both"/>
              <w:rPr>
                <w:b/>
                <w:bCs/>
                <w:sz w:val="20"/>
                <w:szCs w:val="20"/>
              </w:rPr>
            </w:pPr>
            <w:r w:rsidRPr="00A92CA7">
              <w:rPr>
                <w:b/>
                <w:bCs/>
                <w:sz w:val="20"/>
                <w:szCs w:val="20"/>
              </w:rPr>
              <w:t xml:space="preserve">(FTTN) </w:t>
            </w:r>
            <w:proofErr w:type="spellStart"/>
            <w:r w:rsidRPr="00A92CA7">
              <w:rPr>
                <w:b/>
                <w:bCs/>
                <w:sz w:val="20"/>
                <w:szCs w:val="20"/>
              </w:rPr>
              <w:t>VDSLx</w:t>
            </w:r>
            <w:proofErr w:type="spellEnd"/>
          </w:p>
          <w:p w14:paraId="48C32C99" w14:textId="318CDF1E" w:rsidR="00A92CA7" w:rsidRPr="00A92CA7" w:rsidRDefault="00A92CA7" w:rsidP="00AA241E">
            <w:pPr>
              <w:jc w:val="both"/>
              <w:rPr>
                <w:b/>
                <w:bCs/>
                <w:sz w:val="20"/>
                <w:szCs w:val="20"/>
              </w:rPr>
            </w:pPr>
          </w:p>
        </w:tc>
        <w:tc>
          <w:tcPr>
            <w:tcW w:w="1372" w:type="dxa"/>
            <w:gridSpan w:val="2"/>
            <w:shd w:val="clear" w:color="auto" w:fill="92D050"/>
            <w:vAlign w:val="center"/>
          </w:tcPr>
          <w:p w14:paraId="1815B969" w14:textId="62FE39DC" w:rsidR="00A92CA7" w:rsidRPr="00A92CA7" w:rsidRDefault="00A92CA7" w:rsidP="00AA241E">
            <w:pPr>
              <w:jc w:val="both"/>
              <w:rPr>
                <w:b/>
                <w:bCs/>
                <w:sz w:val="20"/>
                <w:szCs w:val="20"/>
              </w:rPr>
            </w:pPr>
            <w:r w:rsidRPr="00A92CA7">
              <w:rPr>
                <w:b/>
                <w:bCs/>
                <w:sz w:val="20"/>
                <w:szCs w:val="20"/>
              </w:rPr>
              <w:t xml:space="preserve">(FTTN) </w:t>
            </w:r>
            <w:proofErr w:type="spellStart"/>
            <w:r w:rsidRPr="00A92CA7">
              <w:rPr>
                <w:b/>
                <w:bCs/>
                <w:sz w:val="20"/>
                <w:szCs w:val="20"/>
              </w:rPr>
              <w:t>VDSLx+vectoring</w:t>
            </w:r>
            <w:proofErr w:type="spellEnd"/>
          </w:p>
          <w:p w14:paraId="665F42C6" w14:textId="1476A872" w:rsidR="00A92CA7" w:rsidRPr="00A92CA7" w:rsidRDefault="00A92CA7" w:rsidP="00AA241E">
            <w:pPr>
              <w:jc w:val="both"/>
              <w:rPr>
                <w:b/>
                <w:bCs/>
                <w:sz w:val="20"/>
                <w:szCs w:val="20"/>
              </w:rPr>
            </w:pPr>
          </w:p>
        </w:tc>
        <w:tc>
          <w:tcPr>
            <w:tcW w:w="1374" w:type="dxa"/>
            <w:gridSpan w:val="2"/>
            <w:shd w:val="clear" w:color="auto" w:fill="92D050"/>
            <w:vAlign w:val="center"/>
          </w:tcPr>
          <w:p w14:paraId="3E573C1C" w14:textId="4DFE9B84" w:rsidR="00A92CA7" w:rsidRPr="00A92CA7" w:rsidRDefault="00A92CA7" w:rsidP="00AA241E">
            <w:pPr>
              <w:jc w:val="both"/>
              <w:rPr>
                <w:b/>
                <w:bCs/>
                <w:sz w:val="20"/>
                <w:szCs w:val="20"/>
              </w:rPr>
            </w:pPr>
            <w:r w:rsidRPr="00A92CA7">
              <w:rPr>
                <w:b/>
                <w:bCs/>
                <w:sz w:val="20"/>
                <w:szCs w:val="20"/>
              </w:rPr>
              <w:t>DOCSIS 3.0</w:t>
            </w:r>
          </w:p>
          <w:p w14:paraId="12CABC29" w14:textId="33A9DA8F" w:rsidR="00A92CA7" w:rsidRPr="00A92CA7" w:rsidRDefault="00A92CA7" w:rsidP="00AA241E">
            <w:pPr>
              <w:jc w:val="both"/>
              <w:rPr>
                <w:b/>
                <w:bCs/>
                <w:sz w:val="20"/>
                <w:szCs w:val="20"/>
              </w:rPr>
            </w:pPr>
          </w:p>
        </w:tc>
        <w:tc>
          <w:tcPr>
            <w:tcW w:w="1372" w:type="dxa"/>
            <w:gridSpan w:val="2"/>
            <w:shd w:val="clear" w:color="auto" w:fill="92D050"/>
            <w:vAlign w:val="center"/>
          </w:tcPr>
          <w:p w14:paraId="32C2A3D8" w14:textId="28D7E6B2" w:rsidR="00A92CA7" w:rsidRPr="00A92CA7" w:rsidRDefault="00A92CA7" w:rsidP="00AA241E">
            <w:pPr>
              <w:jc w:val="both"/>
              <w:rPr>
                <w:b/>
                <w:bCs/>
                <w:sz w:val="20"/>
                <w:szCs w:val="20"/>
              </w:rPr>
            </w:pPr>
            <w:r w:rsidRPr="00A92CA7">
              <w:rPr>
                <w:b/>
                <w:bCs/>
                <w:sz w:val="20"/>
                <w:szCs w:val="20"/>
              </w:rPr>
              <w:t>Mobiilvõrgus 4G/5G</w:t>
            </w:r>
          </w:p>
        </w:tc>
        <w:tc>
          <w:tcPr>
            <w:tcW w:w="1375" w:type="dxa"/>
            <w:gridSpan w:val="2"/>
            <w:shd w:val="clear" w:color="auto" w:fill="92D050"/>
            <w:vAlign w:val="center"/>
          </w:tcPr>
          <w:p w14:paraId="1F5C766C" w14:textId="7DB9FD92" w:rsidR="00A92CA7" w:rsidRPr="00A92CA7" w:rsidRDefault="00A92CA7" w:rsidP="00AA241E">
            <w:pPr>
              <w:jc w:val="both"/>
              <w:rPr>
                <w:b/>
                <w:bCs/>
                <w:sz w:val="20"/>
                <w:szCs w:val="20"/>
              </w:rPr>
            </w:pPr>
            <w:proofErr w:type="spellStart"/>
            <w:r w:rsidRPr="00A92CA7">
              <w:rPr>
                <w:b/>
                <w:bCs/>
                <w:sz w:val="20"/>
                <w:szCs w:val="20"/>
              </w:rPr>
              <w:t>Wifi</w:t>
            </w:r>
            <w:proofErr w:type="spellEnd"/>
            <w:r w:rsidRPr="00A92CA7">
              <w:rPr>
                <w:b/>
                <w:bCs/>
                <w:sz w:val="20"/>
                <w:szCs w:val="20"/>
              </w:rPr>
              <w:t xml:space="preserve">; </w:t>
            </w:r>
            <w:proofErr w:type="spellStart"/>
            <w:r w:rsidRPr="00A92CA7">
              <w:rPr>
                <w:b/>
                <w:bCs/>
                <w:sz w:val="20"/>
                <w:szCs w:val="20"/>
              </w:rPr>
              <w:t>WiMax</w:t>
            </w:r>
            <w:proofErr w:type="spellEnd"/>
          </w:p>
        </w:tc>
      </w:tr>
      <w:tr w:rsidR="00513DA7" w:rsidRPr="00A92CA7" w14:paraId="6E76DBF6" w14:textId="77777777" w:rsidTr="008F5CF2">
        <w:trPr>
          <w:trHeight w:val="20"/>
        </w:trPr>
        <w:tc>
          <w:tcPr>
            <w:tcW w:w="1418" w:type="dxa"/>
            <w:shd w:val="clear" w:color="auto" w:fill="92D050"/>
          </w:tcPr>
          <w:p w14:paraId="44D0192C" w14:textId="77777777" w:rsidR="00A92CA7" w:rsidRPr="00A92CA7" w:rsidRDefault="00A92CA7" w:rsidP="00AA241E">
            <w:pPr>
              <w:jc w:val="both"/>
              <w:rPr>
                <w:b/>
                <w:bCs/>
                <w:sz w:val="20"/>
                <w:szCs w:val="20"/>
              </w:rPr>
            </w:pPr>
          </w:p>
        </w:tc>
        <w:tc>
          <w:tcPr>
            <w:tcW w:w="813" w:type="dxa"/>
            <w:shd w:val="clear" w:color="auto" w:fill="92D050"/>
            <w:vAlign w:val="center"/>
          </w:tcPr>
          <w:p w14:paraId="7E628146" w14:textId="7B97682C" w:rsidR="00A92CA7" w:rsidRPr="00A92CA7" w:rsidRDefault="00A92CA7" w:rsidP="00AA241E">
            <w:pPr>
              <w:jc w:val="both"/>
              <w:rPr>
                <w:b/>
                <w:bCs/>
                <w:sz w:val="20"/>
                <w:szCs w:val="20"/>
              </w:rPr>
            </w:pPr>
            <w:r w:rsidRPr="00A92CA7">
              <w:rPr>
                <w:b/>
                <w:bCs/>
                <w:sz w:val="20"/>
                <w:szCs w:val="20"/>
              </w:rPr>
              <w:t>2022</w:t>
            </w:r>
          </w:p>
        </w:tc>
        <w:tc>
          <w:tcPr>
            <w:tcW w:w="686" w:type="dxa"/>
            <w:shd w:val="clear" w:color="auto" w:fill="92D050"/>
            <w:vAlign w:val="center"/>
          </w:tcPr>
          <w:p w14:paraId="240667E5" w14:textId="62E52247" w:rsidR="00A92CA7" w:rsidRPr="00A92CA7" w:rsidRDefault="00A92CA7" w:rsidP="00AA241E">
            <w:pPr>
              <w:jc w:val="both"/>
              <w:rPr>
                <w:b/>
                <w:bCs/>
                <w:sz w:val="20"/>
                <w:szCs w:val="20"/>
              </w:rPr>
            </w:pPr>
            <w:r w:rsidRPr="00A92CA7">
              <w:rPr>
                <w:b/>
                <w:bCs/>
                <w:sz w:val="20"/>
                <w:szCs w:val="20"/>
              </w:rPr>
              <w:t>2023</w:t>
            </w:r>
          </w:p>
        </w:tc>
        <w:tc>
          <w:tcPr>
            <w:tcW w:w="686" w:type="dxa"/>
            <w:shd w:val="clear" w:color="auto" w:fill="92D050"/>
            <w:vAlign w:val="center"/>
          </w:tcPr>
          <w:p w14:paraId="24CC93A2" w14:textId="22DD7F95" w:rsidR="00A92CA7" w:rsidRPr="00A92CA7" w:rsidRDefault="00A92CA7" w:rsidP="00AA241E">
            <w:pPr>
              <w:jc w:val="both"/>
              <w:rPr>
                <w:b/>
                <w:bCs/>
                <w:sz w:val="20"/>
                <w:szCs w:val="20"/>
              </w:rPr>
            </w:pPr>
            <w:r w:rsidRPr="00A92CA7">
              <w:rPr>
                <w:b/>
                <w:bCs/>
                <w:sz w:val="20"/>
                <w:szCs w:val="20"/>
              </w:rPr>
              <w:t>2022</w:t>
            </w:r>
          </w:p>
        </w:tc>
        <w:tc>
          <w:tcPr>
            <w:tcW w:w="688" w:type="dxa"/>
            <w:shd w:val="clear" w:color="auto" w:fill="92D050"/>
            <w:vAlign w:val="center"/>
          </w:tcPr>
          <w:p w14:paraId="574886B7" w14:textId="26744009" w:rsidR="00A92CA7" w:rsidRPr="00A92CA7" w:rsidRDefault="00A92CA7" w:rsidP="00AA241E">
            <w:pPr>
              <w:jc w:val="both"/>
              <w:rPr>
                <w:b/>
                <w:bCs/>
                <w:sz w:val="20"/>
                <w:szCs w:val="20"/>
              </w:rPr>
            </w:pPr>
            <w:r w:rsidRPr="00A92CA7">
              <w:rPr>
                <w:b/>
                <w:bCs/>
                <w:sz w:val="20"/>
                <w:szCs w:val="20"/>
              </w:rPr>
              <w:t>2023</w:t>
            </w:r>
          </w:p>
        </w:tc>
        <w:tc>
          <w:tcPr>
            <w:tcW w:w="686" w:type="dxa"/>
            <w:shd w:val="clear" w:color="auto" w:fill="92D050"/>
            <w:vAlign w:val="center"/>
          </w:tcPr>
          <w:p w14:paraId="146504A8" w14:textId="2FC78376" w:rsidR="00A92CA7" w:rsidRPr="00A92CA7" w:rsidRDefault="00A92CA7" w:rsidP="00AA241E">
            <w:pPr>
              <w:jc w:val="both"/>
              <w:rPr>
                <w:b/>
                <w:bCs/>
                <w:sz w:val="20"/>
                <w:szCs w:val="20"/>
              </w:rPr>
            </w:pPr>
            <w:r w:rsidRPr="00A92CA7">
              <w:rPr>
                <w:b/>
                <w:bCs/>
                <w:sz w:val="20"/>
                <w:szCs w:val="20"/>
              </w:rPr>
              <w:t>2022</w:t>
            </w:r>
          </w:p>
        </w:tc>
        <w:tc>
          <w:tcPr>
            <w:tcW w:w="686" w:type="dxa"/>
            <w:shd w:val="clear" w:color="auto" w:fill="92D050"/>
            <w:vAlign w:val="center"/>
          </w:tcPr>
          <w:p w14:paraId="02706346" w14:textId="140B1B5D" w:rsidR="00A92CA7" w:rsidRPr="00A92CA7" w:rsidRDefault="00A92CA7" w:rsidP="00AA241E">
            <w:pPr>
              <w:jc w:val="both"/>
              <w:rPr>
                <w:b/>
                <w:bCs/>
                <w:sz w:val="20"/>
                <w:szCs w:val="20"/>
              </w:rPr>
            </w:pPr>
            <w:r w:rsidRPr="00A92CA7">
              <w:rPr>
                <w:b/>
                <w:bCs/>
                <w:sz w:val="20"/>
                <w:szCs w:val="20"/>
              </w:rPr>
              <w:t>2023</w:t>
            </w:r>
          </w:p>
        </w:tc>
        <w:tc>
          <w:tcPr>
            <w:tcW w:w="686" w:type="dxa"/>
            <w:shd w:val="clear" w:color="auto" w:fill="92D050"/>
            <w:vAlign w:val="center"/>
          </w:tcPr>
          <w:p w14:paraId="2C9D176C" w14:textId="09257BEE" w:rsidR="00A92CA7" w:rsidRPr="00A92CA7" w:rsidRDefault="00A92CA7" w:rsidP="00AA241E">
            <w:pPr>
              <w:jc w:val="both"/>
              <w:rPr>
                <w:b/>
                <w:bCs/>
                <w:sz w:val="20"/>
                <w:szCs w:val="20"/>
              </w:rPr>
            </w:pPr>
            <w:r w:rsidRPr="00A92CA7">
              <w:rPr>
                <w:b/>
                <w:bCs/>
                <w:sz w:val="20"/>
                <w:szCs w:val="20"/>
              </w:rPr>
              <w:t>2022</w:t>
            </w:r>
          </w:p>
        </w:tc>
        <w:tc>
          <w:tcPr>
            <w:tcW w:w="688" w:type="dxa"/>
            <w:shd w:val="clear" w:color="auto" w:fill="92D050"/>
            <w:vAlign w:val="center"/>
          </w:tcPr>
          <w:p w14:paraId="21985D69" w14:textId="7E101553" w:rsidR="00A92CA7" w:rsidRPr="00A92CA7" w:rsidRDefault="00A92CA7" w:rsidP="00AA241E">
            <w:pPr>
              <w:jc w:val="both"/>
              <w:rPr>
                <w:b/>
                <w:bCs/>
                <w:sz w:val="20"/>
                <w:szCs w:val="20"/>
              </w:rPr>
            </w:pPr>
            <w:r w:rsidRPr="00A92CA7">
              <w:rPr>
                <w:b/>
                <w:bCs/>
                <w:sz w:val="20"/>
                <w:szCs w:val="20"/>
              </w:rPr>
              <w:t>2023</w:t>
            </w:r>
          </w:p>
        </w:tc>
        <w:tc>
          <w:tcPr>
            <w:tcW w:w="686" w:type="dxa"/>
            <w:shd w:val="clear" w:color="auto" w:fill="92D050"/>
            <w:vAlign w:val="center"/>
          </w:tcPr>
          <w:p w14:paraId="6D444116" w14:textId="4A0F1660" w:rsidR="00A92CA7" w:rsidRPr="00A92CA7" w:rsidRDefault="00A92CA7" w:rsidP="00AA241E">
            <w:pPr>
              <w:jc w:val="both"/>
              <w:rPr>
                <w:b/>
                <w:bCs/>
                <w:sz w:val="20"/>
                <w:szCs w:val="20"/>
              </w:rPr>
            </w:pPr>
            <w:r w:rsidRPr="00A92CA7">
              <w:rPr>
                <w:b/>
                <w:bCs/>
                <w:sz w:val="20"/>
                <w:szCs w:val="20"/>
              </w:rPr>
              <w:t>2022</w:t>
            </w:r>
          </w:p>
        </w:tc>
        <w:tc>
          <w:tcPr>
            <w:tcW w:w="686" w:type="dxa"/>
            <w:shd w:val="clear" w:color="auto" w:fill="92D050"/>
            <w:vAlign w:val="center"/>
          </w:tcPr>
          <w:p w14:paraId="6E81CED1" w14:textId="3FDA3937" w:rsidR="00A92CA7" w:rsidRPr="00A92CA7" w:rsidRDefault="00A92CA7" w:rsidP="00AA241E">
            <w:pPr>
              <w:jc w:val="both"/>
              <w:rPr>
                <w:b/>
                <w:bCs/>
                <w:sz w:val="20"/>
                <w:szCs w:val="20"/>
              </w:rPr>
            </w:pPr>
            <w:r w:rsidRPr="00A92CA7">
              <w:rPr>
                <w:b/>
                <w:bCs/>
                <w:sz w:val="20"/>
                <w:szCs w:val="20"/>
              </w:rPr>
              <w:t>2023</w:t>
            </w:r>
          </w:p>
        </w:tc>
        <w:tc>
          <w:tcPr>
            <w:tcW w:w="686" w:type="dxa"/>
            <w:shd w:val="clear" w:color="auto" w:fill="92D050"/>
            <w:vAlign w:val="center"/>
          </w:tcPr>
          <w:p w14:paraId="04E82270" w14:textId="31D1D2BD" w:rsidR="00A92CA7" w:rsidRPr="00A92CA7" w:rsidRDefault="00A92CA7" w:rsidP="00AA241E">
            <w:pPr>
              <w:jc w:val="both"/>
              <w:rPr>
                <w:b/>
                <w:bCs/>
                <w:sz w:val="20"/>
                <w:szCs w:val="20"/>
              </w:rPr>
            </w:pPr>
            <w:r w:rsidRPr="00A92CA7">
              <w:rPr>
                <w:b/>
                <w:bCs/>
                <w:sz w:val="20"/>
                <w:szCs w:val="20"/>
              </w:rPr>
              <w:t>2022</w:t>
            </w:r>
          </w:p>
        </w:tc>
        <w:tc>
          <w:tcPr>
            <w:tcW w:w="689" w:type="dxa"/>
            <w:shd w:val="clear" w:color="auto" w:fill="92D050"/>
            <w:vAlign w:val="center"/>
          </w:tcPr>
          <w:p w14:paraId="587DD590" w14:textId="598E7BBE" w:rsidR="00A92CA7" w:rsidRPr="00A92CA7" w:rsidRDefault="00A92CA7" w:rsidP="00AA241E">
            <w:pPr>
              <w:jc w:val="both"/>
              <w:rPr>
                <w:b/>
                <w:bCs/>
                <w:sz w:val="20"/>
                <w:szCs w:val="20"/>
              </w:rPr>
            </w:pPr>
            <w:r w:rsidRPr="00A92CA7">
              <w:rPr>
                <w:b/>
                <w:bCs/>
                <w:sz w:val="20"/>
                <w:szCs w:val="20"/>
              </w:rPr>
              <w:t>2023</w:t>
            </w:r>
          </w:p>
        </w:tc>
      </w:tr>
      <w:tr w:rsidR="006B1262" w:rsidRPr="00A92CA7" w14:paraId="4304B99E" w14:textId="77777777" w:rsidTr="00F138D4">
        <w:trPr>
          <w:trHeight w:val="20"/>
        </w:trPr>
        <w:tc>
          <w:tcPr>
            <w:tcW w:w="1418" w:type="dxa"/>
          </w:tcPr>
          <w:p w14:paraId="1F828691" w14:textId="625CBFF4" w:rsidR="006B1262" w:rsidRPr="00A92CA7" w:rsidRDefault="006B1262" w:rsidP="006B1262">
            <w:pPr>
              <w:jc w:val="both"/>
              <w:rPr>
                <w:sz w:val="20"/>
                <w:szCs w:val="20"/>
              </w:rPr>
            </w:pPr>
            <w:r w:rsidRPr="00A92CA7">
              <w:rPr>
                <w:sz w:val="20"/>
                <w:szCs w:val="20"/>
              </w:rPr>
              <w:t>Elisa</w:t>
            </w:r>
          </w:p>
        </w:tc>
        <w:tc>
          <w:tcPr>
            <w:tcW w:w="813" w:type="dxa"/>
            <w:vAlign w:val="center"/>
          </w:tcPr>
          <w:p w14:paraId="4F53D778" w14:textId="5A021B4C" w:rsidR="006B1262" w:rsidRPr="00A92CA7" w:rsidRDefault="006B1262" w:rsidP="006B1262">
            <w:pPr>
              <w:jc w:val="both"/>
              <w:rPr>
                <w:sz w:val="20"/>
                <w:szCs w:val="20"/>
              </w:rPr>
            </w:pPr>
            <w:r w:rsidRPr="006B1262">
              <w:rPr>
                <w:sz w:val="20"/>
                <w:szCs w:val="20"/>
              </w:rPr>
              <w:t>…*</w:t>
            </w:r>
            <w:r w:rsidRPr="00A92CA7">
              <w:rPr>
                <w:sz w:val="20"/>
                <w:szCs w:val="20"/>
              </w:rPr>
              <w:t>%</w:t>
            </w:r>
          </w:p>
        </w:tc>
        <w:tc>
          <w:tcPr>
            <w:tcW w:w="686" w:type="dxa"/>
          </w:tcPr>
          <w:p w14:paraId="305CFEA6" w14:textId="56BDBF4D" w:rsidR="006B1262" w:rsidRPr="00A92CA7" w:rsidRDefault="006B1262" w:rsidP="006B1262">
            <w:pPr>
              <w:jc w:val="both"/>
              <w:rPr>
                <w:sz w:val="20"/>
                <w:szCs w:val="20"/>
              </w:rPr>
            </w:pPr>
            <w:r w:rsidRPr="007372CD">
              <w:rPr>
                <w:sz w:val="20"/>
                <w:szCs w:val="20"/>
              </w:rPr>
              <w:t>…*%</w:t>
            </w:r>
          </w:p>
        </w:tc>
        <w:tc>
          <w:tcPr>
            <w:tcW w:w="686" w:type="dxa"/>
          </w:tcPr>
          <w:p w14:paraId="6DB8CB8C" w14:textId="4527DAAE" w:rsidR="006B1262" w:rsidRPr="00A92CA7" w:rsidRDefault="006B1262" w:rsidP="006B1262">
            <w:pPr>
              <w:jc w:val="both"/>
              <w:rPr>
                <w:sz w:val="20"/>
                <w:szCs w:val="20"/>
              </w:rPr>
            </w:pPr>
            <w:r w:rsidRPr="007372CD">
              <w:rPr>
                <w:sz w:val="20"/>
                <w:szCs w:val="20"/>
              </w:rPr>
              <w:t>…*%</w:t>
            </w:r>
          </w:p>
        </w:tc>
        <w:tc>
          <w:tcPr>
            <w:tcW w:w="688" w:type="dxa"/>
          </w:tcPr>
          <w:p w14:paraId="3536AA3D" w14:textId="1EFBB79E" w:rsidR="006B1262" w:rsidRPr="00A92CA7" w:rsidRDefault="006B1262" w:rsidP="006B1262">
            <w:pPr>
              <w:jc w:val="both"/>
              <w:rPr>
                <w:sz w:val="20"/>
                <w:szCs w:val="20"/>
              </w:rPr>
            </w:pPr>
            <w:r w:rsidRPr="007372CD">
              <w:rPr>
                <w:sz w:val="20"/>
                <w:szCs w:val="20"/>
              </w:rPr>
              <w:t>…*%</w:t>
            </w:r>
          </w:p>
        </w:tc>
        <w:tc>
          <w:tcPr>
            <w:tcW w:w="686" w:type="dxa"/>
          </w:tcPr>
          <w:p w14:paraId="7FA378C4" w14:textId="15763798" w:rsidR="006B1262" w:rsidRPr="00A92CA7" w:rsidRDefault="006B1262" w:rsidP="006B1262">
            <w:pPr>
              <w:jc w:val="both"/>
              <w:rPr>
                <w:sz w:val="20"/>
                <w:szCs w:val="20"/>
              </w:rPr>
            </w:pPr>
            <w:r w:rsidRPr="007372CD">
              <w:rPr>
                <w:sz w:val="20"/>
                <w:szCs w:val="20"/>
              </w:rPr>
              <w:t>…*%</w:t>
            </w:r>
          </w:p>
        </w:tc>
        <w:tc>
          <w:tcPr>
            <w:tcW w:w="686" w:type="dxa"/>
          </w:tcPr>
          <w:p w14:paraId="2AD50990" w14:textId="671122A0" w:rsidR="006B1262" w:rsidRPr="00A92CA7" w:rsidRDefault="006B1262" w:rsidP="006B1262">
            <w:pPr>
              <w:jc w:val="both"/>
              <w:rPr>
                <w:sz w:val="20"/>
                <w:szCs w:val="20"/>
              </w:rPr>
            </w:pPr>
            <w:r w:rsidRPr="007372CD">
              <w:rPr>
                <w:sz w:val="20"/>
                <w:szCs w:val="20"/>
              </w:rPr>
              <w:t>…*%</w:t>
            </w:r>
          </w:p>
        </w:tc>
        <w:tc>
          <w:tcPr>
            <w:tcW w:w="686" w:type="dxa"/>
          </w:tcPr>
          <w:p w14:paraId="3B11895C" w14:textId="60412517" w:rsidR="006B1262" w:rsidRPr="00A92CA7" w:rsidRDefault="006B1262" w:rsidP="006B1262">
            <w:pPr>
              <w:jc w:val="both"/>
              <w:rPr>
                <w:sz w:val="20"/>
                <w:szCs w:val="20"/>
              </w:rPr>
            </w:pPr>
            <w:r w:rsidRPr="007372CD">
              <w:rPr>
                <w:sz w:val="20"/>
                <w:szCs w:val="20"/>
              </w:rPr>
              <w:t>…*%</w:t>
            </w:r>
          </w:p>
        </w:tc>
        <w:tc>
          <w:tcPr>
            <w:tcW w:w="688" w:type="dxa"/>
          </w:tcPr>
          <w:p w14:paraId="5FAE2D0F" w14:textId="2334A807" w:rsidR="006B1262" w:rsidRPr="00A92CA7" w:rsidRDefault="006B1262" w:rsidP="006B1262">
            <w:pPr>
              <w:jc w:val="both"/>
              <w:rPr>
                <w:sz w:val="20"/>
                <w:szCs w:val="20"/>
              </w:rPr>
            </w:pPr>
            <w:r w:rsidRPr="007372CD">
              <w:rPr>
                <w:sz w:val="20"/>
                <w:szCs w:val="20"/>
              </w:rPr>
              <w:t>…*%</w:t>
            </w:r>
          </w:p>
        </w:tc>
        <w:tc>
          <w:tcPr>
            <w:tcW w:w="686" w:type="dxa"/>
          </w:tcPr>
          <w:p w14:paraId="7DF89056" w14:textId="560EB7EF" w:rsidR="006B1262" w:rsidRPr="00A92CA7" w:rsidRDefault="006B1262" w:rsidP="006B1262">
            <w:pPr>
              <w:jc w:val="both"/>
              <w:rPr>
                <w:sz w:val="20"/>
                <w:szCs w:val="20"/>
              </w:rPr>
            </w:pPr>
            <w:r w:rsidRPr="007372CD">
              <w:rPr>
                <w:sz w:val="20"/>
                <w:szCs w:val="20"/>
              </w:rPr>
              <w:t>…*%</w:t>
            </w:r>
          </w:p>
        </w:tc>
        <w:tc>
          <w:tcPr>
            <w:tcW w:w="686" w:type="dxa"/>
          </w:tcPr>
          <w:p w14:paraId="15BDA01B" w14:textId="30BDCE22" w:rsidR="006B1262" w:rsidRPr="00A92CA7" w:rsidRDefault="006B1262" w:rsidP="006B1262">
            <w:pPr>
              <w:jc w:val="both"/>
              <w:rPr>
                <w:sz w:val="20"/>
                <w:szCs w:val="20"/>
              </w:rPr>
            </w:pPr>
            <w:r w:rsidRPr="007372CD">
              <w:rPr>
                <w:sz w:val="20"/>
                <w:szCs w:val="20"/>
              </w:rPr>
              <w:t>…*%</w:t>
            </w:r>
          </w:p>
        </w:tc>
        <w:tc>
          <w:tcPr>
            <w:tcW w:w="686" w:type="dxa"/>
          </w:tcPr>
          <w:p w14:paraId="1A3724D5" w14:textId="2FEFF083" w:rsidR="006B1262" w:rsidRPr="00A92CA7" w:rsidRDefault="006B1262" w:rsidP="006B1262">
            <w:pPr>
              <w:jc w:val="both"/>
              <w:rPr>
                <w:sz w:val="20"/>
                <w:szCs w:val="20"/>
              </w:rPr>
            </w:pPr>
            <w:r w:rsidRPr="007372CD">
              <w:rPr>
                <w:sz w:val="20"/>
                <w:szCs w:val="20"/>
              </w:rPr>
              <w:t>…*%</w:t>
            </w:r>
          </w:p>
        </w:tc>
        <w:tc>
          <w:tcPr>
            <w:tcW w:w="689" w:type="dxa"/>
          </w:tcPr>
          <w:p w14:paraId="08AE30F9" w14:textId="1E71FBA3" w:rsidR="006B1262" w:rsidRPr="00A92CA7" w:rsidRDefault="006B1262" w:rsidP="006B1262">
            <w:pPr>
              <w:jc w:val="both"/>
              <w:rPr>
                <w:sz w:val="20"/>
                <w:szCs w:val="20"/>
              </w:rPr>
            </w:pPr>
            <w:r w:rsidRPr="007372CD">
              <w:rPr>
                <w:sz w:val="20"/>
                <w:szCs w:val="20"/>
              </w:rPr>
              <w:t>…*%</w:t>
            </w:r>
          </w:p>
        </w:tc>
      </w:tr>
      <w:tr w:rsidR="006B1262" w:rsidRPr="00A92CA7" w14:paraId="54A83F8F" w14:textId="77777777" w:rsidTr="00826731">
        <w:trPr>
          <w:trHeight w:val="20"/>
        </w:trPr>
        <w:tc>
          <w:tcPr>
            <w:tcW w:w="1418" w:type="dxa"/>
          </w:tcPr>
          <w:p w14:paraId="79F107A4" w14:textId="5D451E87" w:rsidR="006B1262" w:rsidRPr="00A92CA7" w:rsidRDefault="006B1262" w:rsidP="006B1262">
            <w:pPr>
              <w:jc w:val="both"/>
              <w:rPr>
                <w:sz w:val="20"/>
                <w:szCs w:val="20"/>
              </w:rPr>
            </w:pPr>
            <w:r w:rsidRPr="00A92CA7">
              <w:rPr>
                <w:sz w:val="20"/>
                <w:szCs w:val="20"/>
              </w:rPr>
              <w:t>STV</w:t>
            </w:r>
          </w:p>
        </w:tc>
        <w:tc>
          <w:tcPr>
            <w:tcW w:w="813" w:type="dxa"/>
          </w:tcPr>
          <w:p w14:paraId="0C433C00" w14:textId="4FEF2BB4" w:rsidR="006B1262" w:rsidRPr="00A92CA7" w:rsidRDefault="006B1262" w:rsidP="006B1262">
            <w:pPr>
              <w:jc w:val="both"/>
              <w:rPr>
                <w:sz w:val="20"/>
                <w:szCs w:val="20"/>
              </w:rPr>
            </w:pPr>
            <w:r w:rsidRPr="00EE32C5">
              <w:rPr>
                <w:sz w:val="20"/>
                <w:szCs w:val="20"/>
              </w:rPr>
              <w:t>…*%</w:t>
            </w:r>
          </w:p>
        </w:tc>
        <w:tc>
          <w:tcPr>
            <w:tcW w:w="686" w:type="dxa"/>
          </w:tcPr>
          <w:p w14:paraId="44C5BF34" w14:textId="4D38E9AA" w:rsidR="006B1262" w:rsidRPr="00A92CA7" w:rsidRDefault="006B1262" w:rsidP="006B1262">
            <w:pPr>
              <w:jc w:val="both"/>
              <w:rPr>
                <w:sz w:val="20"/>
                <w:szCs w:val="20"/>
              </w:rPr>
            </w:pPr>
            <w:r w:rsidRPr="00EE32C5">
              <w:rPr>
                <w:sz w:val="20"/>
                <w:szCs w:val="20"/>
              </w:rPr>
              <w:t>…*%</w:t>
            </w:r>
          </w:p>
        </w:tc>
        <w:tc>
          <w:tcPr>
            <w:tcW w:w="686" w:type="dxa"/>
          </w:tcPr>
          <w:p w14:paraId="48CAB4C3" w14:textId="25ED6D8E" w:rsidR="006B1262" w:rsidRPr="00A92CA7" w:rsidRDefault="006B1262" w:rsidP="006B1262">
            <w:pPr>
              <w:jc w:val="both"/>
              <w:rPr>
                <w:sz w:val="20"/>
                <w:szCs w:val="20"/>
              </w:rPr>
            </w:pPr>
            <w:r w:rsidRPr="00EE32C5">
              <w:rPr>
                <w:sz w:val="20"/>
                <w:szCs w:val="20"/>
              </w:rPr>
              <w:t>…*%</w:t>
            </w:r>
          </w:p>
        </w:tc>
        <w:tc>
          <w:tcPr>
            <w:tcW w:w="688" w:type="dxa"/>
          </w:tcPr>
          <w:p w14:paraId="4BF15CC5" w14:textId="6AE81DCB" w:rsidR="006B1262" w:rsidRPr="00A92CA7" w:rsidRDefault="006B1262" w:rsidP="006B1262">
            <w:pPr>
              <w:jc w:val="both"/>
              <w:rPr>
                <w:sz w:val="20"/>
                <w:szCs w:val="20"/>
              </w:rPr>
            </w:pPr>
            <w:r w:rsidRPr="00EE32C5">
              <w:rPr>
                <w:sz w:val="20"/>
                <w:szCs w:val="20"/>
              </w:rPr>
              <w:t>…*%</w:t>
            </w:r>
          </w:p>
        </w:tc>
        <w:tc>
          <w:tcPr>
            <w:tcW w:w="686" w:type="dxa"/>
          </w:tcPr>
          <w:p w14:paraId="74951931" w14:textId="5B0E10C8" w:rsidR="006B1262" w:rsidRPr="00A92CA7" w:rsidRDefault="006B1262" w:rsidP="006B1262">
            <w:pPr>
              <w:jc w:val="both"/>
              <w:rPr>
                <w:sz w:val="20"/>
                <w:szCs w:val="20"/>
              </w:rPr>
            </w:pPr>
            <w:r w:rsidRPr="00EE32C5">
              <w:rPr>
                <w:sz w:val="20"/>
                <w:szCs w:val="20"/>
              </w:rPr>
              <w:t>…*%</w:t>
            </w:r>
          </w:p>
        </w:tc>
        <w:tc>
          <w:tcPr>
            <w:tcW w:w="686" w:type="dxa"/>
          </w:tcPr>
          <w:p w14:paraId="2F21C962" w14:textId="25E845F9" w:rsidR="006B1262" w:rsidRPr="00A92CA7" w:rsidRDefault="006B1262" w:rsidP="006B1262">
            <w:pPr>
              <w:jc w:val="both"/>
              <w:rPr>
                <w:sz w:val="20"/>
                <w:szCs w:val="20"/>
              </w:rPr>
            </w:pPr>
            <w:r w:rsidRPr="00EE32C5">
              <w:rPr>
                <w:sz w:val="20"/>
                <w:szCs w:val="20"/>
              </w:rPr>
              <w:t>…*%</w:t>
            </w:r>
          </w:p>
        </w:tc>
        <w:tc>
          <w:tcPr>
            <w:tcW w:w="686" w:type="dxa"/>
          </w:tcPr>
          <w:p w14:paraId="41FFB26E" w14:textId="24F425C7" w:rsidR="006B1262" w:rsidRPr="00A92CA7" w:rsidRDefault="006B1262" w:rsidP="006B1262">
            <w:pPr>
              <w:jc w:val="both"/>
              <w:rPr>
                <w:sz w:val="20"/>
                <w:szCs w:val="20"/>
              </w:rPr>
            </w:pPr>
            <w:r w:rsidRPr="00EE32C5">
              <w:rPr>
                <w:sz w:val="20"/>
                <w:szCs w:val="20"/>
              </w:rPr>
              <w:t>…*%</w:t>
            </w:r>
          </w:p>
        </w:tc>
        <w:tc>
          <w:tcPr>
            <w:tcW w:w="688" w:type="dxa"/>
          </w:tcPr>
          <w:p w14:paraId="55DC14E0" w14:textId="2C059F92" w:rsidR="006B1262" w:rsidRPr="00A92CA7" w:rsidRDefault="006B1262" w:rsidP="006B1262">
            <w:pPr>
              <w:jc w:val="both"/>
              <w:rPr>
                <w:sz w:val="20"/>
                <w:szCs w:val="20"/>
              </w:rPr>
            </w:pPr>
            <w:r w:rsidRPr="00EE32C5">
              <w:rPr>
                <w:sz w:val="20"/>
                <w:szCs w:val="20"/>
              </w:rPr>
              <w:t>…*%</w:t>
            </w:r>
          </w:p>
        </w:tc>
        <w:tc>
          <w:tcPr>
            <w:tcW w:w="686" w:type="dxa"/>
          </w:tcPr>
          <w:p w14:paraId="7151F6FB" w14:textId="72CDF998" w:rsidR="006B1262" w:rsidRPr="00A92CA7" w:rsidRDefault="006B1262" w:rsidP="006B1262">
            <w:pPr>
              <w:jc w:val="both"/>
              <w:rPr>
                <w:sz w:val="20"/>
                <w:szCs w:val="20"/>
              </w:rPr>
            </w:pPr>
            <w:r w:rsidRPr="00EE32C5">
              <w:rPr>
                <w:sz w:val="20"/>
                <w:szCs w:val="20"/>
              </w:rPr>
              <w:t>…*%</w:t>
            </w:r>
          </w:p>
        </w:tc>
        <w:tc>
          <w:tcPr>
            <w:tcW w:w="686" w:type="dxa"/>
          </w:tcPr>
          <w:p w14:paraId="1236D8BC" w14:textId="3F8D6B81" w:rsidR="006B1262" w:rsidRPr="00A92CA7" w:rsidRDefault="006B1262" w:rsidP="006B1262">
            <w:pPr>
              <w:jc w:val="both"/>
              <w:rPr>
                <w:sz w:val="20"/>
                <w:szCs w:val="20"/>
              </w:rPr>
            </w:pPr>
            <w:r w:rsidRPr="00EE32C5">
              <w:rPr>
                <w:sz w:val="20"/>
                <w:szCs w:val="20"/>
              </w:rPr>
              <w:t>…*%</w:t>
            </w:r>
          </w:p>
        </w:tc>
        <w:tc>
          <w:tcPr>
            <w:tcW w:w="686" w:type="dxa"/>
          </w:tcPr>
          <w:p w14:paraId="0DBA6406" w14:textId="5CF443BF" w:rsidR="006B1262" w:rsidRPr="00A92CA7" w:rsidRDefault="006B1262" w:rsidP="006B1262">
            <w:pPr>
              <w:jc w:val="both"/>
              <w:rPr>
                <w:sz w:val="20"/>
                <w:szCs w:val="20"/>
              </w:rPr>
            </w:pPr>
            <w:r w:rsidRPr="00EE32C5">
              <w:rPr>
                <w:sz w:val="20"/>
                <w:szCs w:val="20"/>
              </w:rPr>
              <w:t>…*%</w:t>
            </w:r>
          </w:p>
        </w:tc>
        <w:tc>
          <w:tcPr>
            <w:tcW w:w="689" w:type="dxa"/>
          </w:tcPr>
          <w:p w14:paraId="0F44BE56" w14:textId="711F5E6F" w:rsidR="006B1262" w:rsidRPr="00A92CA7" w:rsidRDefault="006B1262" w:rsidP="006B1262">
            <w:pPr>
              <w:jc w:val="both"/>
              <w:rPr>
                <w:sz w:val="20"/>
                <w:szCs w:val="20"/>
              </w:rPr>
            </w:pPr>
            <w:r w:rsidRPr="00EE32C5">
              <w:rPr>
                <w:sz w:val="20"/>
                <w:szCs w:val="20"/>
              </w:rPr>
              <w:t>…*%</w:t>
            </w:r>
          </w:p>
        </w:tc>
      </w:tr>
      <w:tr w:rsidR="00BB5079" w:rsidRPr="00A92CA7" w14:paraId="71E82ACC" w14:textId="77777777" w:rsidTr="00835FF8">
        <w:trPr>
          <w:trHeight w:val="20"/>
        </w:trPr>
        <w:tc>
          <w:tcPr>
            <w:tcW w:w="1418" w:type="dxa"/>
          </w:tcPr>
          <w:p w14:paraId="25B9F4F7" w14:textId="125BFAAC" w:rsidR="00BB5079" w:rsidRPr="00A92CA7" w:rsidRDefault="00BB5079" w:rsidP="00BB5079">
            <w:pPr>
              <w:jc w:val="both"/>
              <w:rPr>
                <w:sz w:val="20"/>
                <w:szCs w:val="20"/>
              </w:rPr>
            </w:pPr>
            <w:r w:rsidRPr="00A92CA7">
              <w:rPr>
                <w:sz w:val="20"/>
                <w:szCs w:val="20"/>
              </w:rPr>
              <w:t>Telia</w:t>
            </w:r>
          </w:p>
        </w:tc>
        <w:tc>
          <w:tcPr>
            <w:tcW w:w="813" w:type="dxa"/>
          </w:tcPr>
          <w:p w14:paraId="53089D42" w14:textId="71F1DA79" w:rsidR="00BB5079" w:rsidRPr="00A92CA7" w:rsidRDefault="00BB5079" w:rsidP="00BB5079">
            <w:pPr>
              <w:jc w:val="both"/>
              <w:rPr>
                <w:sz w:val="20"/>
                <w:szCs w:val="20"/>
              </w:rPr>
            </w:pPr>
            <w:r w:rsidRPr="005F6E7D">
              <w:rPr>
                <w:sz w:val="20"/>
                <w:szCs w:val="20"/>
              </w:rPr>
              <w:t>…*%</w:t>
            </w:r>
          </w:p>
        </w:tc>
        <w:tc>
          <w:tcPr>
            <w:tcW w:w="686" w:type="dxa"/>
          </w:tcPr>
          <w:p w14:paraId="01F9C41F" w14:textId="3EFF7DBF" w:rsidR="00BB5079" w:rsidRPr="00A92CA7" w:rsidRDefault="00BB5079" w:rsidP="00BB5079">
            <w:pPr>
              <w:jc w:val="both"/>
              <w:rPr>
                <w:sz w:val="20"/>
                <w:szCs w:val="20"/>
              </w:rPr>
            </w:pPr>
            <w:r w:rsidRPr="005F6E7D">
              <w:rPr>
                <w:sz w:val="20"/>
                <w:szCs w:val="20"/>
              </w:rPr>
              <w:t>…*%</w:t>
            </w:r>
          </w:p>
        </w:tc>
        <w:tc>
          <w:tcPr>
            <w:tcW w:w="686" w:type="dxa"/>
          </w:tcPr>
          <w:p w14:paraId="24CC33FF" w14:textId="788BCD6C" w:rsidR="00BB5079" w:rsidRPr="00A92CA7" w:rsidRDefault="00BB5079" w:rsidP="00BB5079">
            <w:pPr>
              <w:jc w:val="both"/>
              <w:rPr>
                <w:sz w:val="20"/>
                <w:szCs w:val="20"/>
              </w:rPr>
            </w:pPr>
            <w:r w:rsidRPr="005F6E7D">
              <w:rPr>
                <w:sz w:val="20"/>
                <w:szCs w:val="20"/>
              </w:rPr>
              <w:t>…*%</w:t>
            </w:r>
          </w:p>
        </w:tc>
        <w:tc>
          <w:tcPr>
            <w:tcW w:w="688" w:type="dxa"/>
          </w:tcPr>
          <w:p w14:paraId="7C627373" w14:textId="17EB8C94" w:rsidR="00BB5079" w:rsidRPr="00A92CA7" w:rsidRDefault="00BB5079" w:rsidP="00BB5079">
            <w:pPr>
              <w:jc w:val="both"/>
              <w:rPr>
                <w:sz w:val="20"/>
                <w:szCs w:val="20"/>
              </w:rPr>
            </w:pPr>
            <w:r w:rsidRPr="005F6E7D">
              <w:rPr>
                <w:sz w:val="20"/>
                <w:szCs w:val="20"/>
              </w:rPr>
              <w:t>…*%</w:t>
            </w:r>
          </w:p>
        </w:tc>
        <w:tc>
          <w:tcPr>
            <w:tcW w:w="686" w:type="dxa"/>
          </w:tcPr>
          <w:p w14:paraId="0D15C515" w14:textId="492F45C5" w:rsidR="00BB5079" w:rsidRPr="00A92CA7" w:rsidRDefault="00BB5079" w:rsidP="00BB5079">
            <w:pPr>
              <w:jc w:val="both"/>
              <w:rPr>
                <w:sz w:val="20"/>
                <w:szCs w:val="20"/>
              </w:rPr>
            </w:pPr>
            <w:r w:rsidRPr="005F6E7D">
              <w:rPr>
                <w:sz w:val="20"/>
                <w:szCs w:val="20"/>
              </w:rPr>
              <w:t>…*%</w:t>
            </w:r>
          </w:p>
        </w:tc>
        <w:tc>
          <w:tcPr>
            <w:tcW w:w="686" w:type="dxa"/>
          </w:tcPr>
          <w:p w14:paraId="5EE011D5" w14:textId="19FF7F16" w:rsidR="00BB5079" w:rsidRPr="00A92CA7" w:rsidRDefault="00BB5079" w:rsidP="00BB5079">
            <w:pPr>
              <w:jc w:val="both"/>
              <w:rPr>
                <w:sz w:val="20"/>
                <w:szCs w:val="20"/>
              </w:rPr>
            </w:pPr>
            <w:r w:rsidRPr="005F6E7D">
              <w:rPr>
                <w:sz w:val="20"/>
                <w:szCs w:val="20"/>
              </w:rPr>
              <w:t>…*%</w:t>
            </w:r>
          </w:p>
        </w:tc>
        <w:tc>
          <w:tcPr>
            <w:tcW w:w="686" w:type="dxa"/>
          </w:tcPr>
          <w:p w14:paraId="7DA4102A" w14:textId="1D0631AC" w:rsidR="00BB5079" w:rsidRPr="00A92CA7" w:rsidRDefault="00BB5079" w:rsidP="00BB5079">
            <w:pPr>
              <w:jc w:val="both"/>
              <w:rPr>
                <w:sz w:val="20"/>
                <w:szCs w:val="20"/>
              </w:rPr>
            </w:pPr>
            <w:r w:rsidRPr="005F6E7D">
              <w:rPr>
                <w:sz w:val="20"/>
                <w:szCs w:val="20"/>
              </w:rPr>
              <w:t>…*%</w:t>
            </w:r>
          </w:p>
        </w:tc>
        <w:tc>
          <w:tcPr>
            <w:tcW w:w="688" w:type="dxa"/>
          </w:tcPr>
          <w:p w14:paraId="272BFBA9" w14:textId="1975D9AE" w:rsidR="00BB5079" w:rsidRPr="00A92CA7" w:rsidRDefault="00BB5079" w:rsidP="00BB5079">
            <w:pPr>
              <w:jc w:val="both"/>
              <w:rPr>
                <w:sz w:val="20"/>
                <w:szCs w:val="20"/>
              </w:rPr>
            </w:pPr>
            <w:r w:rsidRPr="005F6E7D">
              <w:rPr>
                <w:sz w:val="20"/>
                <w:szCs w:val="20"/>
              </w:rPr>
              <w:t>…*%</w:t>
            </w:r>
          </w:p>
        </w:tc>
        <w:tc>
          <w:tcPr>
            <w:tcW w:w="686" w:type="dxa"/>
          </w:tcPr>
          <w:p w14:paraId="1315C391" w14:textId="207CF3AE" w:rsidR="00BB5079" w:rsidRPr="00A92CA7" w:rsidRDefault="00BB5079" w:rsidP="00BB5079">
            <w:pPr>
              <w:jc w:val="both"/>
              <w:rPr>
                <w:sz w:val="20"/>
                <w:szCs w:val="20"/>
              </w:rPr>
            </w:pPr>
            <w:r w:rsidRPr="005F6E7D">
              <w:rPr>
                <w:sz w:val="20"/>
                <w:szCs w:val="20"/>
              </w:rPr>
              <w:t>…*%</w:t>
            </w:r>
          </w:p>
        </w:tc>
        <w:tc>
          <w:tcPr>
            <w:tcW w:w="686" w:type="dxa"/>
          </w:tcPr>
          <w:p w14:paraId="697D9403" w14:textId="498D1A50" w:rsidR="00BB5079" w:rsidRPr="00A92CA7" w:rsidRDefault="00BB5079" w:rsidP="00BB5079">
            <w:pPr>
              <w:jc w:val="both"/>
              <w:rPr>
                <w:sz w:val="20"/>
                <w:szCs w:val="20"/>
              </w:rPr>
            </w:pPr>
            <w:r w:rsidRPr="005F6E7D">
              <w:rPr>
                <w:sz w:val="20"/>
                <w:szCs w:val="20"/>
              </w:rPr>
              <w:t>…*%</w:t>
            </w:r>
          </w:p>
        </w:tc>
        <w:tc>
          <w:tcPr>
            <w:tcW w:w="686" w:type="dxa"/>
          </w:tcPr>
          <w:p w14:paraId="3837F53B" w14:textId="778F7995" w:rsidR="00BB5079" w:rsidRPr="00A92CA7" w:rsidRDefault="00BB5079" w:rsidP="00BB5079">
            <w:pPr>
              <w:jc w:val="both"/>
              <w:rPr>
                <w:sz w:val="20"/>
                <w:szCs w:val="20"/>
              </w:rPr>
            </w:pPr>
            <w:r w:rsidRPr="005F6E7D">
              <w:rPr>
                <w:sz w:val="20"/>
                <w:szCs w:val="20"/>
              </w:rPr>
              <w:t>…*%</w:t>
            </w:r>
          </w:p>
        </w:tc>
        <w:tc>
          <w:tcPr>
            <w:tcW w:w="689" w:type="dxa"/>
          </w:tcPr>
          <w:p w14:paraId="4F7E0D00" w14:textId="48C3CF3A" w:rsidR="00BB5079" w:rsidRPr="00A92CA7" w:rsidRDefault="00BB5079" w:rsidP="00BB5079">
            <w:pPr>
              <w:jc w:val="both"/>
              <w:rPr>
                <w:sz w:val="20"/>
                <w:szCs w:val="20"/>
              </w:rPr>
            </w:pPr>
            <w:r w:rsidRPr="005F6E7D">
              <w:rPr>
                <w:sz w:val="20"/>
                <w:szCs w:val="20"/>
              </w:rPr>
              <w:t>…*%</w:t>
            </w:r>
          </w:p>
        </w:tc>
      </w:tr>
      <w:tr w:rsidR="006B1262" w:rsidRPr="00A92CA7" w14:paraId="54BD36E4" w14:textId="77777777" w:rsidTr="001F4606">
        <w:trPr>
          <w:trHeight w:val="20"/>
        </w:trPr>
        <w:tc>
          <w:tcPr>
            <w:tcW w:w="1418" w:type="dxa"/>
          </w:tcPr>
          <w:p w14:paraId="61EEEED0" w14:textId="2000A354" w:rsidR="006B1262" w:rsidRPr="00A92CA7" w:rsidRDefault="006B1262" w:rsidP="006B1262">
            <w:pPr>
              <w:jc w:val="both"/>
              <w:rPr>
                <w:sz w:val="20"/>
                <w:szCs w:val="20"/>
              </w:rPr>
            </w:pPr>
            <w:r w:rsidRPr="00A92CA7">
              <w:rPr>
                <w:sz w:val="20"/>
                <w:szCs w:val="20"/>
              </w:rPr>
              <w:t>Telset</w:t>
            </w:r>
          </w:p>
        </w:tc>
        <w:tc>
          <w:tcPr>
            <w:tcW w:w="813" w:type="dxa"/>
          </w:tcPr>
          <w:p w14:paraId="78FD0033" w14:textId="63A9F898" w:rsidR="006B1262" w:rsidRPr="00A92CA7" w:rsidRDefault="006B1262" w:rsidP="006B1262">
            <w:pPr>
              <w:jc w:val="both"/>
              <w:rPr>
                <w:sz w:val="20"/>
                <w:szCs w:val="20"/>
              </w:rPr>
            </w:pPr>
            <w:r w:rsidRPr="00C13B8F">
              <w:rPr>
                <w:sz w:val="20"/>
                <w:szCs w:val="20"/>
              </w:rPr>
              <w:t>…*%</w:t>
            </w:r>
          </w:p>
        </w:tc>
        <w:tc>
          <w:tcPr>
            <w:tcW w:w="686" w:type="dxa"/>
          </w:tcPr>
          <w:p w14:paraId="09BEC70A" w14:textId="2BE77BEB" w:rsidR="006B1262" w:rsidRPr="00A92CA7" w:rsidRDefault="006B1262" w:rsidP="006B1262">
            <w:pPr>
              <w:jc w:val="both"/>
              <w:rPr>
                <w:sz w:val="20"/>
                <w:szCs w:val="20"/>
              </w:rPr>
            </w:pPr>
            <w:r w:rsidRPr="00C13B8F">
              <w:rPr>
                <w:sz w:val="20"/>
                <w:szCs w:val="20"/>
              </w:rPr>
              <w:t>…*%</w:t>
            </w:r>
          </w:p>
        </w:tc>
        <w:tc>
          <w:tcPr>
            <w:tcW w:w="686" w:type="dxa"/>
          </w:tcPr>
          <w:p w14:paraId="1E183774" w14:textId="53758A97" w:rsidR="006B1262" w:rsidRPr="00A92CA7" w:rsidRDefault="006B1262" w:rsidP="006B1262">
            <w:pPr>
              <w:jc w:val="both"/>
              <w:rPr>
                <w:sz w:val="20"/>
                <w:szCs w:val="20"/>
              </w:rPr>
            </w:pPr>
            <w:r w:rsidRPr="00C13B8F">
              <w:rPr>
                <w:sz w:val="20"/>
                <w:szCs w:val="20"/>
              </w:rPr>
              <w:t>…*%</w:t>
            </w:r>
          </w:p>
        </w:tc>
        <w:tc>
          <w:tcPr>
            <w:tcW w:w="688" w:type="dxa"/>
          </w:tcPr>
          <w:p w14:paraId="5FA79D98" w14:textId="184420D5" w:rsidR="006B1262" w:rsidRPr="00A92CA7" w:rsidRDefault="006B1262" w:rsidP="006B1262">
            <w:pPr>
              <w:jc w:val="both"/>
              <w:rPr>
                <w:sz w:val="20"/>
                <w:szCs w:val="20"/>
              </w:rPr>
            </w:pPr>
            <w:r w:rsidRPr="00C13B8F">
              <w:rPr>
                <w:sz w:val="20"/>
                <w:szCs w:val="20"/>
              </w:rPr>
              <w:t>…*%</w:t>
            </w:r>
          </w:p>
        </w:tc>
        <w:tc>
          <w:tcPr>
            <w:tcW w:w="686" w:type="dxa"/>
          </w:tcPr>
          <w:p w14:paraId="001684BE" w14:textId="4169B739" w:rsidR="006B1262" w:rsidRPr="00A92CA7" w:rsidRDefault="006B1262" w:rsidP="006B1262">
            <w:pPr>
              <w:jc w:val="both"/>
              <w:rPr>
                <w:sz w:val="20"/>
                <w:szCs w:val="20"/>
              </w:rPr>
            </w:pPr>
            <w:r w:rsidRPr="00C13B8F">
              <w:rPr>
                <w:sz w:val="20"/>
                <w:szCs w:val="20"/>
              </w:rPr>
              <w:t>…*%</w:t>
            </w:r>
          </w:p>
        </w:tc>
        <w:tc>
          <w:tcPr>
            <w:tcW w:w="686" w:type="dxa"/>
          </w:tcPr>
          <w:p w14:paraId="5A44EBCC" w14:textId="5E9E59C2" w:rsidR="006B1262" w:rsidRPr="00A92CA7" w:rsidRDefault="006B1262" w:rsidP="006B1262">
            <w:pPr>
              <w:jc w:val="both"/>
              <w:rPr>
                <w:sz w:val="20"/>
                <w:szCs w:val="20"/>
              </w:rPr>
            </w:pPr>
            <w:r w:rsidRPr="00C13B8F">
              <w:rPr>
                <w:sz w:val="20"/>
                <w:szCs w:val="20"/>
              </w:rPr>
              <w:t>…*%</w:t>
            </w:r>
          </w:p>
        </w:tc>
        <w:tc>
          <w:tcPr>
            <w:tcW w:w="686" w:type="dxa"/>
          </w:tcPr>
          <w:p w14:paraId="225A369F" w14:textId="13954E89" w:rsidR="006B1262" w:rsidRPr="00A92CA7" w:rsidRDefault="006B1262" w:rsidP="006B1262">
            <w:pPr>
              <w:jc w:val="both"/>
              <w:rPr>
                <w:sz w:val="20"/>
                <w:szCs w:val="20"/>
              </w:rPr>
            </w:pPr>
            <w:r w:rsidRPr="00C13B8F">
              <w:rPr>
                <w:sz w:val="20"/>
                <w:szCs w:val="20"/>
              </w:rPr>
              <w:t>…*%</w:t>
            </w:r>
          </w:p>
        </w:tc>
        <w:tc>
          <w:tcPr>
            <w:tcW w:w="688" w:type="dxa"/>
          </w:tcPr>
          <w:p w14:paraId="5446E182" w14:textId="1FA9A499" w:rsidR="006B1262" w:rsidRPr="00A92CA7" w:rsidRDefault="006B1262" w:rsidP="006B1262">
            <w:pPr>
              <w:jc w:val="both"/>
              <w:rPr>
                <w:sz w:val="20"/>
                <w:szCs w:val="20"/>
              </w:rPr>
            </w:pPr>
            <w:r w:rsidRPr="00C13B8F">
              <w:rPr>
                <w:sz w:val="20"/>
                <w:szCs w:val="20"/>
              </w:rPr>
              <w:t>…*%</w:t>
            </w:r>
          </w:p>
        </w:tc>
        <w:tc>
          <w:tcPr>
            <w:tcW w:w="686" w:type="dxa"/>
          </w:tcPr>
          <w:p w14:paraId="6695D9DC" w14:textId="283DB26D" w:rsidR="006B1262" w:rsidRPr="00A92CA7" w:rsidRDefault="006B1262" w:rsidP="006B1262">
            <w:pPr>
              <w:jc w:val="both"/>
              <w:rPr>
                <w:sz w:val="20"/>
                <w:szCs w:val="20"/>
              </w:rPr>
            </w:pPr>
            <w:r w:rsidRPr="00C13B8F">
              <w:rPr>
                <w:sz w:val="20"/>
                <w:szCs w:val="20"/>
              </w:rPr>
              <w:t>…*%</w:t>
            </w:r>
          </w:p>
        </w:tc>
        <w:tc>
          <w:tcPr>
            <w:tcW w:w="686" w:type="dxa"/>
          </w:tcPr>
          <w:p w14:paraId="02F0C7B4" w14:textId="794A7C55" w:rsidR="006B1262" w:rsidRPr="00A92CA7" w:rsidRDefault="006B1262" w:rsidP="006B1262">
            <w:pPr>
              <w:jc w:val="both"/>
              <w:rPr>
                <w:sz w:val="20"/>
                <w:szCs w:val="20"/>
              </w:rPr>
            </w:pPr>
            <w:r w:rsidRPr="00C13B8F">
              <w:rPr>
                <w:sz w:val="20"/>
                <w:szCs w:val="20"/>
              </w:rPr>
              <w:t>…*%</w:t>
            </w:r>
          </w:p>
        </w:tc>
        <w:tc>
          <w:tcPr>
            <w:tcW w:w="686" w:type="dxa"/>
          </w:tcPr>
          <w:p w14:paraId="31C1481C" w14:textId="1B5FF12C" w:rsidR="006B1262" w:rsidRPr="00A92CA7" w:rsidRDefault="006B1262" w:rsidP="006B1262">
            <w:pPr>
              <w:jc w:val="both"/>
              <w:rPr>
                <w:sz w:val="20"/>
                <w:szCs w:val="20"/>
              </w:rPr>
            </w:pPr>
            <w:r w:rsidRPr="00C13B8F">
              <w:rPr>
                <w:sz w:val="20"/>
                <w:szCs w:val="20"/>
              </w:rPr>
              <w:t>…*%</w:t>
            </w:r>
          </w:p>
        </w:tc>
        <w:tc>
          <w:tcPr>
            <w:tcW w:w="689" w:type="dxa"/>
          </w:tcPr>
          <w:p w14:paraId="465D9F41" w14:textId="0506A94D" w:rsidR="006B1262" w:rsidRPr="00A92CA7" w:rsidRDefault="006B1262" w:rsidP="006B1262">
            <w:pPr>
              <w:jc w:val="both"/>
              <w:rPr>
                <w:sz w:val="20"/>
                <w:szCs w:val="20"/>
              </w:rPr>
            </w:pPr>
            <w:r w:rsidRPr="00C13B8F">
              <w:rPr>
                <w:sz w:val="20"/>
                <w:szCs w:val="20"/>
              </w:rPr>
              <w:t>…*%</w:t>
            </w:r>
          </w:p>
        </w:tc>
      </w:tr>
      <w:tr w:rsidR="006B1262" w:rsidRPr="00A92CA7" w14:paraId="18CF5A7C" w14:textId="77777777" w:rsidTr="001F4606">
        <w:trPr>
          <w:trHeight w:val="20"/>
        </w:trPr>
        <w:tc>
          <w:tcPr>
            <w:tcW w:w="1418" w:type="dxa"/>
          </w:tcPr>
          <w:p w14:paraId="663AA510" w14:textId="4E3F60D9" w:rsidR="006B1262" w:rsidRPr="00A92CA7" w:rsidRDefault="006B1262" w:rsidP="006B1262">
            <w:pPr>
              <w:jc w:val="both"/>
              <w:rPr>
                <w:sz w:val="20"/>
                <w:szCs w:val="20"/>
              </w:rPr>
            </w:pPr>
            <w:proofErr w:type="spellStart"/>
            <w:r w:rsidRPr="00A92CA7">
              <w:rPr>
                <w:sz w:val="20"/>
                <w:szCs w:val="20"/>
              </w:rPr>
              <w:t>UusProgr</w:t>
            </w:r>
            <w:proofErr w:type="spellEnd"/>
            <w:r>
              <w:rPr>
                <w:sz w:val="20"/>
                <w:szCs w:val="20"/>
              </w:rPr>
              <w:t>.</w:t>
            </w:r>
          </w:p>
        </w:tc>
        <w:tc>
          <w:tcPr>
            <w:tcW w:w="813" w:type="dxa"/>
          </w:tcPr>
          <w:p w14:paraId="674D684D" w14:textId="0999D646" w:rsidR="006B1262" w:rsidRPr="00A92CA7" w:rsidRDefault="006B1262" w:rsidP="006B1262">
            <w:pPr>
              <w:jc w:val="both"/>
              <w:rPr>
                <w:sz w:val="20"/>
                <w:szCs w:val="20"/>
              </w:rPr>
            </w:pPr>
            <w:r w:rsidRPr="00C13B8F">
              <w:rPr>
                <w:sz w:val="20"/>
                <w:szCs w:val="20"/>
              </w:rPr>
              <w:t>…*%</w:t>
            </w:r>
          </w:p>
        </w:tc>
        <w:tc>
          <w:tcPr>
            <w:tcW w:w="686" w:type="dxa"/>
          </w:tcPr>
          <w:p w14:paraId="32C096EB" w14:textId="3FBCBF04" w:rsidR="006B1262" w:rsidRPr="00A92CA7" w:rsidRDefault="006B1262" w:rsidP="006B1262">
            <w:pPr>
              <w:jc w:val="both"/>
              <w:rPr>
                <w:sz w:val="20"/>
                <w:szCs w:val="20"/>
              </w:rPr>
            </w:pPr>
            <w:r w:rsidRPr="00C13B8F">
              <w:rPr>
                <w:sz w:val="20"/>
                <w:szCs w:val="20"/>
              </w:rPr>
              <w:t>…*%</w:t>
            </w:r>
          </w:p>
        </w:tc>
        <w:tc>
          <w:tcPr>
            <w:tcW w:w="686" w:type="dxa"/>
          </w:tcPr>
          <w:p w14:paraId="3DD8D9C8" w14:textId="7FA2A6B6" w:rsidR="006B1262" w:rsidRPr="00A92CA7" w:rsidRDefault="006B1262" w:rsidP="006B1262">
            <w:pPr>
              <w:jc w:val="both"/>
              <w:rPr>
                <w:sz w:val="20"/>
                <w:szCs w:val="20"/>
              </w:rPr>
            </w:pPr>
            <w:r w:rsidRPr="00C13B8F">
              <w:rPr>
                <w:sz w:val="20"/>
                <w:szCs w:val="20"/>
              </w:rPr>
              <w:t>…*%</w:t>
            </w:r>
          </w:p>
        </w:tc>
        <w:tc>
          <w:tcPr>
            <w:tcW w:w="688" w:type="dxa"/>
          </w:tcPr>
          <w:p w14:paraId="3D5AE89E" w14:textId="545B7910" w:rsidR="006B1262" w:rsidRPr="00A92CA7" w:rsidRDefault="006B1262" w:rsidP="006B1262">
            <w:pPr>
              <w:jc w:val="both"/>
              <w:rPr>
                <w:sz w:val="20"/>
                <w:szCs w:val="20"/>
              </w:rPr>
            </w:pPr>
            <w:r w:rsidRPr="00C13B8F">
              <w:rPr>
                <w:sz w:val="20"/>
                <w:szCs w:val="20"/>
              </w:rPr>
              <w:t>…*%</w:t>
            </w:r>
          </w:p>
        </w:tc>
        <w:tc>
          <w:tcPr>
            <w:tcW w:w="686" w:type="dxa"/>
          </w:tcPr>
          <w:p w14:paraId="3787E4AF" w14:textId="10C3A50F" w:rsidR="006B1262" w:rsidRPr="00A92CA7" w:rsidRDefault="006B1262" w:rsidP="006B1262">
            <w:pPr>
              <w:jc w:val="both"/>
              <w:rPr>
                <w:sz w:val="20"/>
                <w:szCs w:val="20"/>
              </w:rPr>
            </w:pPr>
            <w:r w:rsidRPr="00C13B8F">
              <w:rPr>
                <w:sz w:val="20"/>
                <w:szCs w:val="20"/>
              </w:rPr>
              <w:t>…*%</w:t>
            </w:r>
          </w:p>
        </w:tc>
        <w:tc>
          <w:tcPr>
            <w:tcW w:w="686" w:type="dxa"/>
          </w:tcPr>
          <w:p w14:paraId="72ECF2C2" w14:textId="4C86E509" w:rsidR="006B1262" w:rsidRPr="00A92CA7" w:rsidRDefault="006B1262" w:rsidP="006B1262">
            <w:pPr>
              <w:jc w:val="both"/>
              <w:rPr>
                <w:sz w:val="20"/>
                <w:szCs w:val="20"/>
              </w:rPr>
            </w:pPr>
            <w:r w:rsidRPr="00C13B8F">
              <w:rPr>
                <w:sz w:val="20"/>
                <w:szCs w:val="20"/>
              </w:rPr>
              <w:t>…*%</w:t>
            </w:r>
          </w:p>
        </w:tc>
        <w:tc>
          <w:tcPr>
            <w:tcW w:w="686" w:type="dxa"/>
          </w:tcPr>
          <w:p w14:paraId="7F5DD16F" w14:textId="33365E7D" w:rsidR="006B1262" w:rsidRPr="00A92CA7" w:rsidRDefault="006B1262" w:rsidP="006B1262">
            <w:pPr>
              <w:jc w:val="both"/>
              <w:rPr>
                <w:sz w:val="20"/>
                <w:szCs w:val="20"/>
              </w:rPr>
            </w:pPr>
            <w:r w:rsidRPr="00C13B8F">
              <w:rPr>
                <w:sz w:val="20"/>
                <w:szCs w:val="20"/>
              </w:rPr>
              <w:t>…*%</w:t>
            </w:r>
          </w:p>
        </w:tc>
        <w:tc>
          <w:tcPr>
            <w:tcW w:w="688" w:type="dxa"/>
          </w:tcPr>
          <w:p w14:paraId="2B1F6C9B" w14:textId="3A232FFB" w:rsidR="006B1262" w:rsidRPr="00A92CA7" w:rsidRDefault="006B1262" w:rsidP="006B1262">
            <w:pPr>
              <w:jc w:val="both"/>
              <w:rPr>
                <w:sz w:val="20"/>
                <w:szCs w:val="20"/>
              </w:rPr>
            </w:pPr>
            <w:r w:rsidRPr="00C13B8F">
              <w:rPr>
                <w:sz w:val="20"/>
                <w:szCs w:val="20"/>
              </w:rPr>
              <w:t>…*%</w:t>
            </w:r>
          </w:p>
        </w:tc>
        <w:tc>
          <w:tcPr>
            <w:tcW w:w="686" w:type="dxa"/>
          </w:tcPr>
          <w:p w14:paraId="7CC9427E" w14:textId="39171731" w:rsidR="006B1262" w:rsidRPr="00A92CA7" w:rsidRDefault="006B1262" w:rsidP="006B1262">
            <w:pPr>
              <w:jc w:val="both"/>
              <w:rPr>
                <w:sz w:val="20"/>
                <w:szCs w:val="20"/>
              </w:rPr>
            </w:pPr>
            <w:r w:rsidRPr="00C13B8F">
              <w:rPr>
                <w:sz w:val="20"/>
                <w:szCs w:val="20"/>
              </w:rPr>
              <w:t>…*%</w:t>
            </w:r>
          </w:p>
        </w:tc>
        <w:tc>
          <w:tcPr>
            <w:tcW w:w="686" w:type="dxa"/>
          </w:tcPr>
          <w:p w14:paraId="355C7176" w14:textId="01F50296" w:rsidR="006B1262" w:rsidRPr="00A92CA7" w:rsidRDefault="006B1262" w:rsidP="006B1262">
            <w:pPr>
              <w:jc w:val="both"/>
              <w:rPr>
                <w:sz w:val="20"/>
                <w:szCs w:val="20"/>
              </w:rPr>
            </w:pPr>
            <w:r w:rsidRPr="00C13B8F">
              <w:rPr>
                <w:sz w:val="20"/>
                <w:szCs w:val="20"/>
              </w:rPr>
              <w:t>…*%</w:t>
            </w:r>
          </w:p>
        </w:tc>
        <w:tc>
          <w:tcPr>
            <w:tcW w:w="686" w:type="dxa"/>
          </w:tcPr>
          <w:p w14:paraId="61C8AA6D" w14:textId="743E4D9A" w:rsidR="006B1262" w:rsidRPr="00A92CA7" w:rsidRDefault="006B1262" w:rsidP="006B1262">
            <w:pPr>
              <w:jc w:val="both"/>
              <w:rPr>
                <w:sz w:val="20"/>
                <w:szCs w:val="20"/>
              </w:rPr>
            </w:pPr>
            <w:r w:rsidRPr="00C13B8F">
              <w:rPr>
                <w:sz w:val="20"/>
                <w:szCs w:val="20"/>
              </w:rPr>
              <w:t>…*%</w:t>
            </w:r>
          </w:p>
        </w:tc>
        <w:tc>
          <w:tcPr>
            <w:tcW w:w="689" w:type="dxa"/>
          </w:tcPr>
          <w:p w14:paraId="6EED0821" w14:textId="01EB3114" w:rsidR="006B1262" w:rsidRPr="00A92CA7" w:rsidRDefault="006B1262" w:rsidP="006B1262">
            <w:pPr>
              <w:jc w:val="both"/>
              <w:rPr>
                <w:sz w:val="20"/>
                <w:szCs w:val="20"/>
              </w:rPr>
            </w:pPr>
            <w:r w:rsidRPr="00C13B8F">
              <w:rPr>
                <w:sz w:val="20"/>
                <w:szCs w:val="20"/>
              </w:rPr>
              <w:t>…*%</w:t>
            </w:r>
          </w:p>
        </w:tc>
      </w:tr>
      <w:tr w:rsidR="1FC4418C" w:rsidRPr="00A92CA7" w14:paraId="38D8EDE9" w14:textId="77777777" w:rsidTr="008F5CF2">
        <w:trPr>
          <w:trHeight w:val="20"/>
        </w:trPr>
        <w:tc>
          <w:tcPr>
            <w:tcW w:w="1418" w:type="dxa"/>
          </w:tcPr>
          <w:p w14:paraId="2DFCF64D" w14:textId="4FE09042" w:rsidR="1FC4418C" w:rsidRPr="00A92CA7" w:rsidRDefault="1FC4418C" w:rsidP="00AA241E">
            <w:pPr>
              <w:jc w:val="both"/>
              <w:rPr>
                <w:sz w:val="20"/>
                <w:szCs w:val="20"/>
              </w:rPr>
            </w:pPr>
            <w:r w:rsidRPr="00A92CA7">
              <w:rPr>
                <w:sz w:val="20"/>
                <w:szCs w:val="20"/>
              </w:rPr>
              <w:t>Kokku</w:t>
            </w:r>
          </w:p>
        </w:tc>
        <w:tc>
          <w:tcPr>
            <w:tcW w:w="813" w:type="dxa"/>
            <w:vAlign w:val="center"/>
          </w:tcPr>
          <w:p w14:paraId="1EC2478C" w14:textId="28E650D2" w:rsidR="1FC4418C" w:rsidRPr="00A92CA7" w:rsidRDefault="1FC4418C" w:rsidP="00AA241E">
            <w:pPr>
              <w:jc w:val="both"/>
              <w:rPr>
                <w:sz w:val="20"/>
                <w:szCs w:val="20"/>
              </w:rPr>
            </w:pPr>
            <w:r w:rsidRPr="00A92CA7">
              <w:rPr>
                <w:sz w:val="20"/>
                <w:szCs w:val="20"/>
              </w:rPr>
              <w:t>100%</w:t>
            </w:r>
          </w:p>
        </w:tc>
        <w:tc>
          <w:tcPr>
            <w:tcW w:w="686" w:type="dxa"/>
            <w:vAlign w:val="center"/>
          </w:tcPr>
          <w:p w14:paraId="5BAFACD3" w14:textId="37F7B314" w:rsidR="1FC4418C" w:rsidRPr="00A92CA7" w:rsidRDefault="1FC4418C" w:rsidP="00AA241E">
            <w:pPr>
              <w:jc w:val="both"/>
              <w:rPr>
                <w:sz w:val="20"/>
                <w:szCs w:val="20"/>
              </w:rPr>
            </w:pPr>
            <w:r w:rsidRPr="00A92CA7">
              <w:rPr>
                <w:sz w:val="20"/>
                <w:szCs w:val="20"/>
              </w:rPr>
              <w:t>100%</w:t>
            </w:r>
          </w:p>
        </w:tc>
        <w:tc>
          <w:tcPr>
            <w:tcW w:w="686" w:type="dxa"/>
            <w:vAlign w:val="center"/>
          </w:tcPr>
          <w:p w14:paraId="177A141A" w14:textId="3C34E8B5" w:rsidR="1FC4418C" w:rsidRPr="00A92CA7" w:rsidRDefault="1FC4418C" w:rsidP="00AA241E">
            <w:pPr>
              <w:jc w:val="both"/>
              <w:rPr>
                <w:sz w:val="20"/>
                <w:szCs w:val="20"/>
              </w:rPr>
            </w:pPr>
            <w:r w:rsidRPr="00A92CA7">
              <w:rPr>
                <w:sz w:val="20"/>
                <w:szCs w:val="20"/>
              </w:rPr>
              <w:t>100%</w:t>
            </w:r>
          </w:p>
        </w:tc>
        <w:tc>
          <w:tcPr>
            <w:tcW w:w="688" w:type="dxa"/>
            <w:vAlign w:val="center"/>
          </w:tcPr>
          <w:p w14:paraId="61C1DEA7" w14:textId="4EC4E6E3" w:rsidR="1FC4418C" w:rsidRPr="00A92CA7" w:rsidRDefault="1FC4418C" w:rsidP="00AA241E">
            <w:pPr>
              <w:jc w:val="both"/>
              <w:rPr>
                <w:sz w:val="20"/>
                <w:szCs w:val="20"/>
              </w:rPr>
            </w:pPr>
            <w:r w:rsidRPr="00A92CA7">
              <w:rPr>
                <w:sz w:val="20"/>
                <w:szCs w:val="20"/>
              </w:rPr>
              <w:t>100%</w:t>
            </w:r>
          </w:p>
        </w:tc>
        <w:tc>
          <w:tcPr>
            <w:tcW w:w="686" w:type="dxa"/>
            <w:vAlign w:val="center"/>
          </w:tcPr>
          <w:p w14:paraId="08BB3113" w14:textId="0A3D49EA" w:rsidR="1FC4418C" w:rsidRPr="00A92CA7" w:rsidRDefault="1FC4418C" w:rsidP="00AA241E">
            <w:pPr>
              <w:jc w:val="both"/>
              <w:rPr>
                <w:sz w:val="20"/>
                <w:szCs w:val="20"/>
              </w:rPr>
            </w:pPr>
            <w:r w:rsidRPr="00A92CA7">
              <w:rPr>
                <w:sz w:val="20"/>
                <w:szCs w:val="20"/>
              </w:rPr>
              <w:t>100%</w:t>
            </w:r>
          </w:p>
        </w:tc>
        <w:tc>
          <w:tcPr>
            <w:tcW w:w="686" w:type="dxa"/>
            <w:vAlign w:val="center"/>
          </w:tcPr>
          <w:p w14:paraId="6BDBEF5F" w14:textId="5989C412" w:rsidR="1FC4418C" w:rsidRPr="00A92CA7" w:rsidRDefault="1FC4418C" w:rsidP="00AA241E">
            <w:pPr>
              <w:jc w:val="both"/>
              <w:rPr>
                <w:sz w:val="20"/>
                <w:szCs w:val="20"/>
              </w:rPr>
            </w:pPr>
            <w:r w:rsidRPr="00A92CA7">
              <w:rPr>
                <w:sz w:val="20"/>
                <w:szCs w:val="20"/>
              </w:rPr>
              <w:t>100%</w:t>
            </w:r>
          </w:p>
        </w:tc>
        <w:tc>
          <w:tcPr>
            <w:tcW w:w="686" w:type="dxa"/>
            <w:vAlign w:val="center"/>
          </w:tcPr>
          <w:p w14:paraId="273FF817" w14:textId="4B1374B9" w:rsidR="1FC4418C" w:rsidRPr="00A92CA7" w:rsidRDefault="1FC4418C" w:rsidP="00AA241E">
            <w:pPr>
              <w:jc w:val="both"/>
              <w:rPr>
                <w:sz w:val="20"/>
                <w:szCs w:val="20"/>
              </w:rPr>
            </w:pPr>
            <w:r w:rsidRPr="00A92CA7">
              <w:rPr>
                <w:sz w:val="20"/>
                <w:szCs w:val="20"/>
              </w:rPr>
              <w:t>100%</w:t>
            </w:r>
          </w:p>
        </w:tc>
        <w:tc>
          <w:tcPr>
            <w:tcW w:w="688" w:type="dxa"/>
            <w:vAlign w:val="center"/>
          </w:tcPr>
          <w:p w14:paraId="74558284" w14:textId="586E4D25" w:rsidR="1FC4418C" w:rsidRPr="00A92CA7" w:rsidRDefault="1FC4418C" w:rsidP="00AA241E">
            <w:pPr>
              <w:jc w:val="both"/>
              <w:rPr>
                <w:sz w:val="20"/>
                <w:szCs w:val="20"/>
              </w:rPr>
            </w:pPr>
            <w:r w:rsidRPr="00A92CA7">
              <w:rPr>
                <w:sz w:val="20"/>
                <w:szCs w:val="20"/>
              </w:rPr>
              <w:t>100%</w:t>
            </w:r>
          </w:p>
        </w:tc>
        <w:tc>
          <w:tcPr>
            <w:tcW w:w="686" w:type="dxa"/>
            <w:vAlign w:val="center"/>
          </w:tcPr>
          <w:p w14:paraId="1D77B453" w14:textId="12170228" w:rsidR="1FC4418C" w:rsidRPr="00A92CA7" w:rsidRDefault="1FC4418C" w:rsidP="00AA241E">
            <w:pPr>
              <w:jc w:val="both"/>
              <w:rPr>
                <w:sz w:val="20"/>
                <w:szCs w:val="20"/>
              </w:rPr>
            </w:pPr>
            <w:r w:rsidRPr="00A92CA7">
              <w:rPr>
                <w:sz w:val="20"/>
                <w:szCs w:val="20"/>
              </w:rPr>
              <w:t>100%</w:t>
            </w:r>
          </w:p>
        </w:tc>
        <w:tc>
          <w:tcPr>
            <w:tcW w:w="686" w:type="dxa"/>
            <w:vAlign w:val="center"/>
          </w:tcPr>
          <w:p w14:paraId="755E442B" w14:textId="6AACEB2F" w:rsidR="1FC4418C" w:rsidRPr="00A92CA7" w:rsidRDefault="1FC4418C" w:rsidP="00AA241E">
            <w:pPr>
              <w:jc w:val="both"/>
              <w:rPr>
                <w:sz w:val="20"/>
                <w:szCs w:val="20"/>
              </w:rPr>
            </w:pPr>
            <w:r w:rsidRPr="00A92CA7">
              <w:rPr>
                <w:sz w:val="20"/>
                <w:szCs w:val="20"/>
              </w:rPr>
              <w:t>100%</w:t>
            </w:r>
          </w:p>
        </w:tc>
        <w:tc>
          <w:tcPr>
            <w:tcW w:w="686" w:type="dxa"/>
            <w:vAlign w:val="center"/>
          </w:tcPr>
          <w:p w14:paraId="2CFF5509" w14:textId="70AB0952" w:rsidR="1FC4418C" w:rsidRPr="00A92CA7" w:rsidRDefault="1FC4418C" w:rsidP="00AA241E">
            <w:pPr>
              <w:jc w:val="both"/>
              <w:rPr>
                <w:sz w:val="20"/>
                <w:szCs w:val="20"/>
              </w:rPr>
            </w:pPr>
            <w:r w:rsidRPr="00A92CA7">
              <w:rPr>
                <w:sz w:val="20"/>
                <w:szCs w:val="20"/>
              </w:rPr>
              <w:t>100%</w:t>
            </w:r>
          </w:p>
        </w:tc>
        <w:tc>
          <w:tcPr>
            <w:tcW w:w="689" w:type="dxa"/>
            <w:vAlign w:val="center"/>
          </w:tcPr>
          <w:p w14:paraId="27020914" w14:textId="1F67E415" w:rsidR="1FC4418C" w:rsidRPr="00A92CA7" w:rsidRDefault="1FC4418C" w:rsidP="00AA241E">
            <w:pPr>
              <w:jc w:val="both"/>
              <w:rPr>
                <w:sz w:val="20"/>
                <w:szCs w:val="20"/>
              </w:rPr>
            </w:pPr>
            <w:r w:rsidRPr="00A92CA7">
              <w:rPr>
                <w:sz w:val="20"/>
                <w:szCs w:val="20"/>
              </w:rPr>
              <w:t>100%</w:t>
            </w:r>
          </w:p>
        </w:tc>
      </w:tr>
    </w:tbl>
    <w:p w14:paraId="10DF6940" w14:textId="44A584B3" w:rsidR="054BD844" w:rsidRPr="006E317E" w:rsidRDefault="004F609F" w:rsidP="00AA241E">
      <w:pPr>
        <w:pStyle w:val="Pealdis"/>
        <w:jc w:val="both"/>
      </w:pPr>
      <w:r>
        <w:t xml:space="preserve"> Tabel </w:t>
      </w:r>
      <w:r>
        <w:fldChar w:fldCharType="begin"/>
      </w:r>
      <w:r>
        <w:instrText xml:space="preserve"> SEQ Tabel \* ARABIC </w:instrText>
      </w:r>
      <w:r>
        <w:fldChar w:fldCharType="separate"/>
      </w:r>
      <w:r w:rsidR="00247D84">
        <w:rPr>
          <w:noProof/>
        </w:rPr>
        <w:t>38</w:t>
      </w:r>
      <w:r>
        <w:fldChar w:fldCharType="end"/>
      </w:r>
      <w:r>
        <w:t xml:space="preserve"> </w:t>
      </w:r>
      <w:r w:rsidRPr="006E317E">
        <w:t xml:space="preserve">Aeglaseid </w:t>
      </w:r>
      <w:r w:rsidR="65055489" w:rsidRPr="006E317E">
        <w:t>tehnoloogiaid kasutavate internetiühend</w:t>
      </w:r>
      <w:r w:rsidR="00EC072E">
        <w:t>u</w:t>
      </w:r>
      <w:r w:rsidR="65055489" w:rsidRPr="006E317E">
        <w:t>ste turuosad aastatel 2022-2023*</w:t>
      </w:r>
    </w:p>
    <w:p w14:paraId="3E48DDCB" w14:textId="7A25B6A2" w:rsidR="054BD844" w:rsidRPr="006E317E" w:rsidRDefault="65055489" w:rsidP="00AA241E">
      <w:pPr>
        <w:jc w:val="both"/>
      </w:pPr>
      <w:r w:rsidRPr="006E317E">
        <w:t xml:space="preserve">Õigete turuosade hindamiseks on vaja kasutada </w:t>
      </w:r>
      <w:proofErr w:type="spellStart"/>
      <w:r w:rsidR="002A1662" w:rsidRPr="002A1662">
        <w:rPr>
          <w:i/>
        </w:rPr>
        <w:t>Gr</w:t>
      </w:r>
      <w:r w:rsidR="00C318C1">
        <w:rPr>
          <w:i/>
        </w:rPr>
        <w:t>e</w:t>
      </w:r>
      <w:r w:rsidR="002A1662" w:rsidRPr="002A1662">
        <w:rPr>
          <w:i/>
        </w:rPr>
        <w:t>enfieldi</w:t>
      </w:r>
      <w:proofErr w:type="spellEnd"/>
      <w:r w:rsidRPr="006E317E">
        <w:t xml:space="preserve"> lähenemisviisi, kuna vastasel korral võib turuanalüüsi tulemus olla moonutatud</w:t>
      </w:r>
      <w:r w:rsidRPr="002E251B">
        <w:t xml:space="preserve">. Eestis  kasutatakse </w:t>
      </w:r>
      <w:r w:rsidR="001C5362" w:rsidRPr="002E251B">
        <w:t>hulgi</w:t>
      </w:r>
      <w:r w:rsidRPr="002E251B">
        <w:t xml:space="preserve">turu 1 </w:t>
      </w:r>
      <w:r w:rsidR="003D759A" w:rsidRPr="002E251B">
        <w:t>ja 3b</w:t>
      </w:r>
      <w:r w:rsidRPr="002E251B">
        <w:t xml:space="preserve"> teenuseid väga vähesel määral. </w:t>
      </w:r>
      <w:r w:rsidRPr="006E317E">
        <w:t>Hoolimata asjaolust, et vask</w:t>
      </w:r>
      <w:r w:rsidR="00DD12A1" w:rsidRPr="006E317E">
        <w:t>v</w:t>
      </w:r>
      <w:r w:rsidRPr="006E317E">
        <w:t>õrgu</w:t>
      </w:r>
      <w:r w:rsidR="006173A2">
        <w:t xml:space="preserve"> juurdepääsutehnoloogial</w:t>
      </w:r>
      <w:r w:rsidRPr="006E317E">
        <w:t xml:space="preserve"> </w:t>
      </w:r>
      <w:r w:rsidR="00E02784">
        <w:t>hulgi</w:t>
      </w:r>
      <w:r w:rsidR="006173A2" w:rsidRPr="006E317E">
        <w:t xml:space="preserve">turu  </w:t>
      </w:r>
      <w:r w:rsidR="00DD12A1" w:rsidRPr="006E317E">
        <w:t>1</w:t>
      </w:r>
      <w:r w:rsidRPr="006E317E">
        <w:t xml:space="preserve"> ja </w:t>
      </w:r>
      <w:r w:rsidR="00DD12A1" w:rsidRPr="006E317E">
        <w:t xml:space="preserve">3b </w:t>
      </w:r>
      <w:r w:rsidR="00C97DBA" w:rsidRPr="006E317E">
        <w:t>hulgiteen</w:t>
      </w:r>
      <w:r w:rsidR="002011D2" w:rsidRPr="006E317E">
        <w:t xml:space="preserve">useid ei osutata </w:t>
      </w:r>
      <w:r w:rsidRPr="006E317E">
        <w:t xml:space="preserve">üldse või </w:t>
      </w:r>
      <w:r w:rsidR="002011D2" w:rsidRPr="006E317E">
        <w:t>osutata</w:t>
      </w:r>
      <w:r w:rsidR="008E727F" w:rsidRPr="006E317E">
        <w:t>kse</w:t>
      </w:r>
      <w:r w:rsidRPr="006E317E">
        <w:t xml:space="preserve"> </w:t>
      </w:r>
      <w:r w:rsidR="008E727F" w:rsidRPr="006E317E">
        <w:t>väga vähesel määral</w:t>
      </w:r>
      <w:r w:rsidRPr="006E317E">
        <w:t xml:space="preserve">, arvutab TTJA siiski turuosad vastavalt regulatiivsetele õigusaktidele </w:t>
      </w:r>
      <w:r w:rsidR="001B4A4E" w:rsidRPr="006E317E">
        <w:t xml:space="preserve">ja </w:t>
      </w:r>
      <w:r w:rsidRPr="006E317E">
        <w:t xml:space="preserve">vastavalt </w:t>
      </w:r>
      <w:proofErr w:type="spellStart"/>
      <w:r w:rsidR="002A1662" w:rsidRPr="002A1662">
        <w:rPr>
          <w:i/>
        </w:rPr>
        <w:t>Gr</w:t>
      </w:r>
      <w:r w:rsidR="00C318C1">
        <w:rPr>
          <w:i/>
        </w:rPr>
        <w:t>e</w:t>
      </w:r>
      <w:r w:rsidR="002A1662" w:rsidRPr="002A1662">
        <w:rPr>
          <w:i/>
        </w:rPr>
        <w:t>enfieldi</w:t>
      </w:r>
      <w:proofErr w:type="spellEnd"/>
      <w:r w:rsidRPr="006E317E">
        <w:t xml:space="preserve"> lähenemisviisile.</w:t>
      </w:r>
    </w:p>
    <w:p w14:paraId="193628B1" w14:textId="197BEB76" w:rsidR="054BD844" w:rsidRPr="006E317E" w:rsidRDefault="65055489" w:rsidP="00AA241E">
      <w:pPr>
        <w:jc w:val="both"/>
      </w:pPr>
      <w:r w:rsidRPr="006E317E">
        <w:lastRenderedPageBreak/>
        <w:t xml:space="preserve"> TTJA arvutab operaatorite turuosad vastavalt nii internetituru määratlusele jaetasandil</w:t>
      </w:r>
      <w:r w:rsidR="00145D95" w:rsidRPr="006E317E">
        <w:t xml:space="preserve"> </w:t>
      </w:r>
      <w:r w:rsidRPr="006E317E">
        <w:t xml:space="preserve">kui ka geograafiliste turgude määratlusele. Seega võtab TTJA </w:t>
      </w:r>
      <w:r w:rsidR="00183BEB">
        <w:t>vaskkaabli</w:t>
      </w:r>
      <w:r w:rsidR="006173A2" w:rsidRPr="006173A2">
        <w:t xml:space="preserve">- ja </w:t>
      </w:r>
      <w:r w:rsidR="00183BEB">
        <w:t>mobiilsidevõr</w:t>
      </w:r>
      <w:r w:rsidR="006173A2" w:rsidRPr="006173A2">
        <w:t xml:space="preserve">gu </w:t>
      </w:r>
      <w:r w:rsidR="00873965">
        <w:t xml:space="preserve">üleriigilisel </w:t>
      </w:r>
      <w:r w:rsidR="006173A2" w:rsidRPr="006173A2">
        <w:t>jaet</w:t>
      </w:r>
      <w:r w:rsidR="00A949FD">
        <w:t>urul</w:t>
      </w:r>
      <w:r w:rsidR="006173A2" w:rsidRPr="006173A2">
        <w:t xml:space="preserve"> </w:t>
      </w:r>
      <w:r w:rsidRPr="006E317E">
        <w:t xml:space="preserve">tegutsevate operaatorite turuosade arvutamisel arvesse ainult operaatorite aktiivseid </w:t>
      </w:r>
      <w:r w:rsidR="0007135D">
        <w:t>kliendiliin</w:t>
      </w:r>
      <w:r w:rsidRPr="006E317E">
        <w:t>e, mis kasutavad DSL-, VDSL-, VDSL2-</w:t>
      </w:r>
      <w:r w:rsidRPr="002E251B">
        <w:rPr>
          <w:i/>
          <w:iCs/>
        </w:rPr>
        <w:t>ve</w:t>
      </w:r>
      <w:r w:rsidR="002E251B" w:rsidRPr="002E251B">
        <w:rPr>
          <w:i/>
          <w:iCs/>
        </w:rPr>
        <w:t>c</w:t>
      </w:r>
      <w:r w:rsidRPr="002E251B">
        <w:rPr>
          <w:i/>
          <w:iCs/>
        </w:rPr>
        <w:t>tor</w:t>
      </w:r>
      <w:r w:rsidR="002E251B" w:rsidRPr="002E251B">
        <w:rPr>
          <w:i/>
          <w:iCs/>
        </w:rPr>
        <w:t>ing</w:t>
      </w:r>
      <w:r w:rsidR="002E251B">
        <w:t xml:space="preserve"> </w:t>
      </w:r>
      <w:r w:rsidRPr="006E317E">
        <w:t xml:space="preserve">tehnoloogiat, DOCSIS-t (enne versiooni 3.0), DOCSIS 3.0, FWA-d, Etherneti LAN-tehnoloogiat ja mobiilsideoperaatorite pakutavate piiramatute mobiilse interneti ühenduste (SIM-kaartide) arvu. Geograafiliste turgude määratluse kohaselt </w:t>
      </w:r>
      <w:r w:rsidR="002E251B">
        <w:t xml:space="preserve">arvutatakse </w:t>
      </w:r>
      <w:r w:rsidR="00183BEB">
        <w:t>vaskkaabli</w:t>
      </w:r>
      <w:r w:rsidR="006173A2" w:rsidRPr="006173A2">
        <w:t xml:space="preserve">- ja </w:t>
      </w:r>
      <w:r w:rsidR="00183BEB">
        <w:t>mobiilsidevõr</w:t>
      </w:r>
      <w:r w:rsidR="006173A2" w:rsidRPr="006173A2">
        <w:t>gu internetiühenduste</w:t>
      </w:r>
      <w:r w:rsidR="00583AB9">
        <w:t xml:space="preserve"> </w:t>
      </w:r>
      <w:r w:rsidR="00BF46F3">
        <w:t>jaeturu</w:t>
      </w:r>
      <w:r w:rsidR="006173A2">
        <w:t xml:space="preserve"> </w:t>
      </w:r>
      <w:r w:rsidRPr="006E317E">
        <w:t>turuosad kokku kogu Eesti territooriumil.</w:t>
      </w:r>
    </w:p>
    <w:p w14:paraId="142724FA" w14:textId="04853B88" w:rsidR="00A63A02" w:rsidRPr="006E317E" w:rsidRDefault="002E251B" w:rsidP="00AA241E">
      <w:pPr>
        <w:jc w:val="both"/>
      </w:pPr>
      <w:r w:rsidRPr="006E317E">
        <w:t xml:space="preserve">Sideettevõtjate </w:t>
      </w:r>
      <w:r w:rsidR="65055489" w:rsidRPr="006E317E">
        <w:t xml:space="preserve">internetiteenuse </w:t>
      </w:r>
      <w:r w:rsidR="00183BEB">
        <w:t>vaskkaabli</w:t>
      </w:r>
      <w:r w:rsidR="006173A2" w:rsidRPr="006173A2">
        <w:t xml:space="preserve">- ja </w:t>
      </w:r>
      <w:r w:rsidR="00183BEB">
        <w:t>mobiilsidevõr</w:t>
      </w:r>
      <w:r w:rsidR="006173A2" w:rsidRPr="006173A2">
        <w:t xml:space="preserve">gu internetiühenduste </w:t>
      </w:r>
      <w:r w:rsidR="000C7175">
        <w:t xml:space="preserve">üleriigilise </w:t>
      </w:r>
      <w:r w:rsidR="006A2977">
        <w:t xml:space="preserve">jaeturu </w:t>
      </w:r>
      <w:r w:rsidR="65055489" w:rsidRPr="006E317E">
        <w:t xml:space="preserve">turuosade dünaamika on toodud tabelis vt tabel </w:t>
      </w:r>
      <w:r w:rsidR="00E57BEC">
        <w:t>3</w:t>
      </w:r>
      <w:r w:rsidR="00901C0F">
        <w:t>9</w:t>
      </w:r>
      <w:r w:rsidR="009C60DB">
        <w:t>.</w:t>
      </w:r>
    </w:p>
    <w:tbl>
      <w:tblPr>
        <w:tblStyle w:val="Kontuurtabel1"/>
        <w:tblW w:w="0" w:type="auto"/>
        <w:tblLayout w:type="fixed"/>
        <w:tblLook w:val="04A0" w:firstRow="1" w:lastRow="0" w:firstColumn="1" w:lastColumn="0" w:noHBand="0" w:noVBand="1"/>
      </w:tblPr>
      <w:tblGrid>
        <w:gridCol w:w="1323"/>
        <w:gridCol w:w="933"/>
        <w:gridCol w:w="1129"/>
        <w:gridCol w:w="1129"/>
        <w:gridCol w:w="1129"/>
        <w:gridCol w:w="1129"/>
        <w:gridCol w:w="1129"/>
        <w:gridCol w:w="1129"/>
      </w:tblGrid>
      <w:tr w:rsidR="1FC4418C" w:rsidRPr="006E317E" w14:paraId="1D4CD7AA" w14:textId="77777777" w:rsidTr="00A92CA7">
        <w:trPr>
          <w:trHeight w:val="315"/>
        </w:trPr>
        <w:tc>
          <w:tcPr>
            <w:tcW w:w="1323" w:type="dxa"/>
            <w:shd w:val="clear" w:color="auto" w:fill="92D050"/>
          </w:tcPr>
          <w:p w14:paraId="7B44E9DC" w14:textId="55E69034" w:rsidR="1FC4418C" w:rsidRPr="00A92CA7" w:rsidRDefault="1FC4418C" w:rsidP="00AA241E">
            <w:pPr>
              <w:jc w:val="both"/>
              <w:rPr>
                <w:b/>
                <w:bCs/>
              </w:rPr>
            </w:pPr>
            <w:r w:rsidRPr="00A92CA7">
              <w:rPr>
                <w:b/>
                <w:bCs/>
              </w:rPr>
              <w:t>Ettevõtja</w:t>
            </w:r>
          </w:p>
        </w:tc>
        <w:tc>
          <w:tcPr>
            <w:tcW w:w="933" w:type="dxa"/>
            <w:shd w:val="clear" w:color="auto" w:fill="92D050"/>
          </w:tcPr>
          <w:p w14:paraId="73EFD03A" w14:textId="072E1D0A" w:rsidR="1FC4418C" w:rsidRPr="00A92CA7" w:rsidRDefault="1FC4418C" w:rsidP="00AA241E">
            <w:pPr>
              <w:jc w:val="both"/>
              <w:rPr>
                <w:b/>
                <w:bCs/>
              </w:rPr>
            </w:pPr>
            <w:r w:rsidRPr="00A92CA7">
              <w:rPr>
                <w:b/>
                <w:bCs/>
              </w:rPr>
              <w:t>2017</w:t>
            </w:r>
          </w:p>
        </w:tc>
        <w:tc>
          <w:tcPr>
            <w:tcW w:w="1129" w:type="dxa"/>
            <w:shd w:val="clear" w:color="auto" w:fill="92D050"/>
          </w:tcPr>
          <w:p w14:paraId="5478E1AB" w14:textId="60E47328" w:rsidR="1FC4418C" w:rsidRPr="00A92CA7" w:rsidRDefault="1FC4418C" w:rsidP="00AA241E">
            <w:pPr>
              <w:jc w:val="both"/>
              <w:rPr>
                <w:b/>
                <w:bCs/>
              </w:rPr>
            </w:pPr>
            <w:r w:rsidRPr="00A92CA7">
              <w:rPr>
                <w:b/>
                <w:bCs/>
              </w:rPr>
              <w:t>2018</w:t>
            </w:r>
          </w:p>
        </w:tc>
        <w:tc>
          <w:tcPr>
            <w:tcW w:w="1129" w:type="dxa"/>
            <w:shd w:val="clear" w:color="auto" w:fill="92D050"/>
          </w:tcPr>
          <w:p w14:paraId="7693FFF2" w14:textId="02B027B8" w:rsidR="1FC4418C" w:rsidRPr="00A92CA7" w:rsidRDefault="1FC4418C" w:rsidP="00AA241E">
            <w:pPr>
              <w:jc w:val="both"/>
              <w:rPr>
                <w:b/>
                <w:bCs/>
              </w:rPr>
            </w:pPr>
            <w:r w:rsidRPr="00A92CA7">
              <w:rPr>
                <w:b/>
                <w:bCs/>
              </w:rPr>
              <w:t>2019</w:t>
            </w:r>
          </w:p>
        </w:tc>
        <w:tc>
          <w:tcPr>
            <w:tcW w:w="1129" w:type="dxa"/>
            <w:shd w:val="clear" w:color="auto" w:fill="92D050"/>
          </w:tcPr>
          <w:p w14:paraId="12E65584" w14:textId="7200EFD6" w:rsidR="1FC4418C" w:rsidRPr="00A92CA7" w:rsidRDefault="1FC4418C" w:rsidP="00AA241E">
            <w:pPr>
              <w:jc w:val="both"/>
              <w:rPr>
                <w:b/>
                <w:bCs/>
              </w:rPr>
            </w:pPr>
            <w:r w:rsidRPr="00A92CA7">
              <w:rPr>
                <w:b/>
                <w:bCs/>
              </w:rPr>
              <w:t>2020</w:t>
            </w:r>
          </w:p>
        </w:tc>
        <w:tc>
          <w:tcPr>
            <w:tcW w:w="1129" w:type="dxa"/>
            <w:shd w:val="clear" w:color="auto" w:fill="92D050"/>
          </w:tcPr>
          <w:p w14:paraId="266D9172" w14:textId="7D33D7FB" w:rsidR="1FC4418C" w:rsidRPr="00A92CA7" w:rsidRDefault="1FC4418C" w:rsidP="00AA241E">
            <w:pPr>
              <w:jc w:val="both"/>
              <w:rPr>
                <w:b/>
                <w:bCs/>
              </w:rPr>
            </w:pPr>
            <w:r w:rsidRPr="00A92CA7">
              <w:rPr>
                <w:b/>
                <w:bCs/>
              </w:rPr>
              <w:t>2021</w:t>
            </w:r>
          </w:p>
        </w:tc>
        <w:tc>
          <w:tcPr>
            <w:tcW w:w="1129" w:type="dxa"/>
            <w:shd w:val="clear" w:color="auto" w:fill="92D050"/>
          </w:tcPr>
          <w:p w14:paraId="0C7377BB" w14:textId="4BAD1F49" w:rsidR="1FC4418C" w:rsidRPr="00A92CA7" w:rsidRDefault="1FC4418C" w:rsidP="00AA241E">
            <w:pPr>
              <w:jc w:val="both"/>
              <w:rPr>
                <w:b/>
                <w:bCs/>
              </w:rPr>
            </w:pPr>
            <w:r w:rsidRPr="00A92CA7">
              <w:rPr>
                <w:b/>
                <w:bCs/>
              </w:rPr>
              <w:t>2022</w:t>
            </w:r>
          </w:p>
        </w:tc>
        <w:tc>
          <w:tcPr>
            <w:tcW w:w="1129" w:type="dxa"/>
            <w:shd w:val="clear" w:color="auto" w:fill="92D050"/>
          </w:tcPr>
          <w:p w14:paraId="2D838FCF" w14:textId="7330669F" w:rsidR="1FC4418C" w:rsidRPr="00A92CA7" w:rsidRDefault="1FC4418C" w:rsidP="00AA241E">
            <w:pPr>
              <w:jc w:val="both"/>
              <w:rPr>
                <w:b/>
                <w:bCs/>
              </w:rPr>
            </w:pPr>
            <w:r w:rsidRPr="00A92CA7">
              <w:rPr>
                <w:b/>
                <w:bCs/>
              </w:rPr>
              <w:t>2023</w:t>
            </w:r>
          </w:p>
        </w:tc>
      </w:tr>
      <w:tr w:rsidR="006379B0" w:rsidRPr="006E317E" w14:paraId="77EAA970" w14:textId="77777777" w:rsidTr="00A92CA7">
        <w:trPr>
          <w:trHeight w:val="315"/>
        </w:trPr>
        <w:tc>
          <w:tcPr>
            <w:tcW w:w="1323" w:type="dxa"/>
          </w:tcPr>
          <w:p w14:paraId="30F53FA8" w14:textId="79A860CD" w:rsidR="006379B0" w:rsidRPr="006E317E" w:rsidRDefault="006379B0" w:rsidP="006379B0">
            <w:pPr>
              <w:jc w:val="both"/>
            </w:pPr>
            <w:r w:rsidRPr="006E317E">
              <w:t xml:space="preserve">Elisa </w:t>
            </w:r>
          </w:p>
        </w:tc>
        <w:tc>
          <w:tcPr>
            <w:tcW w:w="933" w:type="dxa"/>
          </w:tcPr>
          <w:p w14:paraId="3B40871E" w14:textId="73200E72" w:rsidR="006379B0" w:rsidRPr="006E317E" w:rsidRDefault="006379B0" w:rsidP="006379B0">
            <w:pPr>
              <w:jc w:val="both"/>
            </w:pPr>
            <w:r w:rsidRPr="00B819A5">
              <w:t>…*%</w:t>
            </w:r>
          </w:p>
        </w:tc>
        <w:tc>
          <w:tcPr>
            <w:tcW w:w="1129" w:type="dxa"/>
          </w:tcPr>
          <w:p w14:paraId="4704DA46" w14:textId="6BBFA902" w:rsidR="006379B0" w:rsidRPr="006E317E" w:rsidRDefault="006379B0" w:rsidP="006379B0">
            <w:pPr>
              <w:jc w:val="both"/>
            </w:pPr>
            <w:r w:rsidRPr="00B819A5">
              <w:t>…*%</w:t>
            </w:r>
          </w:p>
        </w:tc>
        <w:tc>
          <w:tcPr>
            <w:tcW w:w="1129" w:type="dxa"/>
          </w:tcPr>
          <w:p w14:paraId="499C6C42" w14:textId="13EA9EB2" w:rsidR="006379B0" w:rsidRPr="006E317E" w:rsidRDefault="006379B0" w:rsidP="006379B0">
            <w:pPr>
              <w:jc w:val="both"/>
            </w:pPr>
            <w:r w:rsidRPr="00B819A5">
              <w:t>…*%</w:t>
            </w:r>
          </w:p>
        </w:tc>
        <w:tc>
          <w:tcPr>
            <w:tcW w:w="1129" w:type="dxa"/>
          </w:tcPr>
          <w:p w14:paraId="2641DC80" w14:textId="109B154A" w:rsidR="006379B0" w:rsidRPr="006E317E" w:rsidRDefault="006379B0" w:rsidP="006379B0">
            <w:pPr>
              <w:jc w:val="both"/>
            </w:pPr>
            <w:r w:rsidRPr="00B819A5">
              <w:t>…*%</w:t>
            </w:r>
          </w:p>
        </w:tc>
        <w:tc>
          <w:tcPr>
            <w:tcW w:w="1129" w:type="dxa"/>
          </w:tcPr>
          <w:p w14:paraId="49785E22" w14:textId="313E34B8" w:rsidR="006379B0" w:rsidRPr="006E317E" w:rsidRDefault="006379B0" w:rsidP="006379B0">
            <w:pPr>
              <w:jc w:val="both"/>
            </w:pPr>
            <w:r w:rsidRPr="00B819A5">
              <w:t>…*%</w:t>
            </w:r>
          </w:p>
        </w:tc>
        <w:tc>
          <w:tcPr>
            <w:tcW w:w="1129" w:type="dxa"/>
          </w:tcPr>
          <w:p w14:paraId="4DD9128B" w14:textId="5AC5BEFF" w:rsidR="006379B0" w:rsidRPr="006E317E" w:rsidRDefault="006379B0" w:rsidP="006379B0">
            <w:pPr>
              <w:jc w:val="both"/>
            </w:pPr>
            <w:r w:rsidRPr="00B819A5">
              <w:t>…*%</w:t>
            </w:r>
          </w:p>
        </w:tc>
        <w:tc>
          <w:tcPr>
            <w:tcW w:w="1129" w:type="dxa"/>
          </w:tcPr>
          <w:p w14:paraId="431283F8" w14:textId="162C7124" w:rsidR="006379B0" w:rsidRPr="006E317E" w:rsidRDefault="006379B0" w:rsidP="006379B0">
            <w:pPr>
              <w:jc w:val="both"/>
            </w:pPr>
            <w:r w:rsidRPr="00B819A5">
              <w:t>…*%</w:t>
            </w:r>
          </w:p>
        </w:tc>
      </w:tr>
      <w:tr w:rsidR="006B1262" w:rsidRPr="006E317E" w14:paraId="70356C02" w14:textId="77777777" w:rsidTr="00A92CA7">
        <w:trPr>
          <w:trHeight w:val="315"/>
        </w:trPr>
        <w:tc>
          <w:tcPr>
            <w:tcW w:w="1323" w:type="dxa"/>
          </w:tcPr>
          <w:p w14:paraId="7D2DC824" w14:textId="34393833" w:rsidR="006B1262" w:rsidRPr="006E317E" w:rsidRDefault="006B1262" w:rsidP="006B1262">
            <w:pPr>
              <w:jc w:val="both"/>
            </w:pPr>
            <w:r w:rsidRPr="006E317E">
              <w:t>STV</w:t>
            </w:r>
          </w:p>
        </w:tc>
        <w:tc>
          <w:tcPr>
            <w:tcW w:w="933" w:type="dxa"/>
          </w:tcPr>
          <w:p w14:paraId="5F59A9DE" w14:textId="204555F6" w:rsidR="006B1262" w:rsidRPr="006E317E" w:rsidRDefault="006B1262" w:rsidP="006B1262">
            <w:pPr>
              <w:jc w:val="both"/>
            </w:pPr>
            <w:r w:rsidRPr="00AD09E6">
              <w:t>…*%</w:t>
            </w:r>
          </w:p>
        </w:tc>
        <w:tc>
          <w:tcPr>
            <w:tcW w:w="1129" w:type="dxa"/>
          </w:tcPr>
          <w:p w14:paraId="2550ADFD" w14:textId="6B6F7F36" w:rsidR="006B1262" w:rsidRPr="006E317E" w:rsidRDefault="006B1262" w:rsidP="006B1262">
            <w:pPr>
              <w:jc w:val="both"/>
            </w:pPr>
            <w:r w:rsidRPr="00AD09E6">
              <w:t>…*%</w:t>
            </w:r>
          </w:p>
        </w:tc>
        <w:tc>
          <w:tcPr>
            <w:tcW w:w="1129" w:type="dxa"/>
          </w:tcPr>
          <w:p w14:paraId="4927EB96" w14:textId="288C90C0" w:rsidR="006B1262" w:rsidRPr="006E317E" w:rsidRDefault="006B1262" w:rsidP="006B1262">
            <w:pPr>
              <w:jc w:val="both"/>
            </w:pPr>
            <w:r w:rsidRPr="00AD09E6">
              <w:t>…*%</w:t>
            </w:r>
          </w:p>
        </w:tc>
        <w:tc>
          <w:tcPr>
            <w:tcW w:w="1129" w:type="dxa"/>
          </w:tcPr>
          <w:p w14:paraId="47D8D1E0" w14:textId="7C976666" w:rsidR="006B1262" w:rsidRPr="006E317E" w:rsidRDefault="006B1262" w:rsidP="006B1262">
            <w:pPr>
              <w:jc w:val="both"/>
            </w:pPr>
            <w:r w:rsidRPr="00AD09E6">
              <w:t>…*%</w:t>
            </w:r>
          </w:p>
        </w:tc>
        <w:tc>
          <w:tcPr>
            <w:tcW w:w="1129" w:type="dxa"/>
          </w:tcPr>
          <w:p w14:paraId="58C482B7" w14:textId="13390F0D" w:rsidR="006B1262" w:rsidRPr="006E317E" w:rsidRDefault="006B1262" w:rsidP="006B1262">
            <w:pPr>
              <w:jc w:val="both"/>
            </w:pPr>
            <w:r w:rsidRPr="00AD09E6">
              <w:t>…*%</w:t>
            </w:r>
          </w:p>
        </w:tc>
        <w:tc>
          <w:tcPr>
            <w:tcW w:w="1129" w:type="dxa"/>
          </w:tcPr>
          <w:p w14:paraId="726845AF" w14:textId="6639156E" w:rsidR="006B1262" w:rsidRPr="006E317E" w:rsidRDefault="006B1262" w:rsidP="006B1262">
            <w:pPr>
              <w:jc w:val="both"/>
            </w:pPr>
            <w:r w:rsidRPr="00AD09E6">
              <w:t>…*%</w:t>
            </w:r>
          </w:p>
        </w:tc>
        <w:tc>
          <w:tcPr>
            <w:tcW w:w="1129" w:type="dxa"/>
          </w:tcPr>
          <w:p w14:paraId="7631E1DA" w14:textId="2C890915" w:rsidR="006B1262" w:rsidRPr="006E317E" w:rsidRDefault="006B1262" w:rsidP="006B1262">
            <w:pPr>
              <w:jc w:val="both"/>
            </w:pPr>
            <w:r w:rsidRPr="00AD09E6">
              <w:t>…*%</w:t>
            </w:r>
          </w:p>
        </w:tc>
      </w:tr>
      <w:tr w:rsidR="006B1262" w:rsidRPr="006E317E" w14:paraId="0ABCF8F9" w14:textId="77777777" w:rsidTr="00A92CA7">
        <w:trPr>
          <w:trHeight w:val="315"/>
        </w:trPr>
        <w:tc>
          <w:tcPr>
            <w:tcW w:w="1323" w:type="dxa"/>
          </w:tcPr>
          <w:p w14:paraId="2BBB21AF" w14:textId="0F52F0CF" w:rsidR="006B1262" w:rsidRPr="006E317E" w:rsidRDefault="006B1262" w:rsidP="006B1262">
            <w:pPr>
              <w:jc w:val="both"/>
            </w:pPr>
            <w:r w:rsidRPr="006E317E">
              <w:t>Tele2</w:t>
            </w:r>
          </w:p>
        </w:tc>
        <w:tc>
          <w:tcPr>
            <w:tcW w:w="933" w:type="dxa"/>
          </w:tcPr>
          <w:p w14:paraId="5AD260D7" w14:textId="4D682778" w:rsidR="006B1262" w:rsidRPr="006E317E" w:rsidRDefault="006B1262" w:rsidP="006B1262">
            <w:pPr>
              <w:jc w:val="both"/>
            </w:pPr>
            <w:r w:rsidRPr="00AD09E6">
              <w:t>…*%</w:t>
            </w:r>
          </w:p>
        </w:tc>
        <w:tc>
          <w:tcPr>
            <w:tcW w:w="1129" w:type="dxa"/>
          </w:tcPr>
          <w:p w14:paraId="3B00A961" w14:textId="7C09A496" w:rsidR="006B1262" w:rsidRPr="006E317E" w:rsidRDefault="006B1262" w:rsidP="006B1262">
            <w:pPr>
              <w:jc w:val="both"/>
            </w:pPr>
            <w:r w:rsidRPr="00AD09E6">
              <w:t>…*%</w:t>
            </w:r>
          </w:p>
        </w:tc>
        <w:tc>
          <w:tcPr>
            <w:tcW w:w="1129" w:type="dxa"/>
          </w:tcPr>
          <w:p w14:paraId="30403D54" w14:textId="3086E830" w:rsidR="006B1262" w:rsidRPr="006E317E" w:rsidRDefault="006B1262" w:rsidP="006B1262">
            <w:pPr>
              <w:jc w:val="both"/>
            </w:pPr>
            <w:r w:rsidRPr="00AD09E6">
              <w:t>…*%</w:t>
            </w:r>
          </w:p>
        </w:tc>
        <w:tc>
          <w:tcPr>
            <w:tcW w:w="1129" w:type="dxa"/>
          </w:tcPr>
          <w:p w14:paraId="1F4553B9" w14:textId="582CEA12" w:rsidR="006B1262" w:rsidRPr="006E317E" w:rsidRDefault="006B1262" w:rsidP="006B1262">
            <w:pPr>
              <w:jc w:val="both"/>
            </w:pPr>
            <w:r w:rsidRPr="00AD09E6">
              <w:t>…*%</w:t>
            </w:r>
          </w:p>
        </w:tc>
        <w:tc>
          <w:tcPr>
            <w:tcW w:w="1129" w:type="dxa"/>
          </w:tcPr>
          <w:p w14:paraId="6A7E1F3D" w14:textId="03C55865" w:rsidR="006B1262" w:rsidRPr="006E317E" w:rsidRDefault="006B1262" w:rsidP="006B1262">
            <w:pPr>
              <w:jc w:val="both"/>
            </w:pPr>
            <w:r w:rsidRPr="00AD09E6">
              <w:t>…*%</w:t>
            </w:r>
          </w:p>
        </w:tc>
        <w:tc>
          <w:tcPr>
            <w:tcW w:w="1129" w:type="dxa"/>
          </w:tcPr>
          <w:p w14:paraId="75E156E9" w14:textId="66757216" w:rsidR="006B1262" w:rsidRPr="006E317E" w:rsidRDefault="006B1262" w:rsidP="006B1262">
            <w:pPr>
              <w:jc w:val="both"/>
            </w:pPr>
            <w:r w:rsidRPr="00AD09E6">
              <w:t>…*%</w:t>
            </w:r>
          </w:p>
        </w:tc>
        <w:tc>
          <w:tcPr>
            <w:tcW w:w="1129" w:type="dxa"/>
          </w:tcPr>
          <w:p w14:paraId="40CE1BBB" w14:textId="262E6D7F" w:rsidR="006B1262" w:rsidRPr="006E317E" w:rsidRDefault="006B1262" w:rsidP="006B1262">
            <w:pPr>
              <w:jc w:val="both"/>
            </w:pPr>
            <w:r w:rsidRPr="00AD09E6">
              <w:t>…*%</w:t>
            </w:r>
          </w:p>
        </w:tc>
      </w:tr>
      <w:tr w:rsidR="006B1262" w:rsidRPr="006E317E" w14:paraId="0C9A6BED" w14:textId="77777777" w:rsidTr="00A92CA7">
        <w:trPr>
          <w:trHeight w:val="315"/>
        </w:trPr>
        <w:tc>
          <w:tcPr>
            <w:tcW w:w="1323" w:type="dxa"/>
          </w:tcPr>
          <w:p w14:paraId="08EF0E36" w14:textId="4FE89F1F" w:rsidR="006B1262" w:rsidRPr="006E317E" w:rsidRDefault="006B1262" w:rsidP="006B1262">
            <w:pPr>
              <w:jc w:val="both"/>
            </w:pPr>
            <w:r w:rsidRPr="006E317E">
              <w:t>Telia</w:t>
            </w:r>
          </w:p>
        </w:tc>
        <w:tc>
          <w:tcPr>
            <w:tcW w:w="933" w:type="dxa"/>
          </w:tcPr>
          <w:p w14:paraId="7E504AFD" w14:textId="4FD938F7" w:rsidR="006B1262" w:rsidRPr="006E317E" w:rsidRDefault="006B1262" w:rsidP="006B1262">
            <w:pPr>
              <w:jc w:val="both"/>
            </w:pPr>
            <w:r w:rsidRPr="00AD09E6">
              <w:t>…*%</w:t>
            </w:r>
          </w:p>
        </w:tc>
        <w:tc>
          <w:tcPr>
            <w:tcW w:w="1129" w:type="dxa"/>
          </w:tcPr>
          <w:p w14:paraId="021701B3" w14:textId="18A7362B" w:rsidR="006B1262" w:rsidRPr="006E317E" w:rsidRDefault="006B1262" w:rsidP="006B1262">
            <w:pPr>
              <w:jc w:val="both"/>
            </w:pPr>
            <w:r w:rsidRPr="00AD09E6">
              <w:t>…*%</w:t>
            </w:r>
          </w:p>
        </w:tc>
        <w:tc>
          <w:tcPr>
            <w:tcW w:w="1129" w:type="dxa"/>
          </w:tcPr>
          <w:p w14:paraId="25B07529" w14:textId="34EDEB35" w:rsidR="006B1262" w:rsidRPr="006E317E" w:rsidRDefault="006B1262" w:rsidP="006B1262">
            <w:pPr>
              <w:jc w:val="both"/>
            </w:pPr>
            <w:r w:rsidRPr="00AD09E6">
              <w:t>…*%</w:t>
            </w:r>
          </w:p>
        </w:tc>
        <w:tc>
          <w:tcPr>
            <w:tcW w:w="1129" w:type="dxa"/>
          </w:tcPr>
          <w:p w14:paraId="017810D3" w14:textId="39D9820A" w:rsidR="006B1262" w:rsidRPr="006E317E" w:rsidRDefault="006B1262" w:rsidP="006B1262">
            <w:pPr>
              <w:jc w:val="both"/>
            </w:pPr>
            <w:r w:rsidRPr="00AD09E6">
              <w:t>…*%</w:t>
            </w:r>
          </w:p>
        </w:tc>
        <w:tc>
          <w:tcPr>
            <w:tcW w:w="1129" w:type="dxa"/>
          </w:tcPr>
          <w:p w14:paraId="256B1AAB" w14:textId="658D9CE9" w:rsidR="006B1262" w:rsidRPr="006E317E" w:rsidRDefault="006B1262" w:rsidP="006B1262">
            <w:pPr>
              <w:jc w:val="both"/>
            </w:pPr>
            <w:r w:rsidRPr="00AD09E6">
              <w:t>…*%</w:t>
            </w:r>
          </w:p>
        </w:tc>
        <w:tc>
          <w:tcPr>
            <w:tcW w:w="1129" w:type="dxa"/>
          </w:tcPr>
          <w:p w14:paraId="1C8A3043" w14:textId="0B672A5D" w:rsidR="006B1262" w:rsidRPr="006E317E" w:rsidRDefault="006B1262" w:rsidP="006B1262">
            <w:pPr>
              <w:jc w:val="both"/>
            </w:pPr>
            <w:r w:rsidRPr="00AD09E6">
              <w:t>…*%</w:t>
            </w:r>
          </w:p>
        </w:tc>
        <w:tc>
          <w:tcPr>
            <w:tcW w:w="1129" w:type="dxa"/>
          </w:tcPr>
          <w:p w14:paraId="3F2B2D81" w14:textId="43872C99" w:rsidR="006B1262" w:rsidRPr="006E317E" w:rsidRDefault="006B1262" w:rsidP="006B1262">
            <w:pPr>
              <w:jc w:val="both"/>
            </w:pPr>
            <w:r w:rsidRPr="00AD09E6">
              <w:t>…*%</w:t>
            </w:r>
          </w:p>
        </w:tc>
      </w:tr>
      <w:tr w:rsidR="006B1262" w:rsidRPr="006E317E" w14:paraId="2BDAAF5C" w14:textId="77777777" w:rsidTr="00A92CA7">
        <w:trPr>
          <w:trHeight w:val="315"/>
        </w:trPr>
        <w:tc>
          <w:tcPr>
            <w:tcW w:w="1323" w:type="dxa"/>
          </w:tcPr>
          <w:p w14:paraId="6DCC4C36" w14:textId="12B185BF" w:rsidR="006B1262" w:rsidRPr="006E317E" w:rsidRDefault="006B1262" w:rsidP="006B1262">
            <w:pPr>
              <w:jc w:val="both"/>
            </w:pPr>
            <w:r w:rsidRPr="006E317E">
              <w:t>Teised</w:t>
            </w:r>
          </w:p>
        </w:tc>
        <w:tc>
          <w:tcPr>
            <w:tcW w:w="933" w:type="dxa"/>
          </w:tcPr>
          <w:p w14:paraId="0550809D" w14:textId="3E097026" w:rsidR="006B1262" w:rsidRPr="006E317E" w:rsidRDefault="006B1262" w:rsidP="006B1262">
            <w:pPr>
              <w:jc w:val="both"/>
            </w:pPr>
            <w:r w:rsidRPr="00AD09E6">
              <w:t>…*%</w:t>
            </w:r>
          </w:p>
        </w:tc>
        <w:tc>
          <w:tcPr>
            <w:tcW w:w="1129" w:type="dxa"/>
          </w:tcPr>
          <w:p w14:paraId="6320DF81" w14:textId="64F75638" w:rsidR="006B1262" w:rsidRPr="006E317E" w:rsidRDefault="006B1262" w:rsidP="006B1262">
            <w:pPr>
              <w:jc w:val="both"/>
            </w:pPr>
            <w:r w:rsidRPr="00AD09E6">
              <w:t>…*%</w:t>
            </w:r>
          </w:p>
        </w:tc>
        <w:tc>
          <w:tcPr>
            <w:tcW w:w="1129" w:type="dxa"/>
          </w:tcPr>
          <w:p w14:paraId="508C6DF2" w14:textId="13659CE0" w:rsidR="006B1262" w:rsidRPr="006E317E" w:rsidRDefault="006B1262" w:rsidP="006B1262">
            <w:pPr>
              <w:jc w:val="both"/>
            </w:pPr>
            <w:r w:rsidRPr="00AD09E6">
              <w:t>…*%</w:t>
            </w:r>
          </w:p>
        </w:tc>
        <w:tc>
          <w:tcPr>
            <w:tcW w:w="1129" w:type="dxa"/>
          </w:tcPr>
          <w:p w14:paraId="30224B86" w14:textId="0D32D2D1" w:rsidR="006B1262" w:rsidRPr="006E317E" w:rsidRDefault="006B1262" w:rsidP="006B1262">
            <w:pPr>
              <w:jc w:val="both"/>
            </w:pPr>
            <w:r w:rsidRPr="00AD09E6">
              <w:t>…*%</w:t>
            </w:r>
          </w:p>
        </w:tc>
        <w:tc>
          <w:tcPr>
            <w:tcW w:w="1129" w:type="dxa"/>
          </w:tcPr>
          <w:p w14:paraId="4D4F633B" w14:textId="44A714C3" w:rsidR="006B1262" w:rsidRPr="006E317E" w:rsidRDefault="006B1262" w:rsidP="006B1262">
            <w:pPr>
              <w:jc w:val="both"/>
            </w:pPr>
            <w:r w:rsidRPr="00AD09E6">
              <w:t>…*%</w:t>
            </w:r>
          </w:p>
        </w:tc>
        <w:tc>
          <w:tcPr>
            <w:tcW w:w="1129" w:type="dxa"/>
          </w:tcPr>
          <w:p w14:paraId="564EDDC0" w14:textId="5D793BAE" w:rsidR="006B1262" w:rsidRPr="006E317E" w:rsidRDefault="006B1262" w:rsidP="006B1262">
            <w:pPr>
              <w:jc w:val="both"/>
            </w:pPr>
            <w:r w:rsidRPr="00AD09E6">
              <w:t>…*%</w:t>
            </w:r>
          </w:p>
        </w:tc>
        <w:tc>
          <w:tcPr>
            <w:tcW w:w="1129" w:type="dxa"/>
          </w:tcPr>
          <w:p w14:paraId="46A78F1E" w14:textId="6B6C1618" w:rsidR="006B1262" w:rsidRPr="006E317E" w:rsidRDefault="006B1262" w:rsidP="006B1262">
            <w:pPr>
              <w:jc w:val="both"/>
            </w:pPr>
            <w:r w:rsidRPr="00AD09E6">
              <w:t>…*%</w:t>
            </w:r>
          </w:p>
        </w:tc>
      </w:tr>
      <w:tr w:rsidR="00CD0D0B" w:rsidRPr="006E317E" w14:paraId="73C1B8A9" w14:textId="77777777" w:rsidTr="00A92CA7">
        <w:trPr>
          <w:trHeight w:val="315"/>
        </w:trPr>
        <w:tc>
          <w:tcPr>
            <w:tcW w:w="1323" w:type="dxa"/>
          </w:tcPr>
          <w:p w14:paraId="77D5741A" w14:textId="1B383BA1" w:rsidR="00CD0D0B" w:rsidRPr="006E317E" w:rsidRDefault="00CD0D0B" w:rsidP="00AA241E">
            <w:pPr>
              <w:jc w:val="both"/>
            </w:pPr>
            <w:r w:rsidRPr="006E317E">
              <w:t>Kokku</w:t>
            </w:r>
          </w:p>
        </w:tc>
        <w:tc>
          <w:tcPr>
            <w:tcW w:w="933" w:type="dxa"/>
          </w:tcPr>
          <w:p w14:paraId="32B42ADA" w14:textId="23702888" w:rsidR="00CD0D0B" w:rsidRPr="006E317E" w:rsidRDefault="00CD0D0B" w:rsidP="00AA241E">
            <w:pPr>
              <w:jc w:val="both"/>
            </w:pPr>
            <w:r w:rsidRPr="006E317E">
              <w:t>100%</w:t>
            </w:r>
          </w:p>
        </w:tc>
        <w:tc>
          <w:tcPr>
            <w:tcW w:w="1129" w:type="dxa"/>
          </w:tcPr>
          <w:p w14:paraId="284EB946" w14:textId="067E117E" w:rsidR="00CD0D0B" w:rsidRPr="006E317E" w:rsidRDefault="00CD0D0B" w:rsidP="00AA241E">
            <w:pPr>
              <w:jc w:val="both"/>
            </w:pPr>
            <w:r w:rsidRPr="006E317E">
              <w:t>100%</w:t>
            </w:r>
          </w:p>
        </w:tc>
        <w:tc>
          <w:tcPr>
            <w:tcW w:w="1129" w:type="dxa"/>
          </w:tcPr>
          <w:p w14:paraId="37105A35" w14:textId="0AE43B72" w:rsidR="00CD0D0B" w:rsidRPr="006E317E" w:rsidRDefault="00CD0D0B" w:rsidP="00AA241E">
            <w:pPr>
              <w:jc w:val="both"/>
            </w:pPr>
            <w:r w:rsidRPr="006E317E">
              <w:t>100%</w:t>
            </w:r>
          </w:p>
        </w:tc>
        <w:tc>
          <w:tcPr>
            <w:tcW w:w="1129" w:type="dxa"/>
          </w:tcPr>
          <w:p w14:paraId="3C7573DD" w14:textId="7A9C1639" w:rsidR="00CD0D0B" w:rsidRPr="006E317E" w:rsidRDefault="00CD0D0B" w:rsidP="00AA241E">
            <w:pPr>
              <w:jc w:val="both"/>
            </w:pPr>
            <w:r w:rsidRPr="006E317E">
              <w:t>100%</w:t>
            </w:r>
          </w:p>
        </w:tc>
        <w:tc>
          <w:tcPr>
            <w:tcW w:w="1129" w:type="dxa"/>
          </w:tcPr>
          <w:p w14:paraId="18A23630" w14:textId="51B62A54" w:rsidR="00CD0D0B" w:rsidRPr="006E317E" w:rsidRDefault="00CD0D0B" w:rsidP="00AA241E">
            <w:pPr>
              <w:jc w:val="both"/>
            </w:pPr>
            <w:r w:rsidRPr="006E317E">
              <w:t>100%</w:t>
            </w:r>
          </w:p>
        </w:tc>
        <w:tc>
          <w:tcPr>
            <w:tcW w:w="1129" w:type="dxa"/>
          </w:tcPr>
          <w:p w14:paraId="08FB827E" w14:textId="687B159C" w:rsidR="00CD0D0B" w:rsidRPr="006E317E" w:rsidRDefault="00CD0D0B" w:rsidP="00AA241E">
            <w:pPr>
              <w:jc w:val="both"/>
            </w:pPr>
            <w:r w:rsidRPr="006E317E">
              <w:t>100%</w:t>
            </w:r>
          </w:p>
        </w:tc>
        <w:tc>
          <w:tcPr>
            <w:tcW w:w="1129" w:type="dxa"/>
          </w:tcPr>
          <w:p w14:paraId="2ADB720A" w14:textId="6B68B27B" w:rsidR="00CD0D0B" w:rsidRPr="006E317E" w:rsidRDefault="00CD0D0B" w:rsidP="00AA241E">
            <w:pPr>
              <w:jc w:val="both"/>
            </w:pPr>
            <w:r w:rsidRPr="006E317E">
              <w:t>100%</w:t>
            </w:r>
          </w:p>
        </w:tc>
      </w:tr>
    </w:tbl>
    <w:p w14:paraId="026FB814" w14:textId="50A1C641" w:rsidR="054BD844" w:rsidRPr="006E317E" w:rsidRDefault="00A92CA7" w:rsidP="00AA241E">
      <w:pPr>
        <w:pStyle w:val="Pealdis"/>
        <w:jc w:val="both"/>
      </w:pPr>
      <w:r>
        <w:t xml:space="preserve">Tabel </w:t>
      </w:r>
      <w:r>
        <w:fldChar w:fldCharType="begin"/>
      </w:r>
      <w:r>
        <w:instrText xml:space="preserve"> SEQ Tabel \* ARABIC </w:instrText>
      </w:r>
      <w:r>
        <w:fldChar w:fldCharType="separate"/>
      </w:r>
      <w:r w:rsidR="00247D84">
        <w:rPr>
          <w:noProof/>
        </w:rPr>
        <w:t>39</w:t>
      </w:r>
      <w:r>
        <w:fldChar w:fldCharType="end"/>
      </w:r>
      <w:r>
        <w:t xml:space="preserve"> </w:t>
      </w:r>
      <w:r w:rsidR="006D0EA5" w:rsidRPr="006E317E">
        <w:t>Sideettevõtjate</w:t>
      </w:r>
      <w:r w:rsidR="006D0EA5" w:rsidRPr="006173A2">
        <w:t xml:space="preserve"> </w:t>
      </w:r>
      <w:r w:rsidR="00183BEB">
        <w:t>vaskkaabli</w:t>
      </w:r>
      <w:r w:rsidR="00EC072E" w:rsidRPr="00EC072E">
        <w:t xml:space="preserve">- ja </w:t>
      </w:r>
      <w:r w:rsidR="00183BEB">
        <w:t>mobiilsidevõr</w:t>
      </w:r>
      <w:r w:rsidR="00EC072E" w:rsidRPr="00EC072E">
        <w:t xml:space="preserve">gu internetiühenduste </w:t>
      </w:r>
      <w:r w:rsidR="003F1996">
        <w:t>jaeturu</w:t>
      </w:r>
      <w:r w:rsidR="65055489" w:rsidRPr="006E317E">
        <w:t xml:space="preserve"> turuosade dünaamika 2017-2023 aastatel*</w:t>
      </w:r>
    </w:p>
    <w:p w14:paraId="0458A524" w14:textId="36F93B05" w:rsidR="054BD844" w:rsidRPr="006E317E" w:rsidRDefault="65055489" w:rsidP="00AA241E">
      <w:pPr>
        <w:jc w:val="both"/>
      </w:pPr>
      <w:r w:rsidRPr="006E317E">
        <w:t xml:space="preserve">Võttes arvesse, et Telia ei osuta teistele sideettevõtjatele </w:t>
      </w:r>
      <w:r w:rsidR="003455B4">
        <w:t>hulgi</w:t>
      </w:r>
      <w:r w:rsidRPr="006E317E">
        <w:t xml:space="preserve">turu 1. teenuseid </w:t>
      </w:r>
      <w:r w:rsidR="00AD1150">
        <w:t>vaskpaar</w:t>
      </w:r>
      <w:r w:rsidR="001B6204" w:rsidRPr="006E317E">
        <w:t>v</w:t>
      </w:r>
      <w:r w:rsidRPr="006E317E">
        <w:t xml:space="preserve">õrgus, langeb jaeturu turuosade arvutamine, mis on seotud </w:t>
      </w:r>
      <w:r w:rsidR="003455B4">
        <w:t>hulgi</w:t>
      </w:r>
      <w:r w:rsidRPr="006E317E">
        <w:t xml:space="preserve">turuga 1 ja mis on läbi viidud punktis </w:t>
      </w:r>
      <w:r w:rsidR="00D412ED" w:rsidRPr="002E251B">
        <w:t>5</w:t>
      </w:r>
      <w:r w:rsidRPr="002E251B">
        <w:t>.1.1.1, täielikult</w:t>
      </w:r>
      <w:r w:rsidRPr="006E317E">
        <w:t xml:space="preserve"> kokku käesolevas peatükis toodud turuosadega.</w:t>
      </w:r>
    </w:p>
    <w:p w14:paraId="67E06460" w14:textId="1AC4D738" w:rsidR="054BD844" w:rsidRPr="006E317E" w:rsidRDefault="65055489" w:rsidP="00AA241E">
      <w:pPr>
        <w:jc w:val="both"/>
      </w:pPr>
      <w:r w:rsidRPr="006E317E">
        <w:t xml:space="preserve">Võttes arvesse, et 3b turu </w:t>
      </w:r>
      <w:r w:rsidR="00183BEB">
        <w:t>vaskkaabli</w:t>
      </w:r>
      <w:r w:rsidR="006173A2" w:rsidRPr="006173A2">
        <w:t xml:space="preserve">- ja </w:t>
      </w:r>
      <w:r w:rsidR="00183BEB">
        <w:t>mobiilsidevõr</w:t>
      </w:r>
      <w:r w:rsidR="006173A2" w:rsidRPr="006173A2">
        <w:t xml:space="preserve">gu internetiühenduste </w:t>
      </w:r>
      <w:r w:rsidR="00AC5F10">
        <w:t>jaeturu</w:t>
      </w:r>
      <w:r w:rsidR="006173A2" w:rsidRPr="006173A2">
        <w:t xml:space="preserve"> </w:t>
      </w:r>
      <w:r w:rsidR="006173A2">
        <w:t xml:space="preserve">teenuste </w:t>
      </w:r>
      <w:r w:rsidRPr="006E317E">
        <w:t xml:space="preserve">müük toimub väikestes mahtudes, põhineb arvutatud turuosa peamiselt Eesti infrastruktuurikonkurentsil. Eestis on </w:t>
      </w:r>
      <w:r w:rsidR="0060591C" w:rsidRPr="0060591C">
        <w:t xml:space="preserve">püsiasukohas tarbimiseks </w:t>
      </w:r>
      <w:r w:rsidR="007D4E16">
        <w:t>mõeldud</w:t>
      </w:r>
      <w:r w:rsidR="0060591C" w:rsidRPr="0060591C">
        <w:t xml:space="preserve"> piiramatu mahuga internetiühendus</w:t>
      </w:r>
      <w:r w:rsidR="00290BBC">
        <w:t>te</w:t>
      </w:r>
      <w:r w:rsidR="0060591C" w:rsidRPr="0060591C">
        <w:t xml:space="preserve"> mobiilsidevõrgu baasil </w:t>
      </w:r>
      <w:r w:rsidRPr="006E317E">
        <w:t xml:space="preserve">lõppkasutajate arv kiiresti kasvanud, mille tulemusena on Telia turuosad </w:t>
      </w:r>
      <w:r w:rsidR="002324A9">
        <w:t xml:space="preserve">jaeturul </w:t>
      </w:r>
      <w:r w:rsidRPr="006E317E">
        <w:t xml:space="preserve">oluliselt vähenenud. TTJA järeldab, et </w:t>
      </w:r>
      <w:r w:rsidR="00E57BEC" w:rsidRPr="006E317E">
        <w:t>Telia turuosad</w:t>
      </w:r>
      <w:r w:rsidR="00E57BEC">
        <w:t xml:space="preserve"> (</w:t>
      </w:r>
      <w:bookmarkStart w:id="847" w:name="_Hlk189817004"/>
      <w:r w:rsidR="006379B0" w:rsidRPr="006379B0">
        <w:t>…*</w:t>
      </w:r>
      <w:bookmarkEnd w:id="847"/>
      <w:r w:rsidR="00E57BEC" w:rsidRPr="006E317E">
        <w:t>%</w:t>
      </w:r>
      <w:r w:rsidR="00E57BEC">
        <w:t>)</w:t>
      </w:r>
      <w:r w:rsidR="00E57BEC" w:rsidRPr="006E317E">
        <w:t xml:space="preserve"> 2023. aasta lõpu seisuga</w:t>
      </w:r>
      <w:r w:rsidR="00E57BEC">
        <w:t xml:space="preserve"> </w:t>
      </w:r>
      <w:r w:rsidRPr="006E317E">
        <w:t xml:space="preserve">ei näita enam Telia turgu valitsevat seisundit. Eelkõige osutavad analüüsitud turuosad tõhusale konkurentsile </w:t>
      </w:r>
      <w:r w:rsidR="00183BEB">
        <w:t>vaskkaabli</w:t>
      </w:r>
      <w:r w:rsidR="006173A2" w:rsidRPr="006173A2">
        <w:t xml:space="preserve">- ja </w:t>
      </w:r>
      <w:r w:rsidR="00183BEB">
        <w:t>mobiilsidevõr</w:t>
      </w:r>
      <w:r w:rsidR="006173A2" w:rsidRPr="006173A2">
        <w:t xml:space="preserve">gu internetiühenduste </w:t>
      </w:r>
      <w:r w:rsidR="009D4C98">
        <w:t>jaeturul</w:t>
      </w:r>
      <w:r w:rsidRPr="006E317E">
        <w:t>.</w:t>
      </w:r>
    </w:p>
    <w:p w14:paraId="4BF0B955" w14:textId="6EB97AA6" w:rsidR="054BD844" w:rsidRPr="006E317E" w:rsidRDefault="65055489" w:rsidP="00AA241E">
      <w:pPr>
        <w:jc w:val="both"/>
      </w:pPr>
      <w:r w:rsidRPr="006E317E">
        <w:t>Ee</w:t>
      </w:r>
      <w:r w:rsidR="00E57BEC">
        <w:t>l</w:t>
      </w:r>
      <w:r w:rsidRPr="006E317E">
        <w:t xml:space="preserve">pool öeldut silmas pidades järeldab TTJA, et turuosade üldine struktuur ei viita sellele, et </w:t>
      </w:r>
      <w:r w:rsidR="00183BEB">
        <w:t>vaskkaabli</w:t>
      </w:r>
      <w:r w:rsidR="006173A2" w:rsidRPr="006173A2">
        <w:t xml:space="preserve">- ja </w:t>
      </w:r>
      <w:r w:rsidR="00183BEB">
        <w:t>mobiilsidevõr</w:t>
      </w:r>
      <w:r w:rsidR="006173A2" w:rsidRPr="006173A2">
        <w:t xml:space="preserve">gu internetiühenduste </w:t>
      </w:r>
      <w:r w:rsidR="006B63CB">
        <w:t>jaeturu</w:t>
      </w:r>
      <w:r w:rsidR="004C27C6">
        <w:t>l</w:t>
      </w:r>
      <w:r w:rsidRPr="006E317E">
        <w:t xml:space="preserve"> oleks mõni ettevõtja, kelle majanduslik võim oleks samaväärne turgu valitseva seisundiga. Turuosad osutavad tõhusale </w:t>
      </w:r>
      <w:r w:rsidR="00183BEB">
        <w:t>vaskkaabli</w:t>
      </w:r>
      <w:r w:rsidR="006173A2" w:rsidRPr="006173A2">
        <w:t xml:space="preserve">- ja </w:t>
      </w:r>
      <w:r w:rsidR="00183BEB">
        <w:t>mobiilsidevõr</w:t>
      </w:r>
      <w:r w:rsidR="006173A2" w:rsidRPr="006173A2">
        <w:t xml:space="preserve">gu internetiühenduste </w:t>
      </w:r>
      <w:r w:rsidR="00132808">
        <w:t>jaeturu</w:t>
      </w:r>
      <w:r w:rsidR="00CC0D07">
        <w:t>l</w:t>
      </w:r>
      <w:r w:rsidRPr="006E317E">
        <w:t xml:space="preserve">, kuigi </w:t>
      </w:r>
      <w:r w:rsidR="00635FFF">
        <w:t>võrkude ehitamine</w:t>
      </w:r>
      <w:r w:rsidRPr="006E317E">
        <w:t xml:space="preserve"> on endiselt asjakohane, eriti maapiirkondades.</w:t>
      </w:r>
    </w:p>
    <w:p w14:paraId="5BEDE563" w14:textId="432FB328" w:rsidR="054BD844" w:rsidRPr="006E317E" w:rsidRDefault="65055489" w:rsidP="00AA241E">
      <w:pPr>
        <w:jc w:val="both"/>
      </w:pPr>
      <w:r w:rsidRPr="006E317E">
        <w:t xml:space="preserve">Kuigi turuosad viitavad tõhusale </w:t>
      </w:r>
      <w:r w:rsidR="00183BEB">
        <w:t>vaskkaabli</w:t>
      </w:r>
      <w:r w:rsidR="006173A2" w:rsidRPr="006173A2">
        <w:t xml:space="preserve">- ja </w:t>
      </w:r>
      <w:r w:rsidR="00183BEB">
        <w:t>mobiilsidevõr</w:t>
      </w:r>
      <w:r w:rsidR="006173A2" w:rsidRPr="006173A2">
        <w:t xml:space="preserve">gu internetiühenduste </w:t>
      </w:r>
      <w:r w:rsidR="00CC0D07">
        <w:t>jaeturu</w:t>
      </w:r>
      <w:r w:rsidR="00F30A41">
        <w:t>l</w:t>
      </w:r>
      <w:r w:rsidRPr="006E317E">
        <w:t xml:space="preserve">, analüüsib TTJA lisaks turuosadele ka muid kriteeriume, st </w:t>
      </w:r>
      <w:r w:rsidR="00A62EC7" w:rsidRPr="006E317E">
        <w:t>turul</w:t>
      </w:r>
      <w:r w:rsidR="004B64C8" w:rsidRPr="006E317E">
        <w:t xml:space="preserve">e </w:t>
      </w:r>
      <w:r w:rsidR="00A62EC7" w:rsidRPr="006E317E">
        <w:t>sisenemis</w:t>
      </w:r>
      <w:r w:rsidR="004B64C8" w:rsidRPr="006E317E">
        <w:t xml:space="preserve">e </w:t>
      </w:r>
      <w:r w:rsidRPr="006E317E">
        <w:t xml:space="preserve">tõkkeid või elektroonilise sidevõrgu laiendamist, kontrolli </w:t>
      </w:r>
      <w:r w:rsidR="00EC437D" w:rsidRPr="006E317E">
        <w:t>raskesti dubleeritava</w:t>
      </w:r>
      <w:r w:rsidRPr="006E317E">
        <w:t xml:space="preserve"> taristu üle ning tehnoloogilist </w:t>
      </w:r>
      <w:r w:rsidRPr="006E317E">
        <w:lastRenderedPageBreak/>
        <w:t xml:space="preserve">laadi eeliseid, tasakaalustavat </w:t>
      </w:r>
      <w:r w:rsidR="00EE71F9">
        <w:t>ostjaj</w:t>
      </w:r>
      <w:r w:rsidRPr="006E317E">
        <w:t>õudu või selle puudumist, teenuste ühendamist,  mastaabi- ja mitmekülgsussäästu eeliseid ning eelisjuurdepääsu finantsvahenditele</w:t>
      </w:r>
    </w:p>
    <w:p w14:paraId="18B49B44" w14:textId="31CC64A2" w:rsidR="054BD844" w:rsidRPr="006E317E" w:rsidRDefault="65055489" w:rsidP="00AA241E">
      <w:pPr>
        <w:pStyle w:val="Heading49"/>
        <w:numPr>
          <w:ilvl w:val="3"/>
          <w:numId w:val="68"/>
        </w:numPr>
      </w:pPr>
      <w:r w:rsidRPr="006E317E">
        <w:t xml:space="preserve">Kõrgete struktuursete, õiguslike või regulatiivsete turule sisenemise või elektroonilise side võrgu </w:t>
      </w:r>
      <w:r w:rsidR="00834D5D">
        <w:t>katvuse</w:t>
      </w:r>
      <w:r w:rsidRPr="006E317E">
        <w:t xml:space="preserve"> </w:t>
      </w:r>
      <w:r w:rsidR="00493794" w:rsidRPr="006E317E">
        <w:t>laiendamise</w:t>
      </w:r>
      <w:r w:rsidRPr="006E317E">
        <w:t xml:space="preserve"> tõkete esinemine </w:t>
      </w:r>
    </w:p>
    <w:p w14:paraId="54B5769E" w14:textId="487B5C11" w:rsidR="054BD844" w:rsidRPr="006E317E" w:rsidRDefault="65055489" w:rsidP="00AA241E">
      <w:pPr>
        <w:jc w:val="both"/>
      </w:pPr>
      <w:r w:rsidRPr="006E317E">
        <w:t xml:space="preserve">Elektroonilise side võrgu turule sisenemise või </w:t>
      </w:r>
      <w:r w:rsidR="00635FFF">
        <w:t>võrgu</w:t>
      </w:r>
      <w:r w:rsidRPr="006E317E">
        <w:t xml:space="preserve"> laiendamise tõkked ja nende omadused on esitatud </w:t>
      </w:r>
      <w:r w:rsidRPr="002E251B">
        <w:t xml:space="preserve">punktis </w:t>
      </w:r>
      <w:r w:rsidR="00D412ED" w:rsidRPr="002E251B">
        <w:t>5</w:t>
      </w:r>
      <w:r w:rsidRPr="002E251B">
        <w:t>.1.1.2.</w:t>
      </w:r>
    </w:p>
    <w:p w14:paraId="09C465CA" w14:textId="4D727688" w:rsidR="054BD844" w:rsidRPr="006E317E" w:rsidRDefault="65055489" w:rsidP="00AA241E">
      <w:pPr>
        <w:jc w:val="both"/>
      </w:pPr>
      <w:r w:rsidRPr="006E317E">
        <w:t xml:space="preserve">Võttes arvesse </w:t>
      </w:r>
      <w:proofErr w:type="spellStart"/>
      <w:r w:rsidR="002A1662" w:rsidRPr="002A1662">
        <w:rPr>
          <w:i/>
        </w:rPr>
        <w:t>Gr</w:t>
      </w:r>
      <w:r w:rsidR="00C318C1">
        <w:rPr>
          <w:i/>
        </w:rPr>
        <w:t>e</w:t>
      </w:r>
      <w:r w:rsidR="002A1662" w:rsidRPr="002A1662">
        <w:rPr>
          <w:i/>
        </w:rPr>
        <w:t>enfieldi</w:t>
      </w:r>
      <w:proofErr w:type="spellEnd"/>
      <w:r w:rsidRPr="006E317E">
        <w:t xml:space="preserve"> lähenemisviisi põhimõtet ja põhimõtet, et </w:t>
      </w:r>
      <w:r w:rsidR="0007135D">
        <w:t>hulgiturg</w:t>
      </w:r>
      <w:r w:rsidRPr="006E317E">
        <w:t xml:space="preserve"> 3b </w:t>
      </w:r>
      <w:r w:rsidR="00493794" w:rsidRPr="006E317E">
        <w:t>järgneb</w:t>
      </w:r>
      <w:r w:rsidRPr="006E317E">
        <w:t xml:space="preserve"> </w:t>
      </w:r>
      <w:r w:rsidR="003455B4">
        <w:t>hulgi</w:t>
      </w:r>
      <w:r w:rsidRPr="006E317E">
        <w:t>turule 1, samuti asjaolu, et vastavalt</w:t>
      </w:r>
      <w:r w:rsidR="00493794" w:rsidRPr="006E317E">
        <w:t xml:space="preserve"> </w:t>
      </w:r>
      <w:r w:rsidRPr="006E317E">
        <w:t xml:space="preserve">Telia strateegilisele innovatsioonikavale ei paku ta teistele sideettevõtjatele </w:t>
      </w:r>
      <w:r w:rsidR="006953E9">
        <w:t>hulgi</w:t>
      </w:r>
      <w:r w:rsidRPr="006E317E">
        <w:t>turu 1. teenuseid vask</w:t>
      </w:r>
      <w:r w:rsidR="002324A9">
        <w:t>paar</w:t>
      </w:r>
      <w:r w:rsidR="00493794" w:rsidRPr="006E317E">
        <w:t>võrgus</w:t>
      </w:r>
      <w:r w:rsidRPr="006E317E">
        <w:t xml:space="preserve">, langeb turule sisenemise tõkete analüüs </w:t>
      </w:r>
      <w:r w:rsidR="006953E9">
        <w:t>hulgituru</w:t>
      </w:r>
      <w:r w:rsidRPr="006E317E">
        <w:t xml:space="preserve"> 1 </w:t>
      </w:r>
      <w:r w:rsidR="00183BEB">
        <w:t>vaskkaabli</w:t>
      </w:r>
      <w:r w:rsidRPr="006E317E">
        <w:t xml:space="preserve">- ja </w:t>
      </w:r>
      <w:r w:rsidR="00493794" w:rsidRPr="006E317E">
        <w:t>mobiil</w:t>
      </w:r>
      <w:r w:rsidR="008E3964">
        <w:t>side</w:t>
      </w:r>
      <w:r w:rsidR="00493794" w:rsidRPr="006E317E">
        <w:t xml:space="preserve">võrgu </w:t>
      </w:r>
      <w:r w:rsidRPr="006E317E">
        <w:t xml:space="preserve">või elektroonilise side võrgu </w:t>
      </w:r>
      <w:r w:rsidR="00AF441A">
        <w:t>katvuse</w:t>
      </w:r>
      <w:r w:rsidRPr="006E317E">
        <w:t xml:space="preserve"> laiendamise </w:t>
      </w:r>
      <w:r w:rsidRPr="002E251B">
        <w:t xml:space="preserve">korral (vt punkt </w:t>
      </w:r>
      <w:r w:rsidR="00D412ED" w:rsidRPr="002E251B">
        <w:t>5</w:t>
      </w:r>
      <w:r w:rsidRPr="002E251B">
        <w:t>.1.1.2) täielikult</w:t>
      </w:r>
      <w:r w:rsidRPr="006E317E">
        <w:t xml:space="preserve"> kokku tõketega, mis takistavad käesolevas jaotises esitatud jae- või elektroonilise side võrgu </w:t>
      </w:r>
      <w:r w:rsidR="00AF441A">
        <w:t>katvuse laienemist</w:t>
      </w:r>
      <w:r w:rsidRPr="006E317E">
        <w:t xml:space="preserve"> 3b </w:t>
      </w:r>
      <w:r w:rsidR="00183BEB">
        <w:t>vaskkaabli</w:t>
      </w:r>
      <w:r w:rsidRPr="006E317E">
        <w:t xml:space="preserve">- ja </w:t>
      </w:r>
      <w:r w:rsidR="008B0B55" w:rsidRPr="006E317E">
        <w:t>mobiil</w:t>
      </w:r>
      <w:r w:rsidR="00DE7297">
        <w:t>side</w:t>
      </w:r>
      <w:r w:rsidRPr="006E317E">
        <w:t>võrgus. Nimelt iseloomustab seda põhimõtteliselt Eestis olemasolev  infrastruktuurikonkurents.</w:t>
      </w:r>
    </w:p>
    <w:p w14:paraId="4894B899" w14:textId="2C8CD072" w:rsidR="054BD844" w:rsidRPr="006E317E" w:rsidRDefault="65055489" w:rsidP="00AA241E">
      <w:pPr>
        <w:jc w:val="both"/>
      </w:pPr>
      <w:r w:rsidRPr="006E317E">
        <w:t>Ee</w:t>
      </w:r>
      <w:r w:rsidR="0011760B" w:rsidRPr="006E317E">
        <w:t>l</w:t>
      </w:r>
      <w:r w:rsidRPr="006E317E">
        <w:t xml:space="preserve">pool öeldut silmas pidades kajastab TTJA käesolevas jaos </w:t>
      </w:r>
      <w:r w:rsidRPr="002E251B">
        <w:t xml:space="preserve">punkti </w:t>
      </w:r>
      <w:r w:rsidR="00D412ED" w:rsidRPr="002E251B">
        <w:t>5</w:t>
      </w:r>
      <w:r w:rsidRPr="002E251B">
        <w:t>.1.1.2 peamisi</w:t>
      </w:r>
      <w:r w:rsidRPr="006E317E">
        <w:t xml:space="preserve"> järeldusi.</w:t>
      </w:r>
    </w:p>
    <w:p w14:paraId="070924B3" w14:textId="59E4584E" w:rsidR="054BD844" w:rsidRPr="006E317E" w:rsidRDefault="65055489" w:rsidP="00AA241E">
      <w:pPr>
        <w:jc w:val="both"/>
      </w:pPr>
      <w:r w:rsidRPr="006E317E">
        <w:t xml:space="preserve">Tänu </w:t>
      </w:r>
      <w:r w:rsidR="00290BBC" w:rsidRPr="00290BBC">
        <w:t>püsiasukohas tarbimiseks suunatud piiramatu mahuga internetiühendus</w:t>
      </w:r>
      <w:r w:rsidR="002114D9">
        <w:t>tele</w:t>
      </w:r>
      <w:r w:rsidR="00290BBC" w:rsidRPr="00290BBC">
        <w:t xml:space="preserve"> mobiilsidevõrgu baasil </w:t>
      </w:r>
      <w:r w:rsidR="002324A9">
        <w:t>ning</w:t>
      </w:r>
      <w:r w:rsidR="002324A9" w:rsidRPr="006E317E">
        <w:t xml:space="preserve"> </w:t>
      </w:r>
      <w:r w:rsidRPr="006E317E">
        <w:t xml:space="preserve">tänu  tehnoloogia arengule on </w:t>
      </w:r>
      <w:r w:rsidR="00183BEB">
        <w:t>vaskkaabli</w:t>
      </w:r>
      <w:r w:rsidR="006173A2" w:rsidRPr="006173A2">
        <w:t xml:space="preserve">- ja </w:t>
      </w:r>
      <w:r w:rsidR="00183BEB">
        <w:t>mobiilsidevõr</w:t>
      </w:r>
      <w:r w:rsidR="006173A2" w:rsidRPr="006173A2">
        <w:t xml:space="preserve">gu internetiühenduste </w:t>
      </w:r>
      <w:r w:rsidR="003251B1">
        <w:t>jaeturu</w:t>
      </w:r>
      <w:r w:rsidR="007B7839">
        <w:t>le</w:t>
      </w:r>
      <w:r w:rsidR="006173A2">
        <w:t xml:space="preserve"> </w:t>
      </w:r>
      <w:r w:rsidRPr="006E317E">
        <w:t xml:space="preserve">sisenemise tõkked mingil määral ületatud. TTJA  järeldab, et mobiilsideoperaatorite </w:t>
      </w:r>
      <w:r w:rsidR="00E41E8F" w:rsidRPr="006E317E">
        <w:t>turule tulek</w:t>
      </w:r>
      <w:r w:rsidRPr="006E317E">
        <w:t xml:space="preserve">, pakkudes </w:t>
      </w:r>
      <w:r w:rsidR="00A83B36">
        <w:t>püsiasukohas tarbimiseks suunatud piiramatu mahuga internetiühendus</w:t>
      </w:r>
      <w:r w:rsidR="00AA4B64">
        <w:t>i</w:t>
      </w:r>
      <w:r w:rsidR="00A83B36">
        <w:t xml:space="preserve"> mobiilsidevõrgu baasil</w:t>
      </w:r>
      <w:r w:rsidR="00AA4B64">
        <w:t xml:space="preserve"> teenuseid</w:t>
      </w:r>
      <w:r w:rsidRPr="006E317E">
        <w:t xml:space="preserve">, on olnud edukas ja püsiv ning see tekitab pideva konkurentsisurve DSL-tehnoloogiale ja muudele Telia pakutavatele madala jõudlusega tehnoloogiatele. Võttes aga arvesse suuri investeeringuid mobiilsidevõrkude ehitamisse ja mobiilside jaoks vajalike </w:t>
      </w:r>
      <w:r w:rsidR="00635FFF">
        <w:t>sageduste</w:t>
      </w:r>
      <w:r w:rsidRPr="006E317E">
        <w:t xml:space="preserve"> (õiguslikud ja regulatiivsed tõkked) ebapiisavust, oleks juhul, kui uus mobiilsideoperaator sooviks siseneda </w:t>
      </w:r>
      <w:r w:rsidR="00183BEB">
        <w:t>vaskkaabli</w:t>
      </w:r>
      <w:r w:rsidR="006173A2" w:rsidRPr="006173A2">
        <w:t xml:space="preserve">- ja </w:t>
      </w:r>
      <w:r w:rsidR="00183BEB">
        <w:t>mobiilsidevõr</w:t>
      </w:r>
      <w:r w:rsidR="006173A2" w:rsidRPr="006173A2">
        <w:t xml:space="preserve">gu internetiühenduste </w:t>
      </w:r>
      <w:r w:rsidR="002F5BD0">
        <w:t>jaeturu</w:t>
      </w:r>
      <w:r w:rsidR="008756AC">
        <w:t>le</w:t>
      </w:r>
      <w:r w:rsidRPr="006E317E">
        <w:t>, oleksid turule sisenemise tõkked kõrged ja asjakohased, eriti väikese rahvastikutihedusega maapiirkondades.</w:t>
      </w:r>
    </w:p>
    <w:p w14:paraId="7E262AB1" w14:textId="70C263A1" w:rsidR="054BD844" w:rsidRPr="002E251B" w:rsidRDefault="65055489" w:rsidP="00AA241E">
      <w:pPr>
        <w:jc w:val="both"/>
        <w:rPr>
          <w:b/>
          <w:bCs/>
        </w:rPr>
      </w:pPr>
      <w:r w:rsidRPr="002E251B">
        <w:rPr>
          <w:b/>
          <w:bCs/>
        </w:rPr>
        <w:t>Ee</w:t>
      </w:r>
      <w:r w:rsidR="002001E1" w:rsidRPr="002E251B">
        <w:rPr>
          <w:b/>
          <w:bCs/>
        </w:rPr>
        <w:t>l</w:t>
      </w:r>
      <w:r w:rsidRPr="002E251B">
        <w:rPr>
          <w:b/>
          <w:bCs/>
        </w:rPr>
        <w:t xml:space="preserve">pool öeldut </w:t>
      </w:r>
      <w:r w:rsidR="00290EE1" w:rsidRPr="002E251B">
        <w:rPr>
          <w:b/>
          <w:bCs/>
        </w:rPr>
        <w:t xml:space="preserve">silmas pidades on põhimõtteliselt olemas tõkked, mis takistavad uue operaatori sisenemist </w:t>
      </w:r>
      <w:r w:rsidR="00183BEB" w:rsidRPr="002E251B">
        <w:rPr>
          <w:b/>
          <w:bCs/>
        </w:rPr>
        <w:t>vaskkaabli</w:t>
      </w:r>
      <w:r w:rsidR="00290EE1" w:rsidRPr="002E251B">
        <w:rPr>
          <w:b/>
          <w:bCs/>
        </w:rPr>
        <w:t xml:space="preserve">- ja </w:t>
      </w:r>
      <w:r w:rsidR="00183BEB" w:rsidRPr="002E251B">
        <w:rPr>
          <w:b/>
          <w:bCs/>
        </w:rPr>
        <w:t>mobiilsidevõr</w:t>
      </w:r>
      <w:r w:rsidR="00290EE1" w:rsidRPr="002E251B">
        <w:rPr>
          <w:b/>
          <w:bCs/>
        </w:rPr>
        <w:t>gu internetiühenduste jaeturule või elektroonilise side</w:t>
      </w:r>
      <w:r w:rsidR="00BB4601" w:rsidRPr="002E251B">
        <w:rPr>
          <w:b/>
          <w:bCs/>
        </w:rPr>
        <w:t xml:space="preserve"> võrgu</w:t>
      </w:r>
      <w:r w:rsidR="00290EE1" w:rsidRPr="002E251B">
        <w:rPr>
          <w:b/>
          <w:bCs/>
        </w:rPr>
        <w:t xml:space="preserve"> katvuse laienemist. Võttes arvesse madalama jõudlusega tehnoloogiate tähtsuse vähenemist ning mobiilsideoperaatorite edukat ja pidevat turule sisenemist, pakkudes </w:t>
      </w:r>
      <w:r w:rsidR="00A83B36" w:rsidRPr="002E251B">
        <w:rPr>
          <w:b/>
          <w:bCs/>
        </w:rPr>
        <w:t>püsiasukohas tarbimiseks suunatud piiramatu mahuga internetiühendus</w:t>
      </w:r>
      <w:r w:rsidR="00371A54" w:rsidRPr="002E251B">
        <w:rPr>
          <w:b/>
          <w:bCs/>
        </w:rPr>
        <w:t>i</w:t>
      </w:r>
      <w:r w:rsidR="00A83B36" w:rsidRPr="002E251B">
        <w:rPr>
          <w:b/>
          <w:bCs/>
        </w:rPr>
        <w:t xml:space="preserve"> mobiilsidevõrgu baasil,</w:t>
      </w:r>
      <w:r w:rsidR="00290EE1" w:rsidRPr="002E251B">
        <w:rPr>
          <w:b/>
          <w:bCs/>
        </w:rPr>
        <w:t xml:space="preserve"> on need nüüd teatud määral ületatud ja neil on madalam tähtsus.</w:t>
      </w:r>
    </w:p>
    <w:p w14:paraId="6E9B34EC" w14:textId="35C9D511" w:rsidR="054BD844" w:rsidRPr="006E317E" w:rsidRDefault="65055489" w:rsidP="00AA241E">
      <w:pPr>
        <w:jc w:val="both"/>
      </w:pPr>
      <w:r w:rsidRPr="006E317E">
        <w:t xml:space="preserve"> </w:t>
      </w:r>
    </w:p>
    <w:p w14:paraId="23F81567" w14:textId="1BC3BC7E" w:rsidR="054BD844" w:rsidRPr="006E317E" w:rsidRDefault="65055489" w:rsidP="00AA241E">
      <w:pPr>
        <w:pStyle w:val="Heading49"/>
        <w:numPr>
          <w:ilvl w:val="3"/>
          <w:numId w:val="68"/>
        </w:numPr>
      </w:pPr>
      <w:r w:rsidRPr="006E317E">
        <w:t>Kontroll raskesti dubleeritava infrastruktuuri üle</w:t>
      </w:r>
    </w:p>
    <w:p w14:paraId="74D3E7A4" w14:textId="7BE157E9" w:rsidR="004035EB" w:rsidRPr="006E317E" w:rsidRDefault="004035EB" w:rsidP="00AA241E">
      <w:pPr>
        <w:jc w:val="both"/>
      </w:pPr>
      <w:r w:rsidRPr="006E317E">
        <w:t>Kontroll raskesti dubleeritava infrastruktuuri üle on selgitatud peatükis</w:t>
      </w:r>
      <w:r w:rsidR="00A31C73">
        <w:t xml:space="preserve"> </w:t>
      </w:r>
      <w:r w:rsidR="00D412ED">
        <w:t>5</w:t>
      </w:r>
      <w:r w:rsidRPr="006E317E">
        <w:t>.1.1.3.</w:t>
      </w:r>
    </w:p>
    <w:p w14:paraId="006A8527" w14:textId="50A7E816" w:rsidR="004035EB" w:rsidRPr="006E317E" w:rsidRDefault="004035EB" w:rsidP="00AA241E">
      <w:pPr>
        <w:jc w:val="both"/>
      </w:pPr>
      <w:r w:rsidRPr="006E317E">
        <w:lastRenderedPageBreak/>
        <w:t xml:space="preserve">Lähtudes </w:t>
      </w:r>
      <w:proofErr w:type="spellStart"/>
      <w:r w:rsidR="002A1662" w:rsidRPr="002A1662">
        <w:rPr>
          <w:i/>
        </w:rPr>
        <w:t>Gr</w:t>
      </w:r>
      <w:r w:rsidR="00C318C1">
        <w:rPr>
          <w:i/>
        </w:rPr>
        <w:t>e</w:t>
      </w:r>
      <w:r w:rsidR="002A1662" w:rsidRPr="002A1662">
        <w:rPr>
          <w:i/>
        </w:rPr>
        <w:t>enfieldi</w:t>
      </w:r>
      <w:proofErr w:type="spellEnd"/>
      <w:r w:rsidRPr="006E317E">
        <w:t xml:space="preserve"> lähenemisviisi põhimõttest ja eeldusest, et </w:t>
      </w:r>
      <w:r w:rsidR="0007135D">
        <w:t>hulgiturg</w:t>
      </w:r>
      <w:r w:rsidRPr="006E317E">
        <w:t xml:space="preserve"> 3b järgneb  turule 1. ning samuti asjaolust, et Telia ei paku teistele sideettevõtjatele turu 1 teenuseid vaskvõrgus, langeb turu 1 käigus tehtud analüüs raskesti dubleeritava infrastruktuuri  kontrolli ja tehnoloogiliste eeliste üle täielikult kokku käesolevas peatükis käsitletud turuga. Nimelt iseloomustab seda peamiselt infrastruktuurikonkurents Eestis.</w:t>
      </w:r>
    </w:p>
    <w:p w14:paraId="1182E557" w14:textId="3765E1C0" w:rsidR="004035EB" w:rsidRPr="006E317E" w:rsidRDefault="004035EB" w:rsidP="00AA241E">
      <w:pPr>
        <w:jc w:val="both"/>
      </w:pPr>
      <w:r w:rsidRPr="006E317E">
        <w:t>Eelpool öeldut silmas pidades</w:t>
      </w:r>
      <w:r w:rsidR="002324A9" w:rsidRPr="002324A9">
        <w:t xml:space="preserve"> </w:t>
      </w:r>
      <w:r w:rsidR="002324A9" w:rsidRPr="006E317E">
        <w:t>kajastab</w:t>
      </w:r>
      <w:r w:rsidRPr="006E317E">
        <w:t xml:space="preserve"> TTJA käesolevas peatükis</w:t>
      </w:r>
      <w:r w:rsidR="00D86506">
        <w:t xml:space="preserve"> juba</w:t>
      </w:r>
      <w:r w:rsidRPr="006E317E">
        <w:t xml:space="preserve"> </w:t>
      </w:r>
      <w:r w:rsidR="002324A9">
        <w:t>p</w:t>
      </w:r>
      <w:r w:rsidR="00D86506">
        <w:t>eatükis</w:t>
      </w:r>
      <w:r w:rsidR="002324A9">
        <w:t xml:space="preserve"> </w:t>
      </w:r>
      <w:r w:rsidR="00D412ED">
        <w:t>5</w:t>
      </w:r>
      <w:r w:rsidRPr="006E317E">
        <w:t xml:space="preserve">.1.1.3 esitatud peamisi järeldusi.  </w:t>
      </w:r>
    </w:p>
    <w:p w14:paraId="65A4E89C" w14:textId="0E929D1A" w:rsidR="004035EB" w:rsidRPr="006E317E" w:rsidRDefault="004035EB" w:rsidP="002E251B">
      <w:pPr>
        <w:jc w:val="both"/>
      </w:pPr>
      <w:r w:rsidRPr="006E317E">
        <w:t xml:space="preserve">Telia on ajalooliselt olnud suurim sideettevõtja, kellel on kontroll raskesti dubleeritava taristu  üle. Telia kontrollib endiselt olulist taristut kaablikanalite ja postide osas ning samuti omab Telia suurimat põhi- ja juurdepääsuvõrku. Telia  vase juurdepääsuvõrgu turuosa on ka teiste sideettevõtjatega võrreldes palju suurem (vt tabel </w:t>
      </w:r>
      <w:r w:rsidR="00EB0374">
        <w:t>3</w:t>
      </w:r>
      <w:r w:rsidR="00901C0F">
        <w:t>9</w:t>
      </w:r>
      <w:r w:rsidRPr="006E317E">
        <w:t>).</w:t>
      </w:r>
    </w:p>
    <w:p w14:paraId="027CA23F" w14:textId="1C3F1581" w:rsidR="004035EB" w:rsidRPr="006E317E" w:rsidRDefault="004035EB" w:rsidP="002E251B">
      <w:pPr>
        <w:jc w:val="both"/>
      </w:pPr>
      <w:r w:rsidRPr="006E317E">
        <w:t>Kuigi Telia vahetab järk-järgult välja vaskkaableid, kontrollib ta endiselt olulist vask juurdepääsu infrastruktuuri</w:t>
      </w:r>
      <w:r w:rsidR="00477EC2">
        <w:t>,</w:t>
      </w:r>
      <w:r w:rsidRPr="006E317E">
        <w:t xml:space="preserve"> </w:t>
      </w:r>
      <w:r w:rsidR="00477EC2" w:rsidRPr="006E317E">
        <w:t xml:space="preserve">kuid </w:t>
      </w:r>
      <w:r w:rsidR="000214D5">
        <w:t xml:space="preserve">valguskaabel </w:t>
      </w:r>
      <w:r w:rsidRPr="006E317E">
        <w:t xml:space="preserve">kiu ja mobiilse interneti arenguga on </w:t>
      </w:r>
      <w:r w:rsidR="00532579">
        <w:t>vaskpaarvõrkude</w:t>
      </w:r>
      <w:r w:rsidRPr="006E317E">
        <w:t xml:space="preserve"> tähtsus nende väikese jõudluse tõttu oluliselt vähenenud.</w:t>
      </w:r>
    </w:p>
    <w:p w14:paraId="02690689" w14:textId="692E3F2A" w:rsidR="004035EB" w:rsidRPr="006E317E" w:rsidRDefault="004035EB" w:rsidP="002E251B">
      <w:pPr>
        <w:jc w:val="both"/>
      </w:pPr>
      <w:r w:rsidRPr="006E317E">
        <w:t xml:space="preserve">Aja jooksul on mobiilsideoperaatorite pakutavad teenused, nende eripära ja jõudlus muutunud. Tehnoloogia areng ja mobiilsidevõrkude areng on olnud märkimisväärne. Järk järgult pakutakse järjest rohkem uusi teenuseid ning </w:t>
      </w:r>
      <w:r w:rsidR="00EB0374">
        <w:t>pakettides</w:t>
      </w:r>
      <w:r w:rsidRPr="006E317E">
        <w:t xml:space="preserve"> sisalduv andmeedastuse maht kasvab pidevalt. Kuigi mobiilse interneti kiire areng on nõudnud väga suuri investeeringuid ja paralleelsete infrastruktuuride ehitamist kogu Eesti territooriumil, on nende teenuste kvaliteet tõusnud ja mobiilsidevõrkude </w:t>
      </w:r>
      <w:r w:rsidR="00AF441A">
        <w:t>katvus</w:t>
      </w:r>
      <w:r w:rsidRPr="006E317E">
        <w:t xml:space="preserve"> suurenenud, samuti võetakse aktiivselt kasutusele 5G tehnoloogiat.</w:t>
      </w:r>
    </w:p>
    <w:p w14:paraId="122C595E" w14:textId="7C16053F" w:rsidR="004035EB" w:rsidRPr="006E317E" w:rsidRDefault="004035EB" w:rsidP="002E251B">
      <w:pPr>
        <w:jc w:val="both"/>
      </w:pPr>
      <w:r w:rsidRPr="006E317E">
        <w:t xml:space="preserve">Võttes arvesse, et </w:t>
      </w:r>
      <w:r w:rsidR="00183BEB">
        <w:t>vaskkaabli</w:t>
      </w:r>
      <w:r w:rsidR="006173A2" w:rsidRPr="006173A2">
        <w:t xml:space="preserve">- ja </w:t>
      </w:r>
      <w:r w:rsidR="00183BEB">
        <w:t>mobiilsidevõr</w:t>
      </w:r>
      <w:r w:rsidR="006173A2" w:rsidRPr="006173A2">
        <w:t>gu jaetasandi internetiühenduste tootetur</w:t>
      </w:r>
      <w:r w:rsidR="006173A2">
        <w:t xml:space="preserve">g </w:t>
      </w:r>
      <w:r w:rsidRPr="006E317E">
        <w:t xml:space="preserve">hõlmab </w:t>
      </w:r>
      <w:r w:rsidR="00A83B36">
        <w:t>püsiasukohas tarbimiseks suunatud piiramatu mahuga internetiühendus</w:t>
      </w:r>
      <w:r w:rsidR="00371A54">
        <w:t xml:space="preserve">i </w:t>
      </w:r>
      <w:r w:rsidR="00A83B36">
        <w:t>mobiilsidevõrgu baasil</w:t>
      </w:r>
      <w:r w:rsidRPr="006E317E">
        <w:t xml:space="preserve">, on olukord muutunud ja Eestis on lisaks Teliale kogu Eesti territooriumil veel 2 mobiilsideoperaatorit, kellel on ulatuslik mobiilsidevõrgu </w:t>
      </w:r>
      <w:r w:rsidR="00AF441A">
        <w:t>katvus</w:t>
      </w:r>
      <w:r w:rsidRPr="006E317E">
        <w:t xml:space="preserve">. Nimelt ei ole Eestis enam ainult üks operaator (Telia), kes kontrollib olulist taristut ja kellel oleks tehnoloogilised eelised kogu Eesti territooriumil. Mobiilsideoperaatoritel on kontroll ka olulise taristu üle. Mobiilsidevõrkudel on aga püsivõrkudega võrreldes erinevad eripärad (vt punkt </w:t>
      </w:r>
      <w:r w:rsidR="003A1C14">
        <w:t>3.1.1.1.2</w:t>
      </w:r>
      <w:r w:rsidRPr="006E317E">
        <w:t>).</w:t>
      </w:r>
    </w:p>
    <w:p w14:paraId="4A6D19F9" w14:textId="5AB0CD28" w:rsidR="004035EB" w:rsidRPr="006E317E" w:rsidRDefault="004035EB" w:rsidP="002E251B">
      <w:pPr>
        <w:jc w:val="both"/>
      </w:pPr>
      <w:r w:rsidRPr="006E317E">
        <w:t xml:space="preserve">Teise kahe mobiilsideoperaatori (Elisa ja Tele2) võrkude katvus on kogu Eesti territooriumil ulatuslik, mis on isegi laiem kui teistel madalama jõudlusega fikseeritud tehnoloogiatel. Mobiilsidevõrgu </w:t>
      </w:r>
      <w:r w:rsidR="00AF441A">
        <w:t>katvuse</w:t>
      </w:r>
      <w:r w:rsidRPr="006E317E">
        <w:t xml:space="preserve"> analüüsi kohta vt </w:t>
      </w:r>
      <w:r w:rsidRPr="002E251B">
        <w:t xml:space="preserve">punkt </w:t>
      </w:r>
      <w:r w:rsidR="00D412ED" w:rsidRPr="002E251B">
        <w:t>2</w:t>
      </w:r>
      <w:r w:rsidRPr="002E251B">
        <w:t>.</w:t>
      </w:r>
      <w:r w:rsidR="00B5302F" w:rsidRPr="002E251B">
        <w:t>2</w:t>
      </w:r>
      <w:r w:rsidRPr="002E251B">
        <w:t>.</w:t>
      </w:r>
      <w:r w:rsidR="00B5302F" w:rsidRPr="002E251B">
        <w:t>3</w:t>
      </w:r>
      <w:r w:rsidRPr="002E251B">
        <w:t>.</w:t>
      </w:r>
      <w:r w:rsidR="00B5302F" w:rsidRPr="002E251B">
        <w:t>3</w:t>
      </w:r>
      <w:r w:rsidRPr="002E251B">
        <w:t>.</w:t>
      </w:r>
      <w:r w:rsidR="00B1260A" w:rsidRPr="002E251B">
        <w:t>.</w:t>
      </w:r>
    </w:p>
    <w:p w14:paraId="568A4BD4" w14:textId="40D17275" w:rsidR="004035EB" w:rsidRPr="006E317E" w:rsidRDefault="004035EB" w:rsidP="002E251B">
      <w:pPr>
        <w:jc w:val="both"/>
      </w:pPr>
      <w:r w:rsidRPr="006E317E">
        <w:t xml:space="preserve">Iga mobiilsideoperaator on välja töötanud oma </w:t>
      </w:r>
      <w:r w:rsidR="000214D5">
        <w:t>valguskaabel</w:t>
      </w:r>
      <w:r w:rsidRPr="006E317E">
        <w:t xml:space="preserve"> võrgud vastavalt oma elektrooniliste sidevõrkude arendamise strateegiale, kas ise kasutusele võttes või teistelt sideettevõtjatelt rentides (peamiselt ELA SA). </w:t>
      </w:r>
    </w:p>
    <w:p w14:paraId="128BDAA3" w14:textId="77777777" w:rsidR="004035EB" w:rsidRPr="006E317E" w:rsidRDefault="004035EB" w:rsidP="002E251B">
      <w:pPr>
        <w:jc w:val="both"/>
      </w:pPr>
      <w:r w:rsidRPr="006E317E">
        <w:t>Kuigi mobiilsidevõrgu elementide arv on erinev, järeldab TTJA, et kõigil kolmel mobiilsideoperaatoril on kontroll olulise taristu üle, kuid mitte sel määral, et nad eraldi omaksid turgu valitseva seisundiga samaväärset majandusliku võimsust.</w:t>
      </w:r>
    </w:p>
    <w:p w14:paraId="1A4F51CB" w14:textId="6ECE34E5" w:rsidR="004035EB" w:rsidRPr="002E251B" w:rsidRDefault="004035EB" w:rsidP="00AA241E">
      <w:pPr>
        <w:jc w:val="both"/>
        <w:rPr>
          <w:b/>
          <w:bCs/>
        </w:rPr>
      </w:pPr>
      <w:r w:rsidRPr="002E251B">
        <w:rPr>
          <w:b/>
          <w:bCs/>
        </w:rPr>
        <w:lastRenderedPageBreak/>
        <w:t xml:space="preserve">Eelpool öeldut silmas pidades järeldab TTJA, et Telia, Tele2 ja Elisa omavad kontrolli olulise elektroonilise sidetaristu üle ning neil on tehnoloogilised eelised </w:t>
      </w:r>
      <w:bookmarkStart w:id="848" w:name="_Hlk171348695"/>
      <w:r w:rsidR="00183BEB" w:rsidRPr="002E251B">
        <w:rPr>
          <w:b/>
          <w:bCs/>
        </w:rPr>
        <w:t>vaskkaabli</w:t>
      </w:r>
      <w:r w:rsidR="006173A2" w:rsidRPr="002E251B">
        <w:rPr>
          <w:b/>
          <w:bCs/>
        </w:rPr>
        <w:t xml:space="preserve">- ja </w:t>
      </w:r>
      <w:r w:rsidR="00183BEB" w:rsidRPr="002E251B">
        <w:rPr>
          <w:b/>
          <w:bCs/>
        </w:rPr>
        <w:t>mobiilsidevõr</w:t>
      </w:r>
      <w:r w:rsidR="006173A2" w:rsidRPr="002E251B">
        <w:rPr>
          <w:b/>
          <w:bCs/>
        </w:rPr>
        <w:t>gu jaetasandi internetiühenduste tooteturul</w:t>
      </w:r>
      <w:r w:rsidRPr="002E251B">
        <w:rPr>
          <w:b/>
          <w:bCs/>
        </w:rPr>
        <w:t>,</w:t>
      </w:r>
      <w:bookmarkEnd w:id="848"/>
      <w:r w:rsidRPr="002E251B">
        <w:rPr>
          <w:b/>
          <w:bCs/>
        </w:rPr>
        <w:t xml:space="preserve"> kuid mitte sel määral, et see võimaldaks neil eraldi või koos omada turgu valitseva seisundiga samaväärset majanduslikku võimu.</w:t>
      </w:r>
    </w:p>
    <w:p w14:paraId="09EB302A" w14:textId="505C9AB7" w:rsidR="004035EB" w:rsidRPr="006E317E" w:rsidRDefault="00106688" w:rsidP="00AA241E">
      <w:pPr>
        <w:pStyle w:val="Heading49"/>
        <w:numPr>
          <w:ilvl w:val="3"/>
          <w:numId w:val="68"/>
        </w:numPr>
      </w:pPr>
      <w:r w:rsidRPr="006E317E">
        <w:t xml:space="preserve"> </w:t>
      </w:r>
      <w:r w:rsidR="004035EB" w:rsidRPr="006E317E">
        <w:t xml:space="preserve">Tasakaalustava </w:t>
      </w:r>
      <w:r w:rsidR="00EE71F9">
        <w:t>ostjaj</w:t>
      </w:r>
      <w:r w:rsidR="004035EB" w:rsidRPr="006E317E">
        <w:t>õu olemasolu</w:t>
      </w:r>
    </w:p>
    <w:p w14:paraId="1EA35EB4" w14:textId="4D9B3AC9" w:rsidR="004035EB" w:rsidRPr="006E317E" w:rsidRDefault="00A43183" w:rsidP="00AA241E">
      <w:pPr>
        <w:jc w:val="both"/>
      </w:pPr>
      <w:r w:rsidRPr="006E317E">
        <w:t xml:space="preserve">Tasakaalustava </w:t>
      </w:r>
      <w:r w:rsidR="00EE71F9">
        <w:t>ostjaj</w:t>
      </w:r>
      <w:r w:rsidRPr="006E317E">
        <w:t xml:space="preserve">õu olemasolu kohta </w:t>
      </w:r>
      <w:r w:rsidR="004035EB" w:rsidRPr="006E317E">
        <w:t xml:space="preserve">vt </w:t>
      </w:r>
      <w:r w:rsidR="002324A9">
        <w:t>täiendavalt</w:t>
      </w:r>
      <w:r w:rsidR="002324A9" w:rsidRPr="006E317E">
        <w:t xml:space="preserve"> </w:t>
      </w:r>
      <w:r w:rsidR="004035EB" w:rsidRPr="006E317E">
        <w:t xml:space="preserve">punkti </w:t>
      </w:r>
      <w:r w:rsidR="00B5302F">
        <w:t>5</w:t>
      </w:r>
      <w:r w:rsidR="004035EB" w:rsidRPr="006E317E">
        <w:t>.1.1.4.</w:t>
      </w:r>
    </w:p>
    <w:p w14:paraId="7C74CFA4" w14:textId="51937BCB" w:rsidR="004035EB" w:rsidRPr="006E317E" w:rsidRDefault="004035EB" w:rsidP="00AA241E">
      <w:pPr>
        <w:jc w:val="both"/>
      </w:pPr>
      <w:r w:rsidRPr="006E317E">
        <w:t xml:space="preserve">Lähtudes </w:t>
      </w:r>
      <w:proofErr w:type="spellStart"/>
      <w:r w:rsidR="002A1662" w:rsidRPr="002A1662">
        <w:rPr>
          <w:i/>
        </w:rPr>
        <w:t>Gr</w:t>
      </w:r>
      <w:r w:rsidR="00C318C1">
        <w:rPr>
          <w:i/>
        </w:rPr>
        <w:t>e</w:t>
      </w:r>
      <w:r w:rsidR="002A1662" w:rsidRPr="002A1662">
        <w:rPr>
          <w:i/>
        </w:rPr>
        <w:t>enfieldi</w:t>
      </w:r>
      <w:proofErr w:type="spellEnd"/>
      <w:r w:rsidRPr="006E317E">
        <w:t xml:space="preserve"> lähenemisviisi põhimõttest ja eeldusest, et </w:t>
      </w:r>
      <w:r w:rsidR="0007135D">
        <w:t>hulgiturg</w:t>
      </w:r>
      <w:r w:rsidRPr="006E317E">
        <w:t xml:space="preserve"> 3b järgneb  turule 1. ning samuti asjaolust, et Telia ei paku teistele sideettevõtjatele turu 1 teenuseid vaskvõrgus, langeb turu 1 käigus tehtud analüüs ebapiisava tasakaalustava </w:t>
      </w:r>
      <w:r w:rsidR="00EE71F9">
        <w:t>ostjaj</w:t>
      </w:r>
      <w:r w:rsidRPr="006E317E">
        <w:t>õu olemasolu kohta turul täielikult kokku käesolevas peatükis käsitletud turuga. Nimelt iseloomustab seda peamiselt infrastruktuurikonkurents Eestis.</w:t>
      </w:r>
    </w:p>
    <w:p w14:paraId="284EC5E2" w14:textId="5A2D6456" w:rsidR="004035EB" w:rsidRPr="006E317E" w:rsidRDefault="004035EB" w:rsidP="00AA241E">
      <w:pPr>
        <w:jc w:val="both"/>
      </w:pPr>
      <w:r w:rsidRPr="006E317E">
        <w:t>Eelpool öeldut silmas pidades kajastab TTJA käesolevas peatükis</w:t>
      </w:r>
      <w:r w:rsidR="00D86506">
        <w:t xml:space="preserve"> juba peatükis</w:t>
      </w:r>
      <w:r w:rsidR="00B5302F">
        <w:t xml:space="preserve"> 5</w:t>
      </w:r>
      <w:r w:rsidRPr="006E317E">
        <w:t>.1.1.4 peamisi järeldusi.</w:t>
      </w:r>
    </w:p>
    <w:p w14:paraId="710A39F4" w14:textId="620BEDB2" w:rsidR="004035EB" w:rsidRPr="006E317E" w:rsidRDefault="004035EB" w:rsidP="00AA241E">
      <w:pPr>
        <w:jc w:val="both"/>
      </w:pPr>
      <w:r w:rsidRPr="006E317E">
        <w:t xml:space="preserve">TTJA arvates ei tulene </w:t>
      </w:r>
      <w:r w:rsidR="00F05BEB" w:rsidRPr="006E317E">
        <w:t>tasakaalustav</w:t>
      </w:r>
      <w:r w:rsidRPr="006E317E">
        <w:t xml:space="preserve"> </w:t>
      </w:r>
      <w:r w:rsidR="00EE71F9">
        <w:t>ostjaj</w:t>
      </w:r>
      <w:r w:rsidRPr="006E317E">
        <w:t xml:space="preserve">õud Eestis mitte kaabelvõrgu operaatorite pakutavatest väiksema jõudlusega tehnoloogiatest, vaid </w:t>
      </w:r>
      <w:r w:rsidR="00A83B36" w:rsidRPr="00A83B36">
        <w:t>püsiasukohas tarbimiseks suunatud piiramatu mahuga internetiühendus</w:t>
      </w:r>
      <w:r w:rsidR="00371A54">
        <w:t>test</w:t>
      </w:r>
      <w:r w:rsidR="00A83B36" w:rsidRPr="00A83B36">
        <w:t xml:space="preserve"> mobiilsidevõrgu baasil </w:t>
      </w:r>
      <w:r w:rsidRPr="006E317E">
        <w:t xml:space="preserve">ja mille abonementtasu on võrreldav madalama jõudlusega interneti </w:t>
      </w:r>
      <w:r w:rsidRPr="00496050">
        <w:t xml:space="preserve">püsivõrgu liitumistasuga </w:t>
      </w:r>
      <w:r w:rsidR="00BB0F79">
        <w:t>(</w:t>
      </w:r>
      <w:r w:rsidRPr="00496050">
        <w:t xml:space="preserve">vt </w:t>
      </w:r>
      <w:r w:rsidR="008C159A">
        <w:t xml:space="preserve">ptk. </w:t>
      </w:r>
      <w:r w:rsidR="00951BBF" w:rsidRPr="00496050">
        <w:t>2</w:t>
      </w:r>
      <w:r w:rsidR="00951BBF">
        <w:t>.2</w:t>
      </w:r>
      <w:r w:rsidR="00496050">
        <w:t>.4.7</w:t>
      </w:r>
      <w:r w:rsidR="00BB0F79">
        <w:t>)</w:t>
      </w:r>
      <w:r w:rsidR="00496050">
        <w:t xml:space="preserve">. </w:t>
      </w:r>
      <w:r w:rsidRPr="006E317E">
        <w:t xml:space="preserve"> Mobiilne internet pakub ka liikuvust ja lisaks sellele saab pakkuda ka televisiooni</w:t>
      </w:r>
      <w:r w:rsidR="00257EBA">
        <w:t xml:space="preserve"> teenust</w:t>
      </w:r>
      <w:r w:rsidRPr="006E317E">
        <w:t xml:space="preserve">, mis on lõppkasutajate jaoks kõige kõrgemalt hinnatud kompleksteenus. Ostjate </w:t>
      </w:r>
      <w:r w:rsidR="000356F5" w:rsidRPr="006E317E">
        <w:t>tasakaalustava</w:t>
      </w:r>
      <w:r w:rsidRPr="006E317E">
        <w:t xml:space="preserve"> jõu hindamisel mängib rolli ka asjaolu, et mobiilsideoperaatorite katvus on palju laiem kui kõnealustel madalama jõudlusega interneti tavatehnoloogiatel. Seega on </w:t>
      </w:r>
      <w:r w:rsidR="00183BEB">
        <w:t>vaskkaabli</w:t>
      </w:r>
      <w:r w:rsidR="006173A2" w:rsidRPr="006173A2">
        <w:t xml:space="preserve">- ja </w:t>
      </w:r>
      <w:r w:rsidR="00183BEB">
        <w:t>mobiilsidevõr</w:t>
      </w:r>
      <w:r w:rsidR="006173A2" w:rsidRPr="006173A2">
        <w:t xml:space="preserve">gu jaetasandi internetiühenduste tooteturu </w:t>
      </w:r>
      <w:r w:rsidRPr="006E317E">
        <w:t xml:space="preserve">lõppkasutajatel võimalus valida pakett, mis vastab operaatori ja tema pakutavate lõppkasutajate vajadustele (ainult Internet või ühendatud teenus), kuna mobiilsidevõrke on Eesti territooriumil dubleeritud. Turuanalüüsi viimasele voorule järgnenud etapis on toimunud ka lõppkasutajate liikumine fikseeritud </w:t>
      </w:r>
      <w:r w:rsidR="00EB0C22">
        <w:t>teenustelt</w:t>
      </w:r>
      <w:r w:rsidRPr="006E317E">
        <w:t xml:space="preserve"> üle mobiilse</w:t>
      </w:r>
      <w:r w:rsidR="00EB0C22">
        <w:t>te</w:t>
      </w:r>
      <w:r w:rsidRPr="006E317E">
        <w:t xml:space="preserve">le, kuna operaatorid teevad individuaalseid pakkumisi kompleksteenustele, mis sisaldavad 36 kuulisi soodusperioode (näit. 50% hinnast). </w:t>
      </w:r>
    </w:p>
    <w:p w14:paraId="305E3117" w14:textId="008D72F5" w:rsidR="004035EB" w:rsidRPr="006E317E" w:rsidRDefault="004035EB" w:rsidP="00AA241E">
      <w:pPr>
        <w:jc w:val="both"/>
      </w:pPr>
      <w:r w:rsidRPr="006E317E">
        <w:t xml:space="preserve">Võttes arvesse punktis </w:t>
      </w:r>
      <w:r w:rsidR="00B5302F">
        <w:t>5</w:t>
      </w:r>
      <w:r w:rsidRPr="006E317E">
        <w:t xml:space="preserve">.1.1.4 tehtud analüüsi, jõudis </w:t>
      </w:r>
      <w:r w:rsidR="00A57A0D">
        <w:t>TTJA</w:t>
      </w:r>
      <w:r w:rsidRPr="006E317E">
        <w:t xml:space="preserve"> järeldusele, et </w:t>
      </w:r>
      <w:r w:rsidR="00A83B36" w:rsidRPr="00A83B36">
        <w:t>püsiasukohas tarbimiseks suunatud piiramatu mahuga internetiühenduse</w:t>
      </w:r>
      <w:r w:rsidR="00B34301">
        <w:t>ga</w:t>
      </w:r>
      <w:r w:rsidR="00A83B36" w:rsidRPr="00A83B36">
        <w:t xml:space="preserve"> mobiilsidevõrgu baasil </w:t>
      </w:r>
      <w:r w:rsidRPr="006E317E">
        <w:t>ei kaasne lõppkasutajale ülemääraseid kulusid ning olemasolev konkurents piirab operaatoreid määramast lõppkasutajatele ebaproportsionaalseid karistusi, kui nad soovivad lepingu lõpetada.</w:t>
      </w:r>
    </w:p>
    <w:p w14:paraId="288E051E" w14:textId="26842615" w:rsidR="004035EB" w:rsidRPr="006E317E" w:rsidRDefault="004035EB" w:rsidP="00AA241E">
      <w:pPr>
        <w:jc w:val="both"/>
      </w:pPr>
      <w:r w:rsidRPr="006E317E">
        <w:t xml:space="preserve">Eelpool öeldut silmas pidades on </w:t>
      </w:r>
      <w:r w:rsidR="00183BEB">
        <w:t>vaskkaabli</w:t>
      </w:r>
      <w:r w:rsidR="006173A2" w:rsidRPr="006173A2">
        <w:t xml:space="preserve">- ja </w:t>
      </w:r>
      <w:r w:rsidR="00183BEB">
        <w:t>mobiilsidevõr</w:t>
      </w:r>
      <w:r w:rsidR="006173A2" w:rsidRPr="006173A2">
        <w:t>gu jaetasandi internetiühenduste tooteturu</w:t>
      </w:r>
      <w:r w:rsidR="006173A2">
        <w:t>l</w:t>
      </w:r>
      <w:r w:rsidR="006173A2" w:rsidRPr="006173A2">
        <w:t xml:space="preserve"> </w:t>
      </w:r>
      <w:r w:rsidRPr="006E317E">
        <w:t xml:space="preserve">olemas tasakaalustav </w:t>
      </w:r>
      <w:r w:rsidR="00EE71F9">
        <w:t>ostjaj</w:t>
      </w:r>
      <w:r w:rsidRPr="006E317E">
        <w:t>õud, sest lõppkasutajad võivad vahetada operaatorit, olenemata sellest, kus nad Eestis asuvad.</w:t>
      </w:r>
    </w:p>
    <w:p w14:paraId="2095FF64" w14:textId="77777777" w:rsidR="009A3130" w:rsidRPr="006E317E" w:rsidRDefault="009A3130" w:rsidP="00AA241E">
      <w:pPr>
        <w:pStyle w:val="Heading49"/>
        <w:numPr>
          <w:ilvl w:val="3"/>
          <w:numId w:val="68"/>
        </w:numPr>
      </w:pPr>
      <w:r w:rsidRPr="006E317E">
        <w:lastRenderedPageBreak/>
        <w:t>Komplekslahendusega teenused</w:t>
      </w:r>
    </w:p>
    <w:p w14:paraId="35737486" w14:textId="49A0E3B0" w:rsidR="009A3130" w:rsidRPr="00C750D4" w:rsidRDefault="00A02D04" w:rsidP="00AA241E">
      <w:pPr>
        <w:jc w:val="both"/>
      </w:pPr>
      <w:r>
        <w:t>Komplekslahendusega teenuste</w:t>
      </w:r>
      <w:r w:rsidRPr="00C750D4">
        <w:t xml:space="preserve"> </w:t>
      </w:r>
      <w:proofErr w:type="spellStart"/>
      <w:r>
        <w:t>e.</w:t>
      </w:r>
      <w:proofErr w:type="spellEnd"/>
      <w:r>
        <w:t xml:space="preserve"> </w:t>
      </w:r>
      <w:r w:rsidRPr="00C750D4">
        <w:t>kompleksteenuste</w:t>
      </w:r>
      <w:r>
        <w:t xml:space="preserve"> </w:t>
      </w:r>
      <w:r w:rsidR="009A3130" w:rsidRPr="00C750D4">
        <w:t xml:space="preserve">kokkuvõte on esitatud </w:t>
      </w:r>
      <w:r w:rsidR="002324A9">
        <w:t xml:space="preserve">täiendavalt </w:t>
      </w:r>
      <w:r w:rsidR="009A3130" w:rsidRPr="00C750D4">
        <w:t xml:space="preserve">punktis </w:t>
      </w:r>
      <w:r w:rsidR="00B5302F">
        <w:t>5</w:t>
      </w:r>
      <w:r w:rsidR="009A3130" w:rsidRPr="00C750D4">
        <w:t>.1.1.5.</w:t>
      </w:r>
    </w:p>
    <w:p w14:paraId="294A0050" w14:textId="223AC7C3" w:rsidR="009A3130" w:rsidRPr="00C750D4" w:rsidRDefault="009A3130" w:rsidP="00AA241E">
      <w:pPr>
        <w:jc w:val="both"/>
      </w:pPr>
      <w:r w:rsidRPr="00C750D4">
        <w:t xml:space="preserve">Lähtudes </w:t>
      </w:r>
      <w:proofErr w:type="spellStart"/>
      <w:r w:rsidR="002A1662" w:rsidRPr="00C750D4">
        <w:rPr>
          <w:i/>
        </w:rPr>
        <w:t>Gr</w:t>
      </w:r>
      <w:r w:rsidR="00C318C1" w:rsidRPr="00C750D4">
        <w:rPr>
          <w:i/>
        </w:rPr>
        <w:t>e</w:t>
      </w:r>
      <w:r w:rsidR="002A1662" w:rsidRPr="00C750D4">
        <w:rPr>
          <w:i/>
        </w:rPr>
        <w:t>enfieldi</w:t>
      </w:r>
      <w:proofErr w:type="spellEnd"/>
      <w:r w:rsidRPr="00C750D4">
        <w:t xml:space="preserve"> lähenemisviisi põhimõttest ja eeldusest, et </w:t>
      </w:r>
      <w:r w:rsidR="0007135D">
        <w:t>hulgiturg</w:t>
      </w:r>
      <w:r w:rsidRPr="00C750D4">
        <w:t xml:space="preserve"> 3b järgneb  </w:t>
      </w:r>
      <w:r w:rsidR="00A02D04">
        <w:t>hulgi</w:t>
      </w:r>
      <w:r w:rsidRPr="00C750D4">
        <w:t xml:space="preserve">turule 1. ning samuti asjaolust, et Telia ei paku teistele sideettevõtjatele </w:t>
      </w:r>
      <w:r w:rsidR="002F2E9D">
        <w:t>hulgi</w:t>
      </w:r>
      <w:r w:rsidRPr="00C750D4">
        <w:t xml:space="preserve">turu 1 teenuseid vaskvõrgus, langeb </w:t>
      </w:r>
      <w:r w:rsidR="002F2E9D">
        <w:t>hulgituru</w:t>
      </w:r>
      <w:r w:rsidRPr="00C750D4">
        <w:t xml:space="preserve"> 1 käigus tehtud </w:t>
      </w:r>
      <w:r w:rsidR="00183BEB">
        <w:rPr>
          <w:rFonts w:cs="Times New Roman"/>
        </w:rPr>
        <w:t>vaskkaabli</w:t>
      </w:r>
      <w:r w:rsidR="00226ED7" w:rsidRPr="008B7E69">
        <w:rPr>
          <w:rFonts w:cs="Times New Roman"/>
        </w:rPr>
        <w:t xml:space="preserve">- ja </w:t>
      </w:r>
      <w:r w:rsidR="00183BEB">
        <w:rPr>
          <w:rFonts w:cs="Times New Roman"/>
        </w:rPr>
        <w:t>mobiilsidevõr</w:t>
      </w:r>
      <w:r w:rsidR="00226ED7" w:rsidRPr="008B7E69">
        <w:rPr>
          <w:rFonts w:cs="Times New Roman"/>
        </w:rPr>
        <w:t>gu internetiühenduste jaetur</w:t>
      </w:r>
      <w:r w:rsidR="00226ED7">
        <w:rPr>
          <w:rFonts w:cs="Times New Roman"/>
        </w:rPr>
        <w:t>u</w:t>
      </w:r>
      <w:r w:rsidR="00226ED7" w:rsidRPr="006E317E">
        <w:t xml:space="preserve"> </w:t>
      </w:r>
      <w:r w:rsidRPr="00C750D4">
        <w:t>komplekslahenduste analüüs kokku käesoleva peatüki komplekslahenduste jaeturu analüüsiga. Nimelt iseloomustab seda peamiselt infrastruktuurikonkurents Eestis.</w:t>
      </w:r>
    </w:p>
    <w:p w14:paraId="16FAC96B" w14:textId="6C19331A" w:rsidR="009A3130" w:rsidRPr="00C750D4" w:rsidRDefault="009A3130" w:rsidP="00AA241E">
      <w:pPr>
        <w:jc w:val="both"/>
      </w:pPr>
      <w:r w:rsidRPr="00C750D4">
        <w:t>Eelpool öeldut silmas pidades kajastab TTJA käesolevas peatükis</w:t>
      </w:r>
      <w:r w:rsidR="00D86506">
        <w:t xml:space="preserve"> juba peatükis</w:t>
      </w:r>
      <w:r w:rsidRPr="00C750D4">
        <w:t xml:space="preserve"> </w:t>
      </w:r>
      <w:r w:rsidR="00B5302F">
        <w:t>5</w:t>
      </w:r>
      <w:r w:rsidRPr="00C750D4">
        <w:t>.1.1.5 peamisi järeldusi.</w:t>
      </w:r>
    </w:p>
    <w:p w14:paraId="2E0DC4DF" w14:textId="63BBC24A" w:rsidR="009A3130" w:rsidRPr="006E317E" w:rsidRDefault="009A3130" w:rsidP="00AA241E">
      <w:pPr>
        <w:jc w:val="both"/>
      </w:pPr>
      <w:r w:rsidRPr="00C750D4">
        <w:t xml:space="preserve">Võttes arvesse, et aktiivsete interneti </w:t>
      </w:r>
      <w:r w:rsidR="0007135D">
        <w:t>kliendiliin</w:t>
      </w:r>
      <w:r w:rsidRPr="00C750D4">
        <w:t>ide koguarv on viimasel ajal vähenenud, on alates 2022. aastast vähenenud ka kompleks teenuste lõppkasutajate koguarv. Kompleksteenuste osutamisel on elektroonilise side valdkonnas siiski oluline roll. Kõige populaarsem kompleksteenus  nii Telia  kui ka teiste fikseeritud operaatorite jaoks on fikseeritud internet koos televisiooniga. Reeglina valib lõpptarbija vastavalt oma soovidele ja vajadustele millist paketti ta soovib. Kui palju vaatajakohti, kui palju telekanaleid ja telefon soovikorral. Igasse paketti saab lisada ka mobiiltelefoni teenuseid. Telial eraklientidel kuni 5 numbrit koos mobiilse internetiga.</w:t>
      </w:r>
      <w:r w:rsidRPr="006E317E">
        <w:t xml:space="preserve"> </w:t>
      </w:r>
    </w:p>
    <w:p w14:paraId="61465EED" w14:textId="4BE2B2AE" w:rsidR="009A3130" w:rsidRPr="006E317E" w:rsidRDefault="009A3130" w:rsidP="00AA241E">
      <w:pPr>
        <w:jc w:val="both"/>
      </w:pPr>
      <w:r w:rsidRPr="006E317E">
        <w:t>Võttes arvesse, et televisioon kui komplekslahenduse lõppkasutaja jaoks kõige olulisem teenus, analüüsis TTJA mobiilsideoperaatorite võimalusi pakkuda samaväärset teenust. Kui eelmises turuanalüüsi voorus ei pakkunud kõik mobiilsideoperaatorid televisiooni</w:t>
      </w:r>
      <w:r w:rsidR="00257EBA">
        <w:t>teenust</w:t>
      </w:r>
      <w:r w:rsidRPr="006E317E">
        <w:t>, siis selles turuanalüüsi voorus pakuvad seda kõik kolm mobiilsideoperaatorit, st Telia;  Tele2; ja Elisa. Mobiilsideoperaatorid pakuvad koos televisiooni</w:t>
      </w:r>
      <w:r w:rsidR="00257EBA">
        <w:t>teenusega</w:t>
      </w:r>
      <w:r w:rsidRPr="006E317E">
        <w:t xml:space="preserve"> ka </w:t>
      </w:r>
      <w:r w:rsidR="00A83B36" w:rsidRPr="00A83B36">
        <w:t xml:space="preserve">püsiasukohas tarbimiseks suunatud piiramatu mahuga </w:t>
      </w:r>
      <w:r w:rsidR="00A83B36" w:rsidRPr="002E251B">
        <w:t>internetiühendused mobiilsidevõrgu baasil</w:t>
      </w:r>
      <w:r w:rsidRPr="002E251B">
        <w:t xml:space="preserve">. Selliste lõppkasutajate arv on viimastel aastatel suurenenud. </w:t>
      </w:r>
      <w:r w:rsidR="00C270B9">
        <w:t>Aasta</w:t>
      </w:r>
      <w:r w:rsidR="00C270B9" w:rsidRPr="002E251B">
        <w:t xml:space="preserve"> </w:t>
      </w:r>
      <w:r w:rsidRPr="002E251B">
        <w:t>202</w:t>
      </w:r>
      <w:r w:rsidR="002E251B">
        <w:t xml:space="preserve">3. lõpu seisuga </w:t>
      </w:r>
      <w:r w:rsidRPr="002E251B">
        <w:t xml:space="preserve">oli lõppkasutajate osakaal piiramatus koguses </w:t>
      </w:r>
      <w:r w:rsidR="00A83B36" w:rsidRPr="002E251B">
        <w:t>püsiasukohas tarbimiseks suunatud piiramatu mahuga internetiühendus</w:t>
      </w:r>
      <w:r w:rsidR="00A317F1" w:rsidRPr="002E251B">
        <w:t>i</w:t>
      </w:r>
      <w:r w:rsidR="00A83B36" w:rsidRPr="002E251B">
        <w:t xml:space="preserve"> mobiilsidevõrgu baasil</w:t>
      </w:r>
      <w:r w:rsidRPr="002E251B">
        <w:t xml:space="preserve"> 12%, mis näitab teatavat konkurentsisurvet</w:t>
      </w:r>
      <w:r w:rsidRPr="006E317E">
        <w:t xml:space="preserve"> püsivõrkudele ka komplekslahendusega osutamise osas.</w:t>
      </w:r>
    </w:p>
    <w:p w14:paraId="63B4819D" w14:textId="202D8C2B" w:rsidR="009A3130" w:rsidRPr="006E317E" w:rsidRDefault="009A3130" w:rsidP="00AA241E">
      <w:pPr>
        <w:jc w:val="both"/>
      </w:pPr>
      <w:r w:rsidRPr="006E317E">
        <w:t xml:space="preserve">TTJA analüüsis oma turumääratluses internetti koos tava- ja mobiilsidevõrkude televisiooni </w:t>
      </w:r>
      <w:r w:rsidR="00257EBA">
        <w:t>kuu</w:t>
      </w:r>
      <w:r w:rsidRPr="006E317E">
        <w:t xml:space="preserve">tasudega ning jõudis järeldusele, et tavainternet andmeedastuskiirusega kuni 10 Mbit/s ja kuni 30 Mbit/s abonementtasu võib olla veidi kõrgem, samaväärne või veidi madalam kui </w:t>
      </w:r>
      <w:r w:rsidR="00421D4A" w:rsidRPr="00421D4A">
        <w:t>püsiasukohas tarbimiseks suunatud piiramatu mahuga internetiühendused mobiilsidevõrgu baasil</w:t>
      </w:r>
      <w:r w:rsidR="000C0573">
        <w:t xml:space="preserve">, </w:t>
      </w:r>
      <w:r w:rsidRPr="006E317E">
        <w:t xml:space="preserve">mis sõltub konkreetse mobiilsideoperaatori hinnapakkumisest (vt </w:t>
      </w:r>
      <w:r w:rsidRPr="002E251B">
        <w:t xml:space="preserve">punkt </w:t>
      </w:r>
      <w:r w:rsidR="007170EB" w:rsidRPr="002E251B">
        <w:t>2.2</w:t>
      </w:r>
      <w:r w:rsidRPr="002E251B">
        <w:t>.</w:t>
      </w:r>
      <w:r w:rsidR="000C0573" w:rsidRPr="002E251B">
        <w:t>4</w:t>
      </w:r>
      <w:r w:rsidR="00AA62DD" w:rsidRPr="002E251B">
        <w:t>.</w:t>
      </w:r>
      <w:r w:rsidR="000C0573" w:rsidRPr="002E251B">
        <w:t>7</w:t>
      </w:r>
      <w:r w:rsidRPr="002E251B">
        <w:t>).</w:t>
      </w:r>
    </w:p>
    <w:p w14:paraId="1EDD43DF" w14:textId="5BF648F6" w:rsidR="009A3130" w:rsidRPr="006E317E" w:rsidRDefault="009A3130" w:rsidP="00AA241E">
      <w:pPr>
        <w:jc w:val="both"/>
      </w:pPr>
      <w:r w:rsidRPr="006E317E">
        <w:t xml:space="preserve">Eelpool öeldut silmas pidades järeldab TTJA, et Telial, Tele2-l ja  Elisal on </w:t>
      </w:r>
      <w:r w:rsidR="00183BEB">
        <w:rPr>
          <w:rFonts w:cs="Times New Roman"/>
        </w:rPr>
        <w:t>vaskkaabli</w:t>
      </w:r>
      <w:r w:rsidR="00AF0758" w:rsidRPr="008B7E69">
        <w:rPr>
          <w:rFonts w:cs="Times New Roman"/>
        </w:rPr>
        <w:t xml:space="preserve">- ja </w:t>
      </w:r>
      <w:r w:rsidR="00183BEB">
        <w:rPr>
          <w:rFonts w:cs="Times New Roman"/>
        </w:rPr>
        <w:t>mobiilsidevõr</w:t>
      </w:r>
      <w:r w:rsidR="00AF0758" w:rsidRPr="008B7E69">
        <w:rPr>
          <w:rFonts w:cs="Times New Roman"/>
        </w:rPr>
        <w:t>gu internetiühenduste jaetur</w:t>
      </w:r>
      <w:r w:rsidR="00AF0758">
        <w:rPr>
          <w:rFonts w:cs="Times New Roman"/>
        </w:rPr>
        <w:t>u</w:t>
      </w:r>
      <w:r w:rsidR="00AF0758" w:rsidRPr="006E317E">
        <w:t xml:space="preserve"> </w:t>
      </w:r>
      <w:r w:rsidRPr="006E317E">
        <w:t xml:space="preserve">teenuste osas eelised, kuid mitte sel määral, et need eraldi või koos omaksid turgu valitsevat seisundit. </w:t>
      </w:r>
    </w:p>
    <w:p w14:paraId="3C8E0B9A" w14:textId="77777777" w:rsidR="00A433A1" w:rsidRPr="002E251B" w:rsidRDefault="00A433A1" w:rsidP="00AA241E">
      <w:pPr>
        <w:pStyle w:val="Heading49"/>
        <w:numPr>
          <w:ilvl w:val="3"/>
          <w:numId w:val="68"/>
        </w:numPr>
      </w:pPr>
      <w:r w:rsidRPr="002E251B">
        <w:lastRenderedPageBreak/>
        <w:t>Mastaabisääst ja juurdepääs finantsvahenditele</w:t>
      </w:r>
    </w:p>
    <w:p w14:paraId="305FE91D" w14:textId="32956676" w:rsidR="00A433A1" w:rsidRPr="006E317E" w:rsidRDefault="00A433A1" w:rsidP="00AA241E">
      <w:pPr>
        <w:jc w:val="both"/>
      </w:pPr>
      <w:r w:rsidRPr="006E317E">
        <w:t xml:space="preserve">Mastaabisäästust ja juurdepääsust finantsvahenditele on täpsemalt kirjutatud peatükis </w:t>
      </w:r>
      <w:r w:rsidR="0044694B">
        <w:t>5</w:t>
      </w:r>
      <w:r w:rsidRPr="006E317E">
        <w:t>.1.1.6</w:t>
      </w:r>
    </w:p>
    <w:p w14:paraId="6A7ED307" w14:textId="65D55E39" w:rsidR="00A433A1" w:rsidRPr="006E317E" w:rsidRDefault="00A433A1" w:rsidP="00AA241E">
      <w:pPr>
        <w:jc w:val="both"/>
      </w:pPr>
      <w:r w:rsidRPr="006E317E">
        <w:t xml:space="preserve">Lähtudes </w:t>
      </w:r>
      <w:proofErr w:type="spellStart"/>
      <w:r w:rsidR="002A1662" w:rsidRPr="002A1662">
        <w:rPr>
          <w:i/>
        </w:rPr>
        <w:t>Gr</w:t>
      </w:r>
      <w:r w:rsidR="00C318C1">
        <w:rPr>
          <w:i/>
        </w:rPr>
        <w:t>e</w:t>
      </w:r>
      <w:r w:rsidR="002A1662" w:rsidRPr="002A1662">
        <w:rPr>
          <w:i/>
        </w:rPr>
        <w:t>enfieldi</w:t>
      </w:r>
      <w:proofErr w:type="spellEnd"/>
      <w:r w:rsidRPr="006E317E">
        <w:t xml:space="preserve"> lähenemisviisi põhimõttest ja eeldusest, et </w:t>
      </w:r>
      <w:r w:rsidR="0007135D">
        <w:t>hulgiturg</w:t>
      </w:r>
      <w:r w:rsidRPr="006E317E">
        <w:t xml:space="preserve"> 3b järgneb  </w:t>
      </w:r>
      <w:r w:rsidR="0044694B">
        <w:t>hulgi</w:t>
      </w:r>
      <w:r w:rsidRPr="006E317E">
        <w:t xml:space="preserve">turule 1. ning samuti asjaolust, et Telia ei paku teistele sideettevõtjatele </w:t>
      </w:r>
      <w:r w:rsidR="00BB2E15">
        <w:t>hulgi</w:t>
      </w:r>
      <w:r w:rsidRPr="006E317E">
        <w:t xml:space="preserve">turu 1 teenuseid vaskvõrgus, langeb </w:t>
      </w:r>
      <w:r w:rsidR="0044694B">
        <w:t>hulgi</w:t>
      </w:r>
      <w:r w:rsidRPr="006E317E">
        <w:t>turu 1 analüüs mastaabisäästust ja juurdepääsust finantsvahenditele täielikult kokku käesolevas jaos esitatud analüüsiga. Nimelt iseloomustab seda peamiselt infrastruktuurikonkurents Eestis.</w:t>
      </w:r>
    </w:p>
    <w:p w14:paraId="1E72970D" w14:textId="7BD08192" w:rsidR="00A433A1" w:rsidRPr="006E317E" w:rsidRDefault="00A433A1" w:rsidP="00AA241E">
      <w:pPr>
        <w:jc w:val="both"/>
      </w:pPr>
      <w:r w:rsidRPr="006E317E">
        <w:t>Eespool öeldut silmas pidades kajastab TTJA käesolevas peatükis</w:t>
      </w:r>
      <w:r w:rsidR="00D86506">
        <w:t xml:space="preserve"> juba</w:t>
      </w:r>
      <w:r w:rsidRPr="006E317E">
        <w:t xml:space="preserve"> peatüki</w:t>
      </w:r>
      <w:r w:rsidR="00D86506">
        <w:t>s</w:t>
      </w:r>
      <w:r w:rsidRPr="006E317E">
        <w:t xml:space="preserve"> </w:t>
      </w:r>
      <w:r w:rsidR="0044694B">
        <w:t>5</w:t>
      </w:r>
      <w:r w:rsidRPr="006E317E">
        <w:t xml:space="preserve">.1.1.6 </w:t>
      </w:r>
      <w:r w:rsidR="00D86506">
        <w:t xml:space="preserve">esitatud </w:t>
      </w:r>
      <w:r w:rsidRPr="006E317E">
        <w:t>peamisi järeldusi.</w:t>
      </w:r>
    </w:p>
    <w:p w14:paraId="2D198998" w14:textId="53C12C29" w:rsidR="00A433A1" w:rsidRPr="006E317E" w:rsidRDefault="00A433A1" w:rsidP="00AA241E">
      <w:pPr>
        <w:jc w:val="both"/>
      </w:pPr>
      <w:r w:rsidRPr="006E317E">
        <w:t xml:space="preserve">Turgu valitseva ettevõtjana on Telial olnud oma mastaabi ja nii ülekande- kui ka juurdepääsuvõrgu omamise tõttu märkimisväärseid ja praktilisi eeliseid võrreldes alternatiivsete operaatoritega </w:t>
      </w:r>
      <w:proofErr w:type="spellStart"/>
      <w:r w:rsidRPr="006E317E">
        <w:t>internetijaeturul</w:t>
      </w:r>
      <w:proofErr w:type="spellEnd"/>
      <w:r w:rsidRPr="006E317E">
        <w:t xml:space="preserve">, mis järgneb </w:t>
      </w:r>
      <w:r w:rsidR="0044694B">
        <w:t>hulgi</w:t>
      </w:r>
      <w:r w:rsidRPr="006E317E">
        <w:t>turule l. Lisaks interneti püsiühendusele pakub Telia väga laia valikut teenuseid nii jae- kui ka hulgitasandil. Praegu on olukord muutunud, sest vask</w:t>
      </w:r>
      <w:r w:rsidR="00050153">
        <w:t>-</w:t>
      </w:r>
      <w:r w:rsidRPr="006E317E">
        <w:t xml:space="preserve"> ja mobiil</w:t>
      </w:r>
      <w:r w:rsidR="00FC4624">
        <w:t>side</w:t>
      </w:r>
      <w:r w:rsidRPr="006E317E">
        <w:t xml:space="preserve">võrgus interneti </w:t>
      </w:r>
      <w:r w:rsidR="00050153">
        <w:t xml:space="preserve">üleriigiline </w:t>
      </w:r>
      <w:r w:rsidRPr="006E317E">
        <w:t xml:space="preserve">jaeturg hõlmab piiramatut </w:t>
      </w:r>
      <w:r w:rsidR="00A83B36">
        <w:t>püsiasukohas tarbimiseks suunatud piiramatu mahuga internetiühendus</w:t>
      </w:r>
      <w:r w:rsidR="00050153">
        <w:t>i</w:t>
      </w:r>
      <w:r w:rsidR="00A83B36">
        <w:t xml:space="preserve"> mobiilsidevõrgu baasil</w:t>
      </w:r>
      <w:r w:rsidRPr="006E317E">
        <w:t xml:space="preserve">, mida pakuvad kolm mobiilsideoperaatorit, kellel on ulatuslik </w:t>
      </w:r>
      <w:r w:rsidR="00AF441A">
        <w:t>katvus</w:t>
      </w:r>
      <w:r w:rsidRPr="006E317E">
        <w:t xml:space="preserve"> kogu Eesti territooriumil.</w:t>
      </w:r>
    </w:p>
    <w:p w14:paraId="47C044B7" w14:textId="34C8078C" w:rsidR="00A433A1" w:rsidRPr="006E317E" w:rsidRDefault="00A433A1" w:rsidP="00AA241E">
      <w:pPr>
        <w:jc w:val="both"/>
      </w:pPr>
      <w:r w:rsidRPr="006E317E">
        <w:t>Selleks</w:t>
      </w:r>
      <w:r w:rsidR="00050153">
        <w:t>,</w:t>
      </w:r>
      <w:r w:rsidRPr="006E317E">
        <w:t xml:space="preserve"> et analüüsida mastaabi- ja mahusäästu eeliseid ning eelisjuurdepääsu finantsvahenditele, võrdleb TTJA suuremate operaatorite tulusid reguleeritud elektroonilise side teenuste osutamisest ning püsi- ja mobiilse interneti pakkumisest saadavat </w:t>
      </w:r>
      <w:r w:rsidRPr="002E251B">
        <w:t xml:space="preserve">tulu  (vt joonis </w:t>
      </w:r>
      <w:r w:rsidR="00E5522B" w:rsidRPr="002E251B">
        <w:t xml:space="preserve">18 </w:t>
      </w:r>
      <w:r w:rsidRPr="002E251B">
        <w:t xml:space="preserve">ja joonis </w:t>
      </w:r>
      <w:r w:rsidR="00E5522B" w:rsidRPr="002E251B">
        <w:t>19</w:t>
      </w:r>
      <w:r w:rsidRPr="002E251B">
        <w:t>).</w:t>
      </w:r>
    </w:p>
    <w:p w14:paraId="3618F8AC" w14:textId="099222B3" w:rsidR="00A433A1" w:rsidRPr="006E317E" w:rsidRDefault="00A433A1" w:rsidP="00AA241E">
      <w:pPr>
        <w:jc w:val="both"/>
      </w:pPr>
      <w:r w:rsidRPr="006E317E">
        <w:t xml:space="preserve">Võttes arvesse sideettevõtjate tulusid, nende infrastruktuuri, lõppkasutajate arvu, teenuste müügiks ja lõppkasutajate teenindamiseks pakutavaid kohti Eesti eri linnades jne, järeldab TTJA, et Telial, Tele2-l ja Elisal on nii mastaabi- kui ka mahu sääst, samuti eelisjuurdepääs finantsvahenditele,  kuid mitte sel määral, </w:t>
      </w:r>
      <w:r w:rsidR="0096196E">
        <w:t xml:space="preserve">et </w:t>
      </w:r>
      <w:r w:rsidR="00575676">
        <w:t>see neil</w:t>
      </w:r>
      <w:r w:rsidRPr="006E317E">
        <w:t xml:space="preserve"> eraldi või koos </w:t>
      </w:r>
      <w:r w:rsidR="00E56B1A" w:rsidRPr="006E317E">
        <w:t>võimaldaks</w:t>
      </w:r>
      <w:r w:rsidRPr="006E317E">
        <w:t xml:space="preserve"> olla turgu valitsevas seisundis. Teistel Eesti operaatoritel ei ole selliseid mastaabi- ja mitmekülgsuse eeliseid ning eelisjuurdepääsu finantsvahenditele nagu Telial, Tele2-l ja Elisal. </w:t>
      </w:r>
    </w:p>
    <w:p w14:paraId="7708B04E" w14:textId="14CF3D82" w:rsidR="00A433A1" w:rsidRPr="006E33E0" w:rsidRDefault="00A433A1" w:rsidP="00AA241E">
      <w:pPr>
        <w:jc w:val="both"/>
        <w:rPr>
          <w:b/>
          <w:bCs/>
        </w:rPr>
      </w:pPr>
      <w:r w:rsidRPr="006E33E0">
        <w:rPr>
          <w:b/>
          <w:bCs/>
        </w:rPr>
        <w:t xml:space="preserve">Võttes arvesse operaatorite kogutulu reguleeritud elektroonilise side teenuste osutamisest ning internetiühenduse, </w:t>
      </w:r>
      <w:r w:rsidR="00266105" w:rsidRPr="006E33E0">
        <w:rPr>
          <w:b/>
          <w:bCs/>
        </w:rPr>
        <w:t>mobiil</w:t>
      </w:r>
      <w:r w:rsidR="00FF195B" w:rsidRPr="006E33E0">
        <w:rPr>
          <w:b/>
          <w:bCs/>
        </w:rPr>
        <w:t>side</w:t>
      </w:r>
      <w:r w:rsidR="00266105" w:rsidRPr="006E33E0">
        <w:rPr>
          <w:b/>
          <w:bCs/>
        </w:rPr>
        <w:t>võrgu</w:t>
      </w:r>
      <w:r w:rsidRPr="006E33E0">
        <w:rPr>
          <w:b/>
          <w:bCs/>
        </w:rPr>
        <w:t xml:space="preserve"> ja valguskaabel juurdepääsuvõrgu, taristu, lõppkasutajate arvu, osutatud teenuste müügipunktide ja lõppkasutajate teeninduspunktide pakkumist Eesti eri linnades jne, TTJA, et Telia, Tele2 ja Elisa omavad mastaabi- ja mahusäästu eeliseid, samuti eelisjuurdepääsu rahalistele vahenditele </w:t>
      </w:r>
      <w:r w:rsidR="00183BEB" w:rsidRPr="006E33E0">
        <w:rPr>
          <w:rFonts w:cs="Times New Roman"/>
          <w:b/>
          <w:bCs/>
        </w:rPr>
        <w:t>vaskkaabli</w:t>
      </w:r>
      <w:r w:rsidR="00DD6D45" w:rsidRPr="006E33E0">
        <w:rPr>
          <w:rFonts w:cs="Times New Roman"/>
          <w:b/>
          <w:bCs/>
        </w:rPr>
        <w:t xml:space="preserve">- ja </w:t>
      </w:r>
      <w:r w:rsidR="00183BEB" w:rsidRPr="006E33E0">
        <w:rPr>
          <w:rFonts w:cs="Times New Roman"/>
          <w:b/>
          <w:bCs/>
        </w:rPr>
        <w:t>mobiilsidevõr</w:t>
      </w:r>
      <w:r w:rsidR="00DD6D45" w:rsidRPr="006E33E0">
        <w:rPr>
          <w:rFonts w:cs="Times New Roman"/>
          <w:b/>
          <w:bCs/>
        </w:rPr>
        <w:t>gu internetiühenduste jaeturu</w:t>
      </w:r>
      <w:r w:rsidR="00464305" w:rsidRPr="006E33E0">
        <w:rPr>
          <w:rFonts w:cs="Times New Roman"/>
          <w:b/>
          <w:bCs/>
        </w:rPr>
        <w:t>l</w:t>
      </w:r>
      <w:r w:rsidRPr="006E33E0">
        <w:rPr>
          <w:b/>
          <w:bCs/>
        </w:rPr>
        <w:t>, kuid mitte sel määral, mis võimaldaks neil eraldi või koos omaksid turgu valitsevat seisundit.</w:t>
      </w:r>
    </w:p>
    <w:p w14:paraId="236087AA" w14:textId="77777777" w:rsidR="00A433A1" w:rsidRPr="006E317E" w:rsidRDefault="00A433A1" w:rsidP="00AA241E">
      <w:pPr>
        <w:jc w:val="both"/>
      </w:pPr>
    </w:p>
    <w:p w14:paraId="49414AD1" w14:textId="77777777" w:rsidR="00A433A1" w:rsidRPr="006E317E" w:rsidRDefault="00A433A1" w:rsidP="00AA241E">
      <w:pPr>
        <w:pStyle w:val="Heading49"/>
        <w:numPr>
          <w:ilvl w:val="3"/>
          <w:numId w:val="68"/>
        </w:numPr>
      </w:pPr>
      <w:r w:rsidRPr="00F91882">
        <w:t>Kolme kriteerium</w:t>
      </w:r>
      <w:r w:rsidRPr="006E317E">
        <w:t xml:space="preserve"> test</w:t>
      </w:r>
    </w:p>
    <w:p w14:paraId="68E00765" w14:textId="662FD566" w:rsidR="00A433A1" w:rsidRPr="006E317E" w:rsidRDefault="00A433A1" w:rsidP="00AA241E">
      <w:pPr>
        <w:jc w:val="both"/>
      </w:pPr>
      <w:r w:rsidRPr="006E317E">
        <w:t xml:space="preserve">Ülevaade kolmekriteeriumi testi läbiviimise kohta on toodud täpsemalt punktis </w:t>
      </w:r>
      <w:r w:rsidR="00441F05">
        <w:t>5</w:t>
      </w:r>
      <w:r w:rsidRPr="006E317E">
        <w:t>.1.1.7.</w:t>
      </w:r>
    </w:p>
    <w:p w14:paraId="758894DD" w14:textId="6814F760" w:rsidR="00A433A1" w:rsidRPr="006E317E" w:rsidRDefault="00A433A1" w:rsidP="00AA241E">
      <w:pPr>
        <w:jc w:val="both"/>
      </w:pPr>
      <w:r w:rsidRPr="006E317E">
        <w:lastRenderedPageBreak/>
        <w:t xml:space="preserve">Lähtudes </w:t>
      </w:r>
      <w:proofErr w:type="spellStart"/>
      <w:r w:rsidR="002A1662" w:rsidRPr="002A1662">
        <w:rPr>
          <w:i/>
        </w:rPr>
        <w:t>Gr</w:t>
      </w:r>
      <w:r w:rsidR="00C318C1">
        <w:rPr>
          <w:i/>
        </w:rPr>
        <w:t>e</w:t>
      </w:r>
      <w:r w:rsidR="002A1662" w:rsidRPr="002A1662">
        <w:rPr>
          <w:i/>
        </w:rPr>
        <w:t>enfieldi</w:t>
      </w:r>
      <w:proofErr w:type="spellEnd"/>
      <w:r w:rsidRPr="006E317E">
        <w:t xml:space="preserve"> lähenemisviisi põhimõttest ja eeldusest, et </w:t>
      </w:r>
      <w:r w:rsidR="0007135D">
        <w:t>hulgiturg</w:t>
      </w:r>
      <w:r w:rsidRPr="006E317E">
        <w:t xml:space="preserve"> 3b järgneb  </w:t>
      </w:r>
      <w:r w:rsidR="00441F05">
        <w:t>hulgi</w:t>
      </w:r>
      <w:r w:rsidRPr="006E317E">
        <w:t xml:space="preserve">turule 1. ning samuti asjaolust, et Telia ei paku teistele sideettevõtjatele turu 1 teenuseid vaskvõrgus, langeb </w:t>
      </w:r>
      <w:r w:rsidR="00441F05">
        <w:t>hulgi</w:t>
      </w:r>
      <w:r w:rsidRPr="006E317E">
        <w:t>turu 1 kolme kriteeriumi test kokku käesolevas peatükis käsitletud tehnoloogiate kolme kriteeriumi testiga.   Nimelt iseloomustab seda peamiselt infrastruktuurikonkurents Eestis.</w:t>
      </w:r>
    </w:p>
    <w:p w14:paraId="13C3E710" w14:textId="4E6BB182" w:rsidR="00A433A1" w:rsidRPr="006E317E" w:rsidRDefault="00A57A0D" w:rsidP="00AA241E">
      <w:pPr>
        <w:jc w:val="both"/>
      </w:pPr>
      <w:r>
        <w:t>TTJA</w:t>
      </w:r>
      <w:r w:rsidR="00A433A1" w:rsidRPr="006E317E">
        <w:t xml:space="preserve"> analüüsis üksikasjalikult punktis </w:t>
      </w:r>
      <w:r w:rsidR="002E0E4F">
        <w:t>6</w:t>
      </w:r>
      <w:r w:rsidR="00A433A1" w:rsidRPr="006E317E">
        <w:t xml:space="preserve">.1.1.2 nimetatud turule tuleku tõkkeid ja jõudis järeldusele, et uue operaatori turule tuleku tõkked </w:t>
      </w:r>
      <w:r w:rsidR="00183BEB">
        <w:rPr>
          <w:rFonts w:cs="Times New Roman"/>
        </w:rPr>
        <w:t>vaskkaabli</w:t>
      </w:r>
      <w:r w:rsidR="00464305" w:rsidRPr="008B7E69">
        <w:rPr>
          <w:rFonts w:cs="Times New Roman"/>
        </w:rPr>
        <w:t xml:space="preserve">- ja </w:t>
      </w:r>
      <w:r w:rsidR="00183BEB">
        <w:rPr>
          <w:rFonts w:cs="Times New Roman"/>
        </w:rPr>
        <w:t>mobiilsidevõr</w:t>
      </w:r>
      <w:r w:rsidR="00464305" w:rsidRPr="008B7E69">
        <w:rPr>
          <w:rFonts w:cs="Times New Roman"/>
        </w:rPr>
        <w:t xml:space="preserve">gu internetiühenduste </w:t>
      </w:r>
      <w:r w:rsidR="002E0E4F">
        <w:rPr>
          <w:rFonts w:cs="Times New Roman"/>
        </w:rPr>
        <w:t xml:space="preserve">üleriigilisel </w:t>
      </w:r>
      <w:r w:rsidR="00464305" w:rsidRPr="008B7E69">
        <w:rPr>
          <w:rFonts w:cs="Times New Roman"/>
        </w:rPr>
        <w:t>jaetur</w:t>
      </w:r>
      <w:r w:rsidR="00464305">
        <w:rPr>
          <w:rFonts w:cs="Times New Roman"/>
        </w:rPr>
        <w:t>u</w:t>
      </w:r>
      <w:r w:rsidR="000D1B56">
        <w:rPr>
          <w:rFonts w:cs="Times New Roman"/>
        </w:rPr>
        <w:t>l</w:t>
      </w:r>
      <w:r w:rsidR="00924895">
        <w:t xml:space="preserve"> </w:t>
      </w:r>
      <w:r w:rsidR="00A433A1" w:rsidRPr="006E317E">
        <w:t xml:space="preserve">on põhimõtteliselt olemas. Võttes arvesse madalama jõudlusega tehnoloogiate tähtsuse vähenemist ning mobiilsideoperaatorite edukat ja pidevat turule sisenemist, pakkudes </w:t>
      </w:r>
      <w:r w:rsidR="00A83B36" w:rsidRPr="00A83B36">
        <w:t>püsiasukohas tarbimiseks suunatud piiramatu mahuga internetiühendused mobiilsidevõrgu baasil</w:t>
      </w:r>
      <w:r w:rsidR="00A433A1" w:rsidRPr="006E317E">
        <w:t>, on need nüüd teatud määral ületatud ja neil on madalam tähtsus.</w:t>
      </w:r>
    </w:p>
    <w:p w14:paraId="5D83FF31" w14:textId="10D6FCD3" w:rsidR="00A433A1" w:rsidRPr="006E317E" w:rsidRDefault="00A433A1" w:rsidP="00AA241E">
      <w:pPr>
        <w:jc w:val="both"/>
      </w:pPr>
      <w:r w:rsidRPr="006E317E">
        <w:t xml:space="preserve">TTJA viis läbi Eestis </w:t>
      </w:r>
      <w:r w:rsidR="00183BEB">
        <w:rPr>
          <w:rFonts w:cs="Times New Roman"/>
        </w:rPr>
        <w:t>vaskkaabli</w:t>
      </w:r>
      <w:r w:rsidR="00142075" w:rsidRPr="008B7E69">
        <w:rPr>
          <w:rFonts w:cs="Times New Roman"/>
        </w:rPr>
        <w:t xml:space="preserve">- ja </w:t>
      </w:r>
      <w:r w:rsidR="00183BEB">
        <w:rPr>
          <w:rFonts w:cs="Times New Roman"/>
        </w:rPr>
        <w:t>mobiilsidevõr</w:t>
      </w:r>
      <w:r w:rsidR="00142075" w:rsidRPr="008B7E69">
        <w:rPr>
          <w:rFonts w:cs="Times New Roman"/>
        </w:rPr>
        <w:t xml:space="preserve">gu internetiühenduste </w:t>
      </w:r>
      <w:r w:rsidR="002E0E4F">
        <w:rPr>
          <w:rFonts w:cs="Times New Roman"/>
        </w:rPr>
        <w:t>üleriigilise</w:t>
      </w:r>
      <w:r w:rsidR="005601B3">
        <w:rPr>
          <w:rFonts w:cs="Times New Roman"/>
        </w:rPr>
        <w:t xml:space="preserve"> </w:t>
      </w:r>
      <w:r w:rsidR="00142075" w:rsidRPr="008B7E69">
        <w:rPr>
          <w:rFonts w:cs="Times New Roman"/>
        </w:rPr>
        <w:t>jaetur</w:t>
      </w:r>
      <w:r w:rsidR="00142075">
        <w:rPr>
          <w:rFonts w:cs="Times New Roman"/>
        </w:rPr>
        <w:t>u</w:t>
      </w:r>
      <w:r w:rsidR="00142075" w:rsidRPr="006E317E">
        <w:t xml:space="preserve"> </w:t>
      </w:r>
      <w:r w:rsidRPr="006E317E">
        <w:t xml:space="preserve">turuanalüüsi punktis </w:t>
      </w:r>
      <w:r w:rsidR="00C02FAB">
        <w:t>3</w:t>
      </w:r>
      <w:r w:rsidRPr="006E317E">
        <w:t>.1.1. ja jõudis järeldusele, et:</w:t>
      </w:r>
    </w:p>
    <w:p w14:paraId="2BE1E55A" w14:textId="104A849F" w:rsidR="00A433A1" w:rsidRPr="006E317E" w:rsidRDefault="00A433A1" w:rsidP="00AA241E">
      <w:pPr>
        <w:jc w:val="both"/>
      </w:pPr>
      <w:r w:rsidRPr="006E317E">
        <w:t>•</w:t>
      </w:r>
      <w:r w:rsidRPr="006E317E">
        <w:tab/>
        <w:t xml:space="preserve">võttes arvesse lõppkasutajate arvu suurenemist </w:t>
      </w:r>
      <w:r w:rsidR="00A83B36" w:rsidRPr="00A83B36">
        <w:t>püsiasukohas tarbimiseks suunatud piiramatu mahuga internetiühendus</w:t>
      </w:r>
      <w:r w:rsidR="008B1A68">
        <w:t>te</w:t>
      </w:r>
      <w:r w:rsidR="00A83B36" w:rsidRPr="00A83B36">
        <w:t xml:space="preserve"> mobiilsidevõrgu baasil</w:t>
      </w:r>
      <w:r w:rsidR="00A83B36">
        <w:t xml:space="preserve"> </w:t>
      </w:r>
      <w:r w:rsidR="0038479E">
        <w:t xml:space="preserve">pakutavetel </w:t>
      </w:r>
      <w:r w:rsidR="00A83B36">
        <w:t>teenusel</w:t>
      </w:r>
      <w:r w:rsidRPr="006E317E">
        <w:t xml:space="preserve">, on Telia turuosad märkimisväärselt vähenenud, mis ei tähenda enam tema turgu valitsevat seisundit. Kuigi </w:t>
      </w:r>
      <w:r w:rsidR="00AF441A">
        <w:t>sidevõrgu katvuse</w:t>
      </w:r>
      <w:r w:rsidRPr="006E317E">
        <w:t xml:space="preserve"> edendamine on endiselt asjakohane, eriti maapiirkondades, osutavad analüüsitud turuosad konkurentsi piisavusele (tõhus konkurents) </w:t>
      </w:r>
      <w:r w:rsidR="00924895" w:rsidRPr="00924895">
        <w:t xml:space="preserve">- ja </w:t>
      </w:r>
      <w:r w:rsidR="00183BEB">
        <w:rPr>
          <w:rFonts w:cs="Times New Roman"/>
        </w:rPr>
        <w:t>mobiilsidevõr</w:t>
      </w:r>
      <w:r w:rsidR="008C18C8" w:rsidRPr="008B7E69">
        <w:rPr>
          <w:rFonts w:cs="Times New Roman"/>
        </w:rPr>
        <w:t>gu internetiühenduste</w:t>
      </w:r>
      <w:r w:rsidR="000628C6">
        <w:rPr>
          <w:rFonts w:cs="Times New Roman"/>
        </w:rPr>
        <w:t xml:space="preserve"> üleriigilisel</w:t>
      </w:r>
      <w:r w:rsidR="008C18C8" w:rsidRPr="008B7E69">
        <w:rPr>
          <w:rFonts w:cs="Times New Roman"/>
        </w:rPr>
        <w:t xml:space="preserve"> jaetur</w:t>
      </w:r>
      <w:r w:rsidR="008C18C8">
        <w:rPr>
          <w:rFonts w:cs="Times New Roman"/>
        </w:rPr>
        <w:t>ul</w:t>
      </w:r>
      <w:r w:rsidRPr="006E317E">
        <w:t xml:space="preserve">. Turuosade üldine struktuur ei viita sellele, et </w:t>
      </w:r>
      <w:r w:rsidR="00183BEB">
        <w:rPr>
          <w:rFonts w:cs="Times New Roman"/>
        </w:rPr>
        <w:t>vaskkaabli</w:t>
      </w:r>
      <w:r w:rsidR="00137AE8" w:rsidRPr="008B7E69">
        <w:rPr>
          <w:rFonts w:cs="Times New Roman"/>
        </w:rPr>
        <w:t xml:space="preserve">- ja </w:t>
      </w:r>
      <w:r w:rsidR="00183BEB">
        <w:rPr>
          <w:rFonts w:cs="Times New Roman"/>
        </w:rPr>
        <w:t>mobiilsidevõr</w:t>
      </w:r>
      <w:r w:rsidR="00137AE8" w:rsidRPr="008B7E69">
        <w:rPr>
          <w:rFonts w:cs="Times New Roman"/>
        </w:rPr>
        <w:t xml:space="preserve">gu internetiühenduste </w:t>
      </w:r>
      <w:r w:rsidR="00EE33D1">
        <w:rPr>
          <w:rFonts w:cs="Times New Roman"/>
        </w:rPr>
        <w:t xml:space="preserve">üleriigilisel </w:t>
      </w:r>
      <w:r w:rsidR="00137AE8" w:rsidRPr="008B7E69">
        <w:rPr>
          <w:rFonts w:cs="Times New Roman"/>
        </w:rPr>
        <w:t>jaetur</w:t>
      </w:r>
      <w:r w:rsidR="00137AE8">
        <w:rPr>
          <w:rFonts w:cs="Times New Roman"/>
        </w:rPr>
        <w:t>ul</w:t>
      </w:r>
      <w:r w:rsidR="00137AE8" w:rsidRPr="006E317E">
        <w:t xml:space="preserve"> </w:t>
      </w:r>
      <w:r w:rsidRPr="006E317E">
        <w:t>on ettevõtja, kelle majanduslik üleolek on samaväärne turgu valitseva seisundiga;</w:t>
      </w:r>
    </w:p>
    <w:p w14:paraId="14286C6A" w14:textId="55B8E9C3" w:rsidR="00A433A1" w:rsidRPr="006E317E" w:rsidRDefault="00A433A1" w:rsidP="00AA241E">
      <w:pPr>
        <w:jc w:val="both"/>
      </w:pPr>
      <w:r w:rsidRPr="006E317E">
        <w:t>•</w:t>
      </w:r>
      <w:r w:rsidRPr="006E317E">
        <w:tab/>
        <w:t xml:space="preserve">Telia, Tele2 ja Elisa  omavad kontrolli olulise elektroonilise side infrastruktuuri üle ning neil on tehnoloogilised eelised </w:t>
      </w:r>
      <w:r w:rsidR="00183BEB">
        <w:rPr>
          <w:rFonts w:cs="Times New Roman"/>
        </w:rPr>
        <w:t>vaskkaabli</w:t>
      </w:r>
      <w:r w:rsidR="00137AE8" w:rsidRPr="008B7E69">
        <w:rPr>
          <w:rFonts w:cs="Times New Roman"/>
        </w:rPr>
        <w:t xml:space="preserve">- ja </w:t>
      </w:r>
      <w:r w:rsidR="00183BEB">
        <w:rPr>
          <w:rFonts w:cs="Times New Roman"/>
        </w:rPr>
        <w:t>mobiilsidevõr</w:t>
      </w:r>
      <w:r w:rsidR="00137AE8" w:rsidRPr="008B7E69">
        <w:rPr>
          <w:rFonts w:cs="Times New Roman"/>
        </w:rPr>
        <w:t xml:space="preserve">gu internetiühenduste </w:t>
      </w:r>
      <w:r w:rsidR="001C4C4C">
        <w:rPr>
          <w:rFonts w:cs="Times New Roman"/>
        </w:rPr>
        <w:t xml:space="preserve">üleriigilisel </w:t>
      </w:r>
      <w:r w:rsidR="00137AE8" w:rsidRPr="008B7E69">
        <w:rPr>
          <w:rFonts w:cs="Times New Roman"/>
        </w:rPr>
        <w:t>jaetur</w:t>
      </w:r>
      <w:r w:rsidR="00137AE8">
        <w:rPr>
          <w:rFonts w:cs="Times New Roman"/>
        </w:rPr>
        <w:t>ul</w:t>
      </w:r>
      <w:r w:rsidRPr="006E317E">
        <w:t>, kuid mitte sel määral, et see võimaldavaks neil eraldi või koos omada turgu valitsevat seisundit.</w:t>
      </w:r>
    </w:p>
    <w:p w14:paraId="6DD3D341" w14:textId="27FB2DA9" w:rsidR="00A433A1" w:rsidRPr="006E317E" w:rsidRDefault="00A433A1" w:rsidP="00AA241E">
      <w:pPr>
        <w:jc w:val="both"/>
      </w:pPr>
      <w:r w:rsidRPr="006E317E">
        <w:t>•</w:t>
      </w:r>
      <w:r w:rsidRPr="006E317E">
        <w:tab/>
      </w:r>
      <w:r w:rsidR="00183BEB">
        <w:rPr>
          <w:rFonts w:cs="Times New Roman"/>
        </w:rPr>
        <w:t>vaskkaabli</w:t>
      </w:r>
      <w:r w:rsidR="00137AE8" w:rsidRPr="008B7E69">
        <w:rPr>
          <w:rFonts w:cs="Times New Roman"/>
        </w:rPr>
        <w:t xml:space="preserve">- ja </w:t>
      </w:r>
      <w:r w:rsidR="00183BEB">
        <w:rPr>
          <w:rFonts w:cs="Times New Roman"/>
        </w:rPr>
        <w:t>mobiilsidevõr</w:t>
      </w:r>
      <w:r w:rsidR="00137AE8" w:rsidRPr="008B7E69">
        <w:rPr>
          <w:rFonts w:cs="Times New Roman"/>
        </w:rPr>
        <w:t xml:space="preserve">gu internetiühenduste </w:t>
      </w:r>
      <w:r w:rsidR="00793379">
        <w:rPr>
          <w:rFonts w:cs="Times New Roman"/>
        </w:rPr>
        <w:t xml:space="preserve">üleriigilisel </w:t>
      </w:r>
      <w:r w:rsidR="00137AE8" w:rsidRPr="008B7E69">
        <w:rPr>
          <w:rFonts w:cs="Times New Roman"/>
        </w:rPr>
        <w:t>jaetur</w:t>
      </w:r>
      <w:r w:rsidR="00137AE8">
        <w:rPr>
          <w:rFonts w:cs="Times New Roman"/>
        </w:rPr>
        <w:t>ul</w:t>
      </w:r>
      <w:r w:rsidR="00137AE8" w:rsidRPr="006E317E">
        <w:t xml:space="preserve"> </w:t>
      </w:r>
      <w:r w:rsidRPr="006E317E">
        <w:t xml:space="preserve">on tasakaalustav </w:t>
      </w:r>
      <w:r w:rsidR="00EE71F9">
        <w:t>ostjaj</w:t>
      </w:r>
      <w:r w:rsidRPr="006E317E">
        <w:t>õud, sest lõppkasutajad saavad vahetada operaatorit, olenemata sellest, kus Eesti piirkonnas nad asuvad;</w:t>
      </w:r>
    </w:p>
    <w:p w14:paraId="725C6004" w14:textId="4E8A1B9B" w:rsidR="00A433A1" w:rsidRPr="006E317E" w:rsidRDefault="00A433A1" w:rsidP="00AA241E">
      <w:pPr>
        <w:jc w:val="both"/>
      </w:pPr>
      <w:r w:rsidRPr="006E317E">
        <w:t>•</w:t>
      </w:r>
      <w:r w:rsidRPr="006E317E">
        <w:tab/>
        <w:t xml:space="preserve">Telia, Tele2 ja Elisa omavad eeliseid seoses teenuste sidumisega </w:t>
      </w:r>
      <w:r w:rsidR="00183BEB">
        <w:rPr>
          <w:rFonts w:cs="Times New Roman"/>
        </w:rPr>
        <w:t>vaskkaabli</w:t>
      </w:r>
      <w:r w:rsidR="00137AE8" w:rsidRPr="008B7E69">
        <w:rPr>
          <w:rFonts w:cs="Times New Roman"/>
        </w:rPr>
        <w:t xml:space="preserve">- ja </w:t>
      </w:r>
      <w:r w:rsidR="00183BEB">
        <w:rPr>
          <w:rFonts w:cs="Times New Roman"/>
        </w:rPr>
        <w:t>mobiilsidevõr</w:t>
      </w:r>
      <w:r w:rsidR="00137AE8" w:rsidRPr="008B7E69">
        <w:rPr>
          <w:rFonts w:cs="Times New Roman"/>
        </w:rPr>
        <w:t xml:space="preserve">gu internetiühenduste </w:t>
      </w:r>
      <w:r w:rsidR="00793379">
        <w:rPr>
          <w:rFonts w:cs="Times New Roman"/>
        </w:rPr>
        <w:t xml:space="preserve">üleriigilisel </w:t>
      </w:r>
      <w:r w:rsidR="00137AE8" w:rsidRPr="008B7E69">
        <w:rPr>
          <w:rFonts w:cs="Times New Roman"/>
        </w:rPr>
        <w:t>jaetur</w:t>
      </w:r>
      <w:r w:rsidR="00137AE8">
        <w:rPr>
          <w:rFonts w:cs="Times New Roman"/>
        </w:rPr>
        <w:t>ul</w:t>
      </w:r>
      <w:r w:rsidRPr="006E317E">
        <w:t>, kuid mitte sel määral, et see võimaldavaks neil eraldi või koos omada turgu valitsevat seisundit.</w:t>
      </w:r>
    </w:p>
    <w:p w14:paraId="5CDC7FF3" w14:textId="6B28D888" w:rsidR="00A433A1" w:rsidRPr="006E317E" w:rsidRDefault="00A433A1" w:rsidP="00AA241E">
      <w:pPr>
        <w:jc w:val="both"/>
      </w:pPr>
      <w:r w:rsidRPr="006E317E">
        <w:t>•</w:t>
      </w:r>
      <w:r w:rsidRPr="006E317E">
        <w:tab/>
        <w:t xml:space="preserve">Telia, Tele2 ja Elisa omavad mastaabi- ja mahusäästu eeliseid, samuti eelisjuurdepääsu rahalistele vahenditele </w:t>
      </w:r>
      <w:r w:rsidR="00183BEB">
        <w:rPr>
          <w:rFonts w:cs="Times New Roman"/>
        </w:rPr>
        <w:t>vaskkaabli</w:t>
      </w:r>
      <w:r w:rsidR="00137AE8" w:rsidRPr="008B7E69">
        <w:rPr>
          <w:rFonts w:cs="Times New Roman"/>
        </w:rPr>
        <w:t xml:space="preserve">- ja </w:t>
      </w:r>
      <w:r w:rsidR="00183BEB">
        <w:rPr>
          <w:rFonts w:cs="Times New Roman"/>
        </w:rPr>
        <w:t>mobiilsidevõr</w:t>
      </w:r>
      <w:r w:rsidR="00137AE8" w:rsidRPr="008B7E69">
        <w:rPr>
          <w:rFonts w:cs="Times New Roman"/>
        </w:rPr>
        <w:t xml:space="preserve">gu internetiühenduste </w:t>
      </w:r>
      <w:r w:rsidR="00793379">
        <w:rPr>
          <w:rFonts w:cs="Times New Roman"/>
        </w:rPr>
        <w:t xml:space="preserve">üleriigilisel </w:t>
      </w:r>
      <w:r w:rsidR="00137AE8" w:rsidRPr="008B7E69">
        <w:rPr>
          <w:rFonts w:cs="Times New Roman"/>
        </w:rPr>
        <w:t>jaetur</w:t>
      </w:r>
      <w:r w:rsidR="00137AE8">
        <w:rPr>
          <w:rFonts w:cs="Times New Roman"/>
        </w:rPr>
        <w:t>ul</w:t>
      </w:r>
      <w:r w:rsidRPr="006E317E">
        <w:t>,  kuid mitte sel määral, et see võimaldavaks neil eraldi või koos omada turgu valitsevat seisundit.</w:t>
      </w:r>
    </w:p>
    <w:p w14:paraId="122568EB" w14:textId="31D60194" w:rsidR="00A433A1" w:rsidRPr="006E317E" w:rsidRDefault="00A433A1" w:rsidP="00AA241E">
      <w:pPr>
        <w:jc w:val="both"/>
      </w:pPr>
      <w:r w:rsidRPr="006E317E">
        <w:t xml:space="preserve">Seega ei ole kolme kriteeriumi teine kriteerium, mis ei ole tõhusale konkurentsile suunatud turustruktuur, täidetud, sest TTJA analüüsi kohaselt on </w:t>
      </w:r>
      <w:r w:rsidR="00183BEB">
        <w:t>vaskkaabli</w:t>
      </w:r>
      <w:r w:rsidRPr="006E317E">
        <w:t xml:space="preserve">- ja mobiilvõrgu internetiteenuse </w:t>
      </w:r>
      <w:r w:rsidR="00E0608B">
        <w:t xml:space="preserve">üleriigilistel </w:t>
      </w:r>
      <w:r w:rsidRPr="006E317E">
        <w:t xml:space="preserve">jaeturgudel tõhus konkurents, mis põhineb pigem infrastruktuurikonkurentsil kui </w:t>
      </w:r>
      <w:r w:rsidRPr="006E317E">
        <w:lastRenderedPageBreak/>
        <w:t>hulgimüügitasandi juurdepääsul. TTJA järeldab, et olemasolev taristukonkurents on piisav ja eeldatavasti jääb püsima, samuti ei ole reguleeriv sekkumine asjaomasel hulgiturul enam vajalik.</w:t>
      </w:r>
    </w:p>
    <w:p w14:paraId="4036B877" w14:textId="77777777" w:rsidR="00A433A1" w:rsidRPr="006E317E" w:rsidRDefault="00A433A1" w:rsidP="00AA241E">
      <w:pPr>
        <w:jc w:val="both"/>
      </w:pPr>
      <w:r w:rsidRPr="006E317E">
        <w:t>Kuna vähemalt üks kolmest kumulatiivsest kriteeriumist ei ole täidetud, ei ole vaja hinnata kolme kriteeriumi kolmandat kriteeriumi (konkurentsiõiguse kohaldamine ei ole turutõrgete kõrvaldamiseks piisav).</w:t>
      </w:r>
    </w:p>
    <w:p w14:paraId="0E4F96CF" w14:textId="17276216" w:rsidR="00A433A1" w:rsidRPr="00E0608B" w:rsidRDefault="00A433A1" w:rsidP="00AA241E">
      <w:pPr>
        <w:jc w:val="both"/>
        <w:rPr>
          <w:b/>
          <w:bCs/>
        </w:rPr>
      </w:pPr>
      <w:r w:rsidRPr="00E0608B">
        <w:rPr>
          <w:b/>
          <w:bCs/>
        </w:rPr>
        <w:t xml:space="preserve">Eelpool öeldut silmas pidades ei ole </w:t>
      </w:r>
      <w:r w:rsidR="00183BEB" w:rsidRPr="00E0608B">
        <w:rPr>
          <w:rFonts w:cs="Times New Roman"/>
          <w:b/>
          <w:bCs/>
        </w:rPr>
        <w:t>vaskkaabli</w:t>
      </w:r>
      <w:r w:rsidR="00214A51" w:rsidRPr="00E0608B">
        <w:rPr>
          <w:rFonts w:cs="Times New Roman"/>
          <w:b/>
          <w:bCs/>
        </w:rPr>
        <w:t xml:space="preserve">- ja </w:t>
      </w:r>
      <w:r w:rsidR="00183BEB" w:rsidRPr="00E0608B">
        <w:rPr>
          <w:rFonts w:cs="Times New Roman"/>
          <w:b/>
          <w:bCs/>
        </w:rPr>
        <w:t>mobiilsidevõr</w:t>
      </w:r>
      <w:r w:rsidR="00214A51" w:rsidRPr="00E0608B">
        <w:rPr>
          <w:rFonts w:cs="Times New Roman"/>
          <w:b/>
          <w:bCs/>
        </w:rPr>
        <w:t>gu internetiühenduste jaeturu</w:t>
      </w:r>
      <w:r w:rsidR="0040118D" w:rsidRPr="00E0608B">
        <w:rPr>
          <w:rFonts w:cs="Times New Roman"/>
          <w:b/>
          <w:bCs/>
        </w:rPr>
        <w:t>l</w:t>
      </w:r>
      <w:r w:rsidR="00214A51" w:rsidRPr="00E0608B">
        <w:rPr>
          <w:b/>
          <w:bCs/>
        </w:rPr>
        <w:t xml:space="preserve"> </w:t>
      </w:r>
      <w:r w:rsidRPr="00E0608B">
        <w:rPr>
          <w:b/>
          <w:bCs/>
        </w:rPr>
        <w:t>need kolm kriteeriumi kumulatiivselt täidetud ja valitseb tõhus konkurents.</w:t>
      </w:r>
    </w:p>
    <w:p w14:paraId="1E59340E" w14:textId="77777777" w:rsidR="00A433A1" w:rsidRPr="006E317E" w:rsidRDefault="00A433A1" w:rsidP="00AA241E">
      <w:pPr>
        <w:jc w:val="both"/>
      </w:pPr>
    </w:p>
    <w:p w14:paraId="5F2EC10B" w14:textId="77777777" w:rsidR="00A433A1" w:rsidRPr="006E317E" w:rsidRDefault="00A433A1" w:rsidP="00AA241E">
      <w:pPr>
        <w:pStyle w:val="Heading49"/>
        <w:numPr>
          <w:ilvl w:val="3"/>
          <w:numId w:val="68"/>
        </w:numPr>
      </w:pPr>
      <w:r w:rsidRPr="006E317E">
        <w:t>Järeldused</w:t>
      </w:r>
    </w:p>
    <w:p w14:paraId="1FB0B989" w14:textId="588CE01F" w:rsidR="00A433A1" w:rsidRPr="006E317E" w:rsidRDefault="00A433A1" w:rsidP="00AA241E">
      <w:pPr>
        <w:jc w:val="both"/>
      </w:pPr>
      <w:r w:rsidRPr="006E317E">
        <w:t xml:space="preserve">Telia pakutavad madalama jõudlusega tehnoloogiad, mis kuuluvad </w:t>
      </w:r>
      <w:r w:rsidR="00183BEB">
        <w:t>vaskkaabli</w:t>
      </w:r>
      <w:r w:rsidR="00924895" w:rsidRPr="00924895">
        <w:t xml:space="preserve">- ja </w:t>
      </w:r>
      <w:r w:rsidR="00183BEB">
        <w:t>mobiilsidevõr</w:t>
      </w:r>
      <w:r w:rsidR="00924895" w:rsidRPr="00924895">
        <w:t>gu jaetasandi internetiühenduste tooteturu</w:t>
      </w:r>
      <w:r w:rsidR="00924895">
        <w:t>le</w:t>
      </w:r>
      <w:r w:rsidRPr="006E317E">
        <w:t xml:space="preserve">, on: DSL, VDSL ja VDSL2 </w:t>
      </w:r>
      <w:proofErr w:type="spellStart"/>
      <w:r w:rsidR="00BD5C2A">
        <w:t>v</w:t>
      </w:r>
      <w:r w:rsidRPr="006E317E">
        <w:t>ectoring</w:t>
      </w:r>
      <w:proofErr w:type="spellEnd"/>
      <w:r w:rsidRPr="006E317E">
        <w:t xml:space="preserve">. Neid tehnoloogiaid pakub Telia  </w:t>
      </w:r>
      <w:r w:rsidR="00532579">
        <w:t>vaskpaar</w:t>
      </w:r>
      <w:r w:rsidRPr="006E317E">
        <w:t xml:space="preserve">- ja FTTN-juurdepääsuvõrgus. Nagu eelpool mainitud, pakub Telia neid enamasti kogu </w:t>
      </w:r>
      <w:r w:rsidRPr="001F0701">
        <w:t xml:space="preserve">vasest </w:t>
      </w:r>
      <w:r w:rsidR="00AE5DED" w:rsidRPr="001F0701">
        <w:t>kliendi</w:t>
      </w:r>
      <w:r w:rsidRPr="001F0701">
        <w:t xml:space="preserve">liinidel ja </w:t>
      </w:r>
      <w:r w:rsidRPr="006E317E">
        <w:t>palju vähemal määral – kasutades FTTN-i juurdepääsuvõrgu arhitektuuri.</w:t>
      </w:r>
    </w:p>
    <w:p w14:paraId="59CA7DE2" w14:textId="7DC3E2D9" w:rsidR="00A433A1" w:rsidRPr="002E251B" w:rsidRDefault="00A433A1" w:rsidP="00AA241E">
      <w:pPr>
        <w:jc w:val="both"/>
      </w:pPr>
      <w:r w:rsidRPr="006E317E">
        <w:t xml:space="preserve">Võttes arvesse punktis </w:t>
      </w:r>
      <w:r w:rsidR="00B00800">
        <w:t>6</w:t>
      </w:r>
      <w:r w:rsidRPr="006E317E">
        <w:t xml:space="preserve">.1.1 tehtud analüüsi, järeldab TTJA, et </w:t>
      </w:r>
      <w:bookmarkStart w:id="849" w:name="_Hlk174027527"/>
      <w:r w:rsidR="00183BEB">
        <w:rPr>
          <w:b/>
          <w:bCs/>
        </w:rPr>
        <w:t>vaskkaabli</w:t>
      </w:r>
      <w:r w:rsidR="006D425F">
        <w:rPr>
          <w:b/>
          <w:bCs/>
        </w:rPr>
        <w:t xml:space="preserve">- ja </w:t>
      </w:r>
      <w:r w:rsidR="00183BEB">
        <w:rPr>
          <w:b/>
          <w:bCs/>
        </w:rPr>
        <w:t>mobiilsidevõr</w:t>
      </w:r>
      <w:r w:rsidR="006D425F">
        <w:rPr>
          <w:b/>
          <w:bCs/>
        </w:rPr>
        <w:t>gu</w:t>
      </w:r>
      <w:r w:rsidR="00FC26CE">
        <w:rPr>
          <w:b/>
          <w:bCs/>
        </w:rPr>
        <w:t xml:space="preserve"> hulgitur</w:t>
      </w:r>
      <w:r w:rsidR="005B3A8D">
        <w:rPr>
          <w:b/>
          <w:bCs/>
        </w:rPr>
        <w:t>ul</w:t>
      </w:r>
      <w:r w:rsidR="006D425F">
        <w:rPr>
          <w:b/>
          <w:bCs/>
        </w:rPr>
        <w:t xml:space="preserve"> </w:t>
      </w:r>
      <w:r w:rsidR="00AC16B8">
        <w:rPr>
          <w:b/>
          <w:bCs/>
        </w:rPr>
        <w:t>3b</w:t>
      </w:r>
      <w:r w:rsidR="008351F9">
        <w:rPr>
          <w:b/>
          <w:bCs/>
        </w:rPr>
        <w:t xml:space="preserve"> o</w:t>
      </w:r>
      <w:r w:rsidRPr="006E317E">
        <w:t>n tõhus konkurents ja Telia ei ole enam turgu valitsevas seisundis ehk märkimisväärse turujõuga ettevõte. Nimelt ei ole Telia enam sideett</w:t>
      </w:r>
      <w:r w:rsidR="00884296">
        <w:t>e</w:t>
      </w:r>
      <w:r w:rsidRPr="006E317E">
        <w:t xml:space="preserve">võtja, kes on MTE. Seega on </w:t>
      </w:r>
      <w:r w:rsidR="00183BEB">
        <w:t>vaskkaabli</w:t>
      </w:r>
      <w:r w:rsidR="00924895" w:rsidRPr="00924895">
        <w:t xml:space="preserve">- ja </w:t>
      </w:r>
      <w:r w:rsidR="00183BEB">
        <w:t>mobiilsidevõr</w:t>
      </w:r>
      <w:r w:rsidR="00924895" w:rsidRPr="00924895">
        <w:t xml:space="preserve">gu </w:t>
      </w:r>
      <w:r w:rsidR="008670F6">
        <w:t>hulgiturul</w:t>
      </w:r>
      <w:r w:rsidR="00924895" w:rsidRPr="00924895">
        <w:t xml:space="preserve"> </w:t>
      </w:r>
      <w:r w:rsidRPr="006E317E">
        <w:t xml:space="preserve">3b vaja kaotada </w:t>
      </w:r>
      <w:r w:rsidRPr="002E251B">
        <w:t xml:space="preserve">otsustega </w:t>
      </w:r>
      <w:r w:rsidR="0004328D" w:rsidRPr="002E251B">
        <w:t xml:space="preserve">1-10/17-227 </w:t>
      </w:r>
      <w:r w:rsidR="002E251B" w:rsidRPr="002E251B">
        <w:t>Telia</w:t>
      </w:r>
      <w:r w:rsidR="002E251B">
        <w:t>le</w:t>
      </w:r>
      <w:r w:rsidRPr="002E251B">
        <w:t xml:space="preserve"> kehtestatud kohustused</w:t>
      </w:r>
      <w:r w:rsidR="009F554A">
        <w:t>, vt ptk 7.1.2</w:t>
      </w:r>
      <w:r w:rsidR="00924895" w:rsidRPr="002E251B">
        <w:t>.</w:t>
      </w:r>
    </w:p>
    <w:bookmarkEnd w:id="849"/>
    <w:p w14:paraId="5BEAD13E" w14:textId="30469A0D" w:rsidR="00D33C0E" w:rsidRDefault="00D33C0E" w:rsidP="00AA241E">
      <w:pPr>
        <w:jc w:val="both"/>
      </w:pPr>
      <w:r>
        <w:br w:type="page"/>
      </w:r>
    </w:p>
    <w:p w14:paraId="7F10B5AF" w14:textId="0C41F56E" w:rsidR="00A433A1" w:rsidRPr="006E317E" w:rsidRDefault="00EF2072" w:rsidP="009805E1">
      <w:pPr>
        <w:pStyle w:val="Pealkiri3"/>
      </w:pPr>
      <w:bookmarkStart w:id="850" w:name="_Toc174710805"/>
      <w:r w:rsidRPr="00530054">
        <w:lastRenderedPageBreak/>
        <w:t>Valguskaa</w:t>
      </w:r>
      <w:r w:rsidR="00C62681" w:rsidRPr="00530054">
        <w:t>bel</w:t>
      </w:r>
      <w:r w:rsidR="00993E82" w:rsidRPr="00530054">
        <w:t>võrgu</w:t>
      </w:r>
      <w:r w:rsidR="00F31DA3" w:rsidRPr="00530054">
        <w:t xml:space="preserve"> internetiühenduste </w:t>
      </w:r>
      <w:r w:rsidR="00521AA9" w:rsidRPr="00530054">
        <w:t xml:space="preserve">A </w:t>
      </w:r>
      <w:r w:rsidR="00581D36">
        <w:t xml:space="preserve">ja B </w:t>
      </w:r>
      <w:r w:rsidR="00521AA9" w:rsidRPr="00530054">
        <w:t>piirkonna jaeturg</w:t>
      </w:r>
      <w:bookmarkEnd w:id="850"/>
    </w:p>
    <w:p w14:paraId="00874B5F" w14:textId="77777777" w:rsidR="0030677C" w:rsidRPr="0030677C" w:rsidRDefault="0030677C" w:rsidP="00AA241E">
      <w:pPr>
        <w:pStyle w:val="Loendilik"/>
        <w:keepNext/>
        <w:keepLines/>
        <w:numPr>
          <w:ilvl w:val="2"/>
          <w:numId w:val="36"/>
        </w:numPr>
        <w:tabs>
          <w:tab w:val="left" w:pos="1985"/>
        </w:tabs>
        <w:spacing w:after="0"/>
        <w:contextualSpacing w:val="0"/>
        <w:jc w:val="both"/>
        <w:outlineLvl w:val="3"/>
        <w:rPr>
          <w:rFonts w:eastAsiaTheme="majorEastAsia" w:cstheme="majorBidi"/>
          <w:i/>
          <w:iCs/>
          <w:vanish/>
          <w:lang w:eastAsia="en-US"/>
        </w:rPr>
      </w:pPr>
    </w:p>
    <w:p w14:paraId="572A9CF1" w14:textId="77777777" w:rsidR="005078FE" w:rsidRPr="005078FE" w:rsidRDefault="005078FE" w:rsidP="005078FE">
      <w:pPr>
        <w:pStyle w:val="Loendilik"/>
        <w:keepNext/>
        <w:keepLines/>
        <w:numPr>
          <w:ilvl w:val="0"/>
          <w:numId w:val="69"/>
        </w:numPr>
        <w:tabs>
          <w:tab w:val="left" w:pos="1985"/>
        </w:tabs>
        <w:spacing w:before="120" w:after="240"/>
        <w:contextualSpacing w:val="0"/>
        <w:jc w:val="both"/>
        <w:outlineLvl w:val="3"/>
        <w:rPr>
          <w:rFonts w:eastAsiaTheme="majorEastAsia" w:cstheme="majorBidi"/>
          <w:i/>
          <w:iCs/>
          <w:vanish/>
          <w:lang w:eastAsia="en-US"/>
        </w:rPr>
      </w:pPr>
    </w:p>
    <w:p w14:paraId="0AC85E26" w14:textId="77777777" w:rsidR="005078FE" w:rsidRPr="005078FE" w:rsidRDefault="005078FE" w:rsidP="005078FE">
      <w:pPr>
        <w:pStyle w:val="Loendilik"/>
        <w:keepNext/>
        <w:keepLines/>
        <w:numPr>
          <w:ilvl w:val="0"/>
          <w:numId w:val="69"/>
        </w:numPr>
        <w:tabs>
          <w:tab w:val="left" w:pos="1985"/>
        </w:tabs>
        <w:spacing w:before="120" w:after="240"/>
        <w:contextualSpacing w:val="0"/>
        <w:jc w:val="both"/>
        <w:outlineLvl w:val="3"/>
        <w:rPr>
          <w:rFonts w:eastAsiaTheme="majorEastAsia" w:cstheme="majorBidi"/>
          <w:i/>
          <w:iCs/>
          <w:vanish/>
          <w:lang w:eastAsia="en-US"/>
        </w:rPr>
      </w:pPr>
    </w:p>
    <w:p w14:paraId="342E274D" w14:textId="77777777" w:rsidR="005078FE" w:rsidRPr="005078FE" w:rsidRDefault="005078FE" w:rsidP="005078FE">
      <w:pPr>
        <w:pStyle w:val="Loendilik"/>
        <w:keepNext/>
        <w:keepLines/>
        <w:numPr>
          <w:ilvl w:val="0"/>
          <w:numId w:val="69"/>
        </w:numPr>
        <w:tabs>
          <w:tab w:val="left" w:pos="1985"/>
        </w:tabs>
        <w:spacing w:before="120" w:after="240"/>
        <w:contextualSpacing w:val="0"/>
        <w:jc w:val="both"/>
        <w:outlineLvl w:val="3"/>
        <w:rPr>
          <w:rFonts w:eastAsiaTheme="majorEastAsia" w:cstheme="majorBidi"/>
          <w:i/>
          <w:iCs/>
          <w:vanish/>
          <w:lang w:eastAsia="en-US"/>
        </w:rPr>
      </w:pPr>
    </w:p>
    <w:p w14:paraId="346B82A0" w14:textId="77777777" w:rsidR="005078FE" w:rsidRPr="005078FE" w:rsidRDefault="005078FE" w:rsidP="005078FE">
      <w:pPr>
        <w:pStyle w:val="Loendilik"/>
        <w:keepNext/>
        <w:keepLines/>
        <w:numPr>
          <w:ilvl w:val="0"/>
          <w:numId w:val="69"/>
        </w:numPr>
        <w:tabs>
          <w:tab w:val="left" w:pos="1985"/>
        </w:tabs>
        <w:spacing w:before="120" w:after="240"/>
        <w:contextualSpacing w:val="0"/>
        <w:jc w:val="both"/>
        <w:outlineLvl w:val="3"/>
        <w:rPr>
          <w:rFonts w:eastAsiaTheme="majorEastAsia" w:cstheme="majorBidi"/>
          <w:i/>
          <w:iCs/>
          <w:vanish/>
          <w:lang w:eastAsia="en-US"/>
        </w:rPr>
      </w:pPr>
    </w:p>
    <w:p w14:paraId="72F73D88" w14:textId="77777777" w:rsidR="005078FE" w:rsidRPr="005078FE" w:rsidRDefault="005078FE" w:rsidP="005078FE">
      <w:pPr>
        <w:pStyle w:val="Loendilik"/>
        <w:keepNext/>
        <w:keepLines/>
        <w:numPr>
          <w:ilvl w:val="0"/>
          <w:numId w:val="69"/>
        </w:numPr>
        <w:tabs>
          <w:tab w:val="left" w:pos="1985"/>
        </w:tabs>
        <w:spacing w:before="120" w:after="240"/>
        <w:contextualSpacing w:val="0"/>
        <w:jc w:val="both"/>
        <w:outlineLvl w:val="3"/>
        <w:rPr>
          <w:rFonts w:eastAsiaTheme="majorEastAsia" w:cstheme="majorBidi"/>
          <w:i/>
          <w:iCs/>
          <w:vanish/>
          <w:lang w:eastAsia="en-US"/>
        </w:rPr>
      </w:pPr>
    </w:p>
    <w:p w14:paraId="3745D1B4" w14:textId="77777777" w:rsidR="005078FE" w:rsidRPr="005078FE" w:rsidRDefault="005078FE" w:rsidP="005078FE">
      <w:pPr>
        <w:pStyle w:val="Loendilik"/>
        <w:keepNext/>
        <w:keepLines/>
        <w:numPr>
          <w:ilvl w:val="0"/>
          <w:numId w:val="69"/>
        </w:numPr>
        <w:tabs>
          <w:tab w:val="left" w:pos="1985"/>
        </w:tabs>
        <w:spacing w:before="120" w:after="240"/>
        <w:contextualSpacing w:val="0"/>
        <w:jc w:val="both"/>
        <w:outlineLvl w:val="3"/>
        <w:rPr>
          <w:rFonts w:eastAsiaTheme="majorEastAsia" w:cstheme="majorBidi"/>
          <w:i/>
          <w:iCs/>
          <w:vanish/>
          <w:lang w:eastAsia="en-US"/>
        </w:rPr>
      </w:pPr>
    </w:p>
    <w:p w14:paraId="3E62B29F" w14:textId="77777777" w:rsidR="005078FE" w:rsidRPr="005078FE" w:rsidRDefault="005078FE" w:rsidP="005078FE">
      <w:pPr>
        <w:pStyle w:val="Loendilik"/>
        <w:keepNext/>
        <w:keepLines/>
        <w:numPr>
          <w:ilvl w:val="1"/>
          <w:numId w:val="69"/>
        </w:numPr>
        <w:tabs>
          <w:tab w:val="left" w:pos="1985"/>
        </w:tabs>
        <w:spacing w:before="120" w:after="240"/>
        <w:contextualSpacing w:val="0"/>
        <w:jc w:val="both"/>
        <w:outlineLvl w:val="3"/>
        <w:rPr>
          <w:rFonts w:eastAsiaTheme="majorEastAsia" w:cstheme="majorBidi"/>
          <w:i/>
          <w:iCs/>
          <w:vanish/>
          <w:lang w:eastAsia="en-US"/>
        </w:rPr>
      </w:pPr>
    </w:p>
    <w:p w14:paraId="0D0183AB" w14:textId="77777777" w:rsidR="005078FE" w:rsidRPr="005078FE" w:rsidRDefault="005078FE" w:rsidP="005078FE">
      <w:pPr>
        <w:pStyle w:val="Loendilik"/>
        <w:keepNext/>
        <w:keepLines/>
        <w:numPr>
          <w:ilvl w:val="2"/>
          <w:numId w:val="69"/>
        </w:numPr>
        <w:tabs>
          <w:tab w:val="left" w:pos="1985"/>
        </w:tabs>
        <w:spacing w:before="120" w:after="240"/>
        <w:contextualSpacing w:val="0"/>
        <w:jc w:val="both"/>
        <w:outlineLvl w:val="3"/>
        <w:rPr>
          <w:rFonts w:eastAsiaTheme="majorEastAsia" w:cstheme="majorBidi"/>
          <w:i/>
          <w:iCs/>
          <w:vanish/>
          <w:lang w:eastAsia="en-US"/>
        </w:rPr>
      </w:pPr>
    </w:p>
    <w:p w14:paraId="39DE3A88" w14:textId="77777777" w:rsidR="005078FE" w:rsidRPr="005078FE" w:rsidRDefault="005078FE" w:rsidP="005078FE">
      <w:pPr>
        <w:pStyle w:val="Loendilik"/>
        <w:keepNext/>
        <w:keepLines/>
        <w:numPr>
          <w:ilvl w:val="2"/>
          <w:numId w:val="69"/>
        </w:numPr>
        <w:tabs>
          <w:tab w:val="left" w:pos="1985"/>
        </w:tabs>
        <w:spacing w:before="120" w:after="240"/>
        <w:contextualSpacing w:val="0"/>
        <w:jc w:val="both"/>
        <w:outlineLvl w:val="3"/>
        <w:rPr>
          <w:rFonts w:eastAsiaTheme="majorEastAsia" w:cstheme="majorBidi"/>
          <w:i/>
          <w:iCs/>
          <w:vanish/>
          <w:lang w:eastAsia="en-US"/>
        </w:rPr>
      </w:pPr>
    </w:p>
    <w:p w14:paraId="7E612E87" w14:textId="1D783652" w:rsidR="00A3165F" w:rsidRPr="006E317E" w:rsidRDefault="000E6B3A" w:rsidP="005078FE">
      <w:pPr>
        <w:pStyle w:val="Heading49"/>
        <w:numPr>
          <w:ilvl w:val="3"/>
          <w:numId w:val="69"/>
        </w:numPr>
      </w:pPr>
      <w:r w:rsidRPr="0071181A">
        <w:t>Turuosad</w:t>
      </w:r>
    </w:p>
    <w:p w14:paraId="35DEADC7" w14:textId="77777777" w:rsidR="00F44F3E" w:rsidRPr="006E317E" w:rsidRDefault="00F44F3E" w:rsidP="00AA241E">
      <w:pPr>
        <w:jc w:val="both"/>
      </w:pPr>
    </w:p>
    <w:p w14:paraId="4A048202" w14:textId="576A9A6C" w:rsidR="000E6B3A" w:rsidRPr="006E317E" w:rsidRDefault="000E6B3A" w:rsidP="00AA241E">
      <w:pPr>
        <w:jc w:val="both"/>
      </w:pPr>
      <w:r w:rsidRPr="006E317E">
        <w:t xml:space="preserve">Turuosade suuruse kohta vt </w:t>
      </w:r>
      <w:r w:rsidRPr="002E251B">
        <w:t xml:space="preserve">punkt </w:t>
      </w:r>
      <w:r w:rsidR="00D33C0E" w:rsidRPr="002E251B">
        <w:t>6</w:t>
      </w:r>
      <w:r w:rsidRPr="002E251B">
        <w:t>.1.2.1.</w:t>
      </w:r>
    </w:p>
    <w:p w14:paraId="29FC5E2B" w14:textId="2C5952F1" w:rsidR="000E6B3A" w:rsidRPr="006E317E" w:rsidRDefault="000E6B3A" w:rsidP="00AA241E">
      <w:pPr>
        <w:jc w:val="both"/>
      </w:pPr>
      <w:r w:rsidRPr="006E317E">
        <w:t xml:space="preserve">Nagu eelpool mainitud, on hulgituru analüüsi lähtepunktiks asjaomaste jaeturgude analüüs ja turuosade arvutamine ettevõtjate jaoks, kes pakuvad oma elektroonilise side võrgu kaudu lõppkasutajatele internetti. Lisaks tuleb turuosade arvutamisel arvesse võtta ka </w:t>
      </w:r>
      <w:proofErr w:type="spellStart"/>
      <w:r w:rsidR="002A1662" w:rsidRPr="002A1662">
        <w:rPr>
          <w:i/>
        </w:rPr>
        <w:t>Gr</w:t>
      </w:r>
      <w:r w:rsidR="00C318C1">
        <w:rPr>
          <w:i/>
        </w:rPr>
        <w:t>e</w:t>
      </w:r>
      <w:r w:rsidR="002A1662" w:rsidRPr="002A1662">
        <w:rPr>
          <w:i/>
        </w:rPr>
        <w:t>enfieldi</w:t>
      </w:r>
      <w:proofErr w:type="spellEnd"/>
      <w:r w:rsidRPr="006E317E">
        <w:t xml:space="preserve"> lähenemisviisi (vt punkt 4.3), eeldades, et asjaomastel turgudel ei reguleerita hulgi</w:t>
      </w:r>
      <w:r w:rsidR="00EF61A8">
        <w:t>teenuseid</w:t>
      </w:r>
      <w:r w:rsidRPr="006E317E">
        <w:t>.</w:t>
      </w:r>
    </w:p>
    <w:p w14:paraId="51B5707C" w14:textId="1FFFB89E" w:rsidR="000E6B3A" w:rsidRDefault="002A1662" w:rsidP="00AA241E">
      <w:pPr>
        <w:jc w:val="both"/>
      </w:pPr>
      <w:proofErr w:type="spellStart"/>
      <w:r w:rsidRPr="002A1662">
        <w:rPr>
          <w:i/>
        </w:rPr>
        <w:t>Gr</w:t>
      </w:r>
      <w:r w:rsidR="00C318C1">
        <w:rPr>
          <w:i/>
        </w:rPr>
        <w:t>e</w:t>
      </w:r>
      <w:r w:rsidRPr="002A1662">
        <w:rPr>
          <w:i/>
        </w:rPr>
        <w:t>enfieldi</w:t>
      </w:r>
      <w:proofErr w:type="spellEnd"/>
      <w:r w:rsidR="000E6B3A" w:rsidRPr="006E317E">
        <w:t xml:space="preserve"> lähenemisviis </w:t>
      </w:r>
      <w:r w:rsidR="001279B2">
        <w:t>hulgi</w:t>
      </w:r>
      <w:r w:rsidR="000E6B3A" w:rsidRPr="006E317E">
        <w:t xml:space="preserve">turule 3b tähendab, et jaeturu konkurentsi hindamisel ja sideettevõtjate turuosade arvutamisel eeldatakse, et  </w:t>
      </w:r>
      <w:r w:rsidR="001279B2">
        <w:t>hulgi</w:t>
      </w:r>
      <w:r w:rsidR="000E6B3A" w:rsidRPr="006E317E">
        <w:t xml:space="preserve">turu 3b teenuste aktiivseid </w:t>
      </w:r>
      <w:r w:rsidR="007F66F5">
        <w:t>kliendi</w:t>
      </w:r>
      <w:r w:rsidR="000E6B3A" w:rsidRPr="006E317E">
        <w:t xml:space="preserve">liine pakub Telia (MTE), mitte </w:t>
      </w:r>
      <w:r w:rsidR="007F66F5">
        <w:t>sideettevõtjad</w:t>
      </w:r>
      <w:r w:rsidR="000E6B3A" w:rsidRPr="006E317E">
        <w:t xml:space="preserve">, kes saavad neid </w:t>
      </w:r>
      <w:r w:rsidR="001279B2">
        <w:t>hulgi</w:t>
      </w:r>
      <w:r w:rsidR="000E6B3A" w:rsidRPr="006E317E">
        <w:t xml:space="preserve">turu 3b teenuseid hulgiteenusena, samas kui </w:t>
      </w:r>
      <w:r w:rsidR="001279B2">
        <w:t>hulgi</w:t>
      </w:r>
      <w:r w:rsidR="00A8027E" w:rsidRPr="006E317E">
        <w:t xml:space="preserve">turu </w:t>
      </w:r>
      <w:r w:rsidR="000E6B3A" w:rsidRPr="006E317E">
        <w:t xml:space="preserve">1. aktiivseid </w:t>
      </w:r>
      <w:r w:rsidR="00A8027E">
        <w:t>kliendi</w:t>
      </w:r>
      <w:r w:rsidR="000E6B3A" w:rsidRPr="006E317E">
        <w:t>liine jaeturul o</w:t>
      </w:r>
      <w:r w:rsidR="005B63BF">
        <w:t>mab</w:t>
      </w:r>
      <w:r w:rsidR="000E6B3A" w:rsidRPr="006E317E">
        <w:t xml:space="preserve"> sideettevõtja,  ja mitte MTE. Seda lähenemisviisi õigustab asjaolu, et </w:t>
      </w:r>
      <w:r w:rsidR="0007135D">
        <w:t>hulgiturg</w:t>
      </w:r>
      <w:r w:rsidR="000E6B3A" w:rsidRPr="006E317E">
        <w:t xml:space="preserve"> 3b järgneb </w:t>
      </w:r>
      <w:r w:rsidR="006A42EF">
        <w:t>hulgi</w:t>
      </w:r>
      <w:r w:rsidR="000E6B3A" w:rsidRPr="006E317E">
        <w:t xml:space="preserve">turule 1. Kui sideettevõtja osutab vabatahtlikult </w:t>
      </w:r>
      <w:r w:rsidR="001A7FB2">
        <w:t>hulgi</w:t>
      </w:r>
      <w:r w:rsidR="005B63BF" w:rsidRPr="006E317E">
        <w:t xml:space="preserve">turu </w:t>
      </w:r>
      <w:r w:rsidR="000E6B3A" w:rsidRPr="006E317E">
        <w:t xml:space="preserve">1. või </w:t>
      </w:r>
      <w:r w:rsidR="001A7FB2">
        <w:t>hulgi</w:t>
      </w:r>
      <w:r w:rsidR="000E6B3A" w:rsidRPr="006E317E">
        <w:t xml:space="preserve">turu 3b teenuseid hulgi teistele sideettevõtjatele, siis ei eeldata, et neid jaeteenuseid osutaks sideettevõtja ise, vaid sideettevõtja, kes ostab </w:t>
      </w:r>
      <w:r w:rsidR="006A42EF">
        <w:t>hulgi</w:t>
      </w:r>
      <w:r w:rsidR="000E6B3A" w:rsidRPr="006E317E">
        <w:t xml:space="preserve">turu 1 ja 3b teenuseid </w:t>
      </w:r>
      <w:r w:rsidR="000E6B3A" w:rsidRPr="006A42EF">
        <w:t>hulgi</w:t>
      </w:r>
      <w:r w:rsidR="000E6B3A" w:rsidRPr="006E317E">
        <w:t>.</w:t>
      </w:r>
    </w:p>
    <w:p w14:paraId="404CC5EB" w14:textId="66C8E84D" w:rsidR="004E4F94" w:rsidRDefault="005E16B5" w:rsidP="00AA241E">
      <w:pPr>
        <w:jc w:val="both"/>
      </w:pPr>
      <w:r w:rsidRPr="005E16B5">
        <w:t xml:space="preserve">Valguskaabelvõrgu internetiühenduste A piirkonna jaeturu </w:t>
      </w:r>
      <w:r w:rsidR="004E4F94">
        <w:t>suurimad sideettevõtjad, kes pakuvad oma elektroonilise sidevõrgu kaudu lõppkasutajatele internetti, on Telia, STV ja Elisa</w:t>
      </w:r>
      <w:r w:rsidR="00351FBB">
        <w:t xml:space="preserve"> (tabel 40)</w:t>
      </w:r>
      <w:r w:rsidR="004E4F94">
        <w:t xml:space="preserve">, kuid </w:t>
      </w:r>
      <w:r w:rsidR="009873D8" w:rsidRPr="009873D8">
        <w:t xml:space="preserve">valguskaabelvõrgu internetiühenduste B piirkonna jaeturul </w:t>
      </w:r>
      <w:r w:rsidR="004E4F94">
        <w:t>on Telia</w:t>
      </w:r>
      <w:r w:rsidR="00643E3B">
        <w:t xml:space="preserve"> turuosaks</w:t>
      </w:r>
      <w:r w:rsidR="004E4F94">
        <w:t xml:space="preserve"> </w:t>
      </w:r>
      <w:bookmarkStart w:id="851" w:name="_Hlk189816052"/>
      <w:r w:rsidR="006379B0" w:rsidRPr="006379B0">
        <w:t>…*</w:t>
      </w:r>
      <w:bookmarkEnd w:id="851"/>
      <w:r w:rsidR="004E4F94">
        <w:t>% ja STV</w:t>
      </w:r>
      <w:r w:rsidR="00136692">
        <w:t>-l</w:t>
      </w:r>
      <w:r w:rsidR="004E4F94">
        <w:t xml:space="preserve"> </w:t>
      </w:r>
      <w:r w:rsidR="006379B0" w:rsidRPr="006379B0">
        <w:t>…*</w:t>
      </w:r>
      <w:r w:rsidR="004E4F94">
        <w:t>% vt</w:t>
      </w:r>
      <w:r w:rsidR="00351FBB">
        <w:t xml:space="preserve"> tabel 41 ja</w:t>
      </w:r>
      <w:r w:rsidR="004E4F94">
        <w:t xml:space="preserve"> </w:t>
      </w:r>
      <w:r w:rsidR="004E4F94" w:rsidRPr="002E251B">
        <w:t>peatükk</w:t>
      </w:r>
      <w:r w:rsidR="00D33C0E" w:rsidRPr="002E251B">
        <w:t xml:space="preserve"> 6</w:t>
      </w:r>
      <w:r w:rsidR="004E4F94" w:rsidRPr="002E251B">
        <w:t>.1.1.1. Lisaks</w:t>
      </w:r>
      <w:r w:rsidR="004E4F94">
        <w:t xml:space="preserve"> on turuosade arvutamiseks lähtudes </w:t>
      </w:r>
      <w:proofErr w:type="spellStart"/>
      <w:r w:rsidR="002A1662" w:rsidRPr="002A1662">
        <w:rPr>
          <w:i/>
        </w:rPr>
        <w:t>Gr</w:t>
      </w:r>
      <w:r w:rsidR="00C318C1">
        <w:rPr>
          <w:i/>
        </w:rPr>
        <w:t>e</w:t>
      </w:r>
      <w:r w:rsidR="002A1662" w:rsidRPr="002A1662">
        <w:rPr>
          <w:i/>
        </w:rPr>
        <w:t>enfieldi</w:t>
      </w:r>
      <w:proofErr w:type="spellEnd"/>
      <w:r w:rsidR="004E4F94">
        <w:t xml:space="preserve"> lähenemisviisist </w:t>
      </w:r>
      <w:r w:rsidR="00F81188">
        <w:t>toodud välja</w:t>
      </w:r>
      <w:r w:rsidR="004E4F94">
        <w:t xml:space="preserve"> ka need sideettevõtjad, kes osutavad teistele sideettevõtjatele </w:t>
      </w:r>
      <w:r w:rsidR="009873D8">
        <w:t>hulgi</w:t>
      </w:r>
      <w:r w:rsidR="00F81188">
        <w:t xml:space="preserve">turu </w:t>
      </w:r>
      <w:r w:rsidR="004E4F94">
        <w:t>1. ja 3b teenuseid, mille maht on Eestis marginaalne võrreldes interneti pakkumisega oma võrku kasutades.</w:t>
      </w:r>
    </w:p>
    <w:tbl>
      <w:tblPr>
        <w:tblW w:w="8970" w:type="dxa"/>
        <w:tblCellMar>
          <w:left w:w="70" w:type="dxa"/>
          <w:right w:w="70" w:type="dxa"/>
        </w:tblCellMar>
        <w:tblLook w:val="04A0" w:firstRow="1" w:lastRow="0" w:firstColumn="1" w:lastColumn="0" w:noHBand="0" w:noVBand="1"/>
      </w:tblPr>
      <w:tblGrid>
        <w:gridCol w:w="1655"/>
        <w:gridCol w:w="1045"/>
        <w:gridCol w:w="1045"/>
        <w:gridCol w:w="1045"/>
        <w:gridCol w:w="1045"/>
        <w:gridCol w:w="1045"/>
        <w:gridCol w:w="1045"/>
        <w:gridCol w:w="1045"/>
      </w:tblGrid>
      <w:tr w:rsidR="004E4F94" w:rsidRPr="00565F65" w14:paraId="726588B0" w14:textId="77777777" w:rsidTr="00A92CA7">
        <w:trPr>
          <w:trHeight w:val="259"/>
        </w:trPr>
        <w:tc>
          <w:tcPr>
            <w:tcW w:w="1655" w:type="dxa"/>
            <w:tcBorders>
              <w:top w:val="single" w:sz="8" w:space="0" w:color="auto"/>
              <w:left w:val="single" w:sz="8" w:space="0" w:color="auto"/>
              <w:bottom w:val="single" w:sz="4" w:space="0" w:color="auto"/>
              <w:right w:val="single" w:sz="4" w:space="0" w:color="auto"/>
            </w:tcBorders>
            <w:shd w:val="clear" w:color="auto" w:fill="92D050"/>
            <w:noWrap/>
            <w:vAlign w:val="bottom"/>
            <w:hideMark/>
          </w:tcPr>
          <w:p w14:paraId="5C51AC8C" w14:textId="77777777" w:rsidR="004E4F94" w:rsidRPr="009873D8" w:rsidRDefault="004E4F94" w:rsidP="00AA241E">
            <w:pPr>
              <w:spacing w:after="0" w:line="240" w:lineRule="auto"/>
              <w:jc w:val="both"/>
              <w:rPr>
                <w:rFonts w:eastAsia="Times New Roman" w:cs="Times New Roman"/>
                <w:b/>
                <w:bCs/>
                <w:color w:val="000000"/>
                <w:sz w:val="22"/>
                <w:lang w:eastAsia="et-EE"/>
              </w:rPr>
            </w:pPr>
            <w:r w:rsidRPr="009873D8">
              <w:rPr>
                <w:rFonts w:eastAsia="Times New Roman" w:cs="Times New Roman"/>
                <w:b/>
                <w:bCs/>
                <w:color w:val="000000"/>
                <w:sz w:val="22"/>
                <w:lang w:eastAsia="lv-LV"/>
              </w:rPr>
              <w:t> Ettevõtja</w:t>
            </w:r>
          </w:p>
        </w:tc>
        <w:tc>
          <w:tcPr>
            <w:tcW w:w="1045" w:type="dxa"/>
            <w:tcBorders>
              <w:top w:val="single" w:sz="8" w:space="0" w:color="auto"/>
              <w:left w:val="nil"/>
              <w:bottom w:val="single" w:sz="4" w:space="0" w:color="auto"/>
              <w:right w:val="single" w:sz="4" w:space="0" w:color="auto"/>
            </w:tcBorders>
            <w:shd w:val="clear" w:color="auto" w:fill="92D050"/>
            <w:noWrap/>
            <w:vAlign w:val="bottom"/>
            <w:hideMark/>
          </w:tcPr>
          <w:p w14:paraId="44557171" w14:textId="77777777" w:rsidR="004E4F94" w:rsidRPr="009873D8" w:rsidRDefault="004E4F94" w:rsidP="00AA241E">
            <w:pPr>
              <w:spacing w:after="0" w:line="240" w:lineRule="auto"/>
              <w:jc w:val="both"/>
              <w:rPr>
                <w:rFonts w:eastAsia="Times New Roman" w:cs="Times New Roman"/>
                <w:b/>
                <w:bCs/>
                <w:color w:val="000000"/>
                <w:sz w:val="22"/>
                <w:lang w:eastAsia="lv-LV"/>
              </w:rPr>
            </w:pPr>
            <w:r w:rsidRPr="009873D8">
              <w:rPr>
                <w:rFonts w:eastAsia="Times New Roman" w:cs="Times New Roman"/>
                <w:b/>
                <w:bCs/>
                <w:color w:val="000000"/>
                <w:sz w:val="22"/>
                <w:lang w:eastAsia="lv-LV"/>
              </w:rPr>
              <w:t>2017</w:t>
            </w:r>
          </w:p>
        </w:tc>
        <w:tc>
          <w:tcPr>
            <w:tcW w:w="1045" w:type="dxa"/>
            <w:tcBorders>
              <w:top w:val="single" w:sz="8" w:space="0" w:color="auto"/>
              <w:left w:val="nil"/>
              <w:bottom w:val="single" w:sz="4" w:space="0" w:color="auto"/>
              <w:right w:val="single" w:sz="4" w:space="0" w:color="auto"/>
            </w:tcBorders>
            <w:shd w:val="clear" w:color="auto" w:fill="92D050"/>
            <w:noWrap/>
            <w:vAlign w:val="bottom"/>
            <w:hideMark/>
          </w:tcPr>
          <w:p w14:paraId="1CEDDC30" w14:textId="77777777" w:rsidR="004E4F94" w:rsidRPr="009873D8" w:rsidRDefault="004E4F94" w:rsidP="00AA241E">
            <w:pPr>
              <w:spacing w:after="0" w:line="240" w:lineRule="auto"/>
              <w:jc w:val="both"/>
              <w:rPr>
                <w:rFonts w:eastAsia="Times New Roman" w:cs="Times New Roman"/>
                <w:b/>
                <w:bCs/>
                <w:color w:val="000000"/>
                <w:sz w:val="22"/>
                <w:lang w:eastAsia="lv-LV"/>
              </w:rPr>
            </w:pPr>
            <w:r w:rsidRPr="009873D8">
              <w:rPr>
                <w:rFonts w:eastAsia="Times New Roman" w:cs="Times New Roman"/>
                <w:b/>
                <w:bCs/>
                <w:color w:val="000000"/>
                <w:sz w:val="22"/>
                <w:lang w:eastAsia="lv-LV"/>
              </w:rPr>
              <w:t>2018</w:t>
            </w:r>
          </w:p>
        </w:tc>
        <w:tc>
          <w:tcPr>
            <w:tcW w:w="1045" w:type="dxa"/>
            <w:tcBorders>
              <w:top w:val="single" w:sz="8" w:space="0" w:color="auto"/>
              <w:left w:val="nil"/>
              <w:bottom w:val="single" w:sz="4" w:space="0" w:color="auto"/>
              <w:right w:val="single" w:sz="4" w:space="0" w:color="auto"/>
            </w:tcBorders>
            <w:shd w:val="clear" w:color="auto" w:fill="92D050"/>
            <w:noWrap/>
            <w:vAlign w:val="bottom"/>
            <w:hideMark/>
          </w:tcPr>
          <w:p w14:paraId="6C24D2A2" w14:textId="77777777" w:rsidR="004E4F94" w:rsidRPr="009873D8" w:rsidRDefault="004E4F94" w:rsidP="00AA241E">
            <w:pPr>
              <w:spacing w:after="0" w:line="240" w:lineRule="auto"/>
              <w:jc w:val="both"/>
              <w:rPr>
                <w:rFonts w:eastAsia="Times New Roman" w:cs="Times New Roman"/>
                <w:b/>
                <w:bCs/>
                <w:color w:val="000000"/>
                <w:sz w:val="22"/>
                <w:lang w:eastAsia="lv-LV"/>
              </w:rPr>
            </w:pPr>
            <w:r w:rsidRPr="009873D8">
              <w:rPr>
                <w:rFonts w:eastAsia="Times New Roman" w:cs="Times New Roman"/>
                <w:b/>
                <w:bCs/>
                <w:color w:val="000000"/>
                <w:sz w:val="22"/>
                <w:lang w:eastAsia="lv-LV"/>
              </w:rPr>
              <w:t>2019</w:t>
            </w:r>
          </w:p>
        </w:tc>
        <w:tc>
          <w:tcPr>
            <w:tcW w:w="1045" w:type="dxa"/>
            <w:tcBorders>
              <w:top w:val="single" w:sz="8" w:space="0" w:color="auto"/>
              <w:left w:val="nil"/>
              <w:bottom w:val="single" w:sz="4" w:space="0" w:color="auto"/>
              <w:right w:val="single" w:sz="4" w:space="0" w:color="auto"/>
            </w:tcBorders>
            <w:shd w:val="clear" w:color="auto" w:fill="92D050"/>
            <w:noWrap/>
            <w:vAlign w:val="bottom"/>
            <w:hideMark/>
          </w:tcPr>
          <w:p w14:paraId="5BB18FB4" w14:textId="77777777" w:rsidR="004E4F94" w:rsidRPr="009873D8" w:rsidRDefault="004E4F94" w:rsidP="00AA241E">
            <w:pPr>
              <w:spacing w:after="0" w:line="240" w:lineRule="auto"/>
              <w:jc w:val="both"/>
              <w:rPr>
                <w:rFonts w:eastAsia="Times New Roman" w:cs="Times New Roman"/>
                <w:b/>
                <w:bCs/>
                <w:color w:val="000000"/>
                <w:sz w:val="22"/>
                <w:lang w:eastAsia="lv-LV"/>
              </w:rPr>
            </w:pPr>
            <w:r w:rsidRPr="009873D8">
              <w:rPr>
                <w:rFonts w:eastAsia="Times New Roman" w:cs="Times New Roman"/>
                <w:b/>
                <w:bCs/>
                <w:color w:val="000000"/>
                <w:sz w:val="22"/>
                <w:lang w:eastAsia="lv-LV"/>
              </w:rPr>
              <w:t>2020</w:t>
            </w:r>
          </w:p>
        </w:tc>
        <w:tc>
          <w:tcPr>
            <w:tcW w:w="1045" w:type="dxa"/>
            <w:tcBorders>
              <w:top w:val="single" w:sz="8" w:space="0" w:color="auto"/>
              <w:left w:val="nil"/>
              <w:bottom w:val="single" w:sz="4" w:space="0" w:color="auto"/>
              <w:right w:val="single" w:sz="4" w:space="0" w:color="auto"/>
            </w:tcBorders>
            <w:shd w:val="clear" w:color="auto" w:fill="92D050"/>
            <w:noWrap/>
            <w:vAlign w:val="bottom"/>
            <w:hideMark/>
          </w:tcPr>
          <w:p w14:paraId="45E2DA29" w14:textId="77777777" w:rsidR="004E4F94" w:rsidRPr="009873D8" w:rsidRDefault="004E4F94" w:rsidP="00AA241E">
            <w:pPr>
              <w:spacing w:after="0" w:line="240" w:lineRule="auto"/>
              <w:jc w:val="both"/>
              <w:rPr>
                <w:rFonts w:eastAsia="Times New Roman" w:cs="Times New Roman"/>
                <w:b/>
                <w:bCs/>
                <w:color w:val="000000"/>
                <w:sz w:val="22"/>
                <w:lang w:eastAsia="lv-LV"/>
              </w:rPr>
            </w:pPr>
            <w:r w:rsidRPr="009873D8">
              <w:rPr>
                <w:rFonts w:eastAsia="Times New Roman" w:cs="Times New Roman"/>
                <w:b/>
                <w:bCs/>
                <w:color w:val="000000"/>
                <w:sz w:val="22"/>
                <w:lang w:eastAsia="lv-LV"/>
              </w:rPr>
              <w:t>2021</w:t>
            </w:r>
          </w:p>
        </w:tc>
        <w:tc>
          <w:tcPr>
            <w:tcW w:w="1045" w:type="dxa"/>
            <w:tcBorders>
              <w:top w:val="single" w:sz="8" w:space="0" w:color="auto"/>
              <w:left w:val="nil"/>
              <w:bottom w:val="single" w:sz="4" w:space="0" w:color="auto"/>
              <w:right w:val="single" w:sz="4" w:space="0" w:color="auto"/>
            </w:tcBorders>
            <w:shd w:val="clear" w:color="auto" w:fill="92D050"/>
            <w:noWrap/>
            <w:vAlign w:val="bottom"/>
            <w:hideMark/>
          </w:tcPr>
          <w:p w14:paraId="2AD834B5" w14:textId="77777777" w:rsidR="004E4F94" w:rsidRPr="009873D8" w:rsidRDefault="004E4F94" w:rsidP="00AA241E">
            <w:pPr>
              <w:spacing w:after="0" w:line="240" w:lineRule="auto"/>
              <w:jc w:val="both"/>
              <w:rPr>
                <w:rFonts w:eastAsia="Times New Roman" w:cs="Times New Roman"/>
                <w:b/>
                <w:bCs/>
                <w:color w:val="000000"/>
                <w:sz w:val="22"/>
                <w:lang w:eastAsia="lv-LV"/>
              </w:rPr>
            </w:pPr>
            <w:r w:rsidRPr="009873D8">
              <w:rPr>
                <w:rFonts w:eastAsia="Times New Roman" w:cs="Times New Roman"/>
                <w:b/>
                <w:bCs/>
                <w:color w:val="000000"/>
                <w:sz w:val="22"/>
                <w:lang w:eastAsia="lv-LV"/>
              </w:rPr>
              <w:t>2022</w:t>
            </w:r>
          </w:p>
        </w:tc>
        <w:tc>
          <w:tcPr>
            <w:tcW w:w="1045" w:type="dxa"/>
            <w:tcBorders>
              <w:top w:val="single" w:sz="8" w:space="0" w:color="auto"/>
              <w:left w:val="nil"/>
              <w:bottom w:val="single" w:sz="4" w:space="0" w:color="auto"/>
              <w:right w:val="single" w:sz="8" w:space="0" w:color="auto"/>
            </w:tcBorders>
            <w:shd w:val="clear" w:color="auto" w:fill="92D050"/>
            <w:noWrap/>
            <w:vAlign w:val="bottom"/>
            <w:hideMark/>
          </w:tcPr>
          <w:p w14:paraId="436AC71D" w14:textId="77777777" w:rsidR="004E4F94" w:rsidRPr="009873D8" w:rsidRDefault="004E4F94" w:rsidP="00AA241E">
            <w:pPr>
              <w:spacing w:after="0" w:line="240" w:lineRule="auto"/>
              <w:jc w:val="both"/>
              <w:rPr>
                <w:rFonts w:eastAsia="Times New Roman" w:cs="Times New Roman"/>
                <w:b/>
                <w:bCs/>
                <w:color w:val="000000"/>
                <w:sz w:val="22"/>
                <w:lang w:eastAsia="lv-LV"/>
              </w:rPr>
            </w:pPr>
            <w:r w:rsidRPr="009873D8">
              <w:rPr>
                <w:rFonts w:eastAsia="Times New Roman" w:cs="Times New Roman"/>
                <w:b/>
                <w:bCs/>
                <w:color w:val="000000"/>
                <w:sz w:val="22"/>
                <w:lang w:eastAsia="lv-LV"/>
              </w:rPr>
              <w:t>2023</w:t>
            </w:r>
          </w:p>
        </w:tc>
      </w:tr>
      <w:tr w:rsidR="006379B0" w:rsidRPr="00565F65" w14:paraId="08F2D544" w14:textId="77777777" w:rsidTr="00B75240">
        <w:trPr>
          <w:trHeight w:val="259"/>
        </w:trPr>
        <w:tc>
          <w:tcPr>
            <w:tcW w:w="1655" w:type="dxa"/>
            <w:tcBorders>
              <w:top w:val="nil"/>
              <w:left w:val="single" w:sz="8" w:space="0" w:color="auto"/>
              <w:bottom w:val="single" w:sz="4" w:space="0" w:color="auto"/>
              <w:right w:val="single" w:sz="4" w:space="0" w:color="auto"/>
            </w:tcBorders>
            <w:shd w:val="clear" w:color="auto" w:fill="auto"/>
            <w:noWrap/>
            <w:vAlign w:val="bottom"/>
            <w:hideMark/>
          </w:tcPr>
          <w:p w14:paraId="3C39AA05" w14:textId="77777777" w:rsidR="006379B0" w:rsidRPr="009873D8" w:rsidRDefault="006379B0" w:rsidP="006379B0">
            <w:pPr>
              <w:spacing w:after="0" w:line="240" w:lineRule="auto"/>
              <w:jc w:val="both"/>
              <w:rPr>
                <w:rFonts w:eastAsia="Times New Roman" w:cs="Times New Roman"/>
                <w:color w:val="000000"/>
                <w:sz w:val="22"/>
                <w:lang w:eastAsia="lv-LV"/>
              </w:rPr>
            </w:pPr>
            <w:r w:rsidRPr="009873D8">
              <w:rPr>
                <w:rFonts w:eastAsia="Times New Roman" w:cs="Times New Roman"/>
                <w:color w:val="000000"/>
                <w:sz w:val="22"/>
                <w:lang w:eastAsia="lv-LV"/>
              </w:rPr>
              <w:t>Telia</w:t>
            </w:r>
          </w:p>
        </w:tc>
        <w:tc>
          <w:tcPr>
            <w:tcW w:w="1045" w:type="dxa"/>
            <w:tcBorders>
              <w:top w:val="nil"/>
              <w:left w:val="nil"/>
              <w:bottom w:val="single" w:sz="4" w:space="0" w:color="auto"/>
              <w:right w:val="single" w:sz="4" w:space="0" w:color="auto"/>
            </w:tcBorders>
            <w:shd w:val="clear" w:color="auto" w:fill="auto"/>
            <w:noWrap/>
            <w:hideMark/>
          </w:tcPr>
          <w:p w14:paraId="0B3C52D1" w14:textId="41B3E67A" w:rsidR="006379B0" w:rsidRPr="009873D8" w:rsidRDefault="006379B0" w:rsidP="006379B0">
            <w:pPr>
              <w:spacing w:after="0" w:line="240" w:lineRule="auto"/>
              <w:jc w:val="both"/>
              <w:rPr>
                <w:rFonts w:eastAsia="Times New Roman" w:cs="Times New Roman"/>
                <w:color w:val="000000"/>
                <w:sz w:val="22"/>
                <w:lang w:eastAsia="lv-LV"/>
              </w:rPr>
            </w:pPr>
            <w:r w:rsidRPr="00F614F4">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2441DCF7" w14:textId="151D0AD6" w:rsidR="006379B0" w:rsidRPr="009873D8" w:rsidRDefault="006379B0" w:rsidP="006379B0">
            <w:pPr>
              <w:spacing w:after="0" w:line="240" w:lineRule="auto"/>
              <w:jc w:val="both"/>
              <w:rPr>
                <w:rFonts w:eastAsia="Times New Roman" w:cs="Times New Roman"/>
                <w:color w:val="000000"/>
                <w:sz w:val="22"/>
                <w:lang w:eastAsia="lv-LV"/>
              </w:rPr>
            </w:pPr>
            <w:r w:rsidRPr="00F614F4">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0DC6BCAF" w14:textId="1CD65DB6" w:rsidR="006379B0" w:rsidRPr="009873D8" w:rsidRDefault="006379B0" w:rsidP="006379B0">
            <w:pPr>
              <w:spacing w:after="0" w:line="240" w:lineRule="auto"/>
              <w:jc w:val="both"/>
              <w:rPr>
                <w:rFonts w:eastAsia="Times New Roman" w:cs="Times New Roman"/>
                <w:color w:val="000000"/>
                <w:sz w:val="22"/>
                <w:lang w:eastAsia="lv-LV"/>
              </w:rPr>
            </w:pPr>
            <w:r w:rsidRPr="00F614F4">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1C414DF5" w14:textId="3565870D" w:rsidR="006379B0" w:rsidRPr="009873D8" w:rsidRDefault="006379B0" w:rsidP="006379B0">
            <w:pPr>
              <w:spacing w:after="0" w:line="240" w:lineRule="auto"/>
              <w:jc w:val="both"/>
              <w:rPr>
                <w:rFonts w:eastAsia="Times New Roman" w:cs="Times New Roman"/>
                <w:color w:val="000000"/>
                <w:sz w:val="22"/>
                <w:lang w:eastAsia="lv-LV"/>
              </w:rPr>
            </w:pPr>
            <w:r w:rsidRPr="00F614F4">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10587551" w14:textId="39B6FD4F" w:rsidR="006379B0" w:rsidRPr="009873D8" w:rsidRDefault="006379B0" w:rsidP="006379B0">
            <w:pPr>
              <w:spacing w:after="0" w:line="240" w:lineRule="auto"/>
              <w:jc w:val="both"/>
              <w:rPr>
                <w:rFonts w:eastAsia="Times New Roman" w:cs="Times New Roman"/>
                <w:color w:val="000000"/>
                <w:sz w:val="22"/>
                <w:lang w:eastAsia="lv-LV"/>
              </w:rPr>
            </w:pPr>
            <w:r w:rsidRPr="00F614F4">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2C995894" w14:textId="46E35502" w:rsidR="006379B0" w:rsidRPr="009873D8" w:rsidRDefault="006379B0" w:rsidP="006379B0">
            <w:pPr>
              <w:spacing w:after="0" w:line="240" w:lineRule="auto"/>
              <w:jc w:val="both"/>
              <w:rPr>
                <w:rFonts w:eastAsia="Times New Roman" w:cs="Times New Roman"/>
                <w:color w:val="000000"/>
                <w:sz w:val="22"/>
                <w:lang w:eastAsia="lv-LV"/>
              </w:rPr>
            </w:pPr>
            <w:r w:rsidRPr="00F614F4">
              <w:rPr>
                <w:sz w:val="22"/>
                <w:szCs w:val="22"/>
              </w:rPr>
              <w:t>…*%</w:t>
            </w:r>
          </w:p>
        </w:tc>
        <w:tc>
          <w:tcPr>
            <w:tcW w:w="1045" w:type="dxa"/>
            <w:tcBorders>
              <w:top w:val="nil"/>
              <w:left w:val="nil"/>
              <w:bottom w:val="single" w:sz="4" w:space="0" w:color="auto"/>
              <w:right w:val="single" w:sz="8" w:space="0" w:color="auto"/>
            </w:tcBorders>
            <w:shd w:val="clear" w:color="auto" w:fill="auto"/>
            <w:noWrap/>
            <w:hideMark/>
          </w:tcPr>
          <w:p w14:paraId="11E7E96E" w14:textId="4A4808CE" w:rsidR="006379B0" w:rsidRPr="009873D8" w:rsidRDefault="006379B0" w:rsidP="006379B0">
            <w:pPr>
              <w:spacing w:after="0" w:line="240" w:lineRule="auto"/>
              <w:jc w:val="both"/>
              <w:rPr>
                <w:rFonts w:eastAsia="Times New Roman" w:cs="Times New Roman"/>
                <w:color w:val="000000"/>
                <w:sz w:val="22"/>
                <w:lang w:eastAsia="lv-LV"/>
              </w:rPr>
            </w:pPr>
            <w:r w:rsidRPr="00F614F4">
              <w:rPr>
                <w:sz w:val="22"/>
                <w:szCs w:val="22"/>
              </w:rPr>
              <w:t>…*%</w:t>
            </w:r>
          </w:p>
        </w:tc>
      </w:tr>
      <w:tr w:rsidR="006B1262" w:rsidRPr="00565F65" w14:paraId="2A145898" w14:textId="77777777" w:rsidTr="00CC3DE8">
        <w:trPr>
          <w:trHeight w:val="259"/>
        </w:trPr>
        <w:tc>
          <w:tcPr>
            <w:tcW w:w="1655" w:type="dxa"/>
            <w:tcBorders>
              <w:top w:val="nil"/>
              <w:left w:val="single" w:sz="8" w:space="0" w:color="auto"/>
              <w:bottom w:val="single" w:sz="4" w:space="0" w:color="auto"/>
              <w:right w:val="single" w:sz="4" w:space="0" w:color="auto"/>
            </w:tcBorders>
            <w:shd w:val="clear" w:color="auto" w:fill="auto"/>
            <w:noWrap/>
            <w:vAlign w:val="bottom"/>
            <w:hideMark/>
          </w:tcPr>
          <w:p w14:paraId="66EC3CEF" w14:textId="77777777" w:rsidR="006B1262" w:rsidRPr="009873D8" w:rsidRDefault="006B1262" w:rsidP="006B1262">
            <w:pPr>
              <w:spacing w:after="0" w:line="240" w:lineRule="auto"/>
              <w:jc w:val="both"/>
              <w:rPr>
                <w:rFonts w:eastAsia="Times New Roman" w:cs="Times New Roman"/>
                <w:color w:val="000000"/>
                <w:sz w:val="22"/>
                <w:lang w:eastAsia="lv-LV"/>
              </w:rPr>
            </w:pPr>
            <w:r w:rsidRPr="009873D8">
              <w:rPr>
                <w:rFonts w:eastAsia="Times New Roman" w:cs="Times New Roman"/>
                <w:color w:val="000000"/>
                <w:sz w:val="22"/>
                <w:lang w:eastAsia="lv-LV"/>
              </w:rPr>
              <w:t>STV</w:t>
            </w:r>
          </w:p>
        </w:tc>
        <w:tc>
          <w:tcPr>
            <w:tcW w:w="1045" w:type="dxa"/>
            <w:tcBorders>
              <w:top w:val="nil"/>
              <w:left w:val="nil"/>
              <w:bottom w:val="single" w:sz="4" w:space="0" w:color="auto"/>
              <w:right w:val="single" w:sz="4" w:space="0" w:color="auto"/>
            </w:tcBorders>
            <w:shd w:val="clear" w:color="auto" w:fill="auto"/>
            <w:noWrap/>
            <w:hideMark/>
          </w:tcPr>
          <w:p w14:paraId="0FEA959D" w14:textId="676F1888"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357A5405" w14:textId="439DEE52"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30F60F32" w14:textId="6A6AB877"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6AB1C0A9" w14:textId="6C14FF30"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403908E2" w14:textId="49A6F12F"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671698BF" w14:textId="7324F51D"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8" w:space="0" w:color="auto"/>
            </w:tcBorders>
            <w:shd w:val="clear" w:color="auto" w:fill="auto"/>
            <w:noWrap/>
            <w:hideMark/>
          </w:tcPr>
          <w:p w14:paraId="68EEBEA3" w14:textId="4F914AB7"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r>
      <w:tr w:rsidR="006B1262" w:rsidRPr="00565F65" w14:paraId="22E7CB8A" w14:textId="77777777" w:rsidTr="00CC3DE8">
        <w:trPr>
          <w:trHeight w:val="259"/>
        </w:trPr>
        <w:tc>
          <w:tcPr>
            <w:tcW w:w="1655" w:type="dxa"/>
            <w:tcBorders>
              <w:top w:val="nil"/>
              <w:left w:val="single" w:sz="8" w:space="0" w:color="auto"/>
              <w:bottom w:val="single" w:sz="4" w:space="0" w:color="auto"/>
              <w:right w:val="single" w:sz="4" w:space="0" w:color="auto"/>
            </w:tcBorders>
            <w:shd w:val="clear" w:color="auto" w:fill="auto"/>
            <w:noWrap/>
            <w:vAlign w:val="bottom"/>
            <w:hideMark/>
          </w:tcPr>
          <w:p w14:paraId="69978FD7" w14:textId="77777777" w:rsidR="006B1262" w:rsidRPr="009873D8" w:rsidRDefault="006B1262" w:rsidP="006B1262">
            <w:pPr>
              <w:spacing w:after="0" w:line="240" w:lineRule="auto"/>
              <w:jc w:val="both"/>
              <w:rPr>
                <w:rFonts w:eastAsia="Times New Roman" w:cs="Times New Roman"/>
                <w:color w:val="000000"/>
                <w:sz w:val="22"/>
                <w:lang w:eastAsia="lv-LV"/>
              </w:rPr>
            </w:pPr>
            <w:r w:rsidRPr="009873D8">
              <w:rPr>
                <w:rFonts w:eastAsia="Times New Roman" w:cs="Times New Roman"/>
                <w:color w:val="000000"/>
                <w:sz w:val="22"/>
                <w:lang w:eastAsia="lv-LV"/>
              </w:rPr>
              <w:t>Elisa</w:t>
            </w:r>
          </w:p>
        </w:tc>
        <w:tc>
          <w:tcPr>
            <w:tcW w:w="1045" w:type="dxa"/>
            <w:tcBorders>
              <w:top w:val="nil"/>
              <w:left w:val="nil"/>
              <w:bottom w:val="single" w:sz="4" w:space="0" w:color="auto"/>
              <w:right w:val="single" w:sz="4" w:space="0" w:color="auto"/>
            </w:tcBorders>
            <w:shd w:val="clear" w:color="auto" w:fill="auto"/>
            <w:noWrap/>
            <w:hideMark/>
          </w:tcPr>
          <w:p w14:paraId="76761606" w14:textId="081606FA"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2B37EC1A" w14:textId="700A98D0"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1B69681B" w14:textId="2504F5DD"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35CB924D" w14:textId="0EB1470E"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5DB85A2E" w14:textId="46F75E8D"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0468781F" w14:textId="7E26A818"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8" w:space="0" w:color="auto"/>
            </w:tcBorders>
            <w:shd w:val="clear" w:color="auto" w:fill="auto"/>
            <w:noWrap/>
            <w:hideMark/>
          </w:tcPr>
          <w:p w14:paraId="36D4F5D5" w14:textId="652FCAD5"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r>
      <w:tr w:rsidR="006B1262" w:rsidRPr="00565F65" w14:paraId="2C4384EE" w14:textId="77777777" w:rsidTr="00CC3DE8">
        <w:trPr>
          <w:trHeight w:val="259"/>
        </w:trPr>
        <w:tc>
          <w:tcPr>
            <w:tcW w:w="1655" w:type="dxa"/>
            <w:tcBorders>
              <w:top w:val="nil"/>
              <w:left w:val="single" w:sz="8" w:space="0" w:color="auto"/>
              <w:bottom w:val="single" w:sz="4" w:space="0" w:color="auto"/>
              <w:right w:val="single" w:sz="4" w:space="0" w:color="auto"/>
            </w:tcBorders>
            <w:shd w:val="clear" w:color="auto" w:fill="auto"/>
            <w:noWrap/>
            <w:vAlign w:val="bottom"/>
            <w:hideMark/>
          </w:tcPr>
          <w:p w14:paraId="31783AD6" w14:textId="77777777" w:rsidR="006B1262" w:rsidRPr="009873D8" w:rsidRDefault="006B1262" w:rsidP="006B1262">
            <w:pPr>
              <w:spacing w:after="0" w:line="240" w:lineRule="auto"/>
              <w:jc w:val="both"/>
              <w:rPr>
                <w:rFonts w:eastAsia="Times New Roman" w:cs="Times New Roman"/>
                <w:color w:val="000000"/>
                <w:sz w:val="22"/>
                <w:lang w:eastAsia="lv-LV"/>
              </w:rPr>
            </w:pPr>
            <w:r w:rsidRPr="009873D8">
              <w:rPr>
                <w:rFonts w:eastAsia="Times New Roman" w:cs="Times New Roman"/>
                <w:color w:val="000000"/>
                <w:sz w:val="22"/>
                <w:lang w:eastAsia="lv-LV"/>
              </w:rPr>
              <w:t>Telset</w:t>
            </w:r>
          </w:p>
        </w:tc>
        <w:tc>
          <w:tcPr>
            <w:tcW w:w="1045" w:type="dxa"/>
            <w:tcBorders>
              <w:top w:val="nil"/>
              <w:left w:val="nil"/>
              <w:bottom w:val="single" w:sz="4" w:space="0" w:color="auto"/>
              <w:right w:val="single" w:sz="4" w:space="0" w:color="auto"/>
            </w:tcBorders>
            <w:shd w:val="clear" w:color="auto" w:fill="auto"/>
            <w:noWrap/>
            <w:hideMark/>
          </w:tcPr>
          <w:p w14:paraId="6C75E514" w14:textId="035A77E4"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01E21918" w14:textId="37CE4E3B"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59E965B0" w14:textId="51F856B1"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69EF0514" w14:textId="0657B620"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11A2AF94" w14:textId="7E3F3DD9"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2936760B" w14:textId="523DF11B"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8" w:space="0" w:color="auto"/>
            </w:tcBorders>
            <w:shd w:val="clear" w:color="auto" w:fill="auto"/>
            <w:noWrap/>
            <w:hideMark/>
          </w:tcPr>
          <w:p w14:paraId="295B3D18" w14:textId="10E239A6"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r>
      <w:tr w:rsidR="006B1262" w:rsidRPr="00565F65" w14:paraId="539DB9BE" w14:textId="77777777" w:rsidTr="00CC3DE8">
        <w:trPr>
          <w:trHeight w:val="259"/>
        </w:trPr>
        <w:tc>
          <w:tcPr>
            <w:tcW w:w="1655" w:type="dxa"/>
            <w:tcBorders>
              <w:top w:val="nil"/>
              <w:left w:val="single" w:sz="8" w:space="0" w:color="auto"/>
              <w:bottom w:val="single" w:sz="4" w:space="0" w:color="auto"/>
              <w:right w:val="single" w:sz="4" w:space="0" w:color="auto"/>
            </w:tcBorders>
            <w:shd w:val="clear" w:color="auto" w:fill="auto"/>
            <w:noWrap/>
            <w:vAlign w:val="bottom"/>
            <w:hideMark/>
          </w:tcPr>
          <w:p w14:paraId="354F75AE" w14:textId="77777777" w:rsidR="006B1262" w:rsidRPr="009873D8" w:rsidRDefault="006B1262" w:rsidP="006B1262">
            <w:pPr>
              <w:spacing w:after="0" w:line="240" w:lineRule="auto"/>
              <w:jc w:val="both"/>
              <w:rPr>
                <w:rFonts w:eastAsia="Times New Roman" w:cs="Times New Roman"/>
                <w:color w:val="000000"/>
                <w:sz w:val="22"/>
                <w:lang w:eastAsia="lv-LV"/>
              </w:rPr>
            </w:pPr>
            <w:r w:rsidRPr="009873D8">
              <w:rPr>
                <w:rFonts w:eastAsia="Times New Roman" w:cs="Times New Roman"/>
                <w:color w:val="000000"/>
                <w:sz w:val="22"/>
                <w:lang w:eastAsia="lv-LV"/>
              </w:rPr>
              <w:t>Tele2</w:t>
            </w:r>
          </w:p>
        </w:tc>
        <w:tc>
          <w:tcPr>
            <w:tcW w:w="1045" w:type="dxa"/>
            <w:tcBorders>
              <w:top w:val="nil"/>
              <w:left w:val="nil"/>
              <w:bottom w:val="single" w:sz="4" w:space="0" w:color="auto"/>
              <w:right w:val="single" w:sz="4" w:space="0" w:color="auto"/>
            </w:tcBorders>
            <w:shd w:val="clear" w:color="auto" w:fill="auto"/>
            <w:noWrap/>
            <w:hideMark/>
          </w:tcPr>
          <w:p w14:paraId="4462582C" w14:textId="23CAA476"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0BDD6029" w14:textId="7C9EFC4C"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46BEC602" w14:textId="31C87255"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1FBF0EA6" w14:textId="0F4E0273"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7FA1BA90" w14:textId="101C3466"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7A7F125B" w14:textId="0F68B562"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8" w:space="0" w:color="auto"/>
            </w:tcBorders>
            <w:shd w:val="clear" w:color="auto" w:fill="auto"/>
            <w:noWrap/>
            <w:hideMark/>
          </w:tcPr>
          <w:p w14:paraId="77F02A8F" w14:textId="57937B1F"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r>
      <w:tr w:rsidR="006B1262" w:rsidRPr="00565F65" w14:paraId="63717626" w14:textId="77777777" w:rsidTr="00CC3DE8">
        <w:trPr>
          <w:trHeight w:val="268"/>
        </w:trPr>
        <w:tc>
          <w:tcPr>
            <w:tcW w:w="1655" w:type="dxa"/>
            <w:tcBorders>
              <w:top w:val="nil"/>
              <w:left w:val="single" w:sz="8" w:space="0" w:color="auto"/>
              <w:bottom w:val="single" w:sz="4" w:space="0" w:color="auto"/>
              <w:right w:val="single" w:sz="4" w:space="0" w:color="auto"/>
            </w:tcBorders>
            <w:shd w:val="clear" w:color="auto" w:fill="auto"/>
            <w:noWrap/>
            <w:vAlign w:val="bottom"/>
            <w:hideMark/>
          </w:tcPr>
          <w:p w14:paraId="64EB895C" w14:textId="77777777" w:rsidR="006B1262" w:rsidRPr="009873D8" w:rsidRDefault="006B1262" w:rsidP="006B1262">
            <w:pPr>
              <w:spacing w:after="0" w:line="240" w:lineRule="auto"/>
              <w:jc w:val="both"/>
              <w:rPr>
                <w:rFonts w:eastAsia="Times New Roman" w:cs="Times New Roman"/>
                <w:color w:val="000000"/>
                <w:sz w:val="22"/>
                <w:lang w:eastAsia="lv-LV"/>
              </w:rPr>
            </w:pPr>
            <w:r w:rsidRPr="009873D8">
              <w:rPr>
                <w:rFonts w:eastAsia="Times New Roman" w:cs="Times New Roman"/>
                <w:color w:val="000000"/>
                <w:sz w:val="22"/>
                <w:lang w:eastAsia="lv-LV"/>
              </w:rPr>
              <w:t>Interframe</w:t>
            </w:r>
          </w:p>
        </w:tc>
        <w:tc>
          <w:tcPr>
            <w:tcW w:w="1045" w:type="dxa"/>
            <w:tcBorders>
              <w:top w:val="nil"/>
              <w:left w:val="nil"/>
              <w:bottom w:val="single" w:sz="4" w:space="0" w:color="auto"/>
              <w:right w:val="single" w:sz="4" w:space="0" w:color="auto"/>
            </w:tcBorders>
            <w:shd w:val="clear" w:color="auto" w:fill="auto"/>
            <w:noWrap/>
            <w:hideMark/>
          </w:tcPr>
          <w:p w14:paraId="3B01785F" w14:textId="09CA150A"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4273A835" w14:textId="4D88C80F"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6A08CEF8" w14:textId="5ED934CF"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6EF8F880" w14:textId="7FB6F974"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606242BB" w14:textId="63810D71"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34A6E011" w14:textId="797A232E"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8" w:space="0" w:color="auto"/>
            </w:tcBorders>
            <w:shd w:val="clear" w:color="auto" w:fill="auto"/>
            <w:noWrap/>
            <w:hideMark/>
          </w:tcPr>
          <w:p w14:paraId="00EEC7BE" w14:textId="748F99B7"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r>
      <w:tr w:rsidR="006B1262" w:rsidRPr="00565F65" w14:paraId="34E686BA" w14:textId="77777777" w:rsidTr="00CC3DE8">
        <w:trPr>
          <w:trHeight w:val="259"/>
        </w:trPr>
        <w:tc>
          <w:tcPr>
            <w:tcW w:w="1655" w:type="dxa"/>
            <w:tcBorders>
              <w:top w:val="nil"/>
              <w:left w:val="single" w:sz="8" w:space="0" w:color="auto"/>
              <w:bottom w:val="single" w:sz="4" w:space="0" w:color="auto"/>
              <w:right w:val="single" w:sz="4" w:space="0" w:color="auto"/>
            </w:tcBorders>
            <w:shd w:val="clear" w:color="auto" w:fill="auto"/>
            <w:noWrap/>
            <w:vAlign w:val="bottom"/>
            <w:hideMark/>
          </w:tcPr>
          <w:p w14:paraId="12CE7D81" w14:textId="77777777" w:rsidR="006B1262" w:rsidRPr="009873D8" w:rsidRDefault="006B1262" w:rsidP="006B1262">
            <w:pPr>
              <w:spacing w:after="0" w:line="240" w:lineRule="auto"/>
              <w:jc w:val="both"/>
              <w:rPr>
                <w:rFonts w:eastAsia="Times New Roman" w:cs="Times New Roman"/>
                <w:color w:val="000000"/>
                <w:sz w:val="22"/>
                <w:lang w:eastAsia="lv-LV"/>
              </w:rPr>
            </w:pPr>
            <w:r w:rsidRPr="009873D8">
              <w:rPr>
                <w:rFonts w:eastAsia="Times New Roman" w:cs="Times New Roman"/>
                <w:color w:val="000000"/>
                <w:sz w:val="22"/>
                <w:lang w:eastAsia="lv-LV"/>
              </w:rPr>
              <w:t>Uus programm</w:t>
            </w:r>
          </w:p>
        </w:tc>
        <w:tc>
          <w:tcPr>
            <w:tcW w:w="1045" w:type="dxa"/>
            <w:tcBorders>
              <w:top w:val="nil"/>
              <w:left w:val="nil"/>
              <w:bottom w:val="single" w:sz="4" w:space="0" w:color="auto"/>
              <w:right w:val="single" w:sz="4" w:space="0" w:color="auto"/>
            </w:tcBorders>
            <w:shd w:val="clear" w:color="auto" w:fill="auto"/>
            <w:noWrap/>
            <w:hideMark/>
          </w:tcPr>
          <w:p w14:paraId="16B179CF" w14:textId="17FF7BF3"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319AB9AA" w14:textId="424E3A6F"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17D182D5" w14:textId="200885A6"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5B94D136" w14:textId="1CD1C9D6"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772AE86B" w14:textId="7ECD0942"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44234EFA" w14:textId="0EB65511"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8" w:space="0" w:color="auto"/>
            </w:tcBorders>
            <w:shd w:val="clear" w:color="auto" w:fill="auto"/>
            <w:noWrap/>
            <w:hideMark/>
          </w:tcPr>
          <w:p w14:paraId="19999B46" w14:textId="27DA709A"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r>
      <w:tr w:rsidR="006B1262" w:rsidRPr="00565F65" w14:paraId="3FF7E6F5" w14:textId="77777777" w:rsidTr="00CC3DE8">
        <w:trPr>
          <w:trHeight w:val="259"/>
        </w:trPr>
        <w:tc>
          <w:tcPr>
            <w:tcW w:w="1655" w:type="dxa"/>
            <w:tcBorders>
              <w:top w:val="nil"/>
              <w:left w:val="single" w:sz="8" w:space="0" w:color="auto"/>
              <w:bottom w:val="single" w:sz="4" w:space="0" w:color="auto"/>
              <w:right w:val="single" w:sz="4" w:space="0" w:color="auto"/>
            </w:tcBorders>
            <w:shd w:val="clear" w:color="auto" w:fill="auto"/>
            <w:noWrap/>
            <w:vAlign w:val="bottom"/>
            <w:hideMark/>
          </w:tcPr>
          <w:p w14:paraId="0ACB4D30" w14:textId="77777777" w:rsidR="006B1262" w:rsidRPr="009873D8" w:rsidRDefault="006B1262" w:rsidP="006B1262">
            <w:pPr>
              <w:spacing w:after="0" w:line="240" w:lineRule="auto"/>
              <w:jc w:val="both"/>
              <w:rPr>
                <w:rFonts w:eastAsia="Times New Roman" w:cs="Times New Roman"/>
                <w:color w:val="000000"/>
                <w:sz w:val="22"/>
                <w:lang w:eastAsia="lv-LV"/>
              </w:rPr>
            </w:pPr>
            <w:r w:rsidRPr="009873D8">
              <w:rPr>
                <w:rFonts w:eastAsia="Times New Roman" w:cs="Times New Roman"/>
                <w:color w:val="000000"/>
                <w:sz w:val="22"/>
                <w:lang w:eastAsia="lv-LV"/>
              </w:rPr>
              <w:t>Fill Network</w:t>
            </w:r>
          </w:p>
        </w:tc>
        <w:tc>
          <w:tcPr>
            <w:tcW w:w="1045" w:type="dxa"/>
            <w:tcBorders>
              <w:top w:val="nil"/>
              <w:left w:val="nil"/>
              <w:bottom w:val="single" w:sz="4" w:space="0" w:color="auto"/>
              <w:right w:val="single" w:sz="4" w:space="0" w:color="auto"/>
            </w:tcBorders>
            <w:shd w:val="clear" w:color="auto" w:fill="auto"/>
            <w:noWrap/>
            <w:hideMark/>
          </w:tcPr>
          <w:p w14:paraId="345CE615" w14:textId="015112CE"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6AF37D95" w14:textId="69FEC37B"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1A25A1AF" w14:textId="38A9D123"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30B8876C" w14:textId="1B7E57D1"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323013B3" w14:textId="7D67C0D5"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4" w:space="0" w:color="auto"/>
            </w:tcBorders>
            <w:shd w:val="clear" w:color="auto" w:fill="auto"/>
            <w:noWrap/>
            <w:hideMark/>
          </w:tcPr>
          <w:p w14:paraId="79708F38" w14:textId="482A15E2"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45" w:type="dxa"/>
            <w:tcBorders>
              <w:top w:val="nil"/>
              <w:left w:val="nil"/>
              <w:bottom w:val="single" w:sz="4" w:space="0" w:color="auto"/>
              <w:right w:val="single" w:sz="8" w:space="0" w:color="auto"/>
            </w:tcBorders>
            <w:shd w:val="clear" w:color="auto" w:fill="auto"/>
            <w:noWrap/>
            <w:hideMark/>
          </w:tcPr>
          <w:p w14:paraId="6E334556" w14:textId="661A58EE"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r>
      <w:tr w:rsidR="004E4F94" w:rsidRPr="00565F65" w14:paraId="40DD9082" w14:textId="77777777">
        <w:trPr>
          <w:trHeight w:val="268"/>
        </w:trPr>
        <w:tc>
          <w:tcPr>
            <w:tcW w:w="1655" w:type="dxa"/>
            <w:tcBorders>
              <w:top w:val="nil"/>
              <w:left w:val="single" w:sz="8" w:space="0" w:color="auto"/>
              <w:bottom w:val="single" w:sz="8" w:space="0" w:color="auto"/>
              <w:right w:val="single" w:sz="4" w:space="0" w:color="auto"/>
            </w:tcBorders>
            <w:shd w:val="clear" w:color="auto" w:fill="auto"/>
            <w:noWrap/>
            <w:vAlign w:val="bottom"/>
            <w:hideMark/>
          </w:tcPr>
          <w:p w14:paraId="24642271" w14:textId="77777777" w:rsidR="004E4F94" w:rsidRPr="009873D8" w:rsidRDefault="004E4F94" w:rsidP="00AA241E">
            <w:pPr>
              <w:spacing w:after="0" w:line="240" w:lineRule="auto"/>
              <w:jc w:val="both"/>
              <w:rPr>
                <w:rFonts w:eastAsia="Times New Roman" w:cs="Times New Roman"/>
                <w:color w:val="000000"/>
                <w:sz w:val="22"/>
                <w:lang w:eastAsia="lv-LV"/>
              </w:rPr>
            </w:pPr>
            <w:r w:rsidRPr="009873D8">
              <w:rPr>
                <w:rFonts w:eastAsia="Times New Roman" w:cs="Times New Roman"/>
                <w:color w:val="000000"/>
                <w:sz w:val="22"/>
                <w:lang w:eastAsia="lv-LV"/>
              </w:rPr>
              <w:t>Kokku</w:t>
            </w:r>
          </w:p>
        </w:tc>
        <w:tc>
          <w:tcPr>
            <w:tcW w:w="1045" w:type="dxa"/>
            <w:tcBorders>
              <w:top w:val="nil"/>
              <w:left w:val="nil"/>
              <w:bottom w:val="single" w:sz="8" w:space="0" w:color="auto"/>
              <w:right w:val="single" w:sz="4" w:space="0" w:color="auto"/>
            </w:tcBorders>
            <w:shd w:val="clear" w:color="auto" w:fill="auto"/>
            <w:noWrap/>
            <w:vAlign w:val="bottom"/>
            <w:hideMark/>
          </w:tcPr>
          <w:p w14:paraId="308A0FEF" w14:textId="77777777" w:rsidR="004E4F94" w:rsidRPr="009873D8" w:rsidRDefault="004E4F94" w:rsidP="00AA241E">
            <w:pPr>
              <w:spacing w:after="0" w:line="240" w:lineRule="auto"/>
              <w:jc w:val="both"/>
              <w:rPr>
                <w:rFonts w:eastAsia="Times New Roman" w:cs="Times New Roman"/>
                <w:color w:val="000000"/>
                <w:sz w:val="22"/>
                <w:lang w:eastAsia="lv-LV"/>
              </w:rPr>
            </w:pPr>
            <w:r w:rsidRPr="009873D8">
              <w:rPr>
                <w:rFonts w:eastAsia="Times New Roman" w:cs="Times New Roman"/>
                <w:color w:val="000000"/>
                <w:sz w:val="22"/>
                <w:lang w:eastAsia="lv-LV"/>
              </w:rPr>
              <w:t>100%</w:t>
            </w:r>
          </w:p>
        </w:tc>
        <w:tc>
          <w:tcPr>
            <w:tcW w:w="1045" w:type="dxa"/>
            <w:tcBorders>
              <w:top w:val="nil"/>
              <w:left w:val="nil"/>
              <w:bottom w:val="single" w:sz="8" w:space="0" w:color="auto"/>
              <w:right w:val="single" w:sz="4" w:space="0" w:color="auto"/>
            </w:tcBorders>
            <w:shd w:val="clear" w:color="auto" w:fill="auto"/>
            <w:noWrap/>
            <w:vAlign w:val="bottom"/>
            <w:hideMark/>
          </w:tcPr>
          <w:p w14:paraId="3B921738" w14:textId="77777777" w:rsidR="004E4F94" w:rsidRPr="009873D8" w:rsidRDefault="004E4F94" w:rsidP="00AA241E">
            <w:pPr>
              <w:spacing w:after="0" w:line="240" w:lineRule="auto"/>
              <w:jc w:val="both"/>
              <w:rPr>
                <w:rFonts w:eastAsia="Times New Roman" w:cs="Times New Roman"/>
                <w:color w:val="000000"/>
                <w:sz w:val="22"/>
                <w:lang w:eastAsia="lv-LV"/>
              </w:rPr>
            </w:pPr>
            <w:r w:rsidRPr="009873D8">
              <w:rPr>
                <w:rFonts w:eastAsia="Times New Roman" w:cs="Times New Roman"/>
                <w:color w:val="000000"/>
                <w:sz w:val="22"/>
                <w:lang w:eastAsia="lv-LV"/>
              </w:rPr>
              <w:t>100%</w:t>
            </w:r>
          </w:p>
        </w:tc>
        <w:tc>
          <w:tcPr>
            <w:tcW w:w="1045" w:type="dxa"/>
            <w:tcBorders>
              <w:top w:val="nil"/>
              <w:left w:val="nil"/>
              <w:bottom w:val="single" w:sz="8" w:space="0" w:color="auto"/>
              <w:right w:val="single" w:sz="4" w:space="0" w:color="auto"/>
            </w:tcBorders>
            <w:shd w:val="clear" w:color="auto" w:fill="auto"/>
            <w:noWrap/>
            <w:vAlign w:val="bottom"/>
            <w:hideMark/>
          </w:tcPr>
          <w:p w14:paraId="6E919F8D" w14:textId="77777777" w:rsidR="004E4F94" w:rsidRPr="009873D8" w:rsidRDefault="004E4F94" w:rsidP="00AA241E">
            <w:pPr>
              <w:spacing w:after="0" w:line="240" w:lineRule="auto"/>
              <w:jc w:val="both"/>
              <w:rPr>
                <w:rFonts w:eastAsia="Times New Roman" w:cs="Times New Roman"/>
                <w:color w:val="000000"/>
                <w:sz w:val="22"/>
                <w:lang w:eastAsia="lv-LV"/>
              </w:rPr>
            </w:pPr>
            <w:r w:rsidRPr="009873D8">
              <w:rPr>
                <w:rFonts w:eastAsia="Times New Roman" w:cs="Times New Roman"/>
                <w:color w:val="000000"/>
                <w:sz w:val="22"/>
                <w:lang w:eastAsia="lv-LV"/>
              </w:rPr>
              <w:t>100%</w:t>
            </w:r>
          </w:p>
        </w:tc>
        <w:tc>
          <w:tcPr>
            <w:tcW w:w="1045" w:type="dxa"/>
            <w:tcBorders>
              <w:top w:val="nil"/>
              <w:left w:val="nil"/>
              <w:bottom w:val="single" w:sz="8" w:space="0" w:color="auto"/>
              <w:right w:val="single" w:sz="4" w:space="0" w:color="auto"/>
            </w:tcBorders>
            <w:shd w:val="clear" w:color="auto" w:fill="auto"/>
            <w:noWrap/>
            <w:vAlign w:val="bottom"/>
            <w:hideMark/>
          </w:tcPr>
          <w:p w14:paraId="63A2C6C0" w14:textId="77777777" w:rsidR="004E4F94" w:rsidRPr="009873D8" w:rsidRDefault="004E4F94" w:rsidP="00AA241E">
            <w:pPr>
              <w:spacing w:after="0" w:line="240" w:lineRule="auto"/>
              <w:jc w:val="both"/>
              <w:rPr>
                <w:rFonts w:eastAsia="Times New Roman" w:cs="Times New Roman"/>
                <w:color w:val="000000"/>
                <w:sz w:val="22"/>
                <w:lang w:eastAsia="lv-LV"/>
              </w:rPr>
            </w:pPr>
            <w:r w:rsidRPr="009873D8">
              <w:rPr>
                <w:rFonts w:eastAsia="Times New Roman" w:cs="Times New Roman"/>
                <w:color w:val="000000"/>
                <w:sz w:val="22"/>
                <w:lang w:eastAsia="lv-LV"/>
              </w:rPr>
              <w:t>100%</w:t>
            </w:r>
          </w:p>
        </w:tc>
        <w:tc>
          <w:tcPr>
            <w:tcW w:w="1045" w:type="dxa"/>
            <w:tcBorders>
              <w:top w:val="nil"/>
              <w:left w:val="nil"/>
              <w:bottom w:val="single" w:sz="8" w:space="0" w:color="auto"/>
              <w:right w:val="single" w:sz="4" w:space="0" w:color="auto"/>
            </w:tcBorders>
            <w:shd w:val="clear" w:color="auto" w:fill="auto"/>
            <w:noWrap/>
            <w:vAlign w:val="bottom"/>
            <w:hideMark/>
          </w:tcPr>
          <w:p w14:paraId="76AFAE8E" w14:textId="77777777" w:rsidR="004E4F94" w:rsidRPr="009873D8" w:rsidRDefault="004E4F94" w:rsidP="00AA241E">
            <w:pPr>
              <w:spacing w:after="0" w:line="240" w:lineRule="auto"/>
              <w:jc w:val="both"/>
              <w:rPr>
                <w:rFonts w:eastAsia="Times New Roman" w:cs="Times New Roman"/>
                <w:color w:val="000000"/>
                <w:sz w:val="22"/>
                <w:lang w:eastAsia="lv-LV"/>
              </w:rPr>
            </w:pPr>
            <w:r w:rsidRPr="009873D8">
              <w:rPr>
                <w:rFonts w:eastAsia="Times New Roman" w:cs="Times New Roman"/>
                <w:color w:val="000000"/>
                <w:sz w:val="22"/>
                <w:lang w:eastAsia="lv-LV"/>
              </w:rPr>
              <w:t>100%</w:t>
            </w:r>
          </w:p>
        </w:tc>
        <w:tc>
          <w:tcPr>
            <w:tcW w:w="1045" w:type="dxa"/>
            <w:tcBorders>
              <w:top w:val="nil"/>
              <w:left w:val="nil"/>
              <w:bottom w:val="single" w:sz="8" w:space="0" w:color="auto"/>
              <w:right w:val="single" w:sz="4" w:space="0" w:color="auto"/>
            </w:tcBorders>
            <w:shd w:val="clear" w:color="auto" w:fill="auto"/>
            <w:noWrap/>
            <w:vAlign w:val="bottom"/>
            <w:hideMark/>
          </w:tcPr>
          <w:p w14:paraId="4CC872A0" w14:textId="77777777" w:rsidR="004E4F94" w:rsidRPr="009873D8" w:rsidRDefault="004E4F94" w:rsidP="00AA241E">
            <w:pPr>
              <w:spacing w:after="0" w:line="240" w:lineRule="auto"/>
              <w:jc w:val="both"/>
              <w:rPr>
                <w:rFonts w:eastAsia="Times New Roman" w:cs="Times New Roman"/>
                <w:color w:val="000000"/>
                <w:sz w:val="22"/>
                <w:lang w:eastAsia="lv-LV"/>
              </w:rPr>
            </w:pPr>
            <w:r w:rsidRPr="009873D8">
              <w:rPr>
                <w:rFonts w:eastAsia="Times New Roman" w:cs="Times New Roman"/>
                <w:color w:val="000000"/>
                <w:sz w:val="22"/>
                <w:lang w:eastAsia="lv-LV"/>
              </w:rPr>
              <w:t>100%</w:t>
            </w:r>
          </w:p>
        </w:tc>
        <w:tc>
          <w:tcPr>
            <w:tcW w:w="1045" w:type="dxa"/>
            <w:tcBorders>
              <w:top w:val="nil"/>
              <w:left w:val="nil"/>
              <w:bottom w:val="single" w:sz="8" w:space="0" w:color="auto"/>
              <w:right w:val="single" w:sz="8" w:space="0" w:color="auto"/>
            </w:tcBorders>
            <w:shd w:val="clear" w:color="auto" w:fill="auto"/>
            <w:noWrap/>
            <w:vAlign w:val="bottom"/>
            <w:hideMark/>
          </w:tcPr>
          <w:p w14:paraId="40E23379" w14:textId="77777777" w:rsidR="004E4F94" w:rsidRPr="009873D8" w:rsidRDefault="004E4F94" w:rsidP="00AA241E">
            <w:pPr>
              <w:spacing w:after="0" w:line="240" w:lineRule="auto"/>
              <w:jc w:val="both"/>
              <w:rPr>
                <w:rFonts w:eastAsia="Times New Roman" w:cs="Times New Roman"/>
                <w:color w:val="000000"/>
                <w:sz w:val="22"/>
                <w:lang w:eastAsia="lv-LV"/>
              </w:rPr>
            </w:pPr>
            <w:r w:rsidRPr="009873D8">
              <w:rPr>
                <w:rFonts w:eastAsia="Times New Roman" w:cs="Times New Roman"/>
                <w:color w:val="000000"/>
                <w:sz w:val="22"/>
                <w:lang w:eastAsia="lv-LV"/>
              </w:rPr>
              <w:t>100%</w:t>
            </w:r>
          </w:p>
        </w:tc>
      </w:tr>
    </w:tbl>
    <w:p w14:paraId="0EFDA61E" w14:textId="40755B19" w:rsidR="009C60DB" w:rsidRDefault="004E4F94" w:rsidP="00AA241E">
      <w:pPr>
        <w:pStyle w:val="Pealdis"/>
        <w:jc w:val="both"/>
      </w:pPr>
      <w:r>
        <w:t xml:space="preserve">Tabel </w:t>
      </w:r>
      <w:r>
        <w:fldChar w:fldCharType="begin"/>
      </w:r>
      <w:r>
        <w:instrText xml:space="preserve"> SEQ Tabel \* ARABIC </w:instrText>
      </w:r>
      <w:r>
        <w:fldChar w:fldCharType="separate"/>
      </w:r>
      <w:r w:rsidR="00247D84">
        <w:rPr>
          <w:noProof/>
        </w:rPr>
        <w:t>40</w:t>
      </w:r>
      <w:r>
        <w:fldChar w:fldCharType="end"/>
      </w:r>
      <w:r>
        <w:t xml:space="preserve"> </w:t>
      </w:r>
      <w:r w:rsidR="00A3232C">
        <w:t>Valguskaabelvõrgu</w:t>
      </w:r>
      <w:r w:rsidR="009D2640" w:rsidRPr="00AC04C7">
        <w:t xml:space="preserve"> jaetasandi internetiühenduste tootetur</w:t>
      </w:r>
      <w:r w:rsidR="009D2640">
        <w:t xml:space="preserve">u </w:t>
      </w:r>
      <w:r>
        <w:t>dünaamika Eesti piirkonnas A aastatel 2017-2023</w:t>
      </w:r>
    </w:p>
    <w:p w14:paraId="0ACD25AE" w14:textId="77777777" w:rsidR="009C60DB" w:rsidRDefault="009C60DB" w:rsidP="00AA241E">
      <w:pPr>
        <w:jc w:val="both"/>
        <w:rPr>
          <w:rFonts w:eastAsia="Times New Roman" w:cs="Times New Roman"/>
          <w:b/>
          <w:bCs/>
          <w:sz w:val="20"/>
          <w:szCs w:val="20"/>
          <w:lang w:eastAsia="ar-SA"/>
        </w:rPr>
      </w:pPr>
      <w:r>
        <w:br w:type="page"/>
      </w:r>
    </w:p>
    <w:tbl>
      <w:tblPr>
        <w:tblW w:w="9081" w:type="dxa"/>
        <w:tblCellMar>
          <w:left w:w="70" w:type="dxa"/>
          <w:right w:w="70" w:type="dxa"/>
        </w:tblCellMar>
        <w:tblLook w:val="04A0" w:firstRow="1" w:lastRow="0" w:firstColumn="1" w:lastColumn="0" w:noHBand="0" w:noVBand="1"/>
      </w:tblPr>
      <w:tblGrid>
        <w:gridCol w:w="1714"/>
        <w:gridCol w:w="1097"/>
        <w:gridCol w:w="940"/>
        <w:gridCol w:w="1098"/>
        <w:gridCol w:w="1097"/>
        <w:gridCol w:w="1097"/>
        <w:gridCol w:w="941"/>
        <w:gridCol w:w="1097"/>
      </w:tblGrid>
      <w:tr w:rsidR="004E4F94" w:rsidRPr="00565F65" w14:paraId="2BC09E86" w14:textId="77777777" w:rsidTr="00A92CA7">
        <w:trPr>
          <w:trHeight w:val="259"/>
        </w:trPr>
        <w:tc>
          <w:tcPr>
            <w:tcW w:w="1714" w:type="dxa"/>
            <w:tcBorders>
              <w:top w:val="single" w:sz="8" w:space="0" w:color="auto"/>
              <w:left w:val="single" w:sz="8" w:space="0" w:color="auto"/>
              <w:bottom w:val="single" w:sz="4" w:space="0" w:color="auto"/>
              <w:right w:val="single" w:sz="4" w:space="0" w:color="auto"/>
            </w:tcBorders>
            <w:shd w:val="clear" w:color="auto" w:fill="92D050"/>
            <w:noWrap/>
            <w:vAlign w:val="bottom"/>
            <w:hideMark/>
          </w:tcPr>
          <w:p w14:paraId="33DA8D0A" w14:textId="09BDC100" w:rsidR="004E4F94" w:rsidRPr="00EB64ED" w:rsidRDefault="004E4F94" w:rsidP="00AA241E">
            <w:pPr>
              <w:spacing w:after="0" w:line="240" w:lineRule="auto"/>
              <w:jc w:val="both"/>
              <w:rPr>
                <w:rFonts w:eastAsia="Times New Roman" w:cs="Times New Roman"/>
                <w:b/>
                <w:bCs/>
                <w:color w:val="000000"/>
                <w:sz w:val="22"/>
                <w:lang w:eastAsia="et-EE"/>
              </w:rPr>
            </w:pPr>
            <w:r w:rsidRPr="00EB64ED">
              <w:rPr>
                <w:rFonts w:eastAsia="Times New Roman" w:cs="Times New Roman"/>
                <w:b/>
                <w:bCs/>
                <w:color w:val="000000"/>
                <w:sz w:val="22"/>
                <w:lang w:eastAsia="lv-LV"/>
              </w:rPr>
              <w:lastRenderedPageBreak/>
              <w:t> </w:t>
            </w:r>
            <w:r w:rsidR="00A92CA7" w:rsidRPr="00EB64ED">
              <w:rPr>
                <w:rFonts w:eastAsia="Times New Roman" w:cs="Times New Roman"/>
                <w:b/>
                <w:bCs/>
                <w:color w:val="000000"/>
                <w:sz w:val="22"/>
                <w:lang w:eastAsia="lv-LV"/>
              </w:rPr>
              <w:t>Ettevõtja</w:t>
            </w:r>
          </w:p>
        </w:tc>
        <w:tc>
          <w:tcPr>
            <w:tcW w:w="1097" w:type="dxa"/>
            <w:tcBorders>
              <w:top w:val="single" w:sz="8" w:space="0" w:color="auto"/>
              <w:left w:val="nil"/>
              <w:bottom w:val="single" w:sz="4" w:space="0" w:color="auto"/>
              <w:right w:val="single" w:sz="4" w:space="0" w:color="auto"/>
            </w:tcBorders>
            <w:shd w:val="clear" w:color="auto" w:fill="92D050"/>
            <w:noWrap/>
            <w:vAlign w:val="bottom"/>
            <w:hideMark/>
          </w:tcPr>
          <w:p w14:paraId="62617EB0" w14:textId="77777777" w:rsidR="004E4F94" w:rsidRPr="00EB64ED" w:rsidRDefault="004E4F94" w:rsidP="00AA241E">
            <w:pPr>
              <w:spacing w:after="0" w:line="240" w:lineRule="auto"/>
              <w:jc w:val="both"/>
              <w:rPr>
                <w:rFonts w:eastAsia="Times New Roman" w:cs="Times New Roman"/>
                <w:b/>
                <w:bCs/>
                <w:color w:val="000000"/>
                <w:sz w:val="22"/>
                <w:lang w:eastAsia="lv-LV"/>
              </w:rPr>
            </w:pPr>
            <w:r w:rsidRPr="00EB64ED">
              <w:rPr>
                <w:rFonts w:eastAsia="Times New Roman" w:cs="Times New Roman"/>
                <w:b/>
                <w:bCs/>
                <w:color w:val="000000"/>
                <w:sz w:val="22"/>
                <w:lang w:eastAsia="lv-LV"/>
              </w:rPr>
              <w:t>2017</w:t>
            </w:r>
          </w:p>
        </w:tc>
        <w:tc>
          <w:tcPr>
            <w:tcW w:w="940" w:type="dxa"/>
            <w:tcBorders>
              <w:top w:val="single" w:sz="8" w:space="0" w:color="auto"/>
              <w:left w:val="nil"/>
              <w:bottom w:val="single" w:sz="4" w:space="0" w:color="auto"/>
              <w:right w:val="single" w:sz="4" w:space="0" w:color="auto"/>
            </w:tcBorders>
            <w:shd w:val="clear" w:color="auto" w:fill="92D050"/>
            <w:noWrap/>
            <w:vAlign w:val="bottom"/>
            <w:hideMark/>
          </w:tcPr>
          <w:p w14:paraId="51461FC5" w14:textId="77777777" w:rsidR="004E4F94" w:rsidRPr="00EB64ED" w:rsidRDefault="004E4F94" w:rsidP="00AA241E">
            <w:pPr>
              <w:spacing w:after="0" w:line="240" w:lineRule="auto"/>
              <w:jc w:val="both"/>
              <w:rPr>
                <w:rFonts w:eastAsia="Times New Roman" w:cs="Times New Roman"/>
                <w:b/>
                <w:bCs/>
                <w:color w:val="000000"/>
                <w:sz w:val="22"/>
                <w:lang w:eastAsia="lv-LV"/>
              </w:rPr>
            </w:pPr>
            <w:r w:rsidRPr="00EB64ED">
              <w:rPr>
                <w:rFonts w:eastAsia="Times New Roman" w:cs="Times New Roman"/>
                <w:b/>
                <w:bCs/>
                <w:color w:val="000000"/>
                <w:sz w:val="22"/>
                <w:lang w:eastAsia="lv-LV"/>
              </w:rPr>
              <w:t>2018</w:t>
            </w:r>
          </w:p>
        </w:tc>
        <w:tc>
          <w:tcPr>
            <w:tcW w:w="1098" w:type="dxa"/>
            <w:tcBorders>
              <w:top w:val="single" w:sz="8" w:space="0" w:color="auto"/>
              <w:left w:val="nil"/>
              <w:bottom w:val="single" w:sz="4" w:space="0" w:color="auto"/>
              <w:right w:val="single" w:sz="4" w:space="0" w:color="auto"/>
            </w:tcBorders>
            <w:shd w:val="clear" w:color="auto" w:fill="92D050"/>
            <w:noWrap/>
            <w:vAlign w:val="bottom"/>
            <w:hideMark/>
          </w:tcPr>
          <w:p w14:paraId="0A3DAFBF" w14:textId="77777777" w:rsidR="004E4F94" w:rsidRPr="00EB64ED" w:rsidRDefault="004E4F94" w:rsidP="00AA241E">
            <w:pPr>
              <w:spacing w:after="0" w:line="240" w:lineRule="auto"/>
              <w:jc w:val="both"/>
              <w:rPr>
                <w:rFonts w:eastAsia="Times New Roman" w:cs="Times New Roman"/>
                <w:b/>
                <w:bCs/>
                <w:color w:val="000000"/>
                <w:sz w:val="22"/>
                <w:lang w:eastAsia="lv-LV"/>
              </w:rPr>
            </w:pPr>
            <w:r w:rsidRPr="00EB64ED">
              <w:rPr>
                <w:rFonts w:eastAsia="Times New Roman" w:cs="Times New Roman"/>
                <w:b/>
                <w:bCs/>
                <w:color w:val="000000"/>
                <w:sz w:val="22"/>
                <w:lang w:eastAsia="lv-LV"/>
              </w:rPr>
              <w:t>2019</w:t>
            </w:r>
          </w:p>
        </w:tc>
        <w:tc>
          <w:tcPr>
            <w:tcW w:w="1097" w:type="dxa"/>
            <w:tcBorders>
              <w:top w:val="single" w:sz="8" w:space="0" w:color="auto"/>
              <w:left w:val="nil"/>
              <w:bottom w:val="single" w:sz="4" w:space="0" w:color="auto"/>
              <w:right w:val="single" w:sz="4" w:space="0" w:color="auto"/>
            </w:tcBorders>
            <w:shd w:val="clear" w:color="auto" w:fill="92D050"/>
            <w:noWrap/>
            <w:vAlign w:val="bottom"/>
            <w:hideMark/>
          </w:tcPr>
          <w:p w14:paraId="7B8BEA6E" w14:textId="77777777" w:rsidR="004E4F94" w:rsidRPr="00EB64ED" w:rsidRDefault="004E4F94" w:rsidP="00AA241E">
            <w:pPr>
              <w:spacing w:after="0" w:line="240" w:lineRule="auto"/>
              <w:jc w:val="both"/>
              <w:rPr>
                <w:rFonts w:eastAsia="Times New Roman" w:cs="Times New Roman"/>
                <w:b/>
                <w:bCs/>
                <w:color w:val="000000"/>
                <w:sz w:val="22"/>
                <w:lang w:eastAsia="lv-LV"/>
              </w:rPr>
            </w:pPr>
            <w:r w:rsidRPr="00EB64ED">
              <w:rPr>
                <w:rFonts w:eastAsia="Times New Roman" w:cs="Times New Roman"/>
                <w:b/>
                <w:bCs/>
                <w:color w:val="000000"/>
                <w:sz w:val="22"/>
                <w:lang w:eastAsia="lv-LV"/>
              </w:rPr>
              <w:t>2020</w:t>
            </w:r>
          </w:p>
        </w:tc>
        <w:tc>
          <w:tcPr>
            <w:tcW w:w="1097" w:type="dxa"/>
            <w:tcBorders>
              <w:top w:val="single" w:sz="8" w:space="0" w:color="auto"/>
              <w:left w:val="nil"/>
              <w:bottom w:val="single" w:sz="4" w:space="0" w:color="auto"/>
              <w:right w:val="single" w:sz="4" w:space="0" w:color="auto"/>
            </w:tcBorders>
            <w:shd w:val="clear" w:color="auto" w:fill="92D050"/>
            <w:noWrap/>
            <w:vAlign w:val="bottom"/>
            <w:hideMark/>
          </w:tcPr>
          <w:p w14:paraId="41AD7911" w14:textId="77777777" w:rsidR="004E4F94" w:rsidRPr="00EB64ED" w:rsidRDefault="004E4F94" w:rsidP="00AA241E">
            <w:pPr>
              <w:spacing w:after="0" w:line="240" w:lineRule="auto"/>
              <w:jc w:val="both"/>
              <w:rPr>
                <w:rFonts w:eastAsia="Times New Roman" w:cs="Times New Roman"/>
                <w:b/>
                <w:bCs/>
                <w:color w:val="000000"/>
                <w:sz w:val="22"/>
                <w:lang w:eastAsia="lv-LV"/>
              </w:rPr>
            </w:pPr>
            <w:r w:rsidRPr="00EB64ED">
              <w:rPr>
                <w:rFonts w:eastAsia="Times New Roman" w:cs="Times New Roman"/>
                <w:b/>
                <w:bCs/>
                <w:color w:val="000000"/>
                <w:sz w:val="22"/>
                <w:lang w:eastAsia="lv-LV"/>
              </w:rPr>
              <w:t>2021</w:t>
            </w:r>
          </w:p>
        </w:tc>
        <w:tc>
          <w:tcPr>
            <w:tcW w:w="941" w:type="dxa"/>
            <w:tcBorders>
              <w:top w:val="single" w:sz="8" w:space="0" w:color="auto"/>
              <w:left w:val="nil"/>
              <w:bottom w:val="single" w:sz="4" w:space="0" w:color="auto"/>
              <w:right w:val="single" w:sz="4" w:space="0" w:color="auto"/>
            </w:tcBorders>
            <w:shd w:val="clear" w:color="auto" w:fill="92D050"/>
            <w:noWrap/>
            <w:vAlign w:val="bottom"/>
            <w:hideMark/>
          </w:tcPr>
          <w:p w14:paraId="370A6BCD" w14:textId="77777777" w:rsidR="004E4F94" w:rsidRPr="00EB64ED" w:rsidRDefault="004E4F94" w:rsidP="00AA241E">
            <w:pPr>
              <w:spacing w:after="0" w:line="240" w:lineRule="auto"/>
              <w:jc w:val="both"/>
              <w:rPr>
                <w:rFonts w:eastAsia="Times New Roman" w:cs="Times New Roman"/>
                <w:b/>
                <w:bCs/>
                <w:color w:val="000000"/>
                <w:sz w:val="22"/>
                <w:lang w:eastAsia="lv-LV"/>
              </w:rPr>
            </w:pPr>
            <w:r w:rsidRPr="00EB64ED">
              <w:rPr>
                <w:rFonts w:eastAsia="Times New Roman" w:cs="Times New Roman"/>
                <w:b/>
                <w:bCs/>
                <w:color w:val="000000"/>
                <w:sz w:val="22"/>
                <w:lang w:eastAsia="lv-LV"/>
              </w:rPr>
              <w:t>2022</w:t>
            </w:r>
          </w:p>
        </w:tc>
        <w:tc>
          <w:tcPr>
            <w:tcW w:w="1097" w:type="dxa"/>
            <w:tcBorders>
              <w:top w:val="single" w:sz="8" w:space="0" w:color="auto"/>
              <w:left w:val="nil"/>
              <w:bottom w:val="single" w:sz="4" w:space="0" w:color="auto"/>
              <w:right w:val="single" w:sz="8" w:space="0" w:color="auto"/>
            </w:tcBorders>
            <w:shd w:val="clear" w:color="auto" w:fill="92D050"/>
            <w:noWrap/>
            <w:vAlign w:val="bottom"/>
            <w:hideMark/>
          </w:tcPr>
          <w:p w14:paraId="25D65D28" w14:textId="77777777" w:rsidR="004E4F94" w:rsidRPr="00EB64ED" w:rsidRDefault="004E4F94" w:rsidP="00AA241E">
            <w:pPr>
              <w:spacing w:after="0" w:line="240" w:lineRule="auto"/>
              <w:jc w:val="both"/>
              <w:rPr>
                <w:rFonts w:eastAsia="Times New Roman" w:cs="Times New Roman"/>
                <w:b/>
                <w:bCs/>
                <w:color w:val="000000"/>
                <w:sz w:val="22"/>
                <w:lang w:eastAsia="lv-LV"/>
              </w:rPr>
            </w:pPr>
            <w:r w:rsidRPr="00EB64ED">
              <w:rPr>
                <w:rFonts w:eastAsia="Times New Roman" w:cs="Times New Roman"/>
                <w:b/>
                <w:bCs/>
                <w:color w:val="000000"/>
                <w:sz w:val="22"/>
                <w:lang w:eastAsia="lv-LV"/>
              </w:rPr>
              <w:t>2023</w:t>
            </w:r>
          </w:p>
        </w:tc>
      </w:tr>
      <w:tr w:rsidR="006379B0" w:rsidRPr="00565F65" w14:paraId="35B22DFF" w14:textId="77777777" w:rsidTr="00CA27D4">
        <w:trPr>
          <w:trHeight w:val="259"/>
        </w:trPr>
        <w:tc>
          <w:tcPr>
            <w:tcW w:w="1714" w:type="dxa"/>
            <w:tcBorders>
              <w:top w:val="nil"/>
              <w:left w:val="single" w:sz="8" w:space="0" w:color="auto"/>
              <w:bottom w:val="single" w:sz="4" w:space="0" w:color="auto"/>
              <w:right w:val="single" w:sz="4" w:space="0" w:color="auto"/>
            </w:tcBorders>
            <w:shd w:val="clear" w:color="auto" w:fill="auto"/>
            <w:noWrap/>
            <w:vAlign w:val="bottom"/>
            <w:hideMark/>
          </w:tcPr>
          <w:p w14:paraId="178E501A" w14:textId="77777777" w:rsidR="006379B0" w:rsidRPr="00EB64ED" w:rsidRDefault="006379B0" w:rsidP="006379B0">
            <w:pPr>
              <w:spacing w:after="0" w:line="240" w:lineRule="auto"/>
              <w:jc w:val="both"/>
              <w:rPr>
                <w:rFonts w:eastAsia="Times New Roman" w:cs="Times New Roman"/>
                <w:color w:val="000000"/>
                <w:sz w:val="22"/>
                <w:lang w:eastAsia="lv-LV"/>
              </w:rPr>
            </w:pPr>
            <w:r w:rsidRPr="00EB64ED">
              <w:rPr>
                <w:rFonts w:eastAsia="Times New Roman" w:cs="Times New Roman"/>
                <w:color w:val="000000"/>
                <w:sz w:val="22"/>
                <w:lang w:eastAsia="lv-LV"/>
              </w:rPr>
              <w:t>Telia</w:t>
            </w:r>
          </w:p>
        </w:tc>
        <w:tc>
          <w:tcPr>
            <w:tcW w:w="1097" w:type="dxa"/>
            <w:tcBorders>
              <w:top w:val="nil"/>
              <w:left w:val="nil"/>
              <w:bottom w:val="single" w:sz="4" w:space="0" w:color="auto"/>
              <w:right w:val="single" w:sz="4" w:space="0" w:color="auto"/>
            </w:tcBorders>
            <w:shd w:val="clear" w:color="auto" w:fill="auto"/>
            <w:noWrap/>
            <w:hideMark/>
          </w:tcPr>
          <w:p w14:paraId="49A3AB9E" w14:textId="7FE81873" w:rsidR="006379B0" w:rsidRPr="006379B0" w:rsidRDefault="006379B0" w:rsidP="006379B0">
            <w:pPr>
              <w:spacing w:after="0" w:line="240" w:lineRule="auto"/>
              <w:jc w:val="both"/>
              <w:rPr>
                <w:rFonts w:eastAsia="Times New Roman" w:cs="Times New Roman"/>
                <w:color w:val="000000"/>
                <w:sz w:val="22"/>
                <w:szCs w:val="22"/>
                <w:lang w:eastAsia="lv-LV"/>
              </w:rPr>
            </w:pPr>
            <w:r w:rsidRPr="006379B0">
              <w:rPr>
                <w:sz w:val="22"/>
                <w:szCs w:val="22"/>
              </w:rPr>
              <w:t>…*%</w:t>
            </w:r>
          </w:p>
        </w:tc>
        <w:tc>
          <w:tcPr>
            <w:tcW w:w="940" w:type="dxa"/>
            <w:tcBorders>
              <w:top w:val="nil"/>
              <w:left w:val="nil"/>
              <w:bottom w:val="single" w:sz="4" w:space="0" w:color="auto"/>
              <w:right w:val="single" w:sz="4" w:space="0" w:color="auto"/>
            </w:tcBorders>
            <w:shd w:val="clear" w:color="auto" w:fill="auto"/>
            <w:noWrap/>
            <w:hideMark/>
          </w:tcPr>
          <w:p w14:paraId="26FBB2C1" w14:textId="20449CF8" w:rsidR="006379B0" w:rsidRPr="006379B0" w:rsidRDefault="006379B0" w:rsidP="006379B0">
            <w:pPr>
              <w:spacing w:after="0" w:line="240" w:lineRule="auto"/>
              <w:jc w:val="both"/>
              <w:rPr>
                <w:rFonts w:eastAsia="Times New Roman" w:cs="Times New Roman"/>
                <w:color w:val="000000"/>
                <w:sz w:val="22"/>
                <w:szCs w:val="22"/>
                <w:lang w:eastAsia="lv-LV"/>
              </w:rPr>
            </w:pPr>
            <w:r w:rsidRPr="006379B0">
              <w:rPr>
                <w:sz w:val="22"/>
                <w:szCs w:val="22"/>
              </w:rPr>
              <w:t>…*%</w:t>
            </w:r>
          </w:p>
        </w:tc>
        <w:tc>
          <w:tcPr>
            <w:tcW w:w="1098" w:type="dxa"/>
            <w:tcBorders>
              <w:top w:val="nil"/>
              <w:left w:val="nil"/>
              <w:bottom w:val="single" w:sz="4" w:space="0" w:color="auto"/>
              <w:right w:val="single" w:sz="4" w:space="0" w:color="auto"/>
            </w:tcBorders>
            <w:shd w:val="clear" w:color="auto" w:fill="auto"/>
            <w:noWrap/>
            <w:hideMark/>
          </w:tcPr>
          <w:p w14:paraId="21054E3D" w14:textId="493FDC5A" w:rsidR="006379B0" w:rsidRPr="006379B0" w:rsidRDefault="006379B0" w:rsidP="006379B0">
            <w:pPr>
              <w:spacing w:after="0" w:line="240" w:lineRule="auto"/>
              <w:jc w:val="both"/>
              <w:rPr>
                <w:rFonts w:eastAsia="Times New Roman" w:cs="Times New Roman"/>
                <w:color w:val="000000"/>
                <w:sz w:val="22"/>
                <w:szCs w:val="22"/>
                <w:lang w:eastAsia="lv-LV"/>
              </w:rPr>
            </w:pPr>
            <w:r w:rsidRPr="006379B0">
              <w:rPr>
                <w:sz w:val="22"/>
                <w:szCs w:val="22"/>
              </w:rPr>
              <w:t>…*%</w:t>
            </w:r>
          </w:p>
        </w:tc>
        <w:tc>
          <w:tcPr>
            <w:tcW w:w="1097" w:type="dxa"/>
            <w:tcBorders>
              <w:top w:val="nil"/>
              <w:left w:val="nil"/>
              <w:bottom w:val="single" w:sz="4" w:space="0" w:color="auto"/>
              <w:right w:val="single" w:sz="4" w:space="0" w:color="auto"/>
            </w:tcBorders>
            <w:shd w:val="clear" w:color="auto" w:fill="auto"/>
            <w:noWrap/>
            <w:hideMark/>
          </w:tcPr>
          <w:p w14:paraId="63972F82" w14:textId="2731DF87" w:rsidR="006379B0" w:rsidRPr="006379B0" w:rsidRDefault="006379B0" w:rsidP="006379B0">
            <w:pPr>
              <w:spacing w:after="0" w:line="240" w:lineRule="auto"/>
              <w:jc w:val="both"/>
              <w:rPr>
                <w:rFonts w:eastAsia="Times New Roman" w:cs="Times New Roman"/>
                <w:color w:val="000000"/>
                <w:sz w:val="22"/>
                <w:szCs w:val="22"/>
                <w:lang w:eastAsia="lv-LV"/>
              </w:rPr>
            </w:pPr>
            <w:r w:rsidRPr="006379B0">
              <w:rPr>
                <w:sz w:val="22"/>
                <w:szCs w:val="22"/>
              </w:rPr>
              <w:t>…*%</w:t>
            </w:r>
          </w:p>
        </w:tc>
        <w:tc>
          <w:tcPr>
            <w:tcW w:w="1097" w:type="dxa"/>
            <w:tcBorders>
              <w:top w:val="nil"/>
              <w:left w:val="nil"/>
              <w:bottom w:val="single" w:sz="4" w:space="0" w:color="auto"/>
              <w:right w:val="single" w:sz="4" w:space="0" w:color="auto"/>
            </w:tcBorders>
            <w:shd w:val="clear" w:color="auto" w:fill="auto"/>
            <w:noWrap/>
            <w:hideMark/>
          </w:tcPr>
          <w:p w14:paraId="3A0674A7" w14:textId="53B77BA8" w:rsidR="006379B0" w:rsidRPr="006379B0" w:rsidRDefault="006379B0" w:rsidP="006379B0">
            <w:pPr>
              <w:spacing w:after="0" w:line="240" w:lineRule="auto"/>
              <w:jc w:val="both"/>
              <w:rPr>
                <w:rFonts w:eastAsia="Times New Roman" w:cs="Times New Roman"/>
                <w:color w:val="000000"/>
                <w:sz w:val="22"/>
                <w:szCs w:val="22"/>
                <w:lang w:eastAsia="lv-LV"/>
              </w:rPr>
            </w:pPr>
            <w:r w:rsidRPr="006379B0">
              <w:rPr>
                <w:sz w:val="22"/>
                <w:szCs w:val="22"/>
              </w:rPr>
              <w:t>…*%</w:t>
            </w:r>
          </w:p>
        </w:tc>
        <w:tc>
          <w:tcPr>
            <w:tcW w:w="941" w:type="dxa"/>
            <w:tcBorders>
              <w:top w:val="nil"/>
              <w:left w:val="nil"/>
              <w:bottom w:val="single" w:sz="4" w:space="0" w:color="auto"/>
              <w:right w:val="single" w:sz="4" w:space="0" w:color="auto"/>
            </w:tcBorders>
            <w:shd w:val="clear" w:color="auto" w:fill="auto"/>
            <w:noWrap/>
            <w:hideMark/>
          </w:tcPr>
          <w:p w14:paraId="24B6101F" w14:textId="162AD65F" w:rsidR="006379B0" w:rsidRPr="006379B0" w:rsidRDefault="006379B0" w:rsidP="006379B0">
            <w:pPr>
              <w:spacing w:after="0" w:line="240" w:lineRule="auto"/>
              <w:jc w:val="both"/>
              <w:rPr>
                <w:rFonts w:eastAsia="Times New Roman" w:cs="Times New Roman"/>
                <w:color w:val="000000"/>
                <w:sz w:val="22"/>
                <w:szCs w:val="22"/>
                <w:lang w:eastAsia="lv-LV"/>
              </w:rPr>
            </w:pPr>
            <w:r w:rsidRPr="006379B0">
              <w:rPr>
                <w:sz w:val="22"/>
                <w:szCs w:val="22"/>
              </w:rPr>
              <w:t>…*%</w:t>
            </w:r>
          </w:p>
        </w:tc>
        <w:tc>
          <w:tcPr>
            <w:tcW w:w="1097" w:type="dxa"/>
            <w:tcBorders>
              <w:top w:val="nil"/>
              <w:left w:val="nil"/>
              <w:bottom w:val="single" w:sz="4" w:space="0" w:color="auto"/>
              <w:right w:val="single" w:sz="8" w:space="0" w:color="auto"/>
            </w:tcBorders>
            <w:shd w:val="clear" w:color="auto" w:fill="auto"/>
            <w:noWrap/>
            <w:hideMark/>
          </w:tcPr>
          <w:p w14:paraId="77954CDA" w14:textId="26FE3E99" w:rsidR="006379B0" w:rsidRPr="006379B0" w:rsidRDefault="006379B0" w:rsidP="006379B0">
            <w:pPr>
              <w:spacing w:after="0" w:line="240" w:lineRule="auto"/>
              <w:jc w:val="both"/>
              <w:rPr>
                <w:rFonts w:eastAsia="Times New Roman" w:cs="Times New Roman"/>
                <w:color w:val="000000"/>
                <w:sz w:val="22"/>
                <w:szCs w:val="22"/>
                <w:lang w:eastAsia="lv-LV"/>
              </w:rPr>
            </w:pPr>
            <w:r w:rsidRPr="006379B0">
              <w:rPr>
                <w:sz w:val="22"/>
                <w:szCs w:val="22"/>
              </w:rPr>
              <w:t>…*%</w:t>
            </w:r>
          </w:p>
        </w:tc>
      </w:tr>
      <w:tr w:rsidR="006B1262" w:rsidRPr="00565F65" w14:paraId="1861FC52" w14:textId="77777777" w:rsidTr="002508E2">
        <w:trPr>
          <w:trHeight w:val="259"/>
        </w:trPr>
        <w:tc>
          <w:tcPr>
            <w:tcW w:w="1714" w:type="dxa"/>
            <w:tcBorders>
              <w:top w:val="nil"/>
              <w:left w:val="single" w:sz="8" w:space="0" w:color="auto"/>
              <w:bottom w:val="single" w:sz="4" w:space="0" w:color="auto"/>
              <w:right w:val="single" w:sz="4" w:space="0" w:color="auto"/>
            </w:tcBorders>
            <w:shd w:val="clear" w:color="auto" w:fill="auto"/>
            <w:noWrap/>
            <w:vAlign w:val="bottom"/>
            <w:hideMark/>
          </w:tcPr>
          <w:p w14:paraId="0F9B7192" w14:textId="77777777" w:rsidR="006B1262" w:rsidRPr="00EB64ED" w:rsidRDefault="006B1262" w:rsidP="006B1262">
            <w:pPr>
              <w:spacing w:after="0" w:line="240" w:lineRule="auto"/>
              <w:jc w:val="both"/>
              <w:rPr>
                <w:rFonts w:eastAsia="Times New Roman" w:cs="Times New Roman"/>
                <w:color w:val="000000"/>
                <w:sz w:val="22"/>
                <w:lang w:eastAsia="lv-LV"/>
              </w:rPr>
            </w:pPr>
            <w:r w:rsidRPr="00EB64ED">
              <w:rPr>
                <w:rFonts w:eastAsia="Times New Roman" w:cs="Times New Roman"/>
                <w:color w:val="000000"/>
                <w:sz w:val="22"/>
                <w:lang w:eastAsia="lv-LV"/>
              </w:rPr>
              <w:t>STV</w:t>
            </w:r>
          </w:p>
        </w:tc>
        <w:tc>
          <w:tcPr>
            <w:tcW w:w="1097" w:type="dxa"/>
            <w:tcBorders>
              <w:top w:val="nil"/>
              <w:left w:val="nil"/>
              <w:bottom w:val="single" w:sz="4" w:space="0" w:color="auto"/>
              <w:right w:val="single" w:sz="4" w:space="0" w:color="auto"/>
            </w:tcBorders>
            <w:shd w:val="clear" w:color="auto" w:fill="auto"/>
            <w:noWrap/>
            <w:hideMark/>
          </w:tcPr>
          <w:p w14:paraId="5960B106" w14:textId="5FD3802E"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940" w:type="dxa"/>
            <w:tcBorders>
              <w:top w:val="nil"/>
              <w:left w:val="nil"/>
              <w:bottom w:val="single" w:sz="4" w:space="0" w:color="auto"/>
              <w:right w:val="single" w:sz="4" w:space="0" w:color="auto"/>
            </w:tcBorders>
            <w:shd w:val="clear" w:color="auto" w:fill="auto"/>
            <w:noWrap/>
            <w:hideMark/>
          </w:tcPr>
          <w:p w14:paraId="6D741BDA" w14:textId="7396BBD1"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98" w:type="dxa"/>
            <w:tcBorders>
              <w:top w:val="nil"/>
              <w:left w:val="nil"/>
              <w:bottom w:val="single" w:sz="4" w:space="0" w:color="auto"/>
              <w:right w:val="single" w:sz="4" w:space="0" w:color="auto"/>
            </w:tcBorders>
            <w:shd w:val="clear" w:color="auto" w:fill="auto"/>
            <w:noWrap/>
            <w:hideMark/>
          </w:tcPr>
          <w:p w14:paraId="1A5D70E2" w14:textId="03EC572C"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97" w:type="dxa"/>
            <w:tcBorders>
              <w:top w:val="nil"/>
              <w:left w:val="nil"/>
              <w:bottom w:val="single" w:sz="4" w:space="0" w:color="auto"/>
              <w:right w:val="single" w:sz="4" w:space="0" w:color="auto"/>
            </w:tcBorders>
            <w:shd w:val="clear" w:color="auto" w:fill="auto"/>
            <w:noWrap/>
            <w:hideMark/>
          </w:tcPr>
          <w:p w14:paraId="0DC05D28" w14:textId="3332C053"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97" w:type="dxa"/>
            <w:tcBorders>
              <w:top w:val="nil"/>
              <w:left w:val="nil"/>
              <w:bottom w:val="single" w:sz="4" w:space="0" w:color="auto"/>
              <w:right w:val="single" w:sz="4" w:space="0" w:color="auto"/>
            </w:tcBorders>
            <w:shd w:val="clear" w:color="auto" w:fill="auto"/>
            <w:noWrap/>
            <w:hideMark/>
          </w:tcPr>
          <w:p w14:paraId="27C26CD9" w14:textId="7740313B"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941" w:type="dxa"/>
            <w:tcBorders>
              <w:top w:val="nil"/>
              <w:left w:val="nil"/>
              <w:bottom w:val="single" w:sz="4" w:space="0" w:color="auto"/>
              <w:right w:val="single" w:sz="4" w:space="0" w:color="auto"/>
            </w:tcBorders>
            <w:shd w:val="clear" w:color="auto" w:fill="auto"/>
            <w:noWrap/>
            <w:hideMark/>
          </w:tcPr>
          <w:p w14:paraId="68D685D7" w14:textId="3E9F2288"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97" w:type="dxa"/>
            <w:tcBorders>
              <w:top w:val="nil"/>
              <w:left w:val="nil"/>
              <w:bottom w:val="single" w:sz="4" w:space="0" w:color="auto"/>
              <w:right w:val="single" w:sz="8" w:space="0" w:color="auto"/>
            </w:tcBorders>
            <w:shd w:val="clear" w:color="auto" w:fill="auto"/>
            <w:noWrap/>
            <w:hideMark/>
          </w:tcPr>
          <w:p w14:paraId="08D96E1D" w14:textId="2C9F57AC"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r>
      <w:tr w:rsidR="006B1262" w:rsidRPr="00565F65" w14:paraId="37EDA04A" w14:textId="77777777" w:rsidTr="002508E2">
        <w:trPr>
          <w:trHeight w:val="259"/>
        </w:trPr>
        <w:tc>
          <w:tcPr>
            <w:tcW w:w="1714" w:type="dxa"/>
            <w:tcBorders>
              <w:top w:val="nil"/>
              <w:left w:val="single" w:sz="8" w:space="0" w:color="auto"/>
              <w:bottom w:val="single" w:sz="4" w:space="0" w:color="auto"/>
              <w:right w:val="single" w:sz="4" w:space="0" w:color="auto"/>
            </w:tcBorders>
            <w:shd w:val="clear" w:color="auto" w:fill="auto"/>
            <w:noWrap/>
            <w:vAlign w:val="bottom"/>
            <w:hideMark/>
          </w:tcPr>
          <w:p w14:paraId="02198898" w14:textId="77777777" w:rsidR="006B1262" w:rsidRPr="00EB64ED" w:rsidRDefault="006B1262" w:rsidP="006B1262">
            <w:pPr>
              <w:spacing w:after="0" w:line="240" w:lineRule="auto"/>
              <w:jc w:val="both"/>
              <w:rPr>
                <w:rFonts w:eastAsia="Times New Roman" w:cs="Times New Roman"/>
                <w:color w:val="000000"/>
                <w:sz w:val="22"/>
                <w:lang w:eastAsia="lv-LV"/>
              </w:rPr>
            </w:pPr>
            <w:r w:rsidRPr="00EB64ED">
              <w:rPr>
                <w:rFonts w:eastAsia="Times New Roman" w:cs="Times New Roman"/>
                <w:color w:val="000000"/>
                <w:sz w:val="22"/>
                <w:lang w:eastAsia="lv-LV"/>
              </w:rPr>
              <w:t>Elisa</w:t>
            </w:r>
          </w:p>
        </w:tc>
        <w:tc>
          <w:tcPr>
            <w:tcW w:w="1097" w:type="dxa"/>
            <w:tcBorders>
              <w:top w:val="nil"/>
              <w:left w:val="nil"/>
              <w:bottom w:val="single" w:sz="4" w:space="0" w:color="auto"/>
              <w:right w:val="single" w:sz="4" w:space="0" w:color="auto"/>
            </w:tcBorders>
            <w:shd w:val="clear" w:color="auto" w:fill="auto"/>
            <w:noWrap/>
            <w:hideMark/>
          </w:tcPr>
          <w:p w14:paraId="2899E88A" w14:textId="4261F546"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940" w:type="dxa"/>
            <w:tcBorders>
              <w:top w:val="nil"/>
              <w:left w:val="nil"/>
              <w:bottom w:val="single" w:sz="4" w:space="0" w:color="auto"/>
              <w:right w:val="single" w:sz="4" w:space="0" w:color="auto"/>
            </w:tcBorders>
            <w:shd w:val="clear" w:color="auto" w:fill="auto"/>
            <w:noWrap/>
            <w:hideMark/>
          </w:tcPr>
          <w:p w14:paraId="337ACE40" w14:textId="1AFEF4EA"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98" w:type="dxa"/>
            <w:tcBorders>
              <w:top w:val="nil"/>
              <w:left w:val="nil"/>
              <w:bottom w:val="single" w:sz="4" w:space="0" w:color="auto"/>
              <w:right w:val="single" w:sz="4" w:space="0" w:color="auto"/>
            </w:tcBorders>
            <w:shd w:val="clear" w:color="auto" w:fill="auto"/>
            <w:noWrap/>
            <w:hideMark/>
          </w:tcPr>
          <w:p w14:paraId="09474F1C" w14:textId="4A80B258"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97" w:type="dxa"/>
            <w:tcBorders>
              <w:top w:val="nil"/>
              <w:left w:val="nil"/>
              <w:bottom w:val="single" w:sz="4" w:space="0" w:color="auto"/>
              <w:right w:val="single" w:sz="4" w:space="0" w:color="auto"/>
            </w:tcBorders>
            <w:shd w:val="clear" w:color="auto" w:fill="auto"/>
            <w:noWrap/>
            <w:hideMark/>
          </w:tcPr>
          <w:p w14:paraId="0FB2A131" w14:textId="1B9B0BEF"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97" w:type="dxa"/>
            <w:tcBorders>
              <w:top w:val="nil"/>
              <w:left w:val="nil"/>
              <w:bottom w:val="single" w:sz="4" w:space="0" w:color="auto"/>
              <w:right w:val="single" w:sz="4" w:space="0" w:color="auto"/>
            </w:tcBorders>
            <w:shd w:val="clear" w:color="auto" w:fill="auto"/>
            <w:noWrap/>
            <w:hideMark/>
          </w:tcPr>
          <w:p w14:paraId="52DE9B3C" w14:textId="445295CF"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941" w:type="dxa"/>
            <w:tcBorders>
              <w:top w:val="nil"/>
              <w:left w:val="nil"/>
              <w:bottom w:val="single" w:sz="4" w:space="0" w:color="auto"/>
              <w:right w:val="single" w:sz="4" w:space="0" w:color="auto"/>
            </w:tcBorders>
            <w:shd w:val="clear" w:color="auto" w:fill="auto"/>
            <w:noWrap/>
            <w:hideMark/>
          </w:tcPr>
          <w:p w14:paraId="40F61CBF" w14:textId="6AE4F8D2"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97" w:type="dxa"/>
            <w:tcBorders>
              <w:top w:val="nil"/>
              <w:left w:val="nil"/>
              <w:bottom w:val="single" w:sz="4" w:space="0" w:color="auto"/>
              <w:right w:val="single" w:sz="8" w:space="0" w:color="auto"/>
            </w:tcBorders>
            <w:shd w:val="clear" w:color="auto" w:fill="auto"/>
            <w:noWrap/>
            <w:hideMark/>
          </w:tcPr>
          <w:p w14:paraId="3CB99DF5" w14:textId="45D9579F"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r>
      <w:tr w:rsidR="006B1262" w:rsidRPr="00565F65" w14:paraId="710A6076" w14:textId="77777777" w:rsidTr="002508E2">
        <w:trPr>
          <w:trHeight w:val="259"/>
        </w:trPr>
        <w:tc>
          <w:tcPr>
            <w:tcW w:w="1714" w:type="dxa"/>
            <w:tcBorders>
              <w:top w:val="nil"/>
              <w:left w:val="single" w:sz="8" w:space="0" w:color="auto"/>
              <w:bottom w:val="single" w:sz="4" w:space="0" w:color="auto"/>
              <w:right w:val="single" w:sz="4" w:space="0" w:color="auto"/>
            </w:tcBorders>
            <w:shd w:val="clear" w:color="auto" w:fill="auto"/>
            <w:noWrap/>
            <w:vAlign w:val="bottom"/>
            <w:hideMark/>
          </w:tcPr>
          <w:p w14:paraId="322AFA05" w14:textId="77777777" w:rsidR="006B1262" w:rsidRPr="00EB64ED" w:rsidRDefault="006B1262" w:rsidP="006B1262">
            <w:pPr>
              <w:spacing w:after="0" w:line="240" w:lineRule="auto"/>
              <w:jc w:val="both"/>
              <w:rPr>
                <w:rFonts w:eastAsia="Times New Roman" w:cs="Times New Roman"/>
                <w:color w:val="000000"/>
                <w:sz w:val="22"/>
                <w:lang w:eastAsia="lv-LV"/>
              </w:rPr>
            </w:pPr>
            <w:r w:rsidRPr="00EB64ED">
              <w:rPr>
                <w:rFonts w:eastAsia="Times New Roman" w:cs="Times New Roman"/>
                <w:color w:val="000000"/>
                <w:sz w:val="22"/>
                <w:lang w:eastAsia="lv-LV"/>
              </w:rPr>
              <w:t>Telset</w:t>
            </w:r>
          </w:p>
        </w:tc>
        <w:tc>
          <w:tcPr>
            <w:tcW w:w="1097" w:type="dxa"/>
            <w:tcBorders>
              <w:top w:val="nil"/>
              <w:left w:val="nil"/>
              <w:bottom w:val="single" w:sz="4" w:space="0" w:color="auto"/>
              <w:right w:val="single" w:sz="4" w:space="0" w:color="auto"/>
            </w:tcBorders>
            <w:shd w:val="clear" w:color="auto" w:fill="auto"/>
            <w:noWrap/>
            <w:hideMark/>
          </w:tcPr>
          <w:p w14:paraId="35C66211" w14:textId="25296209"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940" w:type="dxa"/>
            <w:tcBorders>
              <w:top w:val="nil"/>
              <w:left w:val="nil"/>
              <w:bottom w:val="single" w:sz="4" w:space="0" w:color="auto"/>
              <w:right w:val="single" w:sz="4" w:space="0" w:color="auto"/>
            </w:tcBorders>
            <w:shd w:val="clear" w:color="auto" w:fill="auto"/>
            <w:noWrap/>
            <w:hideMark/>
          </w:tcPr>
          <w:p w14:paraId="16ACEE42" w14:textId="0A7BB361"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98" w:type="dxa"/>
            <w:tcBorders>
              <w:top w:val="nil"/>
              <w:left w:val="nil"/>
              <w:bottom w:val="single" w:sz="4" w:space="0" w:color="auto"/>
              <w:right w:val="single" w:sz="4" w:space="0" w:color="auto"/>
            </w:tcBorders>
            <w:shd w:val="clear" w:color="auto" w:fill="auto"/>
            <w:noWrap/>
            <w:hideMark/>
          </w:tcPr>
          <w:p w14:paraId="033D29C7" w14:textId="24B4381C"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97" w:type="dxa"/>
            <w:tcBorders>
              <w:top w:val="nil"/>
              <w:left w:val="nil"/>
              <w:bottom w:val="single" w:sz="4" w:space="0" w:color="auto"/>
              <w:right w:val="single" w:sz="4" w:space="0" w:color="auto"/>
            </w:tcBorders>
            <w:shd w:val="clear" w:color="auto" w:fill="auto"/>
            <w:noWrap/>
            <w:hideMark/>
          </w:tcPr>
          <w:p w14:paraId="5C787BED" w14:textId="0C414393"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97" w:type="dxa"/>
            <w:tcBorders>
              <w:top w:val="nil"/>
              <w:left w:val="nil"/>
              <w:bottom w:val="single" w:sz="4" w:space="0" w:color="auto"/>
              <w:right w:val="single" w:sz="4" w:space="0" w:color="auto"/>
            </w:tcBorders>
            <w:shd w:val="clear" w:color="auto" w:fill="auto"/>
            <w:noWrap/>
            <w:hideMark/>
          </w:tcPr>
          <w:p w14:paraId="15371BA1" w14:textId="42443016"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941" w:type="dxa"/>
            <w:tcBorders>
              <w:top w:val="nil"/>
              <w:left w:val="nil"/>
              <w:bottom w:val="single" w:sz="4" w:space="0" w:color="auto"/>
              <w:right w:val="single" w:sz="4" w:space="0" w:color="auto"/>
            </w:tcBorders>
            <w:shd w:val="clear" w:color="auto" w:fill="auto"/>
            <w:noWrap/>
            <w:hideMark/>
          </w:tcPr>
          <w:p w14:paraId="7E2BA283" w14:textId="15633E9C"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97" w:type="dxa"/>
            <w:tcBorders>
              <w:top w:val="nil"/>
              <w:left w:val="nil"/>
              <w:bottom w:val="single" w:sz="4" w:space="0" w:color="auto"/>
              <w:right w:val="single" w:sz="8" w:space="0" w:color="auto"/>
            </w:tcBorders>
            <w:shd w:val="clear" w:color="auto" w:fill="auto"/>
            <w:noWrap/>
            <w:hideMark/>
          </w:tcPr>
          <w:p w14:paraId="6B06702D" w14:textId="2046FF23"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r>
      <w:tr w:rsidR="006B1262" w:rsidRPr="00565F65" w14:paraId="26DF0255" w14:textId="77777777" w:rsidTr="002508E2">
        <w:trPr>
          <w:trHeight w:val="259"/>
        </w:trPr>
        <w:tc>
          <w:tcPr>
            <w:tcW w:w="1714" w:type="dxa"/>
            <w:tcBorders>
              <w:top w:val="nil"/>
              <w:left w:val="single" w:sz="8" w:space="0" w:color="auto"/>
              <w:bottom w:val="single" w:sz="4" w:space="0" w:color="auto"/>
              <w:right w:val="single" w:sz="4" w:space="0" w:color="auto"/>
            </w:tcBorders>
            <w:shd w:val="clear" w:color="auto" w:fill="auto"/>
            <w:noWrap/>
            <w:vAlign w:val="bottom"/>
            <w:hideMark/>
          </w:tcPr>
          <w:p w14:paraId="36238149" w14:textId="77777777" w:rsidR="006B1262" w:rsidRPr="00EB64ED" w:rsidRDefault="006B1262" w:rsidP="006B1262">
            <w:pPr>
              <w:spacing w:after="0" w:line="240" w:lineRule="auto"/>
              <w:jc w:val="both"/>
              <w:rPr>
                <w:rFonts w:eastAsia="Times New Roman" w:cs="Times New Roman"/>
                <w:color w:val="000000"/>
                <w:sz w:val="22"/>
                <w:lang w:eastAsia="lv-LV"/>
              </w:rPr>
            </w:pPr>
            <w:r w:rsidRPr="00EB64ED">
              <w:rPr>
                <w:rFonts w:eastAsia="Times New Roman" w:cs="Times New Roman"/>
                <w:color w:val="000000"/>
                <w:sz w:val="22"/>
                <w:lang w:eastAsia="lv-LV"/>
              </w:rPr>
              <w:t>Tele2</w:t>
            </w:r>
          </w:p>
        </w:tc>
        <w:tc>
          <w:tcPr>
            <w:tcW w:w="1097" w:type="dxa"/>
            <w:tcBorders>
              <w:top w:val="nil"/>
              <w:left w:val="nil"/>
              <w:bottom w:val="single" w:sz="4" w:space="0" w:color="auto"/>
              <w:right w:val="single" w:sz="4" w:space="0" w:color="auto"/>
            </w:tcBorders>
            <w:shd w:val="clear" w:color="auto" w:fill="auto"/>
            <w:noWrap/>
            <w:hideMark/>
          </w:tcPr>
          <w:p w14:paraId="0B238F16" w14:textId="5E3FBAEB"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940" w:type="dxa"/>
            <w:tcBorders>
              <w:top w:val="nil"/>
              <w:left w:val="nil"/>
              <w:bottom w:val="single" w:sz="4" w:space="0" w:color="auto"/>
              <w:right w:val="single" w:sz="4" w:space="0" w:color="auto"/>
            </w:tcBorders>
            <w:shd w:val="clear" w:color="auto" w:fill="auto"/>
            <w:noWrap/>
            <w:hideMark/>
          </w:tcPr>
          <w:p w14:paraId="6E34EFFE" w14:textId="1966DEBA"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98" w:type="dxa"/>
            <w:tcBorders>
              <w:top w:val="nil"/>
              <w:left w:val="nil"/>
              <w:bottom w:val="single" w:sz="4" w:space="0" w:color="auto"/>
              <w:right w:val="single" w:sz="4" w:space="0" w:color="auto"/>
            </w:tcBorders>
            <w:shd w:val="clear" w:color="auto" w:fill="auto"/>
            <w:noWrap/>
            <w:hideMark/>
          </w:tcPr>
          <w:p w14:paraId="7FE7DB88" w14:textId="1CB0F1DA"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97" w:type="dxa"/>
            <w:tcBorders>
              <w:top w:val="nil"/>
              <w:left w:val="nil"/>
              <w:bottom w:val="single" w:sz="4" w:space="0" w:color="auto"/>
              <w:right w:val="single" w:sz="4" w:space="0" w:color="auto"/>
            </w:tcBorders>
            <w:shd w:val="clear" w:color="auto" w:fill="auto"/>
            <w:noWrap/>
            <w:hideMark/>
          </w:tcPr>
          <w:p w14:paraId="7CDDDEC6" w14:textId="6875FDE9"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97" w:type="dxa"/>
            <w:tcBorders>
              <w:top w:val="nil"/>
              <w:left w:val="nil"/>
              <w:bottom w:val="single" w:sz="4" w:space="0" w:color="auto"/>
              <w:right w:val="single" w:sz="4" w:space="0" w:color="auto"/>
            </w:tcBorders>
            <w:shd w:val="clear" w:color="auto" w:fill="auto"/>
            <w:noWrap/>
            <w:hideMark/>
          </w:tcPr>
          <w:p w14:paraId="66B84132" w14:textId="01F27B8B"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941" w:type="dxa"/>
            <w:tcBorders>
              <w:top w:val="nil"/>
              <w:left w:val="nil"/>
              <w:bottom w:val="single" w:sz="4" w:space="0" w:color="auto"/>
              <w:right w:val="single" w:sz="4" w:space="0" w:color="auto"/>
            </w:tcBorders>
            <w:shd w:val="clear" w:color="auto" w:fill="auto"/>
            <w:noWrap/>
            <w:hideMark/>
          </w:tcPr>
          <w:p w14:paraId="45AA1153" w14:textId="245BAF88"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c>
          <w:tcPr>
            <w:tcW w:w="1097" w:type="dxa"/>
            <w:tcBorders>
              <w:top w:val="nil"/>
              <w:left w:val="nil"/>
              <w:bottom w:val="single" w:sz="4" w:space="0" w:color="auto"/>
              <w:right w:val="single" w:sz="8" w:space="0" w:color="auto"/>
            </w:tcBorders>
            <w:shd w:val="clear" w:color="auto" w:fill="auto"/>
            <w:noWrap/>
            <w:hideMark/>
          </w:tcPr>
          <w:p w14:paraId="28678827" w14:textId="1D470D52" w:rsidR="006B1262" w:rsidRPr="006379B0" w:rsidRDefault="006B1262" w:rsidP="006B1262">
            <w:pPr>
              <w:spacing w:after="0" w:line="240" w:lineRule="auto"/>
              <w:jc w:val="both"/>
              <w:rPr>
                <w:rFonts w:eastAsia="Times New Roman" w:cs="Times New Roman"/>
                <w:color w:val="000000"/>
                <w:sz w:val="22"/>
                <w:szCs w:val="22"/>
                <w:lang w:eastAsia="lv-LV"/>
              </w:rPr>
            </w:pPr>
            <w:r w:rsidRPr="006379B0">
              <w:rPr>
                <w:sz w:val="22"/>
                <w:szCs w:val="22"/>
              </w:rPr>
              <w:t>…*%</w:t>
            </w:r>
          </w:p>
        </w:tc>
      </w:tr>
      <w:tr w:rsidR="004E4F94" w:rsidRPr="00565F65" w14:paraId="723749B8" w14:textId="77777777">
        <w:trPr>
          <w:trHeight w:val="268"/>
        </w:trPr>
        <w:tc>
          <w:tcPr>
            <w:tcW w:w="1714" w:type="dxa"/>
            <w:tcBorders>
              <w:top w:val="nil"/>
              <w:left w:val="single" w:sz="8" w:space="0" w:color="auto"/>
              <w:bottom w:val="single" w:sz="8" w:space="0" w:color="auto"/>
              <w:right w:val="single" w:sz="4" w:space="0" w:color="auto"/>
            </w:tcBorders>
            <w:shd w:val="clear" w:color="auto" w:fill="auto"/>
            <w:noWrap/>
            <w:vAlign w:val="bottom"/>
            <w:hideMark/>
          </w:tcPr>
          <w:p w14:paraId="54693944" w14:textId="77777777" w:rsidR="004E4F94" w:rsidRPr="00EB64ED" w:rsidRDefault="004E4F94" w:rsidP="00AA241E">
            <w:pPr>
              <w:spacing w:after="0" w:line="240" w:lineRule="auto"/>
              <w:jc w:val="both"/>
              <w:rPr>
                <w:rFonts w:eastAsia="Times New Roman" w:cs="Times New Roman"/>
                <w:color w:val="000000"/>
                <w:sz w:val="22"/>
                <w:lang w:eastAsia="lv-LV"/>
              </w:rPr>
            </w:pPr>
            <w:r w:rsidRPr="00EB64ED">
              <w:rPr>
                <w:rFonts w:eastAsia="Times New Roman" w:cs="Times New Roman"/>
                <w:color w:val="000000"/>
                <w:sz w:val="22"/>
                <w:lang w:eastAsia="lv-LV"/>
              </w:rPr>
              <w:t>Kokku</w:t>
            </w:r>
          </w:p>
        </w:tc>
        <w:tc>
          <w:tcPr>
            <w:tcW w:w="1097" w:type="dxa"/>
            <w:tcBorders>
              <w:top w:val="nil"/>
              <w:left w:val="nil"/>
              <w:bottom w:val="single" w:sz="8" w:space="0" w:color="auto"/>
              <w:right w:val="single" w:sz="4" w:space="0" w:color="auto"/>
            </w:tcBorders>
            <w:shd w:val="clear" w:color="auto" w:fill="auto"/>
            <w:noWrap/>
            <w:vAlign w:val="bottom"/>
            <w:hideMark/>
          </w:tcPr>
          <w:p w14:paraId="63C6BCFE" w14:textId="77777777" w:rsidR="004E4F94" w:rsidRPr="00EB64ED" w:rsidRDefault="004E4F94" w:rsidP="00AA241E">
            <w:pPr>
              <w:spacing w:after="0" w:line="240" w:lineRule="auto"/>
              <w:jc w:val="both"/>
              <w:rPr>
                <w:rFonts w:eastAsia="Times New Roman" w:cs="Times New Roman"/>
                <w:color w:val="000000"/>
                <w:sz w:val="22"/>
                <w:lang w:eastAsia="lv-LV"/>
              </w:rPr>
            </w:pPr>
            <w:r w:rsidRPr="00EB64ED">
              <w:rPr>
                <w:rFonts w:eastAsia="Times New Roman" w:cs="Times New Roman"/>
                <w:color w:val="000000"/>
                <w:sz w:val="22"/>
                <w:lang w:eastAsia="lv-LV"/>
              </w:rPr>
              <w:t>100%</w:t>
            </w:r>
          </w:p>
        </w:tc>
        <w:tc>
          <w:tcPr>
            <w:tcW w:w="940" w:type="dxa"/>
            <w:tcBorders>
              <w:top w:val="nil"/>
              <w:left w:val="nil"/>
              <w:bottom w:val="single" w:sz="8" w:space="0" w:color="auto"/>
              <w:right w:val="single" w:sz="4" w:space="0" w:color="auto"/>
            </w:tcBorders>
            <w:shd w:val="clear" w:color="auto" w:fill="auto"/>
            <w:noWrap/>
            <w:vAlign w:val="bottom"/>
            <w:hideMark/>
          </w:tcPr>
          <w:p w14:paraId="5A4D4D90" w14:textId="77777777" w:rsidR="004E4F94" w:rsidRPr="00EB64ED" w:rsidRDefault="004E4F94" w:rsidP="00AA241E">
            <w:pPr>
              <w:spacing w:after="0" w:line="240" w:lineRule="auto"/>
              <w:jc w:val="both"/>
              <w:rPr>
                <w:rFonts w:eastAsia="Times New Roman" w:cs="Times New Roman"/>
                <w:color w:val="000000"/>
                <w:sz w:val="22"/>
                <w:lang w:eastAsia="lv-LV"/>
              </w:rPr>
            </w:pPr>
            <w:r w:rsidRPr="00EB64ED">
              <w:rPr>
                <w:rFonts w:eastAsia="Times New Roman" w:cs="Times New Roman"/>
                <w:color w:val="000000"/>
                <w:sz w:val="22"/>
                <w:lang w:eastAsia="lv-LV"/>
              </w:rPr>
              <w:t>100%</w:t>
            </w:r>
          </w:p>
        </w:tc>
        <w:tc>
          <w:tcPr>
            <w:tcW w:w="1098" w:type="dxa"/>
            <w:tcBorders>
              <w:top w:val="nil"/>
              <w:left w:val="nil"/>
              <w:bottom w:val="single" w:sz="8" w:space="0" w:color="auto"/>
              <w:right w:val="single" w:sz="4" w:space="0" w:color="auto"/>
            </w:tcBorders>
            <w:shd w:val="clear" w:color="auto" w:fill="auto"/>
            <w:noWrap/>
            <w:vAlign w:val="bottom"/>
            <w:hideMark/>
          </w:tcPr>
          <w:p w14:paraId="62A57FBA" w14:textId="77777777" w:rsidR="004E4F94" w:rsidRPr="00EB64ED" w:rsidRDefault="004E4F94" w:rsidP="00AA241E">
            <w:pPr>
              <w:spacing w:after="0" w:line="240" w:lineRule="auto"/>
              <w:jc w:val="both"/>
              <w:rPr>
                <w:rFonts w:eastAsia="Times New Roman" w:cs="Times New Roman"/>
                <w:color w:val="000000"/>
                <w:sz w:val="22"/>
                <w:lang w:eastAsia="lv-LV"/>
              </w:rPr>
            </w:pPr>
            <w:r w:rsidRPr="00EB64ED">
              <w:rPr>
                <w:rFonts w:eastAsia="Times New Roman" w:cs="Times New Roman"/>
                <w:color w:val="000000"/>
                <w:sz w:val="22"/>
                <w:lang w:eastAsia="lv-LV"/>
              </w:rPr>
              <w:t>100%</w:t>
            </w:r>
          </w:p>
        </w:tc>
        <w:tc>
          <w:tcPr>
            <w:tcW w:w="1097" w:type="dxa"/>
            <w:tcBorders>
              <w:top w:val="nil"/>
              <w:left w:val="nil"/>
              <w:bottom w:val="single" w:sz="8" w:space="0" w:color="auto"/>
              <w:right w:val="single" w:sz="4" w:space="0" w:color="auto"/>
            </w:tcBorders>
            <w:shd w:val="clear" w:color="auto" w:fill="auto"/>
            <w:noWrap/>
            <w:vAlign w:val="bottom"/>
            <w:hideMark/>
          </w:tcPr>
          <w:p w14:paraId="0221EA6D" w14:textId="77777777" w:rsidR="004E4F94" w:rsidRPr="00EB64ED" w:rsidRDefault="004E4F94" w:rsidP="00AA241E">
            <w:pPr>
              <w:spacing w:after="0" w:line="240" w:lineRule="auto"/>
              <w:jc w:val="both"/>
              <w:rPr>
                <w:rFonts w:eastAsia="Times New Roman" w:cs="Times New Roman"/>
                <w:color w:val="000000"/>
                <w:sz w:val="22"/>
                <w:lang w:eastAsia="lv-LV"/>
              </w:rPr>
            </w:pPr>
            <w:r w:rsidRPr="00EB64ED">
              <w:rPr>
                <w:rFonts w:eastAsia="Times New Roman" w:cs="Times New Roman"/>
                <w:color w:val="000000"/>
                <w:sz w:val="22"/>
                <w:lang w:eastAsia="lv-LV"/>
              </w:rPr>
              <w:t>100%</w:t>
            </w:r>
          </w:p>
        </w:tc>
        <w:tc>
          <w:tcPr>
            <w:tcW w:w="1097" w:type="dxa"/>
            <w:tcBorders>
              <w:top w:val="nil"/>
              <w:left w:val="nil"/>
              <w:bottom w:val="single" w:sz="8" w:space="0" w:color="auto"/>
              <w:right w:val="single" w:sz="4" w:space="0" w:color="auto"/>
            </w:tcBorders>
            <w:shd w:val="clear" w:color="auto" w:fill="auto"/>
            <w:noWrap/>
            <w:vAlign w:val="bottom"/>
            <w:hideMark/>
          </w:tcPr>
          <w:p w14:paraId="6A2B01A1" w14:textId="77777777" w:rsidR="004E4F94" w:rsidRPr="00EB64ED" w:rsidRDefault="004E4F94" w:rsidP="00AA241E">
            <w:pPr>
              <w:spacing w:after="0" w:line="240" w:lineRule="auto"/>
              <w:jc w:val="both"/>
              <w:rPr>
                <w:rFonts w:eastAsia="Times New Roman" w:cs="Times New Roman"/>
                <w:color w:val="000000"/>
                <w:sz w:val="22"/>
                <w:lang w:eastAsia="lv-LV"/>
              </w:rPr>
            </w:pPr>
            <w:r w:rsidRPr="00EB64ED">
              <w:rPr>
                <w:rFonts w:eastAsia="Times New Roman" w:cs="Times New Roman"/>
                <w:color w:val="000000"/>
                <w:sz w:val="22"/>
                <w:lang w:eastAsia="lv-LV"/>
              </w:rPr>
              <w:t>100%</w:t>
            </w:r>
          </w:p>
        </w:tc>
        <w:tc>
          <w:tcPr>
            <w:tcW w:w="941" w:type="dxa"/>
            <w:tcBorders>
              <w:top w:val="nil"/>
              <w:left w:val="nil"/>
              <w:bottom w:val="single" w:sz="8" w:space="0" w:color="auto"/>
              <w:right w:val="single" w:sz="4" w:space="0" w:color="auto"/>
            </w:tcBorders>
            <w:shd w:val="clear" w:color="auto" w:fill="auto"/>
            <w:noWrap/>
            <w:vAlign w:val="bottom"/>
            <w:hideMark/>
          </w:tcPr>
          <w:p w14:paraId="0EEA79E0" w14:textId="77777777" w:rsidR="004E4F94" w:rsidRPr="00EB64ED" w:rsidRDefault="004E4F94" w:rsidP="00AA241E">
            <w:pPr>
              <w:spacing w:after="0" w:line="240" w:lineRule="auto"/>
              <w:jc w:val="both"/>
              <w:rPr>
                <w:rFonts w:eastAsia="Times New Roman" w:cs="Times New Roman"/>
                <w:color w:val="000000"/>
                <w:sz w:val="22"/>
                <w:lang w:eastAsia="lv-LV"/>
              </w:rPr>
            </w:pPr>
            <w:r w:rsidRPr="00EB64ED">
              <w:rPr>
                <w:rFonts w:eastAsia="Times New Roman" w:cs="Times New Roman"/>
                <w:color w:val="000000"/>
                <w:sz w:val="22"/>
                <w:lang w:eastAsia="lv-LV"/>
              </w:rPr>
              <w:t>100%</w:t>
            </w:r>
          </w:p>
        </w:tc>
        <w:tc>
          <w:tcPr>
            <w:tcW w:w="1097" w:type="dxa"/>
            <w:tcBorders>
              <w:top w:val="nil"/>
              <w:left w:val="nil"/>
              <w:bottom w:val="single" w:sz="8" w:space="0" w:color="auto"/>
              <w:right w:val="single" w:sz="8" w:space="0" w:color="auto"/>
            </w:tcBorders>
            <w:shd w:val="clear" w:color="auto" w:fill="auto"/>
            <w:noWrap/>
            <w:vAlign w:val="bottom"/>
            <w:hideMark/>
          </w:tcPr>
          <w:p w14:paraId="54523E92" w14:textId="77777777" w:rsidR="004E4F94" w:rsidRPr="00EB64ED" w:rsidRDefault="004E4F94" w:rsidP="00AA241E">
            <w:pPr>
              <w:spacing w:after="0" w:line="240" w:lineRule="auto"/>
              <w:jc w:val="both"/>
              <w:rPr>
                <w:rFonts w:eastAsia="Times New Roman" w:cs="Times New Roman"/>
                <w:color w:val="000000"/>
                <w:sz w:val="22"/>
                <w:lang w:eastAsia="lv-LV"/>
              </w:rPr>
            </w:pPr>
            <w:r w:rsidRPr="00EB64ED">
              <w:rPr>
                <w:rFonts w:eastAsia="Times New Roman" w:cs="Times New Roman"/>
                <w:color w:val="000000"/>
                <w:sz w:val="22"/>
                <w:lang w:eastAsia="lv-LV"/>
              </w:rPr>
              <w:t>100%</w:t>
            </w:r>
          </w:p>
        </w:tc>
      </w:tr>
    </w:tbl>
    <w:p w14:paraId="4E13FA26" w14:textId="2D79849A" w:rsidR="004E4F94" w:rsidRDefault="004E4F94" w:rsidP="00AA241E">
      <w:pPr>
        <w:pStyle w:val="Pealdis"/>
        <w:jc w:val="both"/>
      </w:pPr>
      <w:r>
        <w:t xml:space="preserve">Tabel </w:t>
      </w:r>
      <w:r>
        <w:fldChar w:fldCharType="begin"/>
      </w:r>
      <w:r>
        <w:instrText xml:space="preserve"> SEQ Tabel \* ARABIC </w:instrText>
      </w:r>
      <w:r>
        <w:fldChar w:fldCharType="separate"/>
      </w:r>
      <w:r w:rsidR="00247D84">
        <w:rPr>
          <w:noProof/>
        </w:rPr>
        <w:t>41</w:t>
      </w:r>
      <w:r>
        <w:fldChar w:fldCharType="end"/>
      </w:r>
      <w:r>
        <w:t xml:space="preserve"> </w:t>
      </w:r>
      <w:bookmarkStart w:id="852" w:name="_Hlk173926242"/>
      <w:r w:rsidR="00A3232C">
        <w:t>Valguskaabelvõrgu</w:t>
      </w:r>
      <w:r w:rsidR="009D2640" w:rsidRPr="00AC04C7">
        <w:t xml:space="preserve"> jaetasandi internetiühenduste tootetur</w:t>
      </w:r>
      <w:r w:rsidR="009D2640">
        <w:t xml:space="preserve">u </w:t>
      </w:r>
      <w:bookmarkEnd w:id="852"/>
      <w:r>
        <w:t>dünaamika Eesti piirkonnas B aastatel 2017-2023</w:t>
      </w:r>
    </w:p>
    <w:p w14:paraId="46913FEC" w14:textId="1D202929" w:rsidR="004E4F94" w:rsidRPr="009541AB" w:rsidRDefault="004E4F94" w:rsidP="00AA241E">
      <w:pPr>
        <w:jc w:val="both"/>
      </w:pPr>
      <w:r w:rsidRPr="002E251B">
        <w:t>TTJA käsutuses oleva teabe kohaselt osutavad kaks sideettevõtjat  juurdepääsuvõrgus hulgit</w:t>
      </w:r>
      <w:r w:rsidR="009D01B1" w:rsidRPr="002E251B">
        <w:t>uru</w:t>
      </w:r>
      <w:r w:rsidRPr="002E251B">
        <w:t xml:space="preserve"> </w:t>
      </w:r>
      <w:r w:rsidR="00FE729C" w:rsidRPr="002E251B">
        <w:t>3b</w:t>
      </w:r>
      <w:r w:rsidRPr="002E251B">
        <w:t xml:space="preserve"> teenuseid</w:t>
      </w:r>
      <w:r w:rsidR="00F837B5" w:rsidRPr="002E251B">
        <w:t>:</w:t>
      </w:r>
      <w:r w:rsidR="005601B3" w:rsidRPr="002E251B">
        <w:t xml:space="preserve"> </w:t>
      </w:r>
      <w:r w:rsidR="00C71204" w:rsidRPr="002E251B">
        <w:t>Telia ja Elisa</w:t>
      </w:r>
      <w:r w:rsidR="00F837B5" w:rsidRPr="002E251B">
        <w:t>.</w:t>
      </w:r>
    </w:p>
    <w:p w14:paraId="50F1943A" w14:textId="132A12C5" w:rsidR="004E4F94" w:rsidRDefault="004E4F94" w:rsidP="00AA241E">
      <w:pPr>
        <w:jc w:val="both"/>
      </w:pPr>
      <w:r>
        <w:t xml:space="preserve">Lähtudes </w:t>
      </w:r>
      <w:proofErr w:type="spellStart"/>
      <w:r w:rsidR="002A1662" w:rsidRPr="002A1662">
        <w:rPr>
          <w:i/>
        </w:rPr>
        <w:t>Gr</w:t>
      </w:r>
      <w:r w:rsidR="00C318C1">
        <w:rPr>
          <w:i/>
        </w:rPr>
        <w:t>e</w:t>
      </w:r>
      <w:r w:rsidR="002A1662" w:rsidRPr="002A1662">
        <w:rPr>
          <w:i/>
        </w:rPr>
        <w:t>enfieldi</w:t>
      </w:r>
      <w:proofErr w:type="spellEnd"/>
      <w:r>
        <w:t xml:space="preserve"> lähenemisviisi põhimõttest on vajalik õigete turuosade hindamine, kuna see võib mõjutada turuanalüüsi tulemusi olukorras, kus </w:t>
      </w:r>
      <w:r w:rsidR="00FE729C">
        <w:t>hulgi</w:t>
      </w:r>
      <w:r>
        <w:t xml:space="preserve">turu 1 teenuste hulgimüük on väga suur. See tähendab, et </w:t>
      </w:r>
      <w:r w:rsidR="00FE729C">
        <w:t>hulgi</w:t>
      </w:r>
      <w:r>
        <w:t xml:space="preserve">turu 3b </w:t>
      </w:r>
      <w:r w:rsidR="00B636BA">
        <w:t>kohustustest</w:t>
      </w:r>
      <w:r>
        <w:t xml:space="preserve"> tuleb loobuda, kui infrastruktuurikonkurents koos </w:t>
      </w:r>
      <w:r w:rsidR="009C2C25">
        <w:t>hulgi</w:t>
      </w:r>
      <w:r>
        <w:t xml:space="preserve">turu 1 teenuste osutamisega, mida reguleerivad kahepoolsed investeerimislepingud,  </w:t>
      </w:r>
      <w:r w:rsidR="006E36D1">
        <w:t>toimib</w:t>
      </w:r>
      <w:r>
        <w:t xml:space="preserve">. Hoolimata asjaolust, </w:t>
      </w:r>
      <w:r w:rsidRPr="002E251B">
        <w:t xml:space="preserve">et </w:t>
      </w:r>
      <w:r w:rsidR="00306F9B" w:rsidRPr="002E251B">
        <w:t xml:space="preserve">valguskaabel </w:t>
      </w:r>
      <w:r w:rsidRPr="002E251B">
        <w:t>juurdepääsu hulgitur</w:t>
      </w:r>
      <w:r w:rsidR="009C2C25" w:rsidRPr="002E251B">
        <w:t>g</w:t>
      </w:r>
      <w:r w:rsidRPr="002E251B">
        <w:t>u</w:t>
      </w:r>
      <w:r w:rsidR="009C2C25" w:rsidRPr="002E251B">
        <w:t>de</w:t>
      </w:r>
      <w:r w:rsidRPr="002E251B">
        <w:t xml:space="preserve">l 1 ja 3b </w:t>
      </w:r>
      <w:r w:rsidR="002E251B">
        <w:t xml:space="preserve">teenuseid tarbitakse </w:t>
      </w:r>
      <w:r w:rsidRPr="002E251B">
        <w:t>väikestes kogustes, arvutab TTJA siiski</w:t>
      </w:r>
      <w:r>
        <w:t xml:space="preserve"> vastavalt regulatiivsetele õigusaktidele turuosad </w:t>
      </w:r>
      <w:proofErr w:type="spellStart"/>
      <w:r w:rsidR="002A1662" w:rsidRPr="002A1662">
        <w:rPr>
          <w:i/>
        </w:rPr>
        <w:t>Gr</w:t>
      </w:r>
      <w:r w:rsidR="00C318C1">
        <w:rPr>
          <w:i/>
        </w:rPr>
        <w:t>e</w:t>
      </w:r>
      <w:r w:rsidR="002A1662" w:rsidRPr="002A1662">
        <w:rPr>
          <w:i/>
        </w:rPr>
        <w:t>enfieldi</w:t>
      </w:r>
      <w:proofErr w:type="spellEnd"/>
      <w:r>
        <w:t xml:space="preserve"> lähenemisviisi kohaselt.</w:t>
      </w:r>
    </w:p>
    <w:p w14:paraId="76D504CF" w14:textId="34886B38" w:rsidR="004E4F94" w:rsidRPr="00B57B39" w:rsidRDefault="004E4F94" w:rsidP="00AA241E">
      <w:pPr>
        <w:jc w:val="both"/>
      </w:pPr>
      <w:r>
        <w:t xml:space="preserve">TTJA arvutab operaatorite turuosad vastavalt interneti jaeturu määratlusele ja geograafiliste turgude määratlusele. Seega võtab TTJA </w:t>
      </w:r>
      <w:r w:rsidR="002E251B" w:rsidRPr="002E251B">
        <w:t>valguskaabelvõrgu internetiühenduste</w:t>
      </w:r>
      <w:r w:rsidR="002E251B">
        <w:t xml:space="preserve"> </w:t>
      </w:r>
      <w:r w:rsidR="002E251B" w:rsidRPr="002E251B">
        <w:t>jaetur</w:t>
      </w:r>
      <w:r w:rsidR="002E251B">
        <w:t>ul</w:t>
      </w:r>
      <w:r w:rsidR="002E251B" w:rsidRPr="002E251B">
        <w:t xml:space="preserve"> </w:t>
      </w:r>
      <w:r>
        <w:t xml:space="preserve">tegutsevate operaatorite turuosade arvutamisel arvesse ainult nende operaatorite aktiivseid </w:t>
      </w:r>
      <w:r w:rsidR="00242266">
        <w:t>kliendi</w:t>
      </w:r>
      <w:r>
        <w:t xml:space="preserve">liine, mida pakutakse FTTH ja FTTB tehnoloogiate vahendusel. Vastavalt geograafiliste turgude määratlusele arvutatakse </w:t>
      </w:r>
      <w:r w:rsidR="00306F9B">
        <w:t>valgus</w:t>
      </w:r>
      <w:r w:rsidR="00306F9B" w:rsidRPr="006E317E">
        <w:t>kaabel</w:t>
      </w:r>
      <w:r>
        <w:t xml:space="preserve"> turuosad </w:t>
      </w:r>
      <w:r w:rsidR="00A3553F" w:rsidRPr="00FB6193">
        <w:t xml:space="preserve">valguskaabelvõrgu </w:t>
      </w:r>
      <w:r w:rsidR="00FB6193" w:rsidRPr="00FB6193">
        <w:t xml:space="preserve">internetiühenduste A piirkonna </w:t>
      </w:r>
      <w:r w:rsidR="00FB6193" w:rsidRPr="00B57B39">
        <w:t>jaetur</w:t>
      </w:r>
      <w:r w:rsidR="00A3553F" w:rsidRPr="00B57B39">
        <w:t>u</w:t>
      </w:r>
      <w:r w:rsidR="004A20B5" w:rsidRPr="00B57B39">
        <w:t>l</w:t>
      </w:r>
      <w:r w:rsidR="00A3553F" w:rsidRPr="00B57B39">
        <w:t xml:space="preserve"> ja </w:t>
      </w:r>
      <w:r w:rsidR="00FB6193" w:rsidRPr="00B57B39">
        <w:t xml:space="preserve"> </w:t>
      </w:r>
      <w:r w:rsidR="00A3553F" w:rsidRPr="00B57B39">
        <w:rPr>
          <w:rFonts w:cs="Times New Roman"/>
        </w:rPr>
        <w:t>valguskaabelvõrgu internetiühenduste</w:t>
      </w:r>
      <w:r w:rsidR="00A3553F" w:rsidRPr="00B57B39">
        <w:t xml:space="preserve"> B</w:t>
      </w:r>
      <w:r w:rsidR="00A3553F" w:rsidRPr="00B57B39">
        <w:rPr>
          <w:rFonts w:cs="Times New Roman"/>
        </w:rPr>
        <w:t xml:space="preserve"> piirkonna jaeturu</w:t>
      </w:r>
      <w:r w:rsidR="004A20B5" w:rsidRPr="00B57B39">
        <w:rPr>
          <w:rFonts w:cs="Times New Roman"/>
        </w:rPr>
        <w:t>l</w:t>
      </w:r>
      <w:r w:rsidR="004203B8" w:rsidRPr="00B57B39">
        <w:rPr>
          <w:rFonts w:cs="Times New Roman"/>
        </w:rPr>
        <w:t>.</w:t>
      </w:r>
      <w:r w:rsidRPr="00B57B39">
        <w:t xml:space="preserve"> </w:t>
      </w:r>
      <w:r w:rsidR="004203B8" w:rsidRPr="00B57B39">
        <w:t xml:space="preserve">Suuremate </w:t>
      </w:r>
      <w:r w:rsidR="009D2640" w:rsidRPr="00B57B39">
        <w:t>sideettevõtjat</w:t>
      </w:r>
      <w:r w:rsidRPr="00B57B39">
        <w:t>e turuosade dünaamika</w:t>
      </w:r>
      <w:r w:rsidR="00736F31" w:rsidRPr="00B57B39">
        <w:t xml:space="preserve"> on toodud tabelites</w:t>
      </w:r>
      <w:r w:rsidRPr="00B57B39">
        <w:t xml:space="preserve"> </w:t>
      </w:r>
      <w:r w:rsidR="00351FBB" w:rsidRPr="00B57B39">
        <w:t>40</w:t>
      </w:r>
      <w:r w:rsidRPr="00B57B39">
        <w:t xml:space="preserve"> ja </w:t>
      </w:r>
      <w:r w:rsidR="00351FBB" w:rsidRPr="00B57B39">
        <w:t>41</w:t>
      </w:r>
      <w:r w:rsidRPr="00B57B39">
        <w:t>.</w:t>
      </w:r>
    </w:p>
    <w:p w14:paraId="0C4F014F" w14:textId="3F41ABFA" w:rsidR="004E4F94" w:rsidRDefault="004E4F94" w:rsidP="00AA241E">
      <w:pPr>
        <w:jc w:val="both"/>
      </w:pPr>
      <w:r w:rsidRPr="00B57B39">
        <w:t>Võttes arvesse, et Telia paku</w:t>
      </w:r>
      <w:r w:rsidR="00B96009">
        <w:t>b</w:t>
      </w:r>
      <w:r w:rsidRPr="00B57B39">
        <w:t xml:space="preserve"> </w:t>
      </w:r>
      <w:r w:rsidR="00B96009">
        <w:t>väga väikeses mahus teistele</w:t>
      </w:r>
      <w:r w:rsidR="00B96009" w:rsidRPr="00B57B39">
        <w:t xml:space="preserve"> </w:t>
      </w:r>
      <w:r w:rsidRPr="00B57B39">
        <w:t xml:space="preserve">sideettevõtjatele </w:t>
      </w:r>
      <w:r w:rsidR="004203B8" w:rsidRPr="00B57B39">
        <w:t>hulgi</w:t>
      </w:r>
      <w:r w:rsidRPr="00B57B39">
        <w:t xml:space="preserve">turu 1. teenuseid valguskaabel juurdepääsuvõrgus, langeb turuosade arvutamine jaeturul, mis on seotud </w:t>
      </w:r>
      <w:r w:rsidR="004203B8" w:rsidRPr="00B57B39">
        <w:t>hulgi</w:t>
      </w:r>
      <w:r w:rsidRPr="00B57B39">
        <w:t xml:space="preserve">turuga 1 ja mis on läbi viidud punktis </w:t>
      </w:r>
      <w:r w:rsidR="004203B8" w:rsidRPr="00B57B39">
        <w:t>5</w:t>
      </w:r>
      <w:r w:rsidRPr="00B57B39">
        <w:t>.1.2.1, täielikult</w:t>
      </w:r>
      <w:r>
        <w:t xml:space="preserve"> kokku käesolevas peatükis tehtud turuosade arvutamisega. </w:t>
      </w:r>
    </w:p>
    <w:p w14:paraId="4DF1EBE5" w14:textId="214CBE7A" w:rsidR="004E4F94" w:rsidRDefault="004E4F94" w:rsidP="00AA241E">
      <w:pPr>
        <w:jc w:val="both"/>
      </w:pPr>
      <w:r>
        <w:t xml:space="preserve">Võttes arvesse, et </w:t>
      </w:r>
      <w:r w:rsidR="004203B8">
        <w:t>hulgi</w:t>
      </w:r>
      <w:r>
        <w:t>turgude 1 ja 3b teenuste kasutamine toimub väikestes mahtudes, põhineb arvutatud turuosa peamiselt Eesti infrastruktuurikonkurentsil.</w:t>
      </w:r>
    </w:p>
    <w:p w14:paraId="1F565752" w14:textId="471EFF0E" w:rsidR="004E4F94" w:rsidRDefault="004E4F94" w:rsidP="00AA241E">
      <w:pPr>
        <w:jc w:val="both"/>
      </w:pPr>
      <w:r>
        <w:t xml:space="preserve">Telia turuosa </w:t>
      </w:r>
      <w:r w:rsidR="004D4766" w:rsidRPr="00530054">
        <w:rPr>
          <w:rFonts w:cs="Times New Roman"/>
        </w:rPr>
        <w:t xml:space="preserve">valguskaabelvõrgu </w:t>
      </w:r>
      <w:r w:rsidR="004203B8" w:rsidRPr="00530054">
        <w:rPr>
          <w:rFonts w:cs="Times New Roman"/>
        </w:rPr>
        <w:t xml:space="preserve">internetiühenduste A </w:t>
      </w:r>
      <w:r w:rsidR="004203B8">
        <w:t xml:space="preserve">piirkonna </w:t>
      </w:r>
      <w:r w:rsidR="004203B8" w:rsidRPr="00530054">
        <w:rPr>
          <w:rFonts w:cs="Times New Roman"/>
        </w:rPr>
        <w:t>jaetur</w:t>
      </w:r>
      <w:r w:rsidR="004D4766">
        <w:rPr>
          <w:rFonts w:cs="Times New Roman"/>
        </w:rPr>
        <w:t>ul</w:t>
      </w:r>
      <w:r w:rsidR="009D2640">
        <w:t xml:space="preserve"> </w:t>
      </w:r>
      <w:r>
        <w:t>on vähenenud, kuid kahe suurima konkurendi, Elisa ja STV turuosad on üldiselt suurenenud. TTJA  järeldab, et Telia turuosad 2023</w:t>
      </w:r>
      <w:r w:rsidR="004D4766">
        <w:t>.</w:t>
      </w:r>
      <w:r>
        <w:t xml:space="preserve"> aastal,  ei näita enam Telia turgu valitsevat seisundit. Elisa ja STV turuosad ei ole samuti tasemel, mis viitaks nende turgu valitsevale seisundile. Eelkõige osutavad analüüsitud turuosad tõhusale konkurentsile </w:t>
      </w:r>
      <w:r w:rsidR="004D4766">
        <w:t>valguskaabelvõrgu</w:t>
      </w:r>
      <w:r w:rsidR="004D4766" w:rsidRPr="00AC04C7">
        <w:t xml:space="preserve"> internetiühenduste </w:t>
      </w:r>
      <w:r w:rsidR="004D4766" w:rsidRPr="00530054">
        <w:rPr>
          <w:rFonts w:cs="Times New Roman"/>
        </w:rPr>
        <w:t>A piirkonna jaetur</w:t>
      </w:r>
      <w:r w:rsidR="004D4766">
        <w:rPr>
          <w:rFonts w:cs="Times New Roman"/>
        </w:rPr>
        <w:t>ul</w:t>
      </w:r>
      <w:r w:rsidR="009D2640">
        <w:t xml:space="preserve">. </w:t>
      </w:r>
      <w:r>
        <w:t xml:space="preserve">Mis puutub Telia  turuosadesse </w:t>
      </w:r>
      <w:r w:rsidR="004D4766">
        <w:t>valguskaabelvõrgu</w:t>
      </w:r>
      <w:r w:rsidR="004D4766" w:rsidRPr="00AC04C7">
        <w:t xml:space="preserve"> internetiühenduste </w:t>
      </w:r>
      <w:r w:rsidR="004D4766">
        <w:t>B</w:t>
      </w:r>
      <w:r w:rsidR="004D4766" w:rsidRPr="00530054">
        <w:rPr>
          <w:rFonts w:cs="Times New Roman"/>
        </w:rPr>
        <w:t xml:space="preserve"> piirkonna jaetur</w:t>
      </w:r>
      <w:r w:rsidR="004D4766">
        <w:rPr>
          <w:rFonts w:cs="Times New Roman"/>
        </w:rPr>
        <w:t>ul</w:t>
      </w:r>
      <w:r>
        <w:t xml:space="preserve">, siis need </w:t>
      </w:r>
      <w:r w:rsidR="00226FDF">
        <w:t>ei ole vähenenud</w:t>
      </w:r>
      <w:r>
        <w:t>. TTJA järeldab, et Telia turuosa</w:t>
      </w:r>
      <w:r w:rsidR="0098463E">
        <w:t xml:space="preserve"> </w:t>
      </w:r>
      <w:r w:rsidR="00D3693F">
        <w:t>valguskaabel</w:t>
      </w:r>
      <w:r w:rsidR="004167C6">
        <w:t xml:space="preserve"> võrgus</w:t>
      </w:r>
      <w:r>
        <w:t xml:space="preserve"> 2023</w:t>
      </w:r>
      <w:r w:rsidR="000C39AE">
        <w:t>.</w:t>
      </w:r>
      <w:r>
        <w:t xml:space="preserve"> aasta </w:t>
      </w:r>
      <w:r w:rsidR="000C39AE">
        <w:t xml:space="preserve">lõpu </w:t>
      </w:r>
      <w:r>
        <w:t xml:space="preserve">seisuga </w:t>
      </w:r>
      <w:r>
        <w:lastRenderedPageBreak/>
        <w:t>oli 81%*, on suur</w:t>
      </w:r>
      <w:r w:rsidR="00ED68D2">
        <w:t xml:space="preserve"> </w:t>
      </w:r>
      <w:r>
        <w:t>ja näita</w:t>
      </w:r>
      <w:r w:rsidR="004167C6">
        <w:t>b</w:t>
      </w:r>
      <w:r>
        <w:t xml:space="preserve"> Telia turgu valitsevat seisundit. </w:t>
      </w:r>
      <w:r w:rsidRPr="00697129">
        <w:t xml:space="preserve">Eelkõige ei viita analüüsitud turuosad tõhusale konkurentsile </w:t>
      </w:r>
      <w:r w:rsidR="00ED68D2">
        <w:t>valguskaabelvõrgu</w:t>
      </w:r>
      <w:r w:rsidR="00ED68D2" w:rsidRPr="00AC04C7">
        <w:t xml:space="preserve"> internetiühenduste </w:t>
      </w:r>
      <w:r w:rsidR="00ED68D2">
        <w:t>B</w:t>
      </w:r>
      <w:r w:rsidR="00ED68D2" w:rsidRPr="00530054">
        <w:rPr>
          <w:rFonts w:cs="Times New Roman"/>
        </w:rPr>
        <w:t xml:space="preserve"> piirkonna jaetur</w:t>
      </w:r>
      <w:r w:rsidR="00ED68D2">
        <w:rPr>
          <w:rFonts w:cs="Times New Roman"/>
        </w:rPr>
        <w:t>ul</w:t>
      </w:r>
      <w:r w:rsidRPr="00697129">
        <w:t xml:space="preserve">. Suuruselt teise konkurendi </w:t>
      </w:r>
      <w:r>
        <w:t>STV</w:t>
      </w:r>
      <w:r w:rsidRPr="00697129">
        <w:t xml:space="preserve"> turuosad on omakorda kasvanud, kuid need ei ole tasemel, mis näitaks </w:t>
      </w:r>
      <w:r>
        <w:t>STV</w:t>
      </w:r>
      <w:r w:rsidRPr="00697129">
        <w:t xml:space="preserve"> domineerimist turul.</w:t>
      </w:r>
    </w:p>
    <w:p w14:paraId="4E60A441" w14:textId="77777777" w:rsidR="004E4F94" w:rsidRPr="002A7D5E" w:rsidRDefault="004E4F94" w:rsidP="00AA241E">
      <w:pPr>
        <w:jc w:val="both"/>
        <w:rPr>
          <w:b/>
          <w:bCs/>
        </w:rPr>
      </w:pPr>
      <w:r w:rsidRPr="002A7D5E">
        <w:rPr>
          <w:b/>
          <w:bCs/>
        </w:rPr>
        <w:t>Ee</w:t>
      </w:r>
      <w:r>
        <w:rPr>
          <w:b/>
          <w:bCs/>
        </w:rPr>
        <w:t>l</w:t>
      </w:r>
      <w:r w:rsidRPr="002A7D5E">
        <w:rPr>
          <w:b/>
          <w:bCs/>
        </w:rPr>
        <w:t xml:space="preserve">pool öeldut silmas pidades järeldab </w:t>
      </w:r>
      <w:r>
        <w:rPr>
          <w:b/>
          <w:bCs/>
        </w:rPr>
        <w:t>TTJA</w:t>
      </w:r>
      <w:r w:rsidRPr="002A7D5E">
        <w:rPr>
          <w:b/>
          <w:bCs/>
        </w:rPr>
        <w:t>, et:</w:t>
      </w:r>
    </w:p>
    <w:p w14:paraId="6C8A25AE" w14:textId="18D1D5F1" w:rsidR="004E4F94" w:rsidRPr="002A7D5E" w:rsidRDefault="004E4F94" w:rsidP="00AA241E">
      <w:pPr>
        <w:jc w:val="both"/>
        <w:rPr>
          <w:b/>
          <w:bCs/>
        </w:rPr>
      </w:pPr>
      <w:r w:rsidRPr="002A7D5E">
        <w:rPr>
          <w:b/>
          <w:bCs/>
        </w:rPr>
        <w:t>•</w:t>
      </w:r>
      <w:r w:rsidRPr="002A7D5E">
        <w:rPr>
          <w:b/>
          <w:bCs/>
        </w:rPr>
        <w:tab/>
        <w:t xml:space="preserve">turuosade üldine struktuur ei viita sellele, et </w:t>
      </w:r>
      <w:r w:rsidR="00A3232C">
        <w:rPr>
          <w:b/>
          <w:bCs/>
        </w:rPr>
        <w:t>valguskaabelvõrgu</w:t>
      </w:r>
      <w:r w:rsidR="009D2640" w:rsidRPr="009D2640">
        <w:rPr>
          <w:b/>
          <w:bCs/>
        </w:rPr>
        <w:t xml:space="preserve"> internetiühenduste </w:t>
      </w:r>
      <w:r w:rsidR="00981DB5" w:rsidRPr="00981DB5">
        <w:rPr>
          <w:b/>
          <w:bCs/>
        </w:rPr>
        <w:t>A piirkonna jaetur</w:t>
      </w:r>
      <w:r w:rsidR="00981DB5">
        <w:rPr>
          <w:b/>
          <w:bCs/>
        </w:rPr>
        <w:t>ul</w:t>
      </w:r>
      <w:r w:rsidR="009D2640" w:rsidRPr="009D2640">
        <w:rPr>
          <w:b/>
          <w:bCs/>
        </w:rPr>
        <w:t xml:space="preserve"> </w:t>
      </w:r>
      <w:r w:rsidRPr="002A7D5E">
        <w:rPr>
          <w:b/>
          <w:bCs/>
        </w:rPr>
        <w:t xml:space="preserve">on ettevõtja, kelle majanduslik tugevus on samaväärne turgu valitseva seisundiga. Turuosad viitavad tõhusale konkurentsile </w:t>
      </w:r>
      <w:r w:rsidR="00A3232C" w:rsidRPr="00981DB5">
        <w:rPr>
          <w:rFonts w:cs="Times New Roman"/>
          <w:b/>
        </w:rPr>
        <w:t>valguskaabelvõrgu</w:t>
      </w:r>
      <w:r w:rsidR="009D2640" w:rsidRPr="00981DB5">
        <w:rPr>
          <w:rFonts w:cs="Times New Roman"/>
          <w:b/>
        </w:rPr>
        <w:t xml:space="preserve"> internetiühenduste </w:t>
      </w:r>
      <w:r w:rsidR="00981DB5" w:rsidRPr="00981DB5">
        <w:rPr>
          <w:rFonts w:cs="Times New Roman"/>
          <w:b/>
          <w:bCs/>
        </w:rPr>
        <w:t>A piirkonna jaeturul</w:t>
      </w:r>
      <w:r w:rsidRPr="002A7D5E">
        <w:rPr>
          <w:b/>
          <w:bCs/>
        </w:rPr>
        <w:t>;</w:t>
      </w:r>
    </w:p>
    <w:p w14:paraId="0AD47CC6" w14:textId="34B2D961" w:rsidR="004E4F94" w:rsidRPr="002A7D5E" w:rsidRDefault="004E4F94" w:rsidP="00AA241E">
      <w:pPr>
        <w:jc w:val="both"/>
        <w:rPr>
          <w:b/>
          <w:bCs/>
        </w:rPr>
      </w:pPr>
      <w:r w:rsidRPr="002A7D5E">
        <w:rPr>
          <w:b/>
          <w:bCs/>
        </w:rPr>
        <w:t>•</w:t>
      </w:r>
      <w:r w:rsidRPr="002A7D5E">
        <w:rPr>
          <w:b/>
          <w:bCs/>
        </w:rPr>
        <w:tab/>
      </w:r>
      <w:r w:rsidR="00A3232C">
        <w:rPr>
          <w:b/>
          <w:bCs/>
        </w:rPr>
        <w:t>valguskaabelvõrgu</w:t>
      </w:r>
      <w:r w:rsidR="009D2640" w:rsidRPr="009D2640">
        <w:rPr>
          <w:b/>
          <w:bCs/>
        </w:rPr>
        <w:t xml:space="preserve"> internetiühenduste </w:t>
      </w:r>
      <w:r w:rsidR="00981DB5">
        <w:rPr>
          <w:b/>
          <w:bCs/>
        </w:rPr>
        <w:t xml:space="preserve">B </w:t>
      </w:r>
      <w:r w:rsidR="00981DB5" w:rsidRPr="00981DB5">
        <w:rPr>
          <w:b/>
          <w:bCs/>
        </w:rPr>
        <w:t>piirkonna jaetur</w:t>
      </w:r>
      <w:r w:rsidR="00981DB5">
        <w:rPr>
          <w:b/>
          <w:bCs/>
        </w:rPr>
        <w:t>u</w:t>
      </w:r>
      <w:r w:rsidR="009D2640" w:rsidRPr="009D2640">
        <w:rPr>
          <w:b/>
          <w:bCs/>
        </w:rPr>
        <w:t xml:space="preserve"> </w:t>
      </w:r>
      <w:r w:rsidRPr="002A7D5E">
        <w:rPr>
          <w:b/>
          <w:bCs/>
        </w:rPr>
        <w:t>turuosade üldine struktuur ei viita tõhusale konkurentsile</w:t>
      </w:r>
      <w:r>
        <w:rPr>
          <w:b/>
          <w:bCs/>
        </w:rPr>
        <w:t>,</w:t>
      </w:r>
      <w:r w:rsidRPr="002A7D5E">
        <w:rPr>
          <w:b/>
          <w:bCs/>
        </w:rPr>
        <w:t xml:space="preserve"> vaid pigem näitab </w:t>
      </w:r>
      <w:r>
        <w:rPr>
          <w:b/>
          <w:bCs/>
        </w:rPr>
        <w:t xml:space="preserve">Telia </w:t>
      </w:r>
      <w:r w:rsidRPr="002A7D5E">
        <w:rPr>
          <w:b/>
          <w:bCs/>
        </w:rPr>
        <w:t>turgu valitseva</w:t>
      </w:r>
      <w:r>
        <w:rPr>
          <w:b/>
          <w:bCs/>
        </w:rPr>
        <w:t>t</w:t>
      </w:r>
      <w:r w:rsidRPr="002A7D5E">
        <w:rPr>
          <w:b/>
          <w:bCs/>
        </w:rPr>
        <w:t xml:space="preserve"> seisundi</w:t>
      </w:r>
      <w:r>
        <w:rPr>
          <w:b/>
          <w:bCs/>
        </w:rPr>
        <w:t>t</w:t>
      </w:r>
      <w:r w:rsidRPr="002A7D5E">
        <w:rPr>
          <w:b/>
          <w:bCs/>
        </w:rPr>
        <w:t xml:space="preserve">. </w:t>
      </w:r>
    </w:p>
    <w:p w14:paraId="14C37573" w14:textId="6D265C24" w:rsidR="00C33AE6" w:rsidRDefault="004E4F94" w:rsidP="00AA241E">
      <w:pPr>
        <w:jc w:val="both"/>
      </w:pPr>
      <w:r>
        <w:t xml:space="preserve">Lisaks turuosadele analüüsib TTJA täiendavalt ka muid kriteeriume, st turule sisenemise tõkkeid või elektroonilise side võrgu </w:t>
      </w:r>
      <w:r w:rsidR="00AF441A">
        <w:t>katvuse</w:t>
      </w:r>
      <w:r>
        <w:t xml:space="preserve"> laiendamist, kontrolli olulise infrastruktuuri üle ja tehnoloogilisi eeliseid või paremust, ebapiisavat kompenseerivat </w:t>
      </w:r>
      <w:r w:rsidR="00EE71F9">
        <w:t>ostjaj</w:t>
      </w:r>
      <w:r>
        <w:t xml:space="preserve">õudu või selle puudumist, </w:t>
      </w:r>
      <w:r w:rsidR="000913C7">
        <w:t>kompleksteenuseid</w:t>
      </w:r>
      <w:r>
        <w:t>, mastaabi- ja mitmekülgsussäästust tulenevaid eeliseid ning eelisjuurdepääsu rahalistele vahenditele.</w:t>
      </w:r>
    </w:p>
    <w:p w14:paraId="23479DB2" w14:textId="77E0633A" w:rsidR="002C1737" w:rsidRPr="00627806" w:rsidRDefault="002C1737" w:rsidP="00AA241E">
      <w:pPr>
        <w:pStyle w:val="Heading49"/>
        <w:numPr>
          <w:ilvl w:val="3"/>
          <w:numId w:val="69"/>
        </w:numPr>
      </w:pPr>
      <w:r w:rsidRPr="00627806">
        <w:t xml:space="preserve">Kõrgete struktuursete, õiguslike või regulatiivsete turule sisenemise või elektroonilise side võrgu </w:t>
      </w:r>
      <w:r w:rsidR="00AF441A">
        <w:t>katvuse</w:t>
      </w:r>
      <w:r w:rsidRPr="00627806">
        <w:t xml:space="preserve"> laiendamise tõkete esinemine </w:t>
      </w:r>
    </w:p>
    <w:p w14:paraId="0D7975A8" w14:textId="385239FF" w:rsidR="002C1737" w:rsidRDefault="002C1737" w:rsidP="00AA241E">
      <w:pPr>
        <w:jc w:val="both"/>
      </w:pPr>
      <w:r w:rsidRPr="00627806">
        <w:t xml:space="preserve">Kõrgete struktuursete, õiguslike või regulatiivsete turule sisenemise või elektroonilise side võrgu </w:t>
      </w:r>
      <w:r w:rsidR="00AF441A">
        <w:t>katvuse</w:t>
      </w:r>
      <w:r w:rsidRPr="00627806">
        <w:t xml:space="preserve"> laiendamise tõkete</w:t>
      </w:r>
      <w:r>
        <w:t xml:space="preserve">st on täpsemalt kirjutatud </w:t>
      </w:r>
      <w:r w:rsidRPr="002E251B">
        <w:t xml:space="preserve">peatükis </w:t>
      </w:r>
      <w:r w:rsidR="00D94649" w:rsidRPr="002E251B">
        <w:t>5</w:t>
      </w:r>
      <w:r w:rsidRPr="002E251B">
        <w:t>.1.1.2</w:t>
      </w:r>
      <w:r>
        <w:t xml:space="preserve"> </w:t>
      </w:r>
    </w:p>
    <w:p w14:paraId="07A36628" w14:textId="097EE97F" w:rsidR="002C1737" w:rsidRPr="002E251B" w:rsidRDefault="002C1737" w:rsidP="00AA241E">
      <w:pPr>
        <w:jc w:val="both"/>
      </w:pPr>
      <w:r>
        <w:t xml:space="preserve">Lähtudes </w:t>
      </w:r>
      <w:proofErr w:type="spellStart"/>
      <w:r w:rsidR="002A1662" w:rsidRPr="002A1662">
        <w:rPr>
          <w:i/>
        </w:rPr>
        <w:t>Gr</w:t>
      </w:r>
      <w:r w:rsidR="00C318C1">
        <w:rPr>
          <w:i/>
        </w:rPr>
        <w:t>e</w:t>
      </w:r>
      <w:r w:rsidR="002A1662" w:rsidRPr="002A1662">
        <w:rPr>
          <w:i/>
        </w:rPr>
        <w:t>enfieldi</w:t>
      </w:r>
      <w:proofErr w:type="spellEnd"/>
      <w:r>
        <w:t xml:space="preserve"> lähenemisviisi põhimõttest ja põhimõttest, et </w:t>
      </w:r>
      <w:r w:rsidR="0007135D">
        <w:t>hulgiturg</w:t>
      </w:r>
      <w:r>
        <w:t xml:space="preserve"> 3b järgneb </w:t>
      </w:r>
      <w:r w:rsidR="006D090D">
        <w:t>hulgi</w:t>
      </w:r>
      <w:r>
        <w:t xml:space="preserve">turule 1, samuti asjaolust, et Telia ei paku teistele </w:t>
      </w:r>
      <w:r w:rsidRPr="002E251B">
        <w:t xml:space="preserve">sideettevõtjatele </w:t>
      </w:r>
      <w:r w:rsidR="006D090D">
        <w:t>hulgi</w:t>
      </w:r>
      <w:r w:rsidRPr="002E251B">
        <w:t xml:space="preserve">turu 1. teenuseid valguskaabel juurdepääsuvõrgus, langeb turule sisenemise tõkete analüüs </w:t>
      </w:r>
      <w:r w:rsidR="00546A8E" w:rsidRPr="002E251B">
        <w:t>hulgiturg</w:t>
      </w:r>
      <w:r w:rsidRPr="002E251B">
        <w:t xml:space="preserve"> 1 valguskaabelvõrgus või elektroonilise side võrgu </w:t>
      </w:r>
      <w:r w:rsidR="00AF441A" w:rsidRPr="002E251B">
        <w:t>katvuse</w:t>
      </w:r>
      <w:r w:rsidRPr="002E251B">
        <w:t xml:space="preserve"> laiendamine jaeturul (vt punkt </w:t>
      </w:r>
      <w:r w:rsidR="00D94649" w:rsidRPr="002E251B">
        <w:t>5</w:t>
      </w:r>
      <w:r w:rsidRPr="002E251B">
        <w:t>.1.1.2) kokku tõkete analüüsiga käesolevas peatükis käsitletud elektroonilise side võr</w:t>
      </w:r>
      <w:r w:rsidR="00AF441A" w:rsidRPr="002E251B">
        <w:t>k</w:t>
      </w:r>
      <w:r w:rsidRPr="002E251B">
        <w:t>u sisenemise või selle laiendamise tõketega. Nimelt iseloomustab seda põhimõtteliselt Eestis olemasolev  infrastruktuurikonkurents.</w:t>
      </w:r>
    </w:p>
    <w:p w14:paraId="2292C1E2" w14:textId="0AFB51A5" w:rsidR="002C1737" w:rsidRPr="002E251B" w:rsidRDefault="002C1737" w:rsidP="00AA241E">
      <w:pPr>
        <w:jc w:val="both"/>
      </w:pPr>
      <w:r w:rsidRPr="002E251B">
        <w:t>Eelpool öeldut silmas pidades kajastab TTJA käesolevas peatükis punktis</w:t>
      </w:r>
      <w:r w:rsidR="00D94649" w:rsidRPr="002E251B">
        <w:t xml:space="preserve"> 5</w:t>
      </w:r>
      <w:r w:rsidRPr="002E251B">
        <w:t>.1.2.2 esitatud peamisi järeldusi.</w:t>
      </w:r>
    </w:p>
    <w:p w14:paraId="7324BB2A" w14:textId="5F1FEB10" w:rsidR="002C1737" w:rsidRPr="00DC465B" w:rsidRDefault="002C1737" w:rsidP="00AA241E">
      <w:pPr>
        <w:jc w:val="both"/>
        <w:rPr>
          <w:rFonts w:eastAsia="Calibri" w:cs="Times New Roman"/>
        </w:rPr>
      </w:pPr>
      <w:r w:rsidRPr="002E251B">
        <w:rPr>
          <w:rFonts w:eastAsia="Calibri" w:cs="Times New Roman"/>
        </w:rPr>
        <w:t>Elektroonilise side turu avanemisel 2000</w:t>
      </w:r>
      <w:r w:rsidR="009D2640" w:rsidRPr="002E251B">
        <w:rPr>
          <w:rFonts w:eastAsia="Calibri" w:cs="Times New Roman"/>
        </w:rPr>
        <w:t>.</w:t>
      </w:r>
      <w:r w:rsidRPr="002E251B">
        <w:rPr>
          <w:rFonts w:eastAsia="Calibri" w:cs="Times New Roman"/>
        </w:rPr>
        <w:t xml:space="preserve"> aastal osutas internetiühenduse teenust ainult Telia </w:t>
      </w:r>
      <w:r w:rsidR="00AD1150">
        <w:rPr>
          <w:rFonts w:eastAsia="Calibri" w:cs="Times New Roman"/>
        </w:rPr>
        <w:t>vaskpaar</w:t>
      </w:r>
      <w:r w:rsidRPr="002E251B">
        <w:rPr>
          <w:rFonts w:eastAsia="Calibri" w:cs="Times New Roman"/>
        </w:rPr>
        <w:t xml:space="preserve">võrgu baasil, mis oli üle Eestiline. Aastatega on internetiühenduse jaeturule sisenenud paljud teised sideettevõtjad erinevate sidevõrgu tehnoloogiate baasil, vt </w:t>
      </w:r>
      <w:r w:rsidR="008C159A">
        <w:rPr>
          <w:rFonts w:eastAsia="Calibri" w:cs="Times New Roman"/>
        </w:rPr>
        <w:t xml:space="preserve">ptk. </w:t>
      </w:r>
      <w:r w:rsidR="00D337B6">
        <w:rPr>
          <w:rFonts w:eastAsia="Calibri" w:cs="Times New Roman"/>
        </w:rPr>
        <w:t>2</w:t>
      </w:r>
      <w:r w:rsidR="00F56A40" w:rsidRPr="002E251B">
        <w:rPr>
          <w:rFonts w:eastAsia="Calibri" w:cs="Times New Roman"/>
        </w:rPr>
        <w:t>.</w:t>
      </w:r>
      <w:r w:rsidR="00D337B6">
        <w:rPr>
          <w:rFonts w:eastAsia="Calibri" w:cs="Times New Roman"/>
        </w:rPr>
        <w:t>2</w:t>
      </w:r>
      <w:r w:rsidR="00BF38FE" w:rsidRPr="002E251B">
        <w:rPr>
          <w:rFonts w:eastAsia="Calibri" w:cs="Times New Roman"/>
        </w:rPr>
        <w:t>.</w:t>
      </w:r>
      <w:r w:rsidR="00D337B6">
        <w:rPr>
          <w:rFonts w:eastAsia="Calibri" w:cs="Times New Roman"/>
        </w:rPr>
        <w:t>7</w:t>
      </w:r>
      <w:r w:rsidRPr="002E251B">
        <w:rPr>
          <w:rFonts w:eastAsia="Calibri" w:cs="Times New Roman"/>
        </w:rPr>
        <w:t xml:space="preserve"> Tabel</w:t>
      </w:r>
      <w:r w:rsidR="00BF38FE" w:rsidRPr="002E251B">
        <w:rPr>
          <w:rFonts w:eastAsia="Calibri" w:cs="Times New Roman"/>
        </w:rPr>
        <w:t xml:space="preserve"> </w:t>
      </w:r>
      <w:r w:rsidR="00D337B6">
        <w:rPr>
          <w:rFonts w:eastAsia="Calibri" w:cs="Times New Roman"/>
        </w:rPr>
        <w:t>5</w:t>
      </w:r>
      <w:r w:rsidRPr="002E251B">
        <w:rPr>
          <w:rFonts w:eastAsia="Calibri" w:cs="Times New Roman"/>
        </w:rPr>
        <w:t>, peamiselt koaksiaalkaabel-, valguskaabelvõrkude ja mobiil</w:t>
      </w:r>
      <w:r w:rsidR="008D607F" w:rsidRPr="002E251B">
        <w:rPr>
          <w:rFonts w:eastAsia="Calibri" w:cs="Times New Roman"/>
        </w:rPr>
        <w:t>side</w:t>
      </w:r>
      <w:r w:rsidRPr="002E251B">
        <w:rPr>
          <w:rFonts w:eastAsia="Calibri" w:cs="Times New Roman"/>
        </w:rPr>
        <w:t>võrkude</w:t>
      </w:r>
      <w:r w:rsidRPr="00DC465B">
        <w:rPr>
          <w:rFonts w:eastAsia="Calibri" w:cs="Times New Roman"/>
        </w:rPr>
        <w:t xml:space="preserve"> baasil, väga vähesel määral ka </w:t>
      </w:r>
      <w:proofErr w:type="spellStart"/>
      <w:r w:rsidR="00C06A72" w:rsidRPr="00DC465B">
        <w:rPr>
          <w:rFonts w:eastAsia="Calibri" w:cs="Times New Roman"/>
        </w:rPr>
        <w:t>WiFi</w:t>
      </w:r>
      <w:proofErr w:type="spellEnd"/>
      <w:r w:rsidRPr="00DC465B">
        <w:rPr>
          <w:rFonts w:eastAsia="Calibri" w:cs="Times New Roman"/>
        </w:rPr>
        <w:t xml:space="preserve"> raadiosidevõrgu baasil ja viimasel ajal vähesel määral ka satelliitsidevõrgu baasil, mida nende väga madala kasutuse tõttu internetiühenduste jaeturu konkurentsi analüüsi ei kaasatud. </w:t>
      </w:r>
    </w:p>
    <w:p w14:paraId="632D1FB5" w14:textId="26CC4DA7" w:rsidR="002C1737" w:rsidRPr="00DC465B" w:rsidRDefault="002C1737" w:rsidP="00AA241E">
      <w:pPr>
        <w:jc w:val="both"/>
        <w:rPr>
          <w:rFonts w:eastAsia="Calibri" w:cs="Times New Roman"/>
        </w:rPr>
      </w:pPr>
      <w:r w:rsidRPr="00DC465B">
        <w:rPr>
          <w:rFonts w:eastAsia="Calibri" w:cs="Times New Roman"/>
        </w:rPr>
        <w:lastRenderedPageBreak/>
        <w:t xml:space="preserve">Valguskaablivõrkude </w:t>
      </w:r>
      <w:r w:rsidRPr="002E251B">
        <w:rPr>
          <w:rFonts w:eastAsia="Calibri" w:cs="Times New Roman"/>
        </w:rPr>
        <w:t>tehnoloogia alusel on erakapitali baasil 2023</w:t>
      </w:r>
      <w:r w:rsidR="00A61C4E" w:rsidRPr="002E251B">
        <w:rPr>
          <w:rFonts w:eastAsia="Calibri" w:cs="Times New Roman"/>
        </w:rPr>
        <w:t>.</w:t>
      </w:r>
      <w:r w:rsidRPr="002E251B">
        <w:rPr>
          <w:rFonts w:eastAsia="Calibri" w:cs="Times New Roman"/>
        </w:rPr>
        <w:t xml:space="preserve"> aastal A piirkonnas kõige enam elu- ja mitteeluruume kaetud STV poolt ca </w:t>
      </w:r>
      <w:r w:rsidR="006B1262" w:rsidRPr="009C7CBE">
        <w:t>…*%</w:t>
      </w:r>
      <w:r w:rsidRPr="002E251B">
        <w:rPr>
          <w:rFonts w:eastAsia="Calibri" w:cs="Times New Roman"/>
        </w:rPr>
        <w:t xml:space="preserve">, järgnevad Telia </w:t>
      </w:r>
      <w:r w:rsidR="006379B0" w:rsidRPr="006379B0">
        <w:t>…*</w:t>
      </w:r>
      <w:r w:rsidRPr="002E251B">
        <w:rPr>
          <w:rFonts w:eastAsia="Calibri" w:cs="Times New Roman"/>
        </w:rPr>
        <w:t xml:space="preserve">%, Elisa </w:t>
      </w:r>
      <w:r w:rsidR="006B1262" w:rsidRPr="009C7CBE">
        <w:t>…*%</w:t>
      </w:r>
      <w:r w:rsidR="006B1262">
        <w:t xml:space="preserve"> </w:t>
      </w:r>
      <w:r w:rsidRPr="002E251B">
        <w:rPr>
          <w:rFonts w:eastAsia="Calibri" w:cs="Times New Roman"/>
        </w:rPr>
        <w:t xml:space="preserve">ja </w:t>
      </w:r>
      <w:r w:rsidR="006B1262" w:rsidRPr="009C7CBE">
        <w:t>…*%</w:t>
      </w:r>
      <w:r w:rsidRPr="002E251B">
        <w:rPr>
          <w:rFonts w:eastAsia="Calibri" w:cs="Times New Roman"/>
        </w:rPr>
        <w:t>, vt Tabel</w:t>
      </w:r>
      <w:r w:rsidR="00BF38FE" w:rsidRPr="002E251B">
        <w:rPr>
          <w:rFonts w:eastAsia="Calibri" w:cs="Times New Roman"/>
        </w:rPr>
        <w:t xml:space="preserve"> 13/42</w:t>
      </w:r>
      <w:r w:rsidRPr="002E251B">
        <w:rPr>
          <w:rFonts w:eastAsia="Calibri" w:cs="Times New Roman"/>
        </w:rPr>
        <w:t xml:space="preserve"> . A piirkonnas ei ole riigiabiga peaaegu üldse </w:t>
      </w:r>
      <w:r w:rsidR="00A3232C" w:rsidRPr="002E251B">
        <w:rPr>
          <w:rFonts w:eastAsia="Calibri" w:cs="Times New Roman"/>
        </w:rPr>
        <w:t>valguskaabelvõrgu</w:t>
      </w:r>
      <w:r w:rsidRPr="002E251B">
        <w:rPr>
          <w:rFonts w:eastAsia="Calibri" w:cs="Times New Roman"/>
        </w:rPr>
        <w:t xml:space="preserve"> kliendiliine rajatud</w:t>
      </w:r>
      <w:r w:rsidRPr="00DC465B">
        <w:rPr>
          <w:rFonts w:eastAsia="Calibri" w:cs="Times New Roman"/>
        </w:rPr>
        <w:t xml:space="preserve"> ja seeläbi elu- ja mitteeluruumides internetiühenduse võimalusi loodud. </w:t>
      </w:r>
    </w:p>
    <w:p w14:paraId="552660DB" w14:textId="04D96370" w:rsidR="002C1737" w:rsidRPr="00DC465B" w:rsidRDefault="006C5EC9" w:rsidP="00AA241E">
      <w:pPr>
        <w:jc w:val="both"/>
        <w:rPr>
          <w:rFonts w:eastAsia="Calibri" w:cs="Times New Roman"/>
        </w:rPr>
      </w:pPr>
      <w:r>
        <w:rPr>
          <w:rFonts w:eastAsia="Calibri" w:cs="Times New Roman"/>
          <w:noProof/>
        </w:rPr>
        <w:drawing>
          <wp:inline distT="0" distB="0" distL="0" distR="0" wp14:anchorId="4721B85E" wp14:editId="2D03C640">
            <wp:extent cx="4840605" cy="3255645"/>
            <wp:effectExtent l="0" t="0" r="0" b="1905"/>
            <wp:docPr id="1524026392"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0605" cy="3255645"/>
                    </a:xfrm>
                    <a:prstGeom prst="rect">
                      <a:avLst/>
                    </a:prstGeom>
                    <a:noFill/>
                  </pic:spPr>
                </pic:pic>
              </a:graphicData>
            </a:graphic>
          </wp:inline>
        </w:drawing>
      </w:r>
    </w:p>
    <w:p w14:paraId="3C5EA64C" w14:textId="71D73638" w:rsidR="002C1737" w:rsidRPr="00A92CA7" w:rsidRDefault="002C1737" w:rsidP="00AA241E">
      <w:pPr>
        <w:jc w:val="both"/>
        <w:rPr>
          <w:rFonts w:eastAsia="Calibri" w:cs="Times New Roman"/>
          <w:b/>
          <w:bCs/>
          <w:sz w:val="20"/>
          <w:szCs w:val="20"/>
        </w:rPr>
      </w:pPr>
      <w:r w:rsidRPr="00A92CA7">
        <w:rPr>
          <w:b/>
          <w:bCs/>
          <w:sz w:val="20"/>
          <w:szCs w:val="20"/>
        </w:rPr>
        <w:t xml:space="preserve">Tabel </w:t>
      </w:r>
      <w:r w:rsidRPr="00A92CA7">
        <w:rPr>
          <w:b/>
          <w:bCs/>
          <w:sz w:val="20"/>
          <w:szCs w:val="20"/>
        </w:rPr>
        <w:fldChar w:fldCharType="begin"/>
      </w:r>
      <w:r w:rsidRPr="00A92CA7">
        <w:rPr>
          <w:b/>
          <w:bCs/>
          <w:sz w:val="20"/>
          <w:szCs w:val="20"/>
        </w:rPr>
        <w:instrText xml:space="preserve"> SEQ Tabel \* ARABIC </w:instrText>
      </w:r>
      <w:r w:rsidRPr="00A92CA7">
        <w:rPr>
          <w:b/>
          <w:bCs/>
          <w:sz w:val="20"/>
          <w:szCs w:val="20"/>
        </w:rPr>
        <w:fldChar w:fldCharType="separate"/>
      </w:r>
      <w:r w:rsidR="00247D84">
        <w:rPr>
          <w:b/>
          <w:bCs/>
          <w:noProof/>
          <w:sz w:val="20"/>
          <w:szCs w:val="20"/>
        </w:rPr>
        <w:t>42</w:t>
      </w:r>
      <w:r w:rsidRPr="00A92CA7">
        <w:rPr>
          <w:b/>
          <w:bCs/>
          <w:sz w:val="20"/>
          <w:szCs w:val="20"/>
        </w:rPr>
        <w:fldChar w:fldCharType="end"/>
      </w:r>
      <w:r w:rsidRPr="00A92CA7">
        <w:rPr>
          <w:b/>
          <w:bCs/>
          <w:sz w:val="20"/>
          <w:szCs w:val="20"/>
        </w:rPr>
        <w:t xml:space="preserve"> </w:t>
      </w:r>
      <w:r w:rsidRPr="00A92CA7">
        <w:rPr>
          <w:rFonts w:eastAsia="Calibri" w:cs="Times New Roman"/>
          <w:b/>
          <w:bCs/>
          <w:sz w:val="20"/>
          <w:szCs w:val="20"/>
        </w:rPr>
        <w:t xml:space="preserve">Sideettevõtjate poolt </w:t>
      </w:r>
      <w:r w:rsidR="00A3232C">
        <w:rPr>
          <w:rFonts w:eastAsia="Calibri" w:cs="Times New Roman"/>
          <w:b/>
          <w:bCs/>
          <w:sz w:val="20"/>
          <w:szCs w:val="20"/>
        </w:rPr>
        <w:t>valguskaabelvõrgu</w:t>
      </w:r>
      <w:r w:rsidRPr="00A92CA7">
        <w:rPr>
          <w:rFonts w:eastAsia="Calibri" w:cs="Times New Roman"/>
          <w:b/>
          <w:bCs/>
          <w:sz w:val="20"/>
          <w:szCs w:val="20"/>
        </w:rPr>
        <w:t>ga kaetud elu- ja mitteeluruumide arv ja osakaalud 2023 aastal. ERA – peamiselt erakapital baasil ühendatud elu- ja mitteeluruumid, RIIGI – peamiselt riigiabiga rajatud kliendiliinide (juurdepääsuvõrgu) abil ühendatud elu- ja mitteeluruumid.</w:t>
      </w:r>
    </w:p>
    <w:p w14:paraId="161E8B4D" w14:textId="77777777" w:rsidR="002C1737" w:rsidRDefault="002C1737" w:rsidP="00AA241E">
      <w:pPr>
        <w:pStyle w:val="Pealdis"/>
        <w:jc w:val="both"/>
      </w:pPr>
    </w:p>
    <w:p w14:paraId="2CD2CCB6" w14:textId="45E2EF06" w:rsidR="002C1737" w:rsidRPr="00DC465B" w:rsidRDefault="002C1737" w:rsidP="00AA241E">
      <w:pPr>
        <w:jc w:val="both"/>
        <w:rPr>
          <w:rFonts w:eastAsia="Calibri" w:cs="Times New Roman"/>
        </w:rPr>
      </w:pPr>
      <w:r w:rsidRPr="00DC465B">
        <w:rPr>
          <w:rFonts w:eastAsia="Calibri" w:cs="Times New Roman"/>
        </w:rPr>
        <w:t xml:space="preserve">Kõige suuremat kliendibaasi (ja sellest tulenevat mastaabisäästu) </w:t>
      </w:r>
      <w:r w:rsidR="00512446">
        <w:t>valguskaabelvõrgu</w:t>
      </w:r>
      <w:r w:rsidR="00512446" w:rsidRPr="00AC04C7">
        <w:t xml:space="preserve"> </w:t>
      </w:r>
      <w:r w:rsidR="00A3232C" w:rsidRPr="00AC04C7">
        <w:t>jaetasandi internetiühenduste tootetur</w:t>
      </w:r>
      <w:r w:rsidR="00A3232C">
        <w:t>u</w:t>
      </w:r>
      <w:r w:rsidR="00123D5F">
        <w:t>l</w:t>
      </w:r>
      <w:r w:rsidR="00A3232C">
        <w:t xml:space="preserve"> </w:t>
      </w:r>
      <w:r w:rsidRPr="00DC465B">
        <w:rPr>
          <w:rFonts w:eastAsia="Calibri" w:cs="Times New Roman"/>
        </w:rPr>
        <w:t xml:space="preserve">A omavad STV </w:t>
      </w:r>
      <w:r w:rsidR="006B1262" w:rsidRPr="009C7CBE">
        <w:t>…*%</w:t>
      </w:r>
      <w:r w:rsidRPr="00DC465B">
        <w:rPr>
          <w:rFonts w:eastAsia="Calibri" w:cs="Times New Roman"/>
        </w:rPr>
        <w:t>-</w:t>
      </w:r>
      <w:proofErr w:type="spellStart"/>
      <w:r w:rsidRPr="00DC465B">
        <w:rPr>
          <w:rFonts w:eastAsia="Calibri" w:cs="Times New Roman"/>
        </w:rPr>
        <w:t>ga</w:t>
      </w:r>
      <w:proofErr w:type="spellEnd"/>
      <w:r w:rsidRPr="00DC465B">
        <w:rPr>
          <w:rFonts w:eastAsia="Calibri" w:cs="Times New Roman"/>
        </w:rPr>
        <w:t xml:space="preserve">, järgneb Telia </w:t>
      </w:r>
      <w:r w:rsidR="006379B0" w:rsidRPr="006379B0">
        <w:t>…*</w:t>
      </w:r>
      <w:r w:rsidRPr="00DC465B">
        <w:rPr>
          <w:rFonts w:eastAsia="Calibri" w:cs="Times New Roman"/>
        </w:rPr>
        <w:t xml:space="preserve">%-ga ja Elisa </w:t>
      </w:r>
      <w:r w:rsidR="0029579C" w:rsidRPr="009C7CBE">
        <w:t>…*%</w:t>
      </w:r>
      <w:r w:rsidRPr="00DC465B">
        <w:rPr>
          <w:rFonts w:eastAsia="Calibri" w:cs="Times New Roman"/>
        </w:rPr>
        <w:t>-</w:t>
      </w:r>
      <w:proofErr w:type="spellStart"/>
      <w:r w:rsidRPr="00DC465B">
        <w:rPr>
          <w:rFonts w:eastAsia="Calibri" w:cs="Times New Roman"/>
        </w:rPr>
        <w:t>ga</w:t>
      </w:r>
      <w:proofErr w:type="spellEnd"/>
      <w:r w:rsidRPr="00DC465B">
        <w:rPr>
          <w:rFonts w:eastAsia="Calibri" w:cs="Times New Roman"/>
        </w:rPr>
        <w:t xml:space="preserve">, vt ka Tabel </w:t>
      </w:r>
      <w:r w:rsidR="00123D5F">
        <w:rPr>
          <w:rFonts w:eastAsia="Calibri" w:cs="Times New Roman"/>
        </w:rPr>
        <w:t>4</w:t>
      </w:r>
      <w:r w:rsidR="00493EE8">
        <w:rPr>
          <w:rFonts w:eastAsia="Calibri" w:cs="Times New Roman"/>
        </w:rPr>
        <w:t>0</w:t>
      </w:r>
      <w:r w:rsidRPr="00DC465B">
        <w:rPr>
          <w:rFonts w:eastAsia="Calibri" w:cs="Times New Roman"/>
        </w:rPr>
        <w:t>.</w:t>
      </w:r>
    </w:p>
    <w:p w14:paraId="6EE82C70" w14:textId="77777777" w:rsidR="002C1737" w:rsidRDefault="002C1737" w:rsidP="00AA241E">
      <w:pPr>
        <w:jc w:val="both"/>
      </w:pPr>
      <w:r>
        <w:t>Eespool öeldut silmas pidades järeldab TTJA , et:</w:t>
      </w:r>
    </w:p>
    <w:p w14:paraId="56910EE1" w14:textId="35CDE036" w:rsidR="004906AA" w:rsidRPr="006E317E" w:rsidRDefault="004906AA" w:rsidP="00A33028">
      <w:pPr>
        <w:pStyle w:val="Loendilik"/>
        <w:numPr>
          <w:ilvl w:val="0"/>
          <w:numId w:val="99"/>
        </w:numPr>
        <w:jc w:val="both"/>
      </w:pPr>
      <w:r w:rsidRPr="006E317E">
        <w:t xml:space="preserve">takistused elektroonilise side </w:t>
      </w:r>
      <w:r w:rsidRPr="00227F8D">
        <w:t xml:space="preserve">valguskaabelvõrgu internetiühenduste A piirkonna jaeturule </w:t>
      </w:r>
      <w:r w:rsidRPr="006E317E">
        <w:t xml:space="preserve">sisenemiseks või </w:t>
      </w:r>
      <w:r>
        <w:t xml:space="preserve">katvuse </w:t>
      </w:r>
      <w:r w:rsidRPr="006E317E">
        <w:t xml:space="preserve">laiendamiseks on põhimõtteliselt olemas, kuid praegu on need mingil määral ületatud. FTTH ja FTTB katvuse edendamine A piirkonnas on siiski endiselt asjakohane. Samuti ei saa TTJA üheselt järeldada, et praeguste teenuseosutajate osutamise jätkamine </w:t>
      </w:r>
      <w:r w:rsidRPr="005F6D96">
        <w:rPr>
          <w:rFonts w:cs="Times New Roman"/>
        </w:rPr>
        <w:t xml:space="preserve">valguskaabelvõrgu internetiühenduste </w:t>
      </w:r>
      <w:r w:rsidRPr="004906AA">
        <w:rPr>
          <w:rFonts w:cs="Times New Roman"/>
        </w:rPr>
        <w:t>A piirkonna jaeturule</w:t>
      </w:r>
      <w:r w:rsidRPr="005F6D96">
        <w:t xml:space="preserve"> </w:t>
      </w:r>
      <w:r w:rsidRPr="006E317E">
        <w:t>on jätkusuutlik, mis tekitaks pideva konkurentsisurve Telia pakutavatele FTTH ja FTTB võrgu tehnoloogiatele;</w:t>
      </w:r>
    </w:p>
    <w:p w14:paraId="3068FCBC" w14:textId="2D06651B" w:rsidR="002C1737" w:rsidRDefault="00A33028" w:rsidP="00A33028">
      <w:pPr>
        <w:pStyle w:val="Loendilik"/>
        <w:numPr>
          <w:ilvl w:val="0"/>
          <w:numId w:val="99"/>
        </w:numPr>
        <w:jc w:val="both"/>
      </w:pPr>
      <w:r>
        <w:t xml:space="preserve">kuigi </w:t>
      </w:r>
      <w:r w:rsidR="002C1737">
        <w:t xml:space="preserve">on olemas ka alternatiivsed infrastruktuurid, on </w:t>
      </w:r>
      <w:r w:rsidR="00200841" w:rsidRPr="00227F8D">
        <w:t xml:space="preserve">valguskaabelvõrgu internetiühenduste </w:t>
      </w:r>
      <w:r w:rsidR="00200841">
        <w:t>B</w:t>
      </w:r>
      <w:r w:rsidR="00200841" w:rsidRPr="00227F8D">
        <w:t xml:space="preserve"> piirkonna jaeturule </w:t>
      </w:r>
      <w:r w:rsidR="002C1737">
        <w:t>elektroonilise side võr</w:t>
      </w:r>
      <w:r w:rsidR="00AF441A">
        <w:t>k</w:t>
      </w:r>
      <w:r w:rsidR="002C1737">
        <w:t xml:space="preserve">u sisenemise ja selle </w:t>
      </w:r>
      <w:r>
        <w:t xml:space="preserve">katvuse </w:t>
      </w:r>
      <w:r w:rsidR="002C1737">
        <w:t xml:space="preserve">laiendamise tõkked kõrged ning FTTH ja FTTB </w:t>
      </w:r>
      <w:r w:rsidR="00834D5D">
        <w:t>võrgu</w:t>
      </w:r>
      <w:r w:rsidR="002C1737">
        <w:t xml:space="preserve"> edendamine </w:t>
      </w:r>
      <w:r w:rsidR="002768E9">
        <w:t>E</w:t>
      </w:r>
      <w:r w:rsidR="002C1737">
        <w:t>esti piirkonnas B on eriti oluline.</w:t>
      </w:r>
    </w:p>
    <w:p w14:paraId="46B4760A" w14:textId="77777777" w:rsidR="002C1737" w:rsidRDefault="002C1737" w:rsidP="00AA241E">
      <w:pPr>
        <w:pStyle w:val="Heading49"/>
        <w:numPr>
          <w:ilvl w:val="3"/>
          <w:numId w:val="69"/>
        </w:numPr>
      </w:pPr>
      <w:r w:rsidRPr="00D40BC8">
        <w:lastRenderedPageBreak/>
        <w:t xml:space="preserve">Kontroll </w:t>
      </w:r>
      <w:r>
        <w:t>raskesti dubleeritava infrastruktuuri üle</w:t>
      </w:r>
    </w:p>
    <w:p w14:paraId="14212AE3" w14:textId="505A0D09" w:rsidR="002C1737" w:rsidRDefault="002C1737" w:rsidP="00AA241E">
      <w:pPr>
        <w:jc w:val="both"/>
        <w:rPr>
          <w:rFonts w:eastAsia="Times New Roman" w:cs="Times New Roman"/>
        </w:rPr>
      </w:pPr>
      <w:r w:rsidRPr="1FC4418C">
        <w:rPr>
          <w:rFonts w:eastAsia="Times New Roman" w:cs="Times New Roman"/>
        </w:rPr>
        <w:t>Kontroll raskesti dubleeritava infrastruktuuri üle on selgitatud peatükis</w:t>
      </w:r>
      <w:r>
        <w:rPr>
          <w:rFonts w:eastAsia="Times New Roman" w:cs="Times New Roman"/>
        </w:rPr>
        <w:t xml:space="preserve"> </w:t>
      </w:r>
      <w:r w:rsidR="0004328D">
        <w:rPr>
          <w:rFonts w:eastAsia="Times New Roman" w:cs="Times New Roman"/>
        </w:rPr>
        <w:t>6</w:t>
      </w:r>
      <w:r>
        <w:rPr>
          <w:rFonts w:eastAsia="Times New Roman" w:cs="Times New Roman"/>
        </w:rPr>
        <w:t>.1.1.3.</w:t>
      </w:r>
    </w:p>
    <w:p w14:paraId="5777045B" w14:textId="3A221318" w:rsidR="002C1737" w:rsidRDefault="002C1737" w:rsidP="00AA241E">
      <w:pPr>
        <w:spacing w:line="257" w:lineRule="auto"/>
        <w:jc w:val="both"/>
        <w:rPr>
          <w:rFonts w:eastAsia="Times New Roman" w:cs="Times New Roman"/>
        </w:rPr>
      </w:pPr>
      <w:r w:rsidRPr="1FC4418C">
        <w:rPr>
          <w:rFonts w:eastAsia="Times New Roman" w:cs="Times New Roman"/>
        </w:rPr>
        <w:t xml:space="preserve">Lähtudes </w:t>
      </w:r>
      <w:proofErr w:type="spellStart"/>
      <w:r w:rsidR="002A1662" w:rsidRPr="002A1662">
        <w:rPr>
          <w:rFonts w:eastAsia="Times New Roman" w:cs="Times New Roman"/>
          <w:i/>
        </w:rPr>
        <w:t>Gr</w:t>
      </w:r>
      <w:r w:rsidR="00C318C1">
        <w:rPr>
          <w:rFonts w:eastAsia="Times New Roman" w:cs="Times New Roman"/>
          <w:i/>
        </w:rPr>
        <w:t>e</w:t>
      </w:r>
      <w:r w:rsidR="002A1662" w:rsidRPr="002A1662">
        <w:rPr>
          <w:rFonts w:eastAsia="Times New Roman" w:cs="Times New Roman"/>
          <w:i/>
        </w:rPr>
        <w:t>enfieldi</w:t>
      </w:r>
      <w:proofErr w:type="spellEnd"/>
      <w:r w:rsidRPr="1FC4418C">
        <w:rPr>
          <w:rFonts w:eastAsia="Times New Roman" w:cs="Times New Roman"/>
        </w:rPr>
        <w:t xml:space="preserve"> lähenemisviisi põhimõttest ja eeldusest, et </w:t>
      </w:r>
      <w:r w:rsidR="0007135D">
        <w:rPr>
          <w:rFonts w:eastAsia="Times New Roman" w:cs="Times New Roman"/>
        </w:rPr>
        <w:t>hulgiturg</w:t>
      </w:r>
      <w:r w:rsidRPr="1FC4418C">
        <w:rPr>
          <w:rFonts w:eastAsia="Times New Roman" w:cs="Times New Roman"/>
        </w:rPr>
        <w:t xml:space="preserve"> 3b järgneb  </w:t>
      </w:r>
      <w:r w:rsidR="00ED5128">
        <w:rPr>
          <w:rFonts w:eastAsia="Times New Roman" w:cs="Times New Roman"/>
        </w:rPr>
        <w:t>hulgi</w:t>
      </w:r>
      <w:r w:rsidRPr="1FC4418C">
        <w:rPr>
          <w:rFonts w:eastAsia="Times New Roman" w:cs="Times New Roman"/>
        </w:rPr>
        <w:t>turule</w:t>
      </w:r>
      <w:r>
        <w:rPr>
          <w:rFonts w:eastAsia="Times New Roman" w:cs="Times New Roman"/>
        </w:rPr>
        <w:t xml:space="preserve"> </w:t>
      </w:r>
      <w:r w:rsidRPr="1FC4418C">
        <w:rPr>
          <w:rFonts w:eastAsia="Times New Roman" w:cs="Times New Roman"/>
        </w:rPr>
        <w:t xml:space="preserve">1. ning samuti asjaolust, et Telia ei paku teistele sideettevõtjatele </w:t>
      </w:r>
      <w:r w:rsidR="00ED5128">
        <w:rPr>
          <w:rFonts w:eastAsia="Times New Roman" w:cs="Times New Roman"/>
        </w:rPr>
        <w:t>hulgi</w:t>
      </w:r>
      <w:r w:rsidRPr="1FC4418C">
        <w:rPr>
          <w:rFonts w:eastAsia="Times New Roman" w:cs="Times New Roman"/>
        </w:rPr>
        <w:t>turu 1</w:t>
      </w:r>
      <w:r>
        <w:rPr>
          <w:rFonts w:eastAsia="Times New Roman" w:cs="Times New Roman"/>
        </w:rPr>
        <w:t xml:space="preserve"> teenuseid valguskaabelvõrgus, langeb </w:t>
      </w:r>
      <w:r w:rsidR="00ED5128">
        <w:rPr>
          <w:rFonts w:eastAsia="Times New Roman" w:cs="Times New Roman"/>
        </w:rPr>
        <w:t>hulgi</w:t>
      </w:r>
      <w:r>
        <w:rPr>
          <w:rFonts w:eastAsia="Times New Roman" w:cs="Times New Roman"/>
        </w:rPr>
        <w:t xml:space="preserve">turu 1 käigus tehtud analüüs raskesti dubleeritava infrastruktuuri  kontrolli ja tehnoloogiliste eeliste üle täielikult kokku käesolevas peatükis käsitletud turuga. </w:t>
      </w:r>
      <w:r w:rsidRPr="00976477">
        <w:rPr>
          <w:rFonts w:eastAsia="Times New Roman" w:cs="Times New Roman"/>
        </w:rPr>
        <w:t xml:space="preserve">Nimelt iseloomustab seda peamiselt infrastruktuurikonkurents </w:t>
      </w:r>
      <w:r>
        <w:rPr>
          <w:rFonts w:eastAsia="Times New Roman" w:cs="Times New Roman"/>
        </w:rPr>
        <w:t>Eestis.</w:t>
      </w:r>
    </w:p>
    <w:p w14:paraId="68D036E6" w14:textId="3B998022" w:rsidR="002C1737" w:rsidRDefault="002C1737" w:rsidP="00AA241E">
      <w:pPr>
        <w:spacing w:line="257" w:lineRule="auto"/>
        <w:jc w:val="both"/>
        <w:rPr>
          <w:rFonts w:eastAsia="Times New Roman" w:cs="Times New Roman"/>
        </w:rPr>
      </w:pPr>
      <w:r w:rsidRPr="00101739">
        <w:rPr>
          <w:rFonts w:eastAsia="Times New Roman" w:cs="Times New Roman"/>
        </w:rPr>
        <w:t xml:space="preserve">Eespool öeldut silmas pidades kajastab </w:t>
      </w:r>
      <w:r w:rsidR="00A57A0D">
        <w:rPr>
          <w:rFonts w:eastAsia="Times New Roman" w:cs="Times New Roman"/>
        </w:rPr>
        <w:t>TTJA</w:t>
      </w:r>
      <w:r w:rsidRPr="00101739">
        <w:rPr>
          <w:rFonts w:eastAsia="Times New Roman" w:cs="Times New Roman"/>
        </w:rPr>
        <w:t xml:space="preserve"> käesolevas jaos punktis </w:t>
      </w:r>
      <w:r w:rsidR="005F48BA">
        <w:rPr>
          <w:rFonts w:eastAsia="Times New Roman" w:cs="Times New Roman"/>
        </w:rPr>
        <w:t>5</w:t>
      </w:r>
      <w:r w:rsidRPr="00101739">
        <w:rPr>
          <w:rFonts w:eastAsia="Times New Roman" w:cs="Times New Roman"/>
        </w:rPr>
        <w:t>.1.</w:t>
      </w:r>
      <w:r w:rsidR="005F48BA">
        <w:rPr>
          <w:rFonts w:eastAsia="Times New Roman" w:cs="Times New Roman"/>
        </w:rPr>
        <w:t>1.</w:t>
      </w:r>
      <w:r w:rsidRPr="00101739">
        <w:rPr>
          <w:rFonts w:eastAsia="Times New Roman" w:cs="Times New Roman"/>
        </w:rPr>
        <w:t>3 esitatud peamisi järeldusi.</w:t>
      </w:r>
    </w:p>
    <w:p w14:paraId="16D6F17F" w14:textId="0743A28A" w:rsidR="002C1737" w:rsidRPr="002E251B" w:rsidRDefault="002C1737" w:rsidP="00AA241E">
      <w:pPr>
        <w:jc w:val="both"/>
      </w:pPr>
      <w:r w:rsidRPr="002E251B">
        <w:t>Telia on ajalooliselt olnud suurim püsivõrku omav sideettevõtja, kellel on kontroll olulise infrastruktuuri üle. Telia  kontrollib endiselt olulist infrastruktuuri kaablikanalite ja postide osas ning samuti omab Telia suurimat ülekande - ja juurdepääsuvõrku. Telia  valguskaabel juurdepääsuvõrk on teiste püsivõrku omavate sideettevõtjatega võrreldes palju suurem (vt tabel 2</w:t>
      </w:r>
      <w:r w:rsidR="00493EE8" w:rsidRPr="002E251B">
        <w:t>1</w:t>
      </w:r>
      <w:r w:rsidRPr="002E251B">
        <w:t>).</w:t>
      </w:r>
    </w:p>
    <w:p w14:paraId="4EFB43BE" w14:textId="0795EE62" w:rsidR="002C1737" w:rsidRPr="002E251B" w:rsidRDefault="002C1737" w:rsidP="00AA241E">
      <w:pPr>
        <w:jc w:val="both"/>
      </w:pPr>
      <w:r w:rsidRPr="002E251B">
        <w:t>Kontroll füüsilise infrastruktuuri, suurima valguskaabel juurdepääsuvõrgu üle, samuti mastaabi- ja mahusäästlikkuse eeliste ning eelisjuurdepääs rahalistele vahenditele (vt punkt</w:t>
      </w:r>
      <w:r w:rsidR="008524C8" w:rsidRPr="002E251B">
        <w:t xml:space="preserve"> 5</w:t>
      </w:r>
      <w:r w:rsidRPr="002E251B">
        <w:t xml:space="preserve">.1.2.6) annavad Teliale üldiselt ka tehnoloogilisi eeliseid. Telia pakub kõrgeid ja väga kõrgeid andmeedastuskiirusi sagedamini kui alternatiivsed operaatorid. Näiteks 2023. aastal oli Telia pakutavate allalaadimiskiiruste osakaal vähemalt 1 Gbit/s suurem kui alternatiivsetel operaatoritel ja moodustas </w:t>
      </w:r>
      <w:r w:rsidR="006379B0" w:rsidRPr="006379B0">
        <w:t>…*</w:t>
      </w:r>
      <w:r w:rsidRPr="002E251B">
        <w:t xml:space="preserve">% kõigist Telia pakutavatest aktiivsetest </w:t>
      </w:r>
      <w:r w:rsidR="0007135D" w:rsidRPr="002E251B">
        <w:t>kliendiliin</w:t>
      </w:r>
      <w:r w:rsidRPr="002E251B">
        <w:t xml:space="preserve">idest, kuid alternatiivsete operaatorite pakutavate allalaadimiskiiruste osakaal vähemalt 1 Gbit/s – </w:t>
      </w:r>
      <w:r w:rsidR="006379B0" w:rsidRPr="006379B0">
        <w:t>…*</w:t>
      </w:r>
      <w:r w:rsidRPr="002E251B">
        <w:t xml:space="preserve">%. </w:t>
      </w:r>
    </w:p>
    <w:p w14:paraId="1862A91E" w14:textId="5E9D105D" w:rsidR="002C1737" w:rsidRDefault="002C1737" w:rsidP="00AA241E">
      <w:pPr>
        <w:jc w:val="both"/>
      </w:pPr>
      <w:r w:rsidRPr="002E251B">
        <w:t xml:space="preserve">Telia FTTH ja FTTB aktiivsete </w:t>
      </w:r>
      <w:r w:rsidR="0007135D" w:rsidRPr="002E251B">
        <w:t>kliendiliin</w:t>
      </w:r>
      <w:r w:rsidRPr="002E251B">
        <w:t>ide arvu dünaamika Eesti B piirkonnas</w:t>
      </w:r>
      <w:r>
        <w:t xml:space="preserve"> on toodud joonisel </w:t>
      </w:r>
      <w:r w:rsidR="00E5522B">
        <w:t>22</w:t>
      </w:r>
      <w:r>
        <w:t xml:space="preserve"> </w:t>
      </w:r>
    </w:p>
    <w:p w14:paraId="1BFE9641" w14:textId="77777777" w:rsidR="002C1737" w:rsidRDefault="002C1737" w:rsidP="00AA241E">
      <w:pPr>
        <w:pStyle w:val="Pealdis"/>
        <w:jc w:val="both"/>
        <w:rPr>
          <w:noProof/>
        </w:rPr>
      </w:pPr>
      <w:r>
        <w:rPr>
          <w:noProof/>
        </w:rPr>
        <w:drawing>
          <wp:inline distT="0" distB="0" distL="0" distR="0" wp14:anchorId="49256BC0" wp14:editId="3BA37E24">
            <wp:extent cx="5676900" cy="2590800"/>
            <wp:effectExtent l="0" t="0" r="0" b="0"/>
            <wp:docPr id="432058437" name="Diagramm 432058437">
              <a:extLst xmlns:a="http://schemas.openxmlformats.org/drawingml/2006/main">
                <a:ext uri="{FF2B5EF4-FFF2-40B4-BE49-F238E27FC236}">
                  <a16:creationId xmlns:a16="http://schemas.microsoft.com/office/drawing/2014/main" id="{EDDF5712-7EBA-BEDD-2310-053795A7C1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0D6F17D" w14:textId="2CA52249" w:rsidR="002C1737" w:rsidRDefault="002C1737" w:rsidP="00AA241E">
      <w:pPr>
        <w:pStyle w:val="Pealdis"/>
        <w:jc w:val="both"/>
      </w:pPr>
      <w:r>
        <w:t xml:space="preserve">Joonis </w:t>
      </w:r>
      <w:r>
        <w:fldChar w:fldCharType="begin"/>
      </w:r>
      <w:r>
        <w:instrText xml:space="preserve"> SEQ Joonis \* ARABIC </w:instrText>
      </w:r>
      <w:r>
        <w:fldChar w:fldCharType="separate"/>
      </w:r>
      <w:r w:rsidR="008524C8">
        <w:rPr>
          <w:noProof/>
        </w:rPr>
        <w:t>22</w:t>
      </w:r>
      <w:r>
        <w:fldChar w:fldCharType="end"/>
      </w:r>
      <w:r>
        <w:t xml:space="preserve"> Valguskaabelvõrgu tehnoloogiate dünaamika 2017-2023 aastal Eesti B piirkonnas</w:t>
      </w:r>
    </w:p>
    <w:p w14:paraId="20FB12E4" w14:textId="1FA8B4D4" w:rsidR="002C1737" w:rsidRPr="002E251B" w:rsidRDefault="002C1737" w:rsidP="00AA241E">
      <w:pPr>
        <w:jc w:val="both"/>
      </w:pPr>
      <w:r>
        <w:lastRenderedPageBreak/>
        <w:t xml:space="preserve">FTTH P2P ka FTTB PON juurdepääsuvõrgu aktiivsete </w:t>
      </w:r>
      <w:r w:rsidR="0007135D">
        <w:t>kliendiliin</w:t>
      </w:r>
      <w:r>
        <w:t xml:space="preserve">ide arvu vähenemise peamiseks põhjuseks on teiste interneti püsivõrgu pakkujate, eelkõige madala hinnaga pakkumisi pakkuvate teenuste pakkujate märkimisväärset konkurents turul. Viimastel aastatel on mobiilsideoperaatorid </w:t>
      </w:r>
      <w:r w:rsidRPr="002E251B">
        <w:t>konkureerinud ka Telia püsivõrguteenustega, sealhulgas FTTH-</w:t>
      </w:r>
      <w:proofErr w:type="spellStart"/>
      <w:r w:rsidRPr="002E251B">
        <w:t>ga</w:t>
      </w:r>
      <w:proofErr w:type="spellEnd"/>
      <w:r w:rsidRPr="002E251B">
        <w:t xml:space="preserve">, </w:t>
      </w:r>
    </w:p>
    <w:p w14:paraId="5B107D6F" w14:textId="08834D68" w:rsidR="002C1737" w:rsidRDefault="002C1737" w:rsidP="00AA241E">
      <w:pPr>
        <w:jc w:val="both"/>
      </w:pPr>
      <w:r w:rsidRPr="002E251B">
        <w:t xml:space="preserve">Võttes arvesse, et </w:t>
      </w:r>
      <w:r w:rsidR="00123D5F" w:rsidRPr="002E251B">
        <w:t xml:space="preserve">valguskaabel </w:t>
      </w:r>
      <w:r w:rsidRPr="002E251B">
        <w:t xml:space="preserve">juurdepääsuvõrgu püsiinternetti ei saa funktsionaalselt asendada </w:t>
      </w:r>
      <w:r w:rsidR="00A83B36" w:rsidRPr="002E251B">
        <w:t xml:space="preserve">püsiasukohas tarbimiseks suunatud piiramatu mahuga internetiühendused mobiilsidevõrgu baasil teenusega </w:t>
      </w:r>
      <w:r w:rsidRPr="002E251B">
        <w:t xml:space="preserve">ning see ei kuulu </w:t>
      </w:r>
      <w:r w:rsidR="00123D5F" w:rsidRPr="002E251B">
        <w:t xml:space="preserve">valguskaabelvõrgu jaetasandi internetiühenduste tooteturule </w:t>
      </w:r>
      <w:r w:rsidRPr="002E251B">
        <w:t xml:space="preserve">(vt punktid </w:t>
      </w:r>
      <w:r w:rsidR="00B8185C" w:rsidRPr="002E251B">
        <w:t>2.2.3</w:t>
      </w:r>
      <w:r w:rsidRPr="002E251B">
        <w:t xml:space="preserve"> ja </w:t>
      </w:r>
      <w:r w:rsidR="005A3A46" w:rsidRPr="002E251B">
        <w:t>5</w:t>
      </w:r>
      <w:r w:rsidR="00493EE8" w:rsidRPr="002E251B">
        <w:t>.1.2.</w:t>
      </w:r>
      <w:r w:rsidR="005A3A46" w:rsidRPr="002E251B">
        <w:t>3</w:t>
      </w:r>
      <w:r w:rsidRPr="002E251B">
        <w:t xml:space="preserve">), ei analüüsi TTJA  käesolevas jaos mobiilsideoperaatorite kontrolli mobiilsideoperaatorite infrastruktuuri üle. TTJA hinnangul ei saa järgmise viie aasta jooksul valguskaabel juurdepääsuvõrgu fikseeritud internetti funktsionaalselt asendada </w:t>
      </w:r>
      <w:r w:rsidR="00A83B36" w:rsidRPr="002E251B">
        <w:t>püsiasukohas tarbimiseks suunatud piiramatu</w:t>
      </w:r>
      <w:r w:rsidR="00A83B36" w:rsidRPr="00A83B36">
        <w:t xml:space="preserve"> mahuga internetiühendused mobiilsidevõrgu baasil</w:t>
      </w:r>
      <w:r w:rsidR="00A83B36">
        <w:t xml:space="preserve"> teenusega</w:t>
      </w:r>
      <w:r>
        <w:t>.</w:t>
      </w:r>
    </w:p>
    <w:p w14:paraId="22A8E58A" w14:textId="6A23A0D7" w:rsidR="002C1737" w:rsidRDefault="002C1737" w:rsidP="00AA241E">
      <w:pPr>
        <w:jc w:val="both"/>
      </w:pPr>
      <w:r>
        <w:t xml:space="preserve">Eespool öeldut silmas pidades järeldab </w:t>
      </w:r>
      <w:r w:rsidR="00A57A0D">
        <w:t>TTJA</w:t>
      </w:r>
      <w:r>
        <w:t>, et:</w:t>
      </w:r>
    </w:p>
    <w:p w14:paraId="447AAD48" w14:textId="4FAAA685" w:rsidR="002C1737" w:rsidRDefault="002C1737" w:rsidP="00AA241E">
      <w:pPr>
        <w:jc w:val="both"/>
      </w:pPr>
      <w:r>
        <w:t>•</w:t>
      </w:r>
      <w:r>
        <w:tab/>
        <w:t xml:space="preserve">Telia  kontrollib endiselt olulist </w:t>
      </w:r>
      <w:r w:rsidR="005D7C28">
        <w:t xml:space="preserve">füüsilise </w:t>
      </w:r>
      <w:r>
        <w:t xml:space="preserve">infrastruktuuri </w:t>
      </w:r>
      <w:r w:rsidR="005D7C28">
        <w:t>osa</w:t>
      </w:r>
      <w:r>
        <w:t>, mis on ette nähtud elektrooniliste sidekaablite, st kaablikanalite ja postide paigaldamiseks;</w:t>
      </w:r>
    </w:p>
    <w:p w14:paraId="31568E4E" w14:textId="54883B42" w:rsidR="002C1737" w:rsidRDefault="002C1737" w:rsidP="00AA241E">
      <w:pPr>
        <w:jc w:val="both"/>
      </w:pPr>
      <w:r>
        <w:t>•</w:t>
      </w:r>
      <w:r>
        <w:tab/>
        <w:t>Eestis on valguskaabel juurdepääsuvõrgu</w:t>
      </w:r>
      <w:r w:rsidR="00123D5F">
        <w:t>l</w:t>
      </w:r>
      <w:r>
        <w:t xml:space="preserve"> ulatuslik katvus. Seega on Telial küll osades piirkondades Eestis (B piirkonnas) endiselt kontroll olulise elektroonilise side infrastruktuuri üle ja tehnoloogilised eelised </w:t>
      </w:r>
      <w:r w:rsidR="00123D5F" w:rsidRPr="00530054">
        <w:rPr>
          <w:rFonts w:cs="Times New Roman"/>
        </w:rPr>
        <w:t xml:space="preserve">valguskaabelvõrgu internetiühenduste </w:t>
      </w:r>
      <w:r w:rsidR="00FE4462" w:rsidRPr="00530054">
        <w:rPr>
          <w:rFonts w:cs="Times New Roman"/>
        </w:rPr>
        <w:t>jaetur</w:t>
      </w:r>
      <w:r w:rsidR="00DF16B3">
        <w:rPr>
          <w:rFonts w:cs="Times New Roman"/>
        </w:rPr>
        <w:t>ul</w:t>
      </w:r>
      <w:r>
        <w:rPr>
          <w:rFonts w:cs="Times New Roman"/>
        </w:rPr>
        <w:t>,</w:t>
      </w:r>
      <w:r>
        <w:t xml:space="preserve"> kuid mitte A piirkonnas. A piirkonnas ei ole Telial individuaalselt turgu valitseva seisundiga samaväärset majandusliku võimsusega seisundit;</w:t>
      </w:r>
    </w:p>
    <w:p w14:paraId="609E166F" w14:textId="34CF55F7" w:rsidR="002C1737" w:rsidRDefault="002C1737" w:rsidP="00AA241E">
      <w:pPr>
        <w:jc w:val="both"/>
      </w:pPr>
      <w:r>
        <w:t>•</w:t>
      </w:r>
      <w:r>
        <w:tab/>
        <w:t xml:space="preserve">Telial on endiselt kontroll olulise elektroonilise side infrastruktuuri üle ja tehnoloogilised eelised </w:t>
      </w:r>
      <w:r w:rsidR="00B61E64" w:rsidRPr="00530054">
        <w:rPr>
          <w:rFonts w:cs="Times New Roman"/>
        </w:rPr>
        <w:t>valguskaabelvõrgu internetiühenduste</w:t>
      </w:r>
      <w:r w:rsidR="00ED6AAD">
        <w:rPr>
          <w:rFonts w:cs="Times New Roman"/>
        </w:rPr>
        <w:t xml:space="preserve"> B piirkonna jaeturul</w:t>
      </w:r>
      <w:r w:rsidR="00B61E64" w:rsidRPr="00530054">
        <w:rPr>
          <w:rFonts w:cs="Times New Roman"/>
        </w:rPr>
        <w:t xml:space="preserve"> </w:t>
      </w:r>
      <w:r>
        <w:t>ning seda määras, mis individuaalselt võimaldab tal olla turgu valitseva seisundiga samaväärses majanduslikus seisundis.</w:t>
      </w:r>
    </w:p>
    <w:p w14:paraId="528E436B" w14:textId="325C477C" w:rsidR="002C1737" w:rsidRDefault="002C1737" w:rsidP="00AA241E">
      <w:pPr>
        <w:pStyle w:val="Heading49"/>
        <w:numPr>
          <w:ilvl w:val="3"/>
          <w:numId w:val="69"/>
        </w:numPr>
      </w:pPr>
      <w:r w:rsidRPr="008156A3">
        <w:t xml:space="preserve">Tasakaalustava </w:t>
      </w:r>
      <w:r w:rsidR="00EE71F9">
        <w:t>ostjaj</w:t>
      </w:r>
      <w:r w:rsidRPr="008156A3">
        <w:t>õu olemasolu</w:t>
      </w:r>
    </w:p>
    <w:p w14:paraId="36BD4A1F" w14:textId="192F34A5" w:rsidR="002C1737" w:rsidRDefault="002C1737" w:rsidP="00AA241E">
      <w:pPr>
        <w:pStyle w:val="Pealkiri11"/>
        <w:numPr>
          <w:ilvl w:val="0"/>
          <w:numId w:val="0"/>
        </w:numPr>
        <w:ind w:left="432" w:hanging="432"/>
        <w:jc w:val="both"/>
      </w:pPr>
      <w:r>
        <w:t xml:space="preserve">Tasakaalustava </w:t>
      </w:r>
      <w:r w:rsidR="00EE71F9">
        <w:t>ostjaj</w:t>
      </w:r>
      <w:r>
        <w:t xml:space="preserve">õu olemasolu kohta vt punkti </w:t>
      </w:r>
      <w:r w:rsidR="00674728">
        <w:t>5</w:t>
      </w:r>
      <w:r>
        <w:t>.1.1.4.</w:t>
      </w:r>
    </w:p>
    <w:p w14:paraId="16D15078" w14:textId="43035431" w:rsidR="002C1737" w:rsidRDefault="002C1737" w:rsidP="00AA241E">
      <w:pPr>
        <w:spacing w:line="257" w:lineRule="auto"/>
        <w:jc w:val="both"/>
        <w:rPr>
          <w:rFonts w:eastAsia="Times New Roman" w:cs="Times New Roman"/>
        </w:rPr>
      </w:pPr>
      <w:r w:rsidRPr="1FC4418C">
        <w:rPr>
          <w:rFonts w:eastAsia="Times New Roman" w:cs="Times New Roman"/>
        </w:rPr>
        <w:t xml:space="preserve">Lähtudes </w:t>
      </w:r>
      <w:proofErr w:type="spellStart"/>
      <w:r w:rsidR="002A1662" w:rsidRPr="002A1662">
        <w:rPr>
          <w:rFonts w:eastAsia="Times New Roman" w:cs="Times New Roman"/>
          <w:i/>
        </w:rPr>
        <w:t>Gr</w:t>
      </w:r>
      <w:r w:rsidR="00C318C1">
        <w:rPr>
          <w:rFonts w:eastAsia="Times New Roman" w:cs="Times New Roman"/>
          <w:i/>
        </w:rPr>
        <w:t>e</w:t>
      </w:r>
      <w:r w:rsidR="002A1662" w:rsidRPr="002A1662">
        <w:rPr>
          <w:rFonts w:eastAsia="Times New Roman" w:cs="Times New Roman"/>
          <w:i/>
        </w:rPr>
        <w:t>enfieldi</w:t>
      </w:r>
      <w:proofErr w:type="spellEnd"/>
      <w:r w:rsidRPr="1FC4418C">
        <w:rPr>
          <w:rFonts w:eastAsia="Times New Roman" w:cs="Times New Roman"/>
        </w:rPr>
        <w:t xml:space="preserve"> lähenemisviisi põhimõttest ja eeldusest, et </w:t>
      </w:r>
      <w:r w:rsidR="0007135D">
        <w:rPr>
          <w:rFonts w:eastAsia="Times New Roman" w:cs="Times New Roman"/>
        </w:rPr>
        <w:t>hulgiturg</w:t>
      </w:r>
      <w:r w:rsidRPr="1FC4418C">
        <w:rPr>
          <w:rFonts w:eastAsia="Times New Roman" w:cs="Times New Roman"/>
        </w:rPr>
        <w:t xml:space="preserve"> 3b järgneb  </w:t>
      </w:r>
      <w:r w:rsidR="006D7F26">
        <w:rPr>
          <w:rFonts w:eastAsia="Times New Roman" w:cs="Times New Roman"/>
        </w:rPr>
        <w:t>hulgi</w:t>
      </w:r>
      <w:r w:rsidRPr="1FC4418C">
        <w:rPr>
          <w:rFonts w:eastAsia="Times New Roman" w:cs="Times New Roman"/>
        </w:rPr>
        <w:t>turule</w:t>
      </w:r>
      <w:r>
        <w:rPr>
          <w:rFonts w:eastAsia="Times New Roman" w:cs="Times New Roman"/>
        </w:rPr>
        <w:t xml:space="preserve"> </w:t>
      </w:r>
      <w:r w:rsidRPr="1FC4418C">
        <w:rPr>
          <w:rFonts w:eastAsia="Times New Roman" w:cs="Times New Roman"/>
        </w:rPr>
        <w:t xml:space="preserve">1. ning samuti asjaolust, et Telia ei paku teistele sideettevõtjatele </w:t>
      </w:r>
      <w:r w:rsidR="006D7F26">
        <w:rPr>
          <w:rFonts w:eastAsia="Times New Roman" w:cs="Times New Roman"/>
        </w:rPr>
        <w:t>hulgi</w:t>
      </w:r>
      <w:r w:rsidRPr="1FC4418C">
        <w:rPr>
          <w:rFonts w:eastAsia="Times New Roman" w:cs="Times New Roman"/>
        </w:rPr>
        <w:t>turu 1</w:t>
      </w:r>
      <w:r>
        <w:rPr>
          <w:rFonts w:eastAsia="Times New Roman" w:cs="Times New Roman"/>
        </w:rPr>
        <w:t xml:space="preserve"> teenuseid va</w:t>
      </w:r>
      <w:r w:rsidR="00123D5F">
        <w:rPr>
          <w:rFonts w:eastAsia="Times New Roman" w:cs="Times New Roman"/>
        </w:rPr>
        <w:t>lguskaabel</w:t>
      </w:r>
      <w:r>
        <w:rPr>
          <w:rFonts w:eastAsia="Times New Roman" w:cs="Times New Roman"/>
        </w:rPr>
        <w:t xml:space="preserve">võrgus, langeb </w:t>
      </w:r>
      <w:r w:rsidR="006D7F26">
        <w:rPr>
          <w:rFonts w:eastAsia="Times New Roman" w:cs="Times New Roman"/>
        </w:rPr>
        <w:t>hulgi</w:t>
      </w:r>
      <w:r>
        <w:rPr>
          <w:rFonts w:eastAsia="Times New Roman" w:cs="Times New Roman"/>
        </w:rPr>
        <w:t xml:space="preserve">turu 1 käigus tehtud analüüs </w:t>
      </w:r>
      <w:r w:rsidRPr="00684872">
        <w:rPr>
          <w:rFonts w:eastAsia="Times New Roman" w:cs="Times New Roman"/>
        </w:rPr>
        <w:t xml:space="preserve">ebapiisava tasakaalustava </w:t>
      </w:r>
      <w:r w:rsidR="00EE71F9">
        <w:rPr>
          <w:rFonts w:eastAsia="Times New Roman" w:cs="Times New Roman"/>
        </w:rPr>
        <w:t>ostjaj</w:t>
      </w:r>
      <w:r w:rsidRPr="00684872">
        <w:rPr>
          <w:rFonts w:eastAsia="Times New Roman" w:cs="Times New Roman"/>
        </w:rPr>
        <w:t xml:space="preserve">õu </w:t>
      </w:r>
      <w:r>
        <w:rPr>
          <w:rFonts w:eastAsia="Times New Roman" w:cs="Times New Roman"/>
        </w:rPr>
        <w:t>olemasolu</w:t>
      </w:r>
      <w:r w:rsidRPr="00684872">
        <w:rPr>
          <w:rFonts w:eastAsia="Times New Roman" w:cs="Times New Roman"/>
        </w:rPr>
        <w:t xml:space="preserve"> kohta turul </w:t>
      </w:r>
      <w:r>
        <w:rPr>
          <w:rFonts w:eastAsia="Times New Roman" w:cs="Times New Roman"/>
        </w:rPr>
        <w:t xml:space="preserve">täielikult kokku käesolevas peatükis käsitletud turuga. </w:t>
      </w:r>
      <w:r w:rsidRPr="00976477">
        <w:rPr>
          <w:rFonts w:eastAsia="Times New Roman" w:cs="Times New Roman"/>
        </w:rPr>
        <w:t xml:space="preserve">Nimelt iseloomustab seda peamiselt infrastruktuurikonkurents </w:t>
      </w:r>
      <w:r>
        <w:rPr>
          <w:rFonts w:eastAsia="Times New Roman" w:cs="Times New Roman"/>
        </w:rPr>
        <w:t>Eestis.</w:t>
      </w:r>
    </w:p>
    <w:p w14:paraId="28402890" w14:textId="7C63400A" w:rsidR="002C1737" w:rsidRDefault="002C1737" w:rsidP="002F2B43">
      <w:pPr>
        <w:spacing w:before="120" w:after="120" w:line="276" w:lineRule="auto"/>
        <w:jc w:val="both"/>
      </w:pPr>
      <w:r>
        <w:t>Euroopa Kohtu konkurentsi-alase kohtupraktika  kohaselt väljendab märkimisväärset turujõudu ettevõtja suutlikkus tegutseda turul märkimisväärsel määral sõltumatult konkurentidest, lepingupartneritest ja lõppkasutajatest. Ettevõtja suutlikkust turuosalistest sõltumatult käituda võib vähendada tasakaalustav ostja jõud (</w:t>
      </w:r>
      <w:proofErr w:type="spellStart"/>
      <w:r w:rsidRPr="001E72F2">
        <w:rPr>
          <w:i/>
          <w:iCs/>
        </w:rPr>
        <w:t>countervailing</w:t>
      </w:r>
      <w:proofErr w:type="spellEnd"/>
      <w:r w:rsidRPr="001E72F2">
        <w:rPr>
          <w:i/>
          <w:iCs/>
        </w:rPr>
        <w:t xml:space="preserve"> </w:t>
      </w:r>
      <w:proofErr w:type="spellStart"/>
      <w:r w:rsidRPr="001E72F2">
        <w:rPr>
          <w:i/>
          <w:iCs/>
        </w:rPr>
        <w:t>buyer</w:t>
      </w:r>
      <w:proofErr w:type="spellEnd"/>
      <w:r w:rsidRPr="001E72F2">
        <w:rPr>
          <w:i/>
          <w:iCs/>
        </w:rPr>
        <w:t xml:space="preserve"> </w:t>
      </w:r>
      <w:proofErr w:type="spellStart"/>
      <w:r w:rsidRPr="001E72F2">
        <w:rPr>
          <w:i/>
          <w:iCs/>
        </w:rPr>
        <w:t>power</w:t>
      </w:r>
      <w:proofErr w:type="spellEnd"/>
      <w:r>
        <w:t xml:space="preserve">), mis põhimõtteliselt kujutab endast kliendi läbirääkimise jõudu vahetult teenuse või toote pakkujaga. </w:t>
      </w:r>
      <w:r w:rsidR="002B79AC" w:rsidRPr="002B79AC">
        <w:t>Selline jõud ilmneb siis, kui kliendil on märkimisväärne mõju teenuseosutaja hinnakujunduslikule käitumisele või kui klient takistab teenuseosutajat tegutsemast temast märkimisväärses ulatuses sõltumatult.</w:t>
      </w:r>
    </w:p>
    <w:p w14:paraId="14CF5418" w14:textId="258A6F77" w:rsidR="00A241E2" w:rsidRPr="00A241E2" w:rsidRDefault="00A241E2" w:rsidP="002F2B43">
      <w:pPr>
        <w:spacing w:before="120" w:after="120" w:line="276" w:lineRule="auto"/>
        <w:jc w:val="both"/>
        <w:rPr>
          <w:rFonts w:eastAsia="Times New Roman" w:cs="Times New Roman"/>
        </w:rPr>
      </w:pPr>
      <w:r w:rsidRPr="00A241E2">
        <w:rPr>
          <w:rFonts w:eastAsia="Times New Roman" w:cs="Times New Roman"/>
        </w:rPr>
        <w:lastRenderedPageBreak/>
        <w:t>Tasakaalustava ostja jõu olemasolu ja ulatust on asjakohane ja oluline käsitleda juhtudel, kui on tegemist kõrge kontsentratsiooniga turgudega ja kui teenuseosutaja on monopoolses seisus.</w:t>
      </w:r>
    </w:p>
    <w:p w14:paraId="6613440C" w14:textId="048AFF7B" w:rsidR="00A241E2" w:rsidRDefault="00A241E2" w:rsidP="002F2B43">
      <w:pPr>
        <w:spacing w:before="120" w:after="120" w:line="276" w:lineRule="auto"/>
        <w:jc w:val="both"/>
        <w:rPr>
          <w:rFonts w:eastAsia="Times New Roman" w:cs="Times New Roman"/>
        </w:rPr>
      </w:pPr>
      <w:r w:rsidRPr="00A241E2">
        <w:rPr>
          <w:rFonts w:eastAsia="Times New Roman" w:cs="Times New Roman"/>
        </w:rPr>
        <w:t>Üldtunnustatud majandusteooria kohaselt on ratsionaalselt tegutseva monopolisti eesmärk maksimeerida oma kasumit, määrates teenustele ja toodetele monopoolsed hinnad. Tavaliselt järgneb sellisele käitumisele ebapiisav tootlikkus, ülemäärased hinnad ja seega ka heaolu langus.</w:t>
      </w:r>
    </w:p>
    <w:p w14:paraId="4060E42B" w14:textId="1BDE3171" w:rsidR="002C1737" w:rsidRDefault="002C1737" w:rsidP="002F2B43">
      <w:pPr>
        <w:spacing w:line="276" w:lineRule="auto"/>
        <w:jc w:val="both"/>
      </w:pPr>
      <w:r w:rsidRPr="00515ABD">
        <w:t>Ee</w:t>
      </w:r>
      <w:r>
        <w:t>l</w:t>
      </w:r>
      <w:r w:rsidRPr="00515ABD">
        <w:t xml:space="preserve">pool öeldut silmas pidades kajastab </w:t>
      </w:r>
      <w:r w:rsidR="00A57A0D">
        <w:t>TTJA</w:t>
      </w:r>
      <w:r w:rsidRPr="00515ABD">
        <w:t xml:space="preserve"> käesolevas jaos punkti </w:t>
      </w:r>
      <w:r w:rsidR="00AC34CC">
        <w:t>5</w:t>
      </w:r>
      <w:r w:rsidRPr="00515ABD">
        <w:t>.1.2.4 peamisi järeldusi.</w:t>
      </w:r>
    </w:p>
    <w:p w14:paraId="601E26E0" w14:textId="77777777" w:rsidR="002C1737" w:rsidRDefault="002C1737" w:rsidP="002F2B43">
      <w:pPr>
        <w:spacing w:before="120" w:after="120" w:line="276" w:lineRule="auto"/>
        <w:jc w:val="both"/>
      </w:pPr>
      <w:r>
        <w:t>Klientide poolse mõju puudumine Telia hinnakujunduslikule käitumisele lairiba juurdepääsu hulgiturul tuleneb sellest, et kliendid ei oma ülevaadet selle kohta, kas temale osutatavaid jaeteenuseid osutav teenuseosutaja kasutab jaeteenuste osutamiseks oma sidevõrku või osutab teenust teiselt sideettevõtjalt renditud sidevõrgu vahendusel. Lisaks ei pruugi interneti jaehinnad olla jäigalt sõltuvuses lairibaühendusele juurdepääsu hulgiteenuste hindadest, kuna jaeturgu ei reguleerita ja sellel turul ei rakendata hinnaregulatsiooni. Seega võivad ettevõtjad lairibateenuste jaehindu vabalt kujundada ning jaeteenuse kliendid ei saa oma käitumisega mõjutada lairibaühenduse juurdepääsu hulgiteenuse hindu.</w:t>
      </w:r>
    </w:p>
    <w:p w14:paraId="7FC656BB" w14:textId="6830BFFA" w:rsidR="002C1737" w:rsidRDefault="002C1737" w:rsidP="002F2B43">
      <w:pPr>
        <w:spacing w:before="120" w:after="120" w:line="276" w:lineRule="auto"/>
        <w:jc w:val="both"/>
      </w:pPr>
      <w:r>
        <w:t>2022</w:t>
      </w:r>
      <w:r w:rsidR="00216571">
        <w:t>.</w:t>
      </w:r>
      <w:r>
        <w:t xml:space="preserve"> aasta septembris tõstis Telia Koduinterneti teenuste hinda suurematel kiirustel s.t. </w:t>
      </w:r>
      <w:r w:rsidR="00123D5F">
        <w:t>valguskaabelvõrgu</w:t>
      </w:r>
      <w:r w:rsidR="00123D5F" w:rsidRPr="00AC04C7">
        <w:t xml:space="preserve"> jaetasandi internetiühenduste tootetur</w:t>
      </w:r>
      <w:r w:rsidR="00123D5F">
        <w:t xml:space="preserve">ul </w:t>
      </w:r>
      <w:r w:rsidR="006379B0" w:rsidRPr="006379B0">
        <w:t>…*</w:t>
      </w:r>
      <w:r>
        <w:t>%-</w:t>
      </w:r>
      <w:r w:rsidR="006379B0" w:rsidRPr="006379B0">
        <w:t>…*</w:t>
      </w:r>
      <w:r>
        <w:t xml:space="preserve">%. Klientide arvu muutus on toodud tabelis </w:t>
      </w:r>
      <w:r w:rsidR="00123D5F">
        <w:t>4</w:t>
      </w:r>
      <w:r w:rsidR="00493EE8">
        <w:t>3</w:t>
      </w:r>
      <w:r w:rsidR="00216571">
        <w:t>.</w:t>
      </w:r>
    </w:p>
    <w:tbl>
      <w:tblPr>
        <w:tblStyle w:val="Kontuurtabel1"/>
        <w:tblW w:w="9501" w:type="dxa"/>
        <w:tblLook w:val="04A0" w:firstRow="1" w:lastRow="0" w:firstColumn="1" w:lastColumn="0" w:noHBand="0" w:noVBand="1"/>
      </w:tblPr>
      <w:tblGrid>
        <w:gridCol w:w="2385"/>
        <w:gridCol w:w="1937"/>
        <w:gridCol w:w="1937"/>
        <w:gridCol w:w="1621"/>
        <w:gridCol w:w="1621"/>
      </w:tblGrid>
      <w:tr w:rsidR="002C1737" w:rsidRPr="00A92CA7" w14:paraId="21C0D108" w14:textId="77777777" w:rsidTr="00A92CA7">
        <w:trPr>
          <w:trHeight w:val="107"/>
        </w:trPr>
        <w:tc>
          <w:tcPr>
            <w:tcW w:w="0" w:type="auto"/>
            <w:shd w:val="clear" w:color="auto" w:fill="92D050"/>
            <w:noWrap/>
            <w:hideMark/>
          </w:tcPr>
          <w:p w14:paraId="76FA51B2" w14:textId="77777777" w:rsidR="002C1737" w:rsidRPr="00A92CA7" w:rsidRDefault="002C1737" w:rsidP="002F2B43">
            <w:pPr>
              <w:spacing w:line="276" w:lineRule="auto"/>
              <w:jc w:val="both"/>
              <w:rPr>
                <w:b/>
                <w:bCs/>
                <w:sz w:val="20"/>
                <w:szCs w:val="20"/>
              </w:rPr>
            </w:pPr>
            <w:r w:rsidRPr="00A92CA7">
              <w:rPr>
                <w:b/>
                <w:bCs/>
                <w:sz w:val="20"/>
                <w:szCs w:val="20"/>
              </w:rPr>
              <w:t>Ettevõtja</w:t>
            </w:r>
          </w:p>
        </w:tc>
        <w:tc>
          <w:tcPr>
            <w:tcW w:w="0" w:type="auto"/>
            <w:shd w:val="clear" w:color="auto" w:fill="92D050"/>
            <w:noWrap/>
            <w:vAlign w:val="center"/>
            <w:hideMark/>
          </w:tcPr>
          <w:p w14:paraId="7C1D0CFA" w14:textId="77777777" w:rsidR="002C1737" w:rsidRPr="00A92CA7" w:rsidRDefault="002C1737" w:rsidP="002F2B43">
            <w:pPr>
              <w:spacing w:line="276" w:lineRule="auto"/>
              <w:jc w:val="center"/>
              <w:rPr>
                <w:b/>
                <w:bCs/>
                <w:sz w:val="20"/>
                <w:szCs w:val="20"/>
              </w:rPr>
            </w:pPr>
            <w:r w:rsidRPr="00A92CA7">
              <w:rPr>
                <w:b/>
                <w:bCs/>
                <w:sz w:val="20"/>
                <w:szCs w:val="20"/>
              </w:rPr>
              <w:t>2022</w:t>
            </w:r>
          </w:p>
        </w:tc>
        <w:tc>
          <w:tcPr>
            <w:tcW w:w="0" w:type="auto"/>
            <w:shd w:val="clear" w:color="auto" w:fill="92D050"/>
            <w:noWrap/>
            <w:vAlign w:val="center"/>
            <w:hideMark/>
          </w:tcPr>
          <w:p w14:paraId="0187C1A5" w14:textId="77777777" w:rsidR="002C1737" w:rsidRPr="00A92CA7" w:rsidRDefault="002C1737" w:rsidP="002F2B43">
            <w:pPr>
              <w:spacing w:line="276" w:lineRule="auto"/>
              <w:jc w:val="center"/>
              <w:rPr>
                <w:b/>
                <w:bCs/>
                <w:sz w:val="20"/>
                <w:szCs w:val="20"/>
              </w:rPr>
            </w:pPr>
            <w:r w:rsidRPr="00A92CA7">
              <w:rPr>
                <w:b/>
                <w:bCs/>
                <w:sz w:val="20"/>
                <w:szCs w:val="20"/>
              </w:rPr>
              <w:t>2023</w:t>
            </w:r>
          </w:p>
        </w:tc>
        <w:tc>
          <w:tcPr>
            <w:tcW w:w="0" w:type="auto"/>
            <w:shd w:val="clear" w:color="auto" w:fill="92D050"/>
            <w:noWrap/>
            <w:vAlign w:val="center"/>
            <w:hideMark/>
          </w:tcPr>
          <w:p w14:paraId="501C7CEE" w14:textId="77777777" w:rsidR="002C1737" w:rsidRPr="00A92CA7" w:rsidRDefault="002C1737" w:rsidP="002F2B43">
            <w:pPr>
              <w:spacing w:line="276" w:lineRule="auto"/>
              <w:jc w:val="center"/>
              <w:rPr>
                <w:b/>
                <w:bCs/>
                <w:sz w:val="20"/>
                <w:szCs w:val="20"/>
              </w:rPr>
            </w:pPr>
            <w:r w:rsidRPr="00A92CA7">
              <w:rPr>
                <w:b/>
                <w:bCs/>
                <w:sz w:val="20"/>
                <w:szCs w:val="20"/>
              </w:rPr>
              <w:t>2022</w:t>
            </w:r>
          </w:p>
        </w:tc>
        <w:tc>
          <w:tcPr>
            <w:tcW w:w="0" w:type="auto"/>
            <w:shd w:val="clear" w:color="auto" w:fill="92D050"/>
            <w:noWrap/>
            <w:vAlign w:val="center"/>
            <w:hideMark/>
          </w:tcPr>
          <w:p w14:paraId="6FF193D2" w14:textId="77777777" w:rsidR="002C1737" w:rsidRPr="00A92CA7" w:rsidRDefault="002C1737" w:rsidP="002F2B43">
            <w:pPr>
              <w:spacing w:line="276" w:lineRule="auto"/>
              <w:jc w:val="center"/>
              <w:rPr>
                <w:b/>
                <w:bCs/>
                <w:sz w:val="20"/>
                <w:szCs w:val="20"/>
              </w:rPr>
            </w:pPr>
            <w:r w:rsidRPr="00A92CA7">
              <w:rPr>
                <w:b/>
                <w:bCs/>
                <w:sz w:val="20"/>
                <w:szCs w:val="20"/>
              </w:rPr>
              <w:t>2023</w:t>
            </w:r>
          </w:p>
        </w:tc>
      </w:tr>
      <w:tr w:rsidR="0029579C" w:rsidRPr="00A92CA7" w14:paraId="7E7583F4" w14:textId="77777777" w:rsidTr="00DA3AD1">
        <w:trPr>
          <w:trHeight w:val="264"/>
        </w:trPr>
        <w:tc>
          <w:tcPr>
            <w:tcW w:w="0" w:type="auto"/>
            <w:noWrap/>
            <w:hideMark/>
          </w:tcPr>
          <w:p w14:paraId="7D1FEF8D" w14:textId="77777777" w:rsidR="0029579C" w:rsidRPr="00A92CA7" w:rsidRDefault="0029579C" w:rsidP="0029579C">
            <w:pPr>
              <w:jc w:val="both"/>
              <w:rPr>
                <w:sz w:val="20"/>
                <w:szCs w:val="20"/>
              </w:rPr>
            </w:pPr>
            <w:r w:rsidRPr="00A92CA7">
              <w:rPr>
                <w:sz w:val="20"/>
                <w:szCs w:val="20"/>
              </w:rPr>
              <w:t>Elisa</w:t>
            </w:r>
          </w:p>
        </w:tc>
        <w:tc>
          <w:tcPr>
            <w:tcW w:w="0" w:type="auto"/>
            <w:noWrap/>
            <w:vAlign w:val="center"/>
            <w:hideMark/>
          </w:tcPr>
          <w:p w14:paraId="4D35F7A5" w14:textId="22AE38A7" w:rsidR="0029579C" w:rsidRPr="0029579C" w:rsidRDefault="0029579C" w:rsidP="0029579C">
            <w:pPr>
              <w:jc w:val="center"/>
              <w:rPr>
                <w:sz w:val="20"/>
                <w:szCs w:val="20"/>
              </w:rPr>
            </w:pPr>
            <w:r w:rsidRPr="0029579C">
              <w:rPr>
                <w:sz w:val="20"/>
                <w:szCs w:val="20"/>
              </w:rPr>
              <w:t>…*</w:t>
            </w:r>
          </w:p>
        </w:tc>
        <w:tc>
          <w:tcPr>
            <w:tcW w:w="0" w:type="auto"/>
            <w:noWrap/>
            <w:hideMark/>
          </w:tcPr>
          <w:p w14:paraId="2A6A65DC" w14:textId="15AA7112" w:rsidR="0029579C" w:rsidRPr="0029579C" w:rsidRDefault="0029579C" w:rsidP="0029579C">
            <w:pPr>
              <w:jc w:val="center"/>
              <w:rPr>
                <w:sz w:val="20"/>
                <w:szCs w:val="20"/>
              </w:rPr>
            </w:pPr>
            <w:bookmarkStart w:id="853" w:name="_Hlk189815772"/>
            <w:r w:rsidRPr="0029579C">
              <w:rPr>
                <w:sz w:val="20"/>
                <w:szCs w:val="20"/>
              </w:rPr>
              <w:t>…*</w:t>
            </w:r>
            <w:bookmarkEnd w:id="853"/>
          </w:p>
        </w:tc>
        <w:tc>
          <w:tcPr>
            <w:tcW w:w="0" w:type="auto"/>
            <w:noWrap/>
            <w:vAlign w:val="center"/>
            <w:hideMark/>
          </w:tcPr>
          <w:p w14:paraId="4ED2787F" w14:textId="4BBB3D7D" w:rsidR="0029579C" w:rsidRPr="0029579C" w:rsidRDefault="0029579C" w:rsidP="0029579C">
            <w:pPr>
              <w:jc w:val="center"/>
              <w:rPr>
                <w:sz w:val="20"/>
                <w:szCs w:val="20"/>
              </w:rPr>
            </w:pPr>
            <w:r w:rsidRPr="0029579C">
              <w:rPr>
                <w:sz w:val="20"/>
                <w:szCs w:val="20"/>
              </w:rPr>
              <w:t>…*%</w:t>
            </w:r>
          </w:p>
        </w:tc>
        <w:tc>
          <w:tcPr>
            <w:tcW w:w="0" w:type="auto"/>
            <w:noWrap/>
            <w:vAlign w:val="center"/>
            <w:hideMark/>
          </w:tcPr>
          <w:p w14:paraId="7B65763A" w14:textId="379073C6" w:rsidR="0029579C" w:rsidRPr="00A92CA7" w:rsidRDefault="0029579C" w:rsidP="0029579C">
            <w:pPr>
              <w:jc w:val="center"/>
              <w:rPr>
                <w:sz w:val="20"/>
                <w:szCs w:val="20"/>
              </w:rPr>
            </w:pPr>
            <w:r w:rsidRPr="0029579C">
              <w:rPr>
                <w:sz w:val="20"/>
                <w:szCs w:val="20"/>
              </w:rPr>
              <w:t>…*%</w:t>
            </w:r>
          </w:p>
        </w:tc>
      </w:tr>
      <w:tr w:rsidR="0029579C" w:rsidRPr="00A92CA7" w14:paraId="31C4B655" w14:textId="77777777" w:rsidTr="00DE210F">
        <w:trPr>
          <w:trHeight w:val="107"/>
        </w:trPr>
        <w:tc>
          <w:tcPr>
            <w:tcW w:w="0" w:type="auto"/>
            <w:noWrap/>
            <w:hideMark/>
          </w:tcPr>
          <w:p w14:paraId="7D5435A0" w14:textId="77777777" w:rsidR="0029579C" w:rsidRPr="00A92CA7" w:rsidRDefault="0029579C" w:rsidP="0029579C">
            <w:pPr>
              <w:jc w:val="both"/>
              <w:rPr>
                <w:sz w:val="20"/>
                <w:szCs w:val="20"/>
              </w:rPr>
            </w:pPr>
            <w:r w:rsidRPr="00A92CA7">
              <w:rPr>
                <w:sz w:val="20"/>
                <w:szCs w:val="20"/>
              </w:rPr>
              <w:t>STV</w:t>
            </w:r>
          </w:p>
        </w:tc>
        <w:tc>
          <w:tcPr>
            <w:tcW w:w="0" w:type="auto"/>
            <w:noWrap/>
            <w:hideMark/>
          </w:tcPr>
          <w:p w14:paraId="229A436C" w14:textId="799993AD" w:rsidR="0029579C" w:rsidRPr="0029579C" w:rsidRDefault="0029579C" w:rsidP="0029579C">
            <w:pPr>
              <w:jc w:val="center"/>
              <w:rPr>
                <w:sz w:val="20"/>
                <w:szCs w:val="20"/>
              </w:rPr>
            </w:pPr>
            <w:r w:rsidRPr="0029579C">
              <w:rPr>
                <w:sz w:val="20"/>
                <w:szCs w:val="20"/>
              </w:rPr>
              <w:t>…*</w:t>
            </w:r>
          </w:p>
        </w:tc>
        <w:tc>
          <w:tcPr>
            <w:tcW w:w="0" w:type="auto"/>
            <w:noWrap/>
            <w:hideMark/>
          </w:tcPr>
          <w:p w14:paraId="1319494C" w14:textId="63F744DC" w:rsidR="0029579C" w:rsidRPr="0029579C" w:rsidRDefault="0029579C" w:rsidP="0029579C">
            <w:pPr>
              <w:jc w:val="center"/>
              <w:rPr>
                <w:sz w:val="20"/>
                <w:szCs w:val="20"/>
              </w:rPr>
            </w:pPr>
            <w:r w:rsidRPr="0029579C">
              <w:rPr>
                <w:sz w:val="20"/>
                <w:szCs w:val="20"/>
              </w:rPr>
              <w:t>…*</w:t>
            </w:r>
          </w:p>
        </w:tc>
        <w:tc>
          <w:tcPr>
            <w:tcW w:w="0" w:type="auto"/>
            <w:noWrap/>
            <w:hideMark/>
          </w:tcPr>
          <w:p w14:paraId="4C1DB1E4" w14:textId="533898E2" w:rsidR="0029579C" w:rsidRPr="00A92CA7" w:rsidRDefault="0029579C" w:rsidP="0029579C">
            <w:pPr>
              <w:jc w:val="center"/>
              <w:rPr>
                <w:sz w:val="20"/>
                <w:szCs w:val="20"/>
              </w:rPr>
            </w:pPr>
            <w:r w:rsidRPr="003D519B">
              <w:rPr>
                <w:sz w:val="20"/>
                <w:szCs w:val="20"/>
              </w:rPr>
              <w:t>…*%</w:t>
            </w:r>
          </w:p>
        </w:tc>
        <w:tc>
          <w:tcPr>
            <w:tcW w:w="0" w:type="auto"/>
            <w:noWrap/>
            <w:hideMark/>
          </w:tcPr>
          <w:p w14:paraId="2A3E4408" w14:textId="1A4475C8" w:rsidR="0029579C" w:rsidRPr="00A92CA7" w:rsidRDefault="0029579C" w:rsidP="0029579C">
            <w:pPr>
              <w:jc w:val="center"/>
              <w:rPr>
                <w:sz w:val="20"/>
                <w:szCs w:val="20"/>
              </w:rPr>
            </w:pPr>
            <w:r w:rsidRPr="003D519B">
              <w:rPr>
                <w:sz w:val="20"/>
                <w:szCs w:val="20"/>
              </w:rPr>
              <w:t>…*%</w:t>
            </w:r>
          </w:p>
        </w:tc>
      </w:tr>
      <w:tr w:rsidR="0029579C" w:rsidRPr="00A92CA7" w14:paraId="679BB56D" w14:textId="77777777" w:rsidTr="00DE210F">
        <w:trPr>
          <w:trHeight w:val="107"/>
        </w:trPr>
        <w:tc>
          <w:tcPr>
            <w:tcW w:w="0" w:type="auto"/>
            <w:noWrap/>
            <w:hideMark/>
          </w:tcPr>
          <w:p w14:paraId="6293A308" w14:textId="77777777" w:rsidR="0029579C" w:rsidRPr="00A92CA7" w:rsidRDefault="0029579C" w:rsidP="0029579C">
            <w:pPr>
              <w:jc w:val="both"/>
              <w:rPr>
                <w:sz w:val="20"/>
                <w:szCs w:val="20"/>
              </w:rPr>
            </w:pPr>
            <w:r w:rsidRPr="00A92CA7">
              <w:rPr>
                <w:sz w:val="20"/>
                <w:szCs w:val="20"/>
              </w:rPr>
              <w:t>Tele2</w:t>
            </w:r>
          </w:p>
        </w:tc>
        <w:tc>
          <w:tcPr>
            <w:tcW w:w="0" w:type="auto"/>
            <w:noWrap/>
            <w:hideMark/>
          </w:tcPr>
          <w:p w14:paraId="54E26709" w14:textId="45CD1BDE" w:rsidR="0029579C" w:rsidRPr="0029579C" w:rsidRDefault="0029579C" w:rsidP="0029579C">
            <w:pPr>
              <w:jc w:val="center"/>
              <w:rPr>
                <w:sz w:val="20"/>
                <w:szCs w:val="20"/>
              </w:rPr>
            </w:pPr>
            <w:r w:rsidRPr="0029579C">
              <w:rPr>
                <w:sz w:val="20"/>
                <w:szCs w:val="20"/>
              </w:rPr>
              <w:t>…*</w:t>
            </w:r>
          </w:p>
        </w:tc>
        <w:tc>
          <w:tcPr>
            <w:tcW w:w="0" w:type="auto"/>
            <w:noWrap/>
            <w:hideMark/>
          </w:tcPr>
          <w:p w14:paraId="0C97AB26" w14:textId="106C41A6" w:rsidR="0029579C" w:rsidRPr="0029579C" w:rsidRDefault="0029579C" w:rsidP="0029579C">
            <w:pPr>
              <w:jc w:val="center"/>
              <w:rPr>
                <w:sz w:val="20"/>
                <w:szCs w:val="20"/>
              </w:rPr>
            </w:pPr>
            <w:r w:rsidRPr="0029579C">
              <w:rPr>
                <w:sz w:val="20"/>
                <w:szCs w:val="20"/>
              </w:rPr>
              <w:t>…*</w:t>
            </w:r>
          </w:p>
        </w:tc>
        <w:tc>
          <w:tcPr>
            <w:tcW w:w="0" w:type="auto"/>
            <w:noWrap/>
            <w:hideMark/>
          </w:tcPr>
          <w:p w14:paraId="318D9358" w14:textId="7057151A" w:rsidR="0029579C" w:rsidRPr="00A92CA7" w:rsidRDefault="0029579C" w:rsidP="0029579C">
            <w:pPr>
              <w:jc w:val="center"/>
              <w:rPr>
                <w:sz w:val="20"/>
                <w:szCs w:val="20"/>
              </w:rPr>
            </w:pPr>
            <w:r w:rsidRPr="003D519B">
              <w:rPr>
                <w:sz w:val="20"/>
                <w:szCs w:val="20"/>
              </w:rPr>
              <w:t>…*%</w:t>
            </w:r>
          </w:p>
        </w:tc>
        <w:tc>
          <w:tcPr>
            <w:tcW w:w="0" w:type="auto"/>
            <w:noWrap/>
            <w:hideMark/>
          </w:tcPr>
          <w:p w14:paraId="1F5A55D6" w14:textId="457A54AB" w:rsidR="0029579C" w:rsidRPr="00A92CA7" w:rsidRDefault="0029579C" w:rsidP="0029579C">
            <w:pPr>
              <w:jc w:val="center"/>
              <w:rPr>
                <w:sz w:val="20"/>
                <w:szCs w:val="20"/>
              </w:rPr>
            </w:pPr>
            <w:r w:rsidRPr="003D519B">
              <w:rPr>
                <w:sz w:val="20"/>
                <w:szCs w:val="20"/>
              </w:rPr>
              <w:t>…*%</w:t>
            </w:r>
          </w:p>
        </w:tc>
      </w:tr>
      <w:tr w:rsidR="00787B61" w:rsidRPr="00A92CA7" w14:paraId="55A02311" w14:textId="77777777" w:rsidTr="003D659D">
        <w:trPr>
          <w:trHeight w:val="107"/>
        </w:trPr>
        <w:tc>
          <w:tcPr>
            <w:tcW w:w="0" w:type="auto"/>
            <w:noWrap/>
            <w:hideMark/>
          </w:tcPr>
          <w:p w14:paraId="5B8C09C3" w14:textId="77777777" w:rsidR="00787B61" w:rsidRPr="00A92CA7" w:rsidRDefault="00787B61" w:rsidP="00787B61">
            <w:pPr>
              <w:jc w:val="both"/>
              <w:rPr>
                <w:sz w:val="20"/>
                <w:szCs w:val="20"/>
              </w:rPr>
            </w:pPr>
            <w:r w:rsidRPr="00A92CA7">
              <w:rPr>
                <w:sz w:val="20"/>
                <w:szCs w:val="20"/>
              </w:rPr>
              <w:t>Telia</w:t>
            </w:r>
          </w:p>
        </w:tc>
        <w:tc>
          <w:tcPr>
            <w:tcW w:w="0" w:type="auto"/>
            <w:noWrap/>
            <w:hideMark/>
          </w:tcPr>
          <w:p w14:paraId="265F5EA6" w14:textId="581F86EE" w:rsidR="00787B61" w:rsidRPr="00A92CA7" w:rsidRDefault="00787B61" w:rsidP="00787B61">
            <w:pPr>
              <w:jc w:val="center"/>
              <w:rPr>
                <w:sz w:val="20"/>
                <w:szCs w:val="20"/>
              </w:rPr>
            </w:pPr>
            <w:r w:rsidRPr="00DB1403">
              <w:rPr>
                <w:sz w:val="20"/>
                <w:szCs w:val="20"/>
              </w:rPr>
              <w:t>…*</w:t>
            </w:r>
          </w:p>
        </w:tc>
        <w:tc>
          <w:tcPr>
            <w:tcW w:w="0" w:type="auto"/>
            <w:noWrap/>
            <w:hideMark/>
          </w:tcPr>
          <w:p w14:paraId="33BED3DB" w14:textId="245CB357" w:rsidR="00787B61" w:rsidRPr="00A92CA7" w:rsidRDefault="00787B61" w:rsidP="00787B61">
            <w:pPr>
              <w:jc w:val="center"/>
              <w:rPr>
                <w:sz w:val="20"/>
                <w:szCs w:val="20"/>
              </w:rPr>
            </w:pPr>
            <w:r w:rsidRPr="00DB1403">
              <w:rPr>
                <w:sz w:val="20"/>
                <w:szCs w:val="20"/>
              </w:rPr>
              <w:t>…*</w:t>
            </w:r>
          </w:p>
        </w:tc>
        <w:tc>
          <w:tcPr>
            <w:tcW w:w="0" w:type="auto"/>
            <w:noWrap/>
            <w:hideMark/>
          </w:tcPr>
          <w:p w14:paraId="3AD25253" w14:textId="08A257F6" w:rsidR="00787B61" w:rsidRPr="00A92CA7" w:rsidRDefault="00787B61" w:rsidP="00787B61">
            <w:pPr>
              <w:jc w:val="center"/>
              <w:rPr>
                <w:sz w:val="20"/>
                <w:szCs w:val="20"/>
              </w:rPr>
            </w:pPr>
            <w:r w:rsidRPr="00150895">
              <w:rPr>
                <w:sz w:val="20"/>
                <w:szCs w:val="20"/>
              </w:rPr>
              <w:t>…*%</w:t>
            </w:r>
          </w:p>
        </w:tc>
        <w:tc>
          <w:tcPr>
            <w:tcW w:w="0" w:type="auto"/>
            <w:noWrap/>
            <w:hideMark/>
          </w:tcPr>
          <w:p w14:paraId="31AD04DB" w14:textId="6223106F" w:rsidR="00787B61" w:rsidRPr="00A92CA7" w:rsidRDefault="00787B61" w:rsidP="00787B61">
            <w:pPr>
              <w:jc w:val="center"/>
              <w:rPr>
                <w:sz w:val="20"/>
                <w:szCs w:val="20"/>
              </w:rPr>
            </w:pPr>
            <w:r w:rsidRPr="00150895">
              <w:rPr>
                <w:sz w:val="20"/>
                <w:szCs w:val="20"/>
              </w:rPr>
              <w:t>…*%</w:t>
            </w:r>
          </w:p>
        </w:tc>
      </w:tr>
      <w:tr w:rsidR="0029579C" w:rsidRPr="00A92CA7" w14:paraId="4F88612E" w14:textId="77777777" w:rsidTr="00CF33ED">
        <w:trPr>
          <w:trHeight w:val="107"/>
        </w:trPr>
        <w:tc>
          <w:tcPr>
            <w:tcW w:w="0" w:type="auto"/>
            <w:noWrap/>
            <w:hideMark/>
          </w:tcPr>
          <w:p w14:paraId="7B6E3763" w14:textId="77777777" w:rsidR="0029579C" w:rsidRPr="00A92CA7" w:rsidRDefault="0029579C" w:rsidP="0029579C">
            <w:pPr>
              <w:jc w:val="both"/>
              <w:rPr>
                <w:sz w:val="20"/>
                <w:szCs w:val="20"/>
              </w:rPr>
            </w:pPr>
            <w:r w:rsidRPr="00A92CA7">
              <w:rPr>
                <w:sz w:val="20"/>
                <w:szCs w:val="20"/>
              </w:rPr>
              <w:t>Telset</w:t>
            </w:r>
          </w:p>
        </w:tc>
        <w:tc>
          <w:tcPr>
            <w:tcW w:w="0" w:type="auto"/>
            <w:noWrap/>
            <w:hideMark/>
          </w:tcPr>
          <w:p w14:paraId="4E4FC69A" w14:textId="63D54E78" w:rsidR="0029579C" w:rsidRPr="0029579C" w:rsidRDefault="0029579C" w:rsidP="0029579C">
            <w:pPr>
              <w:jc w:val="center"/>
              <w:rPr>
                <w:sz w:val="20"/>
                <w:szCs w:val="20"/>
              </w:rPr>
            </w:pPr>
            <w:r w:rsidRPr="0029579C">
              <w:rPr>
                <w:sz w:val="20"/>
                <w:szCs w:val="20"/>
              </w:rPr>
              <w:t>…*</w:t>
            </w:r>
          </w:p>
        </w:tc>
        <w:tc>
          <w:tcPr>
            <w:tcW w:w="0" w:type="auto"/>
            <w:noWrap/>
            <w:hideMark/>
          </w:tcPr>
          <w:p w14:paraId="6582E2AD" w14:textId="1D5A354F" w:rsidR="0029579C" w:rsidRPr="0029579C" w:rsidRDefault="0029579C" w:rsidP="0029579C">
            <w:pPr>
              <w:jc w:val="center"/>
              <w:rPr>
                <w:sz w:val="20"/>
                <w:szCs w:val="20"/>
              </w:rPr>
            </w:pPr>
            <w:r w:rsidRPr="0029579C">
              <w:rPr>
                <w:sz w:val="20"/>
                <w:szCs w:val="20"/>
              </w:rPr>
              <w:t>…*</w:t>
            </w:r>
          </w:p>
        </w:tc>
        <w:tc>
          <w:tcPr>
            <w:tcW w:w="0" w:type="auto"/>
            <w:noWrap/>
            <w:hideMark/>
          </w:tcPr>
          <w:p w14:paraId="693EF3CB" w14:textId="206117DC" w:rsidR="0029579C" w:rsidRPr="00A92CA7" w:rsidRDefault="0029579C" w:rsidP="0029579C">
            <w:pPr>
              <w:jc w:val="center"/>
              <w:rPr>
                <w:sz w:val="20"/>
                <w:szCs w:val="20"/>
              </w:rPr>
            </w:pPr>
            <w:r w:rsidRPr="003543B7">
              <w:rPr>
                <w:sz w:val="20"/>
                <w:szCs w:val="20"/>
              </w:rPr>
              <w:t>…*%</w:t>
            </w:r>
          </w:p>
        </w:tc>
        <w:tc>
          <w:tcPr>
            <w:tcW w:w="0" w:type="auto"/>
            <w:noWrap/>
            <w:hideMark/>
          </w:tcPr>
          <w:p w14:paraId="2F1B90A2" w14:textId="06B29891" w:rsidR="0029579C" w:rsidRPr="00A92CA7" w:rsidRDefault="0029579C" w:rsidP="0029579C">
            <w:pPr>
              <w:jc w:val="center"/>
              <w:rPr>
                <w:sz w:val="20"/>
                <w:szCs w:val="20"/>
              </w:rPr>
            </w:pPr>
            <w:r w:rsidRPr="003543B7">
              <w:rPr>
                <w:sz w:val="20"/>
                <w:szCs w:val="20"/>
              </w:rPr>
              <w:t>…*%</w:t>
            </w:r>
          </w:p>
        </w:tc>
      </w:tr>
      <w:tr w:rsidR="002C1737" w:rsidRPr="00A92CA7" w14:paraId="5DE3798E" w14:textId="77777777" w:rsidTr="00A92CA7">
        <w:trPr>
          <w:trHeight w:val="70"/>
        </w:trPr>
        <w:tc>
          <w:tcPr>
            <w:tcW w:w="0" w:type="auto"/>
            <w:noWrap/>
            <w:hideMark/>
          </w:tcPr>
          <w:p w14:paraId="3E0502BE" w14:textId="77777777" w:rsidR="002C1737" w:rsidRPr="00A92CA7" w:rsidRDefault="002C1737" w:rsidP="00AA241E">
            <w:pPr>
              <w:jc w:val="both"/>
              <w:rPr>
                <w:sz w:val="20"/>
                <w:szCs w:val="20"/>
              </w:rPr>
            </w:pPr>
            <w:r w:rsidRPr="00A92CA7">
              <w:rPr>
                <w:sz w:val="20"/>
                <w:szCs w:val="20"/>
              </w:rPr>
              <w:t>Kokku</w:t>
            </w:r>
          </w:p>
        </w:tc>
        <w:tc>
          <w:tcPr>
            <w:tcW w:w="0" w:type="auto"/>
            <w:noWrap/>
            <w:vAlign w:val="center"/>
            <w:hideMark/>
          </w:tcPr>
          <w:p w14:paraId="6147157A" w14:textId="77777777" w:rsidR="002C1737" w:rsidRPr="00A92CA7" w:rsidRDefault="002C1737" w:rsidP="002F2B43">
            <w:pPr>
              <w:jc w:val="center"/>
              <w:rPr>
                <w:sz w:val="20"/>
                <w:szCs w:val="20"/>
              </w:rPr>
            </w:pPr>
            <w:r w:rsidRPr="00A92CA7">
              <w:rPr>
                <w:sz w:val="20"/>
                <w:szCs w:val="20"/>
              </w:rPr>
              <w:t>138683</w:t>
            </w:r>
          </w:p>
        </w:tc>
        <w:tc>
          <w:tcPr>
            <w:tcW w:w="0" w:type="auto"/>
            <w:noWrap/>
            <w:vAlign w:val="center"/>
            <w:hideMark/>
          </w:tcPr>
          <w:p w14:paraId="7F0FDD15" w14:textId="77777777" w:rsidR="002C1737" w:rsidRPr="00A92CA7" w:rsidRDefault="002C1737" w:rsidP="002F2B43">
            <w:pPr>
              <w:jc w:val="center"/>
              <w:rPr>
                <w:sz w:val="20"/>
                <w:szCs w:val="20"/>
              </w:rPr>
            </w:pPr>
            <w:r w:rsidRPr="00A92CA7">
              <w:rPr>
                <w:sz w:val="20"/>
                <w:szCs w:val="20"/>
              </w:rPr>
              <w:t>146292</w:t>
            </w:r>
          </w:p>
        </w:tc>
        <w:tc>
          <w:tcPr>
            <w:tcW w:w="0" w:type="auto"/>
            <w:noWrap/>
            <w:vAlign w:val="center"/>
            <w:hideMark/>
          </w:tcPr>
          <w:p w14:paraId="1EA160D2" w14:textId="77777777" w:rsidR="002C1737" w:rsidRPr="00A92CA7" w:rsidRDefault="002C1737" w:rsidP="002F2B43">
            <w:pPr>
              <w:jc w:val="center"/>
              <w:rPr>
                <w:sz w:val="20"/>
                <w:szCs w:val="20"/>
              </w:rPr>
            </w:pPr>
            <w:r w:rsidRPr="00A92CA7">
              <w:rPr>
                <w:sz w:val="20"/>
                <w:szCs w:val="20"/>
              </w:rPr>
              <w:t>100%</w:t>
            </w:r>
          </w:p>
        </w:tc>
        <w:tc>
          <w:tcPr>
            <w:tcW w:w="0" w:type="auto"/>
            <w:noWrap/>
            <w:vAlign w:val="center"/>
            <w:hideMark/>
          </w:tcPr>
          <w:p w14:paraId="300C2B3C" w14:textId="77777777" w:rsidR="002C1737" w:rsidRPr="00A92CA7" w:rsidRDefault="002C1737" w:rsidP="002F2B43">
            <w:pPr>
              <w:jc w:val="center"/>
              <w:rPr>
                <w:sz w:val="20"/>
                <w:szCs w:val="20"/>
              </w:rPr>
            </w:pPr>
            <w:r w:rsidRPr="00A92CA7">
              <w:rPr>
                <w:sz w:val="20"/>
                <w:szCs w:val="20"/>
              </w:rPr>
              <w:t>100%</w:t>
            </w:r>
          </w:p>
        </w:tc>
      </w:tr>
    </w:tbl>
    <w:p w14:paraId="7ABB37D7" w14:textId="7219D63E" w:rsidR="002C1737" w:rsidRDefault="002C1737" w:rsidP="00AA241E">
      <w:pPr>
        <w:pStyle w:val="Pealdis"/>
        <w:jc w:val="both"/>
      </w:pPr>
      <w:r>
        <w:t xml:space="preserve">Tabel </w:t>
      </w:r>
      <w:r>
        <w:fldChar w:fldCharType="begin"/>
      </w:r>
      <w:r>
        <w:instrText xml:space="preserve"> SEQ Tabel \* ARABIC </w:instrText>
      </w:r>
      <w:r>
        <w:fldChar w:fldCharType="separate"/>
      </w:r>
      <w:r w:rsidR="00247D84">
        <w:rPr>
          <w:noProof/>
        </w:rPr>
        <w:t>43</w:t>
      </w:r>
      <w:r>
        <w:fldChar w:fldCharType="end"/>
      </w:r>
      <w:r>
        <w:t xml:space="preserve"> Jaeklientide liikumine peale Telia hinnatõusu 2022 aastal B piirkonnas </w:t>
      </w:r>
      <w:r w:rsidR="00123D5F">
        <w:t>valguskaabelvõrgu</w:t>
      </w:r>
      <w:r w:rsidR="00123D5F" w:rsidRPr="00AC04C7">
        <w:t xml:space="preserve"> jaetasandi internetiühenduste tootetur</w:t>
      </w:r>
      <w:r w:rsidR="00123D5F">
        <w:t>ul</w:t>
      </w:r>
    </w:p>
    <w:p w14:paraId="7B5A2B96" w14:textId="77777777" w:rsidR="002C1737" w:rsidRPr="00CD14F2" w:rsidRDefault="002C1737" w:rsidP="00AA241E">
      <w:pPr>
        <w:jc w:val="both"/>
      </w:pPr>
    </w:p>
    <w:p w14:paraId="4D471CB1" w14:textId="2219A925" w:rsidR="002C1737" w:rsidRPr="002E251B" w:rsidRDefault="002C1737" w:rsidP="00AA241E">
      <w:pPr>
        <w:jc w:val="both"/>
      </w:pPr>
      <w:r>
        <w:t xml:space="preserve">Peale </w:t>
      </w:r>
      <w:r w:rsidRPr="002E251B">
        <w:t>hinnatõusu on kliendid turul ümber paigutunud ja</w:t>
      </w:r>
      <w:r w:rsidR="001F5D6A" w:rsidRPr="002E251B">
        <w:t xml:space="preserve"> Telia turuosa on vähenenud </w:t>
      </w:r>
      <w:r w:rsidR="00BB5079" w:rsidRPr="006379B0">
        <w:t>…*</w:t>
      </w:r>
      <w:r w:rsidR="001F5D6A" w:rsidRPr="002E251B">
        <w:t>%</w:t>
      </w:r>
      <w:r w:rsidR="004841BF" w:rsidRPr="002E251B">
        <w:t xml:space="preserve">, kuid </w:t>
      </w:r>
      <w:r w:rsidR="003F71DC" w:rsidRPr="002E251B">
        <w:t xml:space="preserve">klientide arv on suurenenud </w:t>
      </w:r>
      <w:r w:rsidR="00574990" w:rsidRPr="002E251B">
        <w:t xml:space="preserve">ligi </w:t>
      </w:r>
      <w:r w:rsidR="00BB5079" w:rsidRPr="006379B0">
        <w:t>…*</w:t>
      </w:r>
      <w:r w:rsidR="00574990" w:rsidRPr="002E251B">
        <w:t>%</w:t>
      </w:r>
      <w:r w:rsidR="001F5D6A" w:rsidRPr="002E251B">
        <w:t xml:space="preserve">. See aga näitab, et </w:t>
      </w:r>
      <w:r w:rsidR="00232F39" w:rsidRPr="002E251B">
        <w:t>kliendid ei saa</w:t>
      </w:r>
      <w:r w:rsidR="001F5D6A" w:rsidRPr="002E251B">
        <w:t xml:space="preserve"> mõjutada Telia hindu</w:t>
      </w:r>
      <w:r w:rsidR="00232F39" w:rsidRPr="002E251B">
        <w:t xml:space="preserve">, nad on sunnitud </w:t>
      </w:r>
      <w:r w:rsidR="001279E5" w:rsidRPr="002E251B">
        <w:t>tarbima teenust valikute puudumise tõttu.</w:t>
      </w:r>
    </w:p>
    <w:p w14:paraId="3C248E3D" w14:textId="460D2903" w:rsidR="002C1737" w:rsidRDefault="002C1737" w:rsidP="00AA241E">
      <w:pPr>
        <w:jc w:val="both"/>
      </w:pPr>
      <w:r w:rsidRPr="002E251B">
        <w:t>Teised turuanalüüsi kaasatud sideettevõtjad omavad võrreldes Teliaga tunduvalt väiksemat ülekande- ja juurdepääsuvõr</w:t>
      </w:r>
      <w:r w:rsidR="002E251B">
        <w:t>k</w:t>
      </w:r>
      <w:r w:rsidRPr="002E251B">
        <w:t xml:space="preserve">u (vt otsuse punkti </w:t>
      </w:r>
      <w:r w:rsidR="008C35D7" w:rsidRPr="002E251B">
        <w:t>3</w:t>
      </w:r>
      <w:r w:rsidRPr="002E251B">
        <w:t xml:space="preserve">.2.2.) ja nende sidevõrkude </w:t>
      </w:r>
      <w:r w:rsidR="00834D5D" w:rsidRPr="002E251B">
        <w:t>katvus</w:t>
      </w:r>
      <w:r w:rsidRPr="002E251B">
        <w:t xml:space="preserve"> on suhteliselt piiratud (linnad ja teised suuremad asulad). Sellest tulenevalt ei saa nad tegutseda konkurentidest ja klientidest märkimisväärses ulatuses sõltumatult, kuna klientidel on võimalus kasutada Telia (kes omab kõige laiaulatuslikumat sidevõrku) poolt</w:t>
      </w:r>
      <w:r>
        <w:t xml:space="preserve"> pakutavat samaväärset hulgiteenust.</w:t>
      </w:r>
    </w:p>
    <w:p w14:paraId="31C373B7" w14:textId="77777777" w:rsidR="002C1737" w:rsidRDefault="002C1737" w:rsidP="00AA241E">
      <w:pPr>
        <w:pStyle w:val="Heading49"/>
        <w:numPr>
          <w:ilvl w:val="3"/>
          <w:numId w:val="69"/>
        </w:numPr>
      </w:pPr>
      <w:r w:rsidRPr="009E06C7">
        <w:t>Komplekslahendusega teenused</w:t>
      </w:r>
    </w:p>
    <w:p w14:paraId="323AFC16" w14:textId="55A89A72" w:rsidR="002C1737" w:rsidRPr="002E251B" w:rsidRDefault="002C1737" w:rsidP="00AA241E">
      <w:pPr>
        <w:jc w:val="both"/>
      </w:pPr>
      <w:r w:rsidRPr="002E251B">
        <w:t xml:space="preserve">Kompleksteenuste kokkuvõte on esitatud punktis </w:t>
      </w:r>
      <w:r w:rsidR="008C35D7" w:rsidRPr="002E251B">
        <w:t>5</w:t>
      </w:r>
      <w:r w:rsidRPr="002E251B">
        <w:t>.1.</w:t>
      </w:r>
      <w:r w:rsidR="001F7B81" w:rsidRPr="002E251B">
        <w:t>2</w:t>
      </w:r>
      <w:r w:rsidRPr="002E251B">
        <w:t>.5.</w:t>
      </w:r>
    </w:p>
    <w:p w14:paraId="1BE5B235" w14:textId="1C7DC5D1" w:rsidR="002C1737" w:rsidRPr="002E251B" w:rsidRDefault="002C1737" w:rsidP="00AA241E">
      <w:pPr>
        <w:jc w:val="both"/>
      </w:pPr>
      <w:r w:rsidRPr="002E251B">
        <w:lastRenderedPageBreak/>
        <w:t xml:space="preserve">Lähtudes </w:t>
      </w:r>
      <w:proofErr w:type="spellStart"/>
      <w:r w:rsidR="002A1662" w:rsidRPr="002E251B">
        <w:rPr>
          <w:i/>
        </w:rPr>
        <w:t>Gr</w:t>
      </w:r>
      <w:r w:rsidR="00C318C1" w:rsidRPr="002E251B">
        <w:rPr>
          <w:i/>
        </w:rPr>
        <w:t>e</w:t>
      </w:r>
      <w:r w:rsidR="002A1662" w:rsidRPr="002E251B">
        <w:rPr>
          <w:i/>
        </w:rPr>
        <w:t>enfieldi</w:t>
      </w:r>
      <w:proofErr w:type="spellEnd"/>
      <w:r w:rsidRPr="002E251B">
        <w:t xml:space="preserve"> lähenemisviisi põhimõttest ja eeldusest, et </w:t>
      </w:r>
      <w:r w:rsidR="0007135D" w:rsidRPr="002E251B">
        <w:t>hulgiturg</w:t>
      </w:r>
      <w:r w:rsidRPr="002E251B">
        <w:t xml:space="preserve"> 3b järgneb  </w:t>
      </w:r>
      <w:r w:rsidR="00A907A2" w:rsidRPr="002E251B">
        <w:t>hulgi</w:t>
      </w:r>
      <w:r w:rsidRPr="002E251B">
        <w:t xml:space="preserve">turule 1 ning samuti asjaolust, et Telia ei paku teistele sideettevõtjatele </w:t>
      </w:r>
      <w:r w:rsidR="00A907A2" w:rsidRPr="002E251B">
        <w:t>hulgi</w:t>
      </w:r>
      <w:r w:rsidRPr="002E251B">
        <w:t xml:space="preserve">turu 1 </w:t>
      </w:r>
      <w:bookmarkStart w:id="854" w:name="_Hlk172209677"/>
      <w:r w:rsidRPr="002E251B">
        <w:t xml:space="preserve">teenuseid valguskaabel võrgus, langeb </w:t>
      </w:r>
      <w:r w:rsidR="00A907A2" w:rsidRPr="002E251B">
        <w:t>hulgi</w:t>
      </w:r>
      <w:r w:rsidRPr="002E251B">
        <w:t xml:space="preserve">turu 1 käigus tehtud </w:t>
      </w:r>
      <w:bookmarkEnd w:id="854"/>
      <w:r w:rsidR="00123D5F" w:rsidRPr="002E251B">
        <w:t xml:space="preserve">valguskaabelvõrgu jaetasandi internetiühenduste tooteturu </w:t>
      </w:r>
      <w:r w:rsidRPr="002E251B">
        <w:t>komplekslahenduste analüüs kokku  käesoleva peatüki komplekslahenduste jaeturu analüüsiga. Nimelt iseloomustab seda peamiselt infrastruktuurikonkurents Eestis.</w:t>
      </w:r>
    </w:p>
    <w:p w14:paraId="55F26967" w14:textId="6F16717C" w:rsidR="002C1737" w:rsidRPr="002E251B" w:rsidRDefault="002C1737" w:rsidP="00AA241E">
      <w:pPr>
        <w:jc w:val="both"/>
      </w:pPr>
      <w:r w:rsidRPr="002E251B">
        <w:t xml:space="preserve">Eelpool öeldut silmas pidades kajastab </w:t>
      </w:r>
      <w:r w:rsidR="00A57A0D" w:rsidRPr="002E251B">
        <w:t>TTJA</w:t>
      </w:r>
      <w:r w:rsidRPr="002E251B">
        <w:t xml:space="preserve"> käesolevas jaos punkti </w:t>
      </w:r>
      <w:r w:rsidR="00A32020" w:rsidRPr="002E251B">
        <w:t>5</w:t>
      </w:r>
      <w:r w:rsidRPr="002E251B">
        <w:t>.1.2.5 peamisi järeldusi.</w:t>
      </w:r>
    </w:p>
    <w:p w14:paraId="4FC27F91" w14:textId="77777777" w:rsidR="002C1737" w:rsidRDefault="002C1737" w:rsidP="00AA241E">
      <w:pPr>
        <w:jc w:val="both"/>
      </w:pPr>
      <w:r w:rsidRPr="002E251B">
        <w:t>Võrreldes paljude teiste sideettevõtjatega on Telia eeliseks see, et tema käsutuses on kõik elektroonilise side võrgu vajalikud komponendid (juurdepääsuvõrk, ülekandevõrk, telefoniseadmed, andmeedastusseadmed jne), et pakkuda lõppkasutajatele peaaegu kõiki püsivõrgus olevaid elektroonilise side teenuseid. Telia kasutab teenuste ühendamiseks oma infrastruktuurist tulenevaid eeliseid. Selleks et Teliaga Eesti piirkonnas B täielikult konkureerida, peaksid alternatiivsed sideettevõtjad investeerima üldkasutatavasse elektroonilise side võrku, et tagada kompleksteenused laiemas piirkonnas. Seetõttu peavad sideettevõtjad tegema</w:t>
      </w:r>
      <w:r w:rsidRPr="00E53581">
        <w:t xml:space="preserve"> suuremahulisi investeeringuid. Kulud on suured, sest </w:t>
      </w:r>
      <w:r>
        <w:t>Eesti piirkonnas B</w:t>
      </w:r>
      <w:r w:rsidRPr="00E53581">
        <w:t xml:space="preserve"> ei ole paljudel </w:t>
      </w:r>
      <w:r>
        <w:t xml:space="preserve">sideettevõtjatel </w:t>
      </w:r>
      <w:r w:rsidRPr="00E53581">
        <w:t xml:space="preserve">võimalust leida rahastust </w:t>
      </w:r>
      <w:r>
        <w:t xml:space="preserve">eelpool mainitud </w:t>
      </w:r>
      <w:r w:rsidRPr="00E53581">
        <w:t xml:space="preserve"> tööde teostamiseks. Lisaks kaasneb teenuste osutamiseks ehitatud infrastruktuuriga ka korvamatuid kulusid.</w:t>
      </w:r>
    </w:p>
    <w:p w14:paraId="73A4ADC5" w14:textId="642BD826" w:rsidR="002C1737" w:rsidRPr="007130A2" w:rsidRDefault="002C1737" w:rsidP="00AA241E">
      <w:pPr>
        <w:spacing w:after="120"/>
        <w:jc w:val="both"/>
        <w:rPr>
          <w:rFonts w:cs="Times New Roman"/>
          <w:iCs/>
        </w:rPr>
      </w:pPr>
      <w:r w:rsidRPr="007130A2">
        <w:rPr>
          <w:rFonts w:cs="Times New Roman"/>
          <w:b/>
          <w:iCs/>
        </w:rPr>
        <w:t xml:space="preserve">Eelpool öeldut silmas pidades järeldab </w:t>
      </w:r>
      <w:r>
        <w:rPr>
          <w:rFonts w:cs="Times New Roman"/>
          <w:b/>
          <w:iCs/>
        </w:rPr>
        <w:t>TTJA</w:t>
      </w:r>
      <w:r w:rsidRPr="007130A2">
        <w:rPr>
          <w:rFonts w:cs="Times New Roman"/>
          <w:b/>
          <w:iCs/>
        </w:rPr>
        <w:t xml:space="preserve">, et </w:t>
      </w:r>
      <w:r>
        <w:rPr>
          <w:rFonts w:cs="Times New Roman"/>
          <w:b/>
          <w:bCs/>
          <w:iCs/>
        </w:rPr>
        <w:t>Telia</w:t>
      </w:r>
      <w:r w:rsidRPr="007130A2">
        <w:rPr>
          <w:rFonts w:cs="Times New Roman"/>
          <w:b/>
          <w:bCs/>
          <w:iCs/>
        </w:rPr>
        <w:t xml:space="preserve">l on endiselt </w:t>
      </w:r>
      <w:r w:rsidRPr="007130A2">
        <w:rPr>
          <w:rFonts w:cs="Times New Roman"/>
          <w:b/>
          <w:iCs/>
        </w:rPr>
        <w:t xml:space="preserve">eeliseid seoses teenuste </w:t>
      </w:r>
      <w:r>
        <w:rPr>
          <w:rFonts w:cs="Times New Roman"/>
          <w:b/>
          <w:iCs/>
        </w:rPr>
        <w:t>osutamisega komplekslahendusena</w:t>
      </w:r>
      <w:r w:rsidRPr="007130A2">
        <w:rPr>
          <w:rFonts w:cs="Times New Roman"/>
          <w:b/>
          <w:bCs/>
          <w:iCs/>
        </w:rPr>
        <w:t xml:space="preserve">. </w:t>
      </w:r>
      <w:r w:rsidR="006F1CCD" w:rsidRPr="006F1CCD">
        <w:rPr>
          <w:rFonts w:cs="Times New Roman"/>
          <w:b/>
          <w:bCs/>
          <w:iCs/>
        </w:rPr>
        <w:t>Valguskaabelvõrgu internetiühenduste</w:t>
      </w:r>
      <w:r>
        <w:rPr>
          <w:rFonts w:cs="Times New Roman"/>
          <w:b/>
          <w:bCs/>
          <w:iCs/>
        </w:rPr>
        <w:t xml:space="preserve"> </w:t>
      </w:r>
      <w:r w:rsidR="00D117E1">
        <w:rPr>
          <w:rFonts w:cs="Times New Roman"/>
          <w:b/>
          <w:bCs/>
          <w:iCs/>
        </w:rPr>
        <w:t xml:space="preserve">B piirkonna jaeturul </w:t>
      </w:r>
      <w:r w:rsidRPr="007130A2">
        <w:rPr>
          <w:rFonts w:cs="Times New Roman"/>
          <w:b/>
          <w:bCs/>
          <w:iCs/>
        </w:rPr>
        <w:t>võimaldab</w:t>
      </w:r>
      <w:r>
        <w:rPr>
          <w:rFonts w:cs="Times New Roman"/>
          <w:b/>
          <w:bCs/>
          <w:iCs/>
        </w:rPr>
        <w:t xml:space="preserve"> turupositsioon</w:t>
      </w:r>
      <w:r w:rsidRPr="007130A2">
        <w:rPr>
          <w:rFonts w:cs="Times New Roman"/>
          <w:b/>
          <w:bCs/>
          <w:iCs/>
        </w:rPr>
        <w:t xml:space="preserve"> </w:t>
      </w:r>
      <w:r>
        <w:rPr>
          <w:rFonts w:cs="Times New Roman"/>
          <w:b/>
          <w:bCs/>
          <w:iCs/>
        </w:rPr>
        <w:t xml:space="preserve">Telia </w:t>
      </w:r>
      <w:r w:rsidRPr="007130A2">
        <w:rPr>
          <w:rFonts w:cs="Times New Roman"/>
          <w:b/>
          <w:bCs/>
          <w:iCs/>
        </w:rPr>
        <w:t xml:space="preserve">individuaalselt olla turgu valitseva seisundiga samaväärse majandusliku tugevusega positsioonil, kuid </w:t>
      </w:r>
      <w:r w:rsidR="00870D8F" w:rsidRPr="003224A9">
        <w:rPr>
          <w:rFonts w:cs="Times New Roman"/>
          <w:b/>
          <w:bCs/>
          <w:iCs/>
        </w:rPr>
        <w:t xml:space="preserve">valguskaabelvõrgu </w:t>
      </w:r>
      <w:r w:rsidR="00C06327" w:rsidRPr="003224A9">
        <w:rPr>
          <w:rFonts w:cs="Times New Roman"/>
          <w:b/>
          <w:bCs/>
          <w:iCs/>
        </w:rPr>
        <w:t xml:space="preserve">internetiühenduste </w:t>
      </w:r>
      <w:r w:rsidR="003224A9" w:rsidRPr="003224A9">
        <w:rPr>
          <w:rFonts w:cs="Times New Roman"/>
          <w:b/>
          <w:bCs/>
          <w:iCs/>
        </w:rPr>
        <w:t xml:space="preserve">A piirkonna jaeturul </w:t>
      </w:r>
      <w:r>
        <w:rPr>
          <w:rFonts w:cs="Times New Roman"/>
          <w:b/>
          <w:bCs/>
          <w:iCs/>
        </w:rPr>
        <w:t>ei ole Telial</w:t>
      </w:r>
      <w:r w:rsidRPr="007130A2">
        <w:rPr>
          <w:rFonts w:cs="Times New Roman"/>
          <w:b/>
          <w:bCs/>
          <w:iCs/>
        </w:rPr>
        <w:t xml:space="preserve"> eelise</w:t>
      </w:r>
      <w:r>
        <w:rPr>
          <w:rFonts w:cs="Times New Roman"/>
          <w:b/>
          <w:bCs/>
          <w:iCs/>
        </w:rPr>
        <w:t>i</w:t>
      </w:r>
      <w:r w:rsidRPr="007130A2">
        <w:rPr>
          <w:rFonts w:cs="Times New Roman"/>
          <w:b/>
          <w:bCs/>
          <w:iCs/>
        </w:rPr>
        <w:t xml:space="preserve">d </w:t>
      </w:r>
      <w:r w:rsidRPr="003224A9">
        <w:rPr>
          <w:rFonts w:cs="Times New Roman"/>
          <w:b/>
          <w:bCs/>
          <w:iCs/>
        </w:rPr>
        <w:t xml:space="preserve"> </w:t>
      </w:r>
      <w:r>
        <w:rPr>
          <w:rFonts w:cs="Times New Roman"/>
          <w:b/>
          <w:bCs/>
          <w:iCs/>
        </w:rPr>
        <w:t>kompleksteenuste osutamisel sellisel</w:t>
      </w:r>
      <w:r w:rsidRPr="007130A2">
        <w:rPr>
          <w:rFonts w:cs="Times New Roman"/>
          <w:b/>
          <w:bCs/>
          <w:iCs/>
        </w:rPr>
        <w:t xml:space="preserve"> määral, et olla valitseva seisundiga samaväärses majandusliku tugevuse positsioonis. </w:t>
      </w:r>
    </w:p>
    <w:p w14:paraId="0FAB6571" w14:textId="77777777" w:rsidR="002C1737" w:rsidRPr="002E251B" w:rsidRDefault="002C1737" w:rsidP="00AA241E">
      <w:pPr>
        <w:jc w:val="both"/>
      </w:pPr>
    </w:p>
    <w:p w14:paraId="3D5F51BB" w14:textId="77777777" w:rsidR="002C1737" w:rsidRPr="002E251B" w:rsidRDefault="002C1737" w:rsidP="00AA241E">
      <w:pPr>
        <w:pStyle w:val="Heading49"/>
        <w:numPr>
          <w:ilvl w:val="3"/>
          <w:numId w:val="69"/>
        </w:numPr>
      </w:pPr>
      <w:r w:rsidRPr="002E251B">
        <w:t>Mastaabisääst ja juurdepääs finantsvahenditele</w:t>
      </w:r>
    </w:p>
    <w:p w14:paraId="0CCF36D2" w14:textId="1301EED7" w:rsidR="002C1737" w:rsidRPr="002E251B" w:rsidRDefault="002C1737" w:rsidP="00AA241E">
      <w:pPr>
        <w:jc w:val="both"/>
      </w:pPr>
      <w:r w:rsidRPr="002E251B">
        <w:t xml:space="preserve">Mastaabisäästust ja juurdepääsust finantsvahenditele on täpsemalt kirjutatud peatükis </w:t>
      </w:r>
      <w:r w:rsidR="00146200" w:rsidRPr="002E251B">
        <w:t>6</w:t>
      </w:r>
      <w:r w:rsidRPr="002E251B">
        <w:t>.1.1.6</w:t>
      </w:r>
    </w:p>
    <w:p w14:paraId="0476DF7F" w14:textId="372B818F" w:rsidR="002C1737" w:rsidRPr="002E251B" w:rsidRDefault="002C1737" w:rsidP="00AA241E">
      <w:pPr>
        <w:jc w:val="both"/>
      </w:pPr>
      <w:r w:rsidRPr="002E251B">
        <w:t xml:space="preserve">Lähtudes </w:t>
      </w:r>
      <w:proofErr w:type="spellStart"/>
      <w:r w:rsidR="002A1662" w:rsidRPr="002E251B">
        <w:rPr>
          <w:i/>
        </w:rPr>
        <w:t>Gr</w:t>
      </w:r>
      <w:r w:rsidR="00C318C1" w:rsidRPr="002E251B">
        <w:rPr>
          <w:i/>
        </w:rPr>
        <w:t>e</w:t>
      </w:r>
      <w:r w:rsidR="002A1662" w:rsidRPr="002E251B">
        <w:rPr>
          <w:i/>
        </w:rPr>
        <w:t>enfieldi</w:t>
      </w:r>
      <w:proofErr w:type="spellEnd"/>
      <w:r w:rsidRPr="002E251B">
        <w:t xml:space="preserve"> lähenemisviisi põhimõttest ja eeldusest, et </w:t>
      </w:r>
      <w:r w:rsidR="0007135D" w:rsidRPr="002E251B">
        <w:t>hulgiturg</w:t>
      </w:r>
      <w:r w:rsidRPr="002E251B">
        <w:t xml:space="preserve"> 3b järgneb  </w:t>
      </w:r>
      <w:r w:rsidR="00F20C64" w:rsidRPr="002E251B">
        <w:t>hulgi</w:t>
      </w:r>
      <w:r w:rsidRPr="002E251B">
        <w:t xml:space="preserve">turule 1. ning samuti asjaolust, et Telia ei paku teistele sideettevõtjatele </w:t>
      </w:r>
      <w:r w:rsidR="00F20C64" w:rsidRPr="002E251B">
        <w:t>hulgi</w:t>
      </w:r>
      <w:r w:rsidRPr="002E251B">
        <w:t xml:space="preserve">turu 1 teenuseid valguskaabel võrgus, langeb </w:t>
      </w:r>
      <w:r w:rsidR="00F20C64" w:rsidRPr="002E251B">
        <w:t>hulgi</w:t>
      </w:r>
      <w:r w:rsidRPr="002E251B">
        <w:t xml:space="preserve">turu 1 käigus tehtud </w:t>
      </w:r>
      <w:r w:rsidR="00123D5F" w:rsidRPr="002E251B">
        <w:t xml:space="preserve">valguskaabelvõrgu jaetasandi internetiühenduste tooteturu </w:t>
      </w:r>
      <w:r w:rsidRPr="002E251B">
        <w:t xml:space="preserve">mastaabisäästu ja juurdepääsu finantsvahenditele analüüs täielikult kokku käesolevas jaos esitatud analüüsiga. Nimelt iseloomustab seda peamiselt infrastruktuurikonkurents Eestis. </w:t>
      </w:r>
    </w:p>
    <w:p w14:paraId="5F68D05E" w14:textId="7018B49E" w:rsidR="002C1737" w:rsidRDefault="002C1737" w:rsidP="00AA241E">
      <w:pPr>
        <w:jc w:val="both"/>
      </w:pPr>
      <w:r w:rsidRPr="002E251B">
        <w:t>Ee</w:t>
      </w:r>
      <w:r w:rsidR="00530808">
        <w:t>l</w:t>
      </w:r>
      <w:r w:rsidRPr="002E251B">
        <w:t xml:space="preserve">pool öeldut silmas pidades kajastab TTJA käesolevas peatükis peatüki </w:t>
      </w:r>
      <w:r w:rsidR="00146200" w:rsidRPr="002E251B">
        <w:t>6</w:t>
      </w:r>
      <w:r w:rsidRPr="002E251B">
        <w:t>.1.</w:t>
      </w:r>
      <w:r w:rsidR="00476291">
        <w:t>1</w:t>
      </w:r>
      <w:r w:rsidRPr="002E251B">
        <w:t>.6 peamisi</w:t>
      </w:r>
      <w:r>
        <w:t xml:space="preserve"> järeldusi.</w:t>
      </w:r>
    </w:p>
    <w:p w14:paraId="530EA00E" w14:textId="6EDEABD9" w:rsidR="00E00273" w:rsidRDefault="002C1737" w:rsidP="00AA241E">
      <w:pPr>
        <w:jc w:val="both"/>
      </w:pPr>
      <w:r w:rsidRPr="00BB3394">
        <w:t xml:space="preserve">Selleks et analüüsida mastaabi- ja mahusäästu eeliseid ning eelisjuurdepääsu rahalistele vahenditele, võrdles </w:t>
      </w:r>
      <w:r>
        <w:t>TTJA</w:t>
      </w:r>
      <w:r w:rsidRPr="00BB3394">
        <w:t xml:space="preserve"> suur</w:t>
      </w:r>
      <w:r>
        <w:t>e</w:t>
      </w:r>
      <w:r w:rsidRPr="00BB3394">
        <w:t xml:space="preserve">mate interneti püsivõrgu pakkujate tulusid. </w:t>
      </w:r>
      <w:r>
        <w:t xml:space="preserve">Telia </w:t>
      </w:r>
      <w:r w:rsidRPr="00BB3394">
        <w:t>tulu</w:t>
      </w:r>
      <w:r>
        <w:t>d</w:t>
      </w:r>
      <w:r w:rsidRPr="00BB3394">
        <w:t xml:space="preserve"> oli 2022. aastal palju suurem</w:t>
      </w:r>
      <w:r>
        <w:t>ad</w:t>
      </w:r>
      <w:r w:rsidRPr="00BB3394">
        <w:t xml:space="preserve"> kui teistel alternatiivsetel operaatoritel.</w:t>
      </w:r>
    </w:p>
    <w:tbl>
      <w:tblPr>
        <w:tblStyle w:val="Kontuurtabel1"/>
        <w:tblW w:w="9629" w:type="dxa"/>
        <w:tblLook w:val="04A0" w:firstRow="1" w:lastRow="0" w:firstColumn="1" w:lastColumn="0" w:noHBand="0" w:noVBand="1"/>
      </w:tblPr>
      <w:tblGrid>
        <w:gridCol w:w="2277"/>
        <w:gridCol w:w="3132"/>
        <w:gridCol w:w="4220"/>
      </w:tblGrid>
      <w:tr w:rsidR="002C1737" w:rsidRPr="00692D14" w14:paraId="0FB4890D" w14:textId="77777777" w:rsidTr="00E00273">
        <w:trPr>
          <w:trHeight w:val="227"/>
        </w:trPr>
        <w:tc>
          <w:tcPr>
            <w:tcW w:w="2277" w:type="dxa"/>
            <w:shd w:val="clear" w:color="auto" w:fill="92D050"/>
            <w:noWrap/>
            <w:hideMark/>
          </w:tcPr>
          <w:p w14:paraId="731F273A" w14:textId="77777777" w:rsidR="002C1737" w:rsidRPr="002E251B" w:rsidRDefault="002C1737" w:rsidP="00AA241E">
            <w:pPr>
              <w:jc w:val="both"/>
              <w:rPr>
                <w:rFonts w:eastAsia="Times New Roman" w:cs="Times New Roman"/>
                <w:b/>
                <w:bCs/>
                <w:color w:val="000000"/>
                <w:lang w:eastAsia="et-EE"/>
              </w:rPr>
            </w:pPr>
            <w:r w:rsidRPr="002E251B">
              <w:rPr>
                <w:rFonts w:eastAsia="Times New Roman" w:cs="Times New Roman"/>
                <w:b/>
                <w:bCs/>
                <w:color w:val="000000"/>
                <w:lang w:eastAsia="et-EE"/>
              </w:rPr>
              <w:lastRenderedPageBreak/>
              <w:t>Ettevõtja</w:t>
            </w:r>
          </w:p>
        </w:tc>
        <w:tc>
          <w:tcPr>
            <w:tcW w:w="3132" w:type="dxa"/>
            <w:shd w:val="clear" w:color="auto" w:fill="92D050"/>
            <w:noWrap/>
            <w:hideMark/>
          </w:tcPr>
          <w:p w14:paraId="0D30DCBA" w14:textId="77777777" w:rsidR="002C1737" w:rsidRPr="002E251B" w:rsidRDefault="002C1737" w:rsidP="00AA241E">
            <w:pPr>
              <w:jc w:val="both"/>
              <w:rPr>
                <w:rFonts w:eastAsia="Times New Roman" w:cs="Times New Roman"/>
                <w:b/>
                <w:bCs/>
                <w:color w:val="000000"/>
                <w:lang w:eastAsia="et-EE"/>
              </w:rPr>
            </w:pPr>
            <w:r w:rsidRPr="002E251B">
              <w:rPr>
                <w:rFonts w:eastAsia="Times New Roman" w:cs="Times New Roman"/>
                <w:b/>
                <w:bCs/>
                <w:color w:val="000000"/>
                <w:lang w:eastAsia="et-EE"/>
              </w:rPr>
              <w:t>2022</w:t>
            </w:r>
          </w:p>
        </w:tc>
        <w:tc>
          <w:tcPr>
            <w:tcW w:w="4220" w:type="dxa"/>
            <w:shd w:val="clear" w:color="auto" w:fill="92D050"/>
            <w:noWrap/>
            <w:hideMark/>
          </w:tcPr>
          <w:p w14:paraId="26907A67" w14:textId="77777777" w:rsidR="002C1737" w:rsidRPr="002E251B" w:rsidRDefault="002C1737" w:rsidP="00AA241E">
            <w:pPr>
              <w:jc w:val="both"/>
              <w:rPr>
                <w:rFonts w:eastAsia="Times New Roman" w:cs="Times New Roman"/>
                <w:b/>
                <w:bCs/>
                <w:color w:val="000000"/>
                <w:lang w:eastAsia="et-EE"/>
              </w:rPr>
            </w:pPr>
            <w:r w:rsidRPr="002E251B">
              <w:rPr>
                <w:rFonts w:eastAsia="Times New Roman" w:cs="Times New Roman"/>
                <w:b/>
                <w:bCs/>
                <w:color w:val="000000"/>
                <w:lang w:eastAsia="et-EE"/>
              </w:rPr>
              <w:t>2023</w:t>
            </w:r>
          </w:p>
        </w:tc>
      </w:tr>
      <w:tr w:rsidR="0029579C" w:rsidRPr="00692D14" w14:paraId="0BD22EFE" w14:textId="77777777" w:rsidTr="00E00273">
        <w:trPr>
          <w:trHeight w:val="227"/>
        </w:trPr>
        <w:tc>
          <w:tcPr>
            <w:tcW w:w="2277" w:type="dxa"/>
            <w:noWrap/>
            <w:hideMark/>
          </w:tcPr>
          <w:p w14:paraId="1BFA8414" w14:textId="77777777" w:rsidR="0029579C" w:rsidRPr="002E251B" w:rsidRDefault="0029579C" w:rsidP="0029579C">
            <w:pPr>
              <w:jc w:val="both"/>
              <w:rPr>
                <w:rFonts w:eastAsia="Times New Roman" w:cs="Times New Roman"/>
                <w:color w:val="000000"/>
                <w:lang w:eastAsia="et-EE"/>
              </w:rPr>
            </w:pPr>
            <w:r w:rsidRPr="002E251B">
              <w:rPr>
                <w:rFonts w:eastAsia="Times New Roman" w:cs="Times New Roman"/>
                <w:color w:val="000000"/>
                <w:lang w:eastAsia="et-EE"/>
              </w:rPr>
              <w:t>Elisa</w:t>
            </w:r>
          </w:p>
        </w:tc>
        <w:tc>
          <w:tcPr>
            <w:tcW w:w="3132" w:type="dxa"/>
            <w:noWrap/>
            <w:hideMark/>
          </w:tcPr>
          <w:p w14:paraId="74A9AA43" w14:textId="1CE6311A" w:rsidR="0029579C" w:rsidRPr="002E251B" w:rsidRDefault="0029579C" w:rsidP="0029579C">
            <w:pPr>
              <w:jc w:val="both"/>
              <w:rPr>
                <w:rFonts w:eastAsia="Times New Roman" w:cs="Times New Roman"/>
                <w:color w:val="000000"/>
                <w:lang w:eastAsia="et-EE"/>
              </w:rPr>
            </w:pPr>
            <w:r w:rsidRPr="0029579C">
              <w:rPr>
                <w:sz w:val="20"/>
                <w:szCs w:val="20"/>
              </w:rPr>
              <w:t>…*%</w:t>
            </w:r>
          </w:p>
        </w:tc>
        <w:tc>
          <w:tcPr>
            <w:tcW w:w="4220" w:type="dxa"/>
            <w:noWrap/>
            <w:hideMark/>
          </w:tcPr>
          <w:p w14:paraId="2BF5B29E" w14:textId="18C1BC93" w:rsidR="0029579C" w:rsidRPr="002E251B" w:rsidRDefault="0029579C" w:rsidP="0029579C">
            <w:pPr>
              <w:jc w:val="both"/>
              <w:rPr>
                <w:rFonts w:eastAsia="Times New Roman" w:cs="Times New Roman"/>
                <w:color w:val="000000"/>
                <w:lang w:eastAsia="et-EE"/>
              </w:rPr>
            </w:pPr>
            <w:r w:rsidRPr="00EB059F">
              <w:rPr>
                <w:sz w:val="20"/>
                <w:szCs w:val="20"/>
              </w:rPr>
              <w:t>…*%</w:t>
            </w:r>
          </w:p>
        </w:tc>
      </w:tr>
      <w:tr w:rsidR="0029579C" w:rsidRPr="00692D14" w14:paraId="1004CF6F" w14:textId="77777777" w:rsidTr="00E00273">
        <w:trPr>
          <w:trHeight w:val="227"/>
        </w:trPr>
        <w:tc>
          <w:tcPr>
            <w:tcW w:w="2277" w:type="dxa"/>
            <w:noWrap/>
            <w:hideMark/>
          </w:tcPr>
          <w:p w14:paraId="196186B7" w14:textId="77777777" w:rsidR="0029579C" w:rsidRPr="002E251B" w:rsidRDefault="0029579C" w:rsidP="0029579C">
            <w:pPr>
              <w:jc w:val="both"/>
              <w:rPr>
                <w:rFonts w:eastAsia="Times New Roman" w:cs="Times New Roman"/>
                <w:color w:val="000000"/>
                <w:lang w:eastAsia="et-EE"/>
              </w:rPr>
            </w:pPr>
            <w:r w:rsidRPr="002E251B">
              <w:rPr>
                <w:rFonts w:eastAsia="Times New Roman" w:cs="Times New Roman"/>
                <w:color w:val="000000"/>
                <w:lang w:eastAsia="et-EE"/>
              </w:rPr>
              <w:t>Fill</w:t>
            </w:r>
          </w:p>
        </w:tc>
        <w:tc>
          <w:tcPr>
            <w:tcW w:w="3132" w:type="dxa"/>
            <w:noWrap/>
            <w:hideMark/>
          </w:tcPr>
          <w:p w14:paraId="4D79D60C" w14:textId="173A6038" w:rsidR="0029579C" w:rsidRPr="002E251B" w:rsidRDefault="0029579C" w:rsidP="0029579C">
            <w:pPr>
              <w:jc w:val="both"/>
              <w:rPr>
                <w:rFonts w:eastAsia="Times New Roman" w:cs="Times New Roman"/>
                <w:color w:val="000000"/>
                <w:lang w:eastAsia="et-EE"/>
              </w:rPr>
            </w:pPr>
            <w:r w:rsidRPr="00C37BE0">
              <w:rPr>
                <w:sz w:val="20"/>
                <w:szCs w:val="20"/>
              </w:rPr>
              <w:t>…*%</w:t>
            </w:r>
          </w:p>
        </w:tc>
        <w:tc>
          <w:tcPr>
            <w:tcW w:w="4220" w:type="dxa"/>
            <w:noWrap/>
            <w:hideMark/>
          </w:tcPr>
          <w:p w14:paraId="561573B5" w14:textId="5EA6457D" w:rsidR="0029579C" w:rsidRPr="002E251B" w:rsidRDefault="0029579C" w:rsidP="0029579C">
            <w:pPr>
              <w:jc w:val="both"/>
              <w:rPr>
                <w:rFonts w:eastAsia="Times New Roman" w:cs="Times New Roman"/>
                <w:color w:val="000000"/>
                <w:lang w:eastAsia="et-EE"/>
              </w:rPr>
            </w:pPr>
            <w:r w:rsidRPr="00EB059F">
              <w:rPr>
                <w:sz w:val="20"/>
                <w:szCs w:val="20"/>
              </w:rPr>
              <w:t>…*%</w:t>
            </w:r>
          </w:p>
        </w:tc>
      </w:tr>
      <w:tr w:rsidR="0029579C" w:rsidRPr="00692D14" w14:paraId="5D1945DA" w14:textId="77777777" w:rsidTr="00E00273">
        <w:trPr>
          <w:trHeight w:val="227"/>
        </w:trPr>
        <w:tc>
          <w:tcPr>
            <w:tcW w:w="2277" w:type="dxa"/>
            <w:noWrap/>
            <w:hideMark/>
          </w:tcPr>
          <w:p w14:paraId="23967F49" w14:textId="77777777" w:rsidR="0029579C" w:rsidRPr="002E251B" w:rsidRDefault="0029579C" w:rsidP="0029579C">
            <w:pPr>
              <w:jc w:val="both"/>
              <w:rPr>
                <w:rFonts w:eastAsia="Times New Roman" w:cs="Times New Roman"/>
                <w:color w:val="000000"/>
                <w:lang w:eastAsia="et-EE"/>
              </w:rPr>
            </w:pPr>
            <w:r w:rsidRPr="002E251B">
              <w:rPr>
                <w:rFonts w:eastAsia="Times New Roman" w:cs="Times New Roman"/>
                <w:color w:val="000000"/>
                <w:lang w:eastAsia="et-EE"/>
              </w:rPr>
              <w:t>Interframe</w:t>
            </w:r>
          </w:p>
        </w:tc>
        <w:tc>
          <w:tcPr>
            <w:tcW w:w="3132" w:type="dxa"/>
            <w:noWrap/>
            <w:hideMark/>
          </w:tcPr>
          <w:p w14:paraId="5F9DE291" w14:textId="0B620008" w:rsidR="0029579C" w:rsidRPr="002E251B" w:rsidRDefault="0029579C" w:rsidP="0029579C">
            <w:pPr>
              <w:jc w:val="both"/>
              <w:rPr>
                <w:rFonts w:eastAsia="Times New Roman" w:cs="Times New Roman"/>
                <w:color w:val="000000"/>
                <w:lang w:eastAsia="et-EE"/>
              </w:rPr>
            </w:pPr>
            <w:r w:rsidRPr="00C37BE0">
              <w:rPr>
                <w:sz w:val="20"/>
                <w:szCs w:val="20"/>
              </w:rPr>
              <w:t>…*%</w:t>
            </w:r>
          </w:p>
        </w:tc>
        <w:tc>
          <w:tcPr>
            <w:tcW w:w="4220" w:type="dxa"/>
            <w:noWrap/>
            <w:hideMark/>
          </w:tcPr>
          <w:p w14:paraId="4709C6B7" w14:textId="352D1443" w:rsidR="0029579C" w:rsidRPr="002E251B" w:rsidRDefault="0029579C" w:rsidP="0029579C">
            <w:pPr>
              <w:jc w:val="both"/>
              <w:rPr>
                <w:rFonts w:eastAsia="Times New Roman" w:cs="Times New Roman"/>
                <w:color w:val="000000"/>
                <w:lang w:eastAsia="et-EE"/>
              </w:rPr>
            </w:pPr>
            <w:r w:rsidRPr="00EB059F">
              <w:rPr>
                <w:sz w:val="20"/>
                <w:szCs w:val="20"/>
              </w:rPr>
              <w:t>…*%</w:t>
            </w:r>
          </w:p>
        </w:tc>
      </w:tr>
      <w:tr w:rsidR="0029579C" w:rsidRPr="00692D14" w14:paraId="3839E024" w14:textId="77777777" w:rsidTr="00E00273">
        <w:trPr>
          <w:trHeight w:val="227"/>
        </w:trPr>
        <w:tc>
          <w:tcPr>
            <w:tcW w:w="2277" w:type="dxa"/>
            <w:noWrap/>
            <w:hideMark/>
          </w:tcPr>
          <w:p w14:paraId="2D99A133" w14:textId="77777777" w:rsidR="0029579C" w:rsidRPr="002E251B" w:rsidRDefault="0029579C" w:rsidP="0029579C">
            <w:pPr>
              <w:jc w:val="both"/>
              <w:rPr>
                <w:rFonts w:eastAsia="Times New Roman" w:cs="Times New Roman"/>
                <w:color w:val="000000"/>
                <w:lang w:eastAsia="et-EE"/>
              </w:rPr>
            </w:pPr>
            <w:r w:rsidRPr="002E251B">
              <w:rPr>
                <w:rFonts w:eastAsia="Times New Roman" w:cs="Times New Roman"/>
                <w:color w:val="000000"/>
                <w:lang w:eastAsia="et-EE"/>
              </w:rPr>
              <w:t>STV</w:t>
            </w:r>
          </w:p>
        </w:tc>
        <w:tc>
          <w:tcPr>
            <w:tcW w:w="3132" w:type="dxa"/>
            <w:noWrap/>
            <w:hideMark/>
          </w:tcPr>
          <w:p w14:paraId="79C9F5AB" w14:textId="4C65CAEF" w:rsidR="0029579C" w:rsidRPr="002E251B" w:rsidRDefault="0029579C" w:rsidP="0029579C">
            <w:pPr>
              <w:jc w:val="both"/>
              <w:rPr>
                <w:rFonts w:eastAsia="Times New Roman" w:cs="Times New Roman"/>
                <w:color w:val="000000"/>
                <w:lang w:eastAsia="et-EE"/>
              </w:rPr>
            </w:pPr>
            <w:r w:rsidRPr="00C37BE0">
              <w:rPr>
                <w:sz w:val="20"/>
                <w:szCs w:val="20"/>
              </w:rPr>
              <w:t>…*%</w:t>
            </w:r>
          </w:p>
        </w:tc>
        <w:tc>
          <w:tcPr>
            <w:tcW w:w="4220" w:type="dxa"/>
            <w:noWrap/>
            <w:hideMark/>
          </w:tcPr>
          <w:p w14:paraId="53E2A0A6" w14:textId="4D8A7131" w:rsidR="0029579C" w:rsidRPr="002E251B" w:rsidRDefault="0029579C" w:rsidP="0029579C">
            <w:pPr>
              <w:jc w:val="both"/>
              <w:rPr>
                <w:rFonts w:eastAsia="Times New Roman" w:cs="Times New Roman"/>
                <w:color w:val="000000"/>
                <w:lang w:eastAsia="et-EE"/>
              </w:rPr>
            </w:pPr>
            <w:r w:rsidRPr="00EB059F">
              <w:rPr>
                <w:sz w:val="20"/>
                <w:szCs w:val="20"/>
              </w:rPr>
              <w:t>…*%</w:t>
            </w:r>
          </w:p>
        </w:tc>
      </w:tr>
      <w:tr w:rsidR="0029579C" w:rsidRPr="00692D14" w14:paraId="2FB7976D" w14:textId="77777777" w:rsidTr="00E00273">
        <w:trPr>
          <w:trHeight w:val="227"/>
        </w:trPr>
        <w:tc>
          <w:tcPr>
            <w:tcW w:w="2277" w:type="dxa"/>
            <w:noWrap/>
            <w:hideMark/>
          </w:tcPr>
          <w:p w14:paraId="1F5884C5" w14:textId="77777777" w:rsidR="0029579C" w:rsidRPr="002E251B" w:rsidRDefault="0029579C" w:rsidP="0029579C">
            <w:pPr>
              <w:jc w:val="both"/>
              <w:rPr>
                <w:rFonts w:eastAsia="Times New Roman" w:cs="Times New Roman"/>
                <w:color w:val="000000"/>
                <w:lang w:eastAsia="et-EE"/>
              </w:rPr>
            </w:pPr>
            <w:r w:rsidRPr="002E251B">
              <w:rPr>
                <w:rFonts w:eastAsia="Times New Roman" w:cs="Times New Roman"/>
                <w:color w:val="000000"/>
                <w:lang w:eastAsia="et-EE"/>
              </w:rPr>
              <w:t>Tele2</w:t>
            </w:r>
          </w:p>
        </w:tc>
        <w:tc>
          <w:tcPr>
            <w:tcW w:w="3132" w:type="dxa"/>
            <w:noWrap/>
            <w:hideMark/>
          </w:tcPr>
          <w:p w14:paraId="21EA3C2E" w14:textId="0BFB547F" w:rsidR="0029579C" w:rsidRPr="002E251B" w:rsidRDefault="0029579C" w:rsidP="0029579C">
            <w:pPr>
              <w:jc w:val="both"/>
              <w:rPr>
                <w:rFonts w:eastAsia="Times New Roman" w:cs="Times New Roman"/>
                <w:color w:val="000000"/>
                <w:lang w:eastAsia="et-EE"/>
              </w:rPr>
            </w:pPr>
            <w:r w:rsidRPr="00C37BE0">
              <w:rPr>
                <w:sz w:val="20"/>
                <w:szCs w:val="20"/>
              </w:rPr>
              <w:t>…*%</w:t>
            </w:r>
          </w:p>
        </w:tc>
        <w:tc>
          <w:tcPr>
            <w:tcW w:w="4220" w:type="dxa"/>
            <w:noWrap/>
            <w:hideMark/>
          </w:tcPr>
          <w:p w14:paraId="3213768C" w14:textId="570EE92E" w:rsidR="0029579C" w:rsidRPr="002E251B" w:rsidRDefault="0029579C" w:rsidP="0029579C">
            <w:pPr>
              <w:jc w:val="both"/>
              <w:rPr>
                <w:rFonts w:eastAsia="Times New Roman" w:cs="Times New Roman"/>
                <w:color w:val="000000"/>
                <w:lang w:eastAsia="et-EE"/>
              </w:rPr>
            </w:pPr>
            <w:r w:rsidRPr="00EB059F">
              <w:rPr>
                <w:sz w:val="20"/>
                <w:szCs w:val="20"/>
              </w:rPr>
              <w:t>…*%</w:t>
            </w:r>
          </w:p>
        </w:tc>
      </w:tr>
      <w:tr w:rsidR="002C1737" w:rsidRPr="00692D14" w14:paraId="0960FD86" w14:textId="77777777" w:rsidTr="00E00273">
        <w:trPr>
          <w:trHeight w:val="227"/>
        </w:trPr>
        <w:tc>
          <w:tcPr>
            <w:tcW w:w="2277" w:type="dxa"/>
            <w:noWrap/>
            <w:hideMark/>
          </w:tcPr>
          <w:p w14:paraId="3138FDC6" w14:textId="77777777" w:rsidR="002C1737" w:rsidRPr="002E251B" w:rsidRDefault="002C1737" w:rsidP="00AA241E">
            <w:pPr>
              <w:jc w:val="both"/>
              <w:rPr>
                <w:rFonts w:eastAsia="Times New Roman" w:cs="Times New Roman"/>
                <w:color w:val="000000"/>
                <w:lang w:eastAsia="et-EE"/>
              </w:rPr>
            </w:pPr>
            <w:r w:rsidRPr="002E251B">
              <w:rPr>
                <w:rFonts w:eastAsia="Times New Roman" w:cs="Times New Roman"/>
                <w:color w:val="000000"/>
                <w:lang w:eastAsia="et-EE"/>
              </w:rPr>
              <w:t>Telia</w:t>
            </w:r>
          </w:p>
        </w:tc>
        <w:tc>
          <w:tcPr>
            <w:tcW w:w="3132" w:type="dxa"/>
            <w:noWrap/>
            <w:hideMark/>
          </w:tcPr>
          <w:p w14:paraId="726C7236" w14:textId="6711ED99" w:rsidR="002C1737" w:rsidRPr="002E251B" w:rsidRDefault="00787B61" w:rsidP="00AA241E">
            <w:pPr>
              <w:jc w:val="both"/>
              <w:rPr>
                <w:rFonts w:eastAsia="Times New Roman" w:cs="Times New Roman"/>
                <w:color w:val="000000"/>
                <w:lang w:eastAsia="et-EE"/>
              </w:rPr>
            </w:pPr>
            <w:r w:rsidRPr="00C37BE0">
              <w:rPr>
                <w:sz w:val="20"/>
                <w:szCs w:val="20"/>
              </w:rPr>
              <w:t>…*</w:t>
            </w:r>
            <w:r w:rsidR="002C1737" w:rsidRPr="002E251B">
              <w:rPr>
                <w:rFonts w:eastAsia="Times New Roman" w:cs="Times New Roman"/>
                <w:color w:val="000000"/>
                <w:lang w:eastAsia="et-EE"/>
              </w:rPr>
              <w:t>%</w:t>
            </w:r>
          </w:p>
        </w:tc>
        <w:tc>
          <w:tcPr>
            <w:tcW w:w="4220" w:type="dxa"/>
            <w:noWrap/>
            <w:hideMark/>
          </w:tcPr>
          <w:p w14:paraId="4566874A" w14:textId="454D42E7" w:rsidR="002C1737" w:rsidRPr="002E251B" w:rsidRDefault="00787B61" w:rsidP="00AA241E">
            <w:pPr>
              <w:jc w:val="both"/>
              <w:rPr>
                <w:rFonts w:eastAsia="Times New Roman" w:cs="Times New Roman"/>
                <w:color w:val="000000"/>
                <w:lang w:eastAsia="et-EE"/>
              </w:rPr>
            </w:pPr>
            <w:r w:rsidRPr="00C37BE0">
              <w:rPr>
                <w:sz w:val="20"/>
                <w:szCs w:val="20"/>
              </w:rPr>
              <w:t>…*</w:t>
            </w:r>
            <w:r w:rsidR="002C1737" w:rsidRPr="002E251B">
              <w:rPr>
                <w:rFonts w:eastAsia="Times New Roman" w:cs="Times New Roman"/>
                <w:color w:val="000000"/>
                <w:lang w:eastAsia="et-EE"/>
              </w:rPr>
              <w:t>%</w:t>
            </w:r>
          </w:p>
        </w:tc>
      </w:tr>
      <w:tr w:rsidR="0029579C" w:rsidRPr="00692D14" w14:paraId="187D7097" w14:textId="77777777" w:rsidTr="00E00273">
        <w:trPr>
          <w:trHeight w:val="227"/>
        </w:trPr>
        <w:tc>
          <w:tcPr>
            <w:tcW w:w="2277" w:type="dxa"/>
            <w:noWrap/>
            <w:hideMark/>
          </w:tcPr>
          <w:p w14:paraId="68EAB6C6" w14:textId="77777777" w:rsidR="0029579C" w:rsidRPr="002E251B" w:rsidRDefault="0029579C" w:rsidP="0029579C">
            <w:pPr>
              <w:jc w:val="both"/>
              <w:rPr>
                <w:rFonts w:eastAsia="Times New Roman" w:cs="Times New Roman"/>
                <w:color w:val="000000"/>
                <w:lang w:eastAsia="et-EE"/>
              </w:rPr>
            </w:pPr>
            <w:r w:rsidRPr="002E251B">
              <w:rPr>
                <w:rFonts w:eastAsia="Times New Roman" w:cs="Times New Roman"/>
                <w:color w:val="000000"/>
                <w:lang w:eastAsia="et-EE"/>
              </w:rPr>
              <w:t>Telset</w:t>
            </w:r>
          </w:p>
        </w:tc>
        <w:tc>
          <w:tcPr>
            <w:tcW w:w="3132" w:type="dxa"/>
            <w:noWrap/>
            <w:hideMark/>
          </w:tcPr>
          <w:p w14:paraId="0F72B382" w14:textId="100A16D5" w:rsidR="0029579C" w:rsidRPr="002E251B" w:rsidRDefault="0029579C" w:rsidP="0029579C">
            <w:pPr>
              <w:jc w:val="both"/>
              <w:rPr>
                <w:rFonts w:eastAsia="Times New Roman" w:cs="Times New Roman"/>
                <w:color w:val="000000"/>
                <w:lang w:eastAsia="et-EE"/>
              </w:rPr>
            </w:pPr>
            <w:r w:rsidRPr="004E25B0">
              <w:rPr>
                <w:sz w:val="20"/>
                <w:szCs w:val="20"/>
              </w:rPr>
              <w:t>…*%</w:t>
            </w:r>
          </w:p>
        </w:tc>
        <w:tc>
          <w:tcPr>
            <w:tcW w:w="4220" w:type="dxa"/>
            <w:noWrap/>
            <w:hideMark/>
          </w:tcPr>
          <w:p w14:paraId="3E5D3315" w14:textId="15851A73" w:rsidR="0029579C" w:rsidRPr="002E251B" w:rsidRDefault="0029579C" w:rsidP="0029579C">
            <w:pPr>
              <w:jc w:val="both"/>
              <w:rPr>
                <w:rFonts w:eastAsia="Times New Roman" w:cs="Times New Roman"/>
                <w:color w:val="000000"/>
                <w:lang w:eastAsia="et-EE"/>
              </w:rPr>
            </w:pPr>
            <w:r w:rsidRPr="00B279DA">
              <w:rPr>
                <w:sz w:val="20"/>
                <w:szCs w:val="20"/>
              </w:rPr>
              <w:t>…*%</w:t>
            </w:r>
          </w:p>
        </w:tc>
      </w:tr>
      <w:tr w:rsidR="0029579C" w:rsidRPr="00692D14" w14:paraId="5B73B6EB" w14:textId="77777777" w:rsidTr="00E00273">
        <w:trPr>
          <w:trHeight w:val="227"/>
        </w:trPr>
        <w:tc>
          <w:tcPr>
            <w:tcW w:w="2277" w:type="dxa"/>
            <w:noWrap/>
            <w:hideMark/>
          </w:tcPr>
          <w:p w14:paraId="1F552108" w14:textId="77777777" w:rsidR="0029579C" w:rsidRPr="002E251B" w:rsidRDefault="0029579C" w:rsidP="0029579C">
            <w:pPr>
              <w:jc w:val="both"/>
              <w:rPr>
                <w:rFonts w:eastAsia="Times New Roman" w:cs="Times New Roman"/>
                <w:color w:val="000000"/>
                <w:lang w:eastAsia="et-EE"/>
              </w:rPr>
            </w:pPr>
            <w:r w:rsidRPr="002E251B">
              <w:rPr>
                <w:rFonts w:eastAsia="Times New Roman" w:cs="Times New Roman"/>
                <w:color w:val="000000"/>
                <w:lang w:eastAsia="et-EE"/>
              </w:rPr>
              <w:t>Uus Programm</w:t>
            </w:r>
          </w:p>
        </w:tc>
        <w:tc>
          <w:tcPr>
            <w:tcW w:w="3132" w:type="dxa"/>
            <w:noWrap/>
            <w:hideMark/>
          </w:tcPr>
          <w:p w14:paraId="1FE0F105" w14:textId="0E53AB7C" w:rsidR="0029579C" w:rsidRPr="002E251B" w:rsidRDefault="0029579C" w:rsidP="0029579C">
            <w:pPr>
              <w:jc w:val="both"/>
              <w:rPr>
                <w:rFonts w:eastAsia="Times New Roman" w:cs="Times New Roman"/>
                <w:color w:val="000000"/>
                <w:lang w:eastAsia="et-EE"/>
              </w:rPr>
            </w:pPr>
            <w:r w:rsidRPr="004E25B0">
              <w:rPr>
                <w:sz w:val="20"/>
                <w:szCs w:val="20"/>
              </w:rPr>
              <w:t>…*%</w:t>
            </w:r>
          </w:p>
        </w:tc>
        <w:tc>
          <w:tcPr>
            <w:tcW w:w="4220" w:type="dxa"/>
            <w:noWrap/>
            <w:hideMark/>
          </w:tcPr>
          <w:p w14:paraId="138B20BD" w14:textId="783A743A" w:rsidR="0029579C" w:rsidRPr="002E251B" w:rsidRDefault="0029579C" w:rsidP="0029579C">
            <w:pPr>
              <w:jc w:val="both"/>
              <w:rPr>
                <w:rFonts w:eastAsia="Times New Roman" w:cs="Times New Roman"/>
                <w:color w:val="000000"/>
                <w:lang w:eastAsia="et-EE"/>
              </w:rPr>
            </w:pPr>
            <w:r w:rsidRPr="00B279DA">
              <w:rPr>
                <w:sz w:val="20"/>
                <w:szCs w:val="20"/>
              </w:rPr>
              <w:t>…*%</w:t>
            </w:r>
          </w:p>
        </w:tc>
      </w:tr>
      <w:tr w:rsidR="002C1737" w:rsidRPr="00692D14" w14:paraId="3C33846E" w14:textId="77777777" w:rsidTr="00E00273">
        <w:trPr>
          <w:trHeight w:val="227"/>
        </w:trPr>
        <w:tc>
          <w:tcPr>
            <w:tcW w:w="2277" w:type="dxa"/>
            <w:noWrap/>
            <w:hideMark/>
          </w:tcPr>
          <w:p w14:paraId="013D416C" w14:textId="77777777" w:rsidR="002C1737" w:rsidRPr="002E251B" w:rsidRDefault="002C1737" w:rsidP="00AA241E">
            <w:pPr>
              <w:jc w:val="both"/>
              <w:rPr>
                <w:rFonts w:eastAsia="Times New Roman" w:cs="Times New Roman"/>
                <w:color w:val="000000"/>
                <w:lang w:eastAsia="et-EE"/>
              </w:rPr>
            </w:pPr>
            <w:r w:rsidRPr="002E251B">
              <w:rPr>
                <w:rFonts w:eastAsia="Times New Roman" w:cs="Times New Roman"/>
                <w:color w:val="000000"/>
                <w:lang w:eastAsia="et-EE"/>
              </w:rPr>
              <w:t>Kokku</w:t>
            </w:r>
          </w:p>
        </w:tc>
        <w:tc>
          <w:tcPr>
            <w:tcW w:w="3132" w:type="dxa"/>
            <w:noWrap/>
            <w:hideMark/>
          </w:tcPr>
          <w:p w14:paraId="26037CDD" w14:textId="77777777" w:rsidR="002C1737" w:rsidRPr="002E251B" w:rsidRDefault="002C1737" w:rsidP="00AA241E">
            <w:pPr>
              <w:jc w:val="both"/>
              <w:rPr>
                <w:rFonts w:eastAsia="Times New Roman" w:cs="Times New Roman"/>
                <w:color w:val="000000"/>
                <w:lang w:eastAsia="et-EE"/>
              </w:rPr>
            </w:pPr>
            <w:r w:rsidRPr="002E251B">
              <w:rPr>
                <w:rFonts w:eastAsia="Times New Roman" w:cs="Times New Roman"/>
                <w:color w:val="000000"/>
                <w:lang w:eastAsia="et-EE"/>
              </w:rPr>
              <w:t>100%</w:t>
            </w:r>
          </w:p>
        </w:tc>
        <w:tc>
          <w:tcPr>
            <w:tcW w:w="4220" w:type="dxa"/>
            <w:noWrap/>
            <w:hideMark/>
          </w:tcPr>
          <w:p w14:paraId="6ED9FFB4" w14:textId="77777777" w:rsidR="002C1737" w:rsidRPr="002E251B" w:rsidRDefault="002C1737" w:rsidP="00AA241E">
            <w:pPr>
              <w:jc w:val="both"/>
              <w:rPr>
                <w:rFonts w:eastAsia="Times New Roman" w:cs="Times New Roman"/>
                <w:color w:val="000000"/>
                <w:lang w:eastAsia="et-EE"/>
              </w:rPr>
            </w:pPr>
            <w:r w:rsidRPr="002E251B">
              <w:rPr>
                <w:rFonts w:eastAsia="Times New Roman" w:cs="Times New Roman"/>
                <w:color w:val="000000"/>
                <w:lang w:eastAsia="et-EE"/>
              </w:rPr>
              <w:t>100%</w:t>
            </w:r>
          </w:p>
        </w:tc>
      </w:tr>
    </w:tbl>
    <w:p w14:paraId="1F6C3EB6" w14:textId="4943C4FE" w:rsidR="002C1737" w:rsidRDefault="002C1737" w:rsidP="00AA241E">
      <w:pPr>
        <w:pStyle w:val="Pealdis"/>
        <w:jc w:val="both"/>
      </w:pPr>
      <w:r>
        <w:t xml:space="preserve">Tabel </w:t>
      </w:r>
      <w:r>
        <w:fldChar w:fldCharType="begin"/>
      </w:r>
      <w:r>
        <w:instrText xml:space="preserve"> SEQ Tabel \* ARABIC </w:instrText>
      </w:r>
      <w:r>
        <w:fldChar w:fldCharType="separate"/>
      </w:r>
      <w:r w:rsidR="00247D84">
        <w:rPr>
          <w:noProof/>
        </w:rPr>
        <w:t>44</w:t>
      </w:r>
      <w:r>
        <w:fldChar w:fldCharType="end"/>
      </w:r>
      <w:r>
        <w:t xml:space="preserve"> </w:t>
      </w:r>
      <w:r w:rsidR="002042D5">
        <w:t>Jae käibed</w:t>
      </w:r>
      <w:r>
        <w:t xml:space="preserve"> ko</w:t>
      </w:r>
      <w:r w:rsidR="00E00273">
        <w:t>g</w:t>
      </w:r>
      <w:r>
        <w:t>u Eesti</w:t>
      </w:r>
    </w:p>
    <w:p w14:paraId="16AEA24A" w14:textId="6CDBA126" w:rsidR="002C1737" w:rsidRPr="008032DE" w:rsidRDefault="002C1737" w:rsidP="00AA241E">
      <w:pPr>
        <w:jc w:val="both"/>
      </w:pPr>
      <w:r>
        <w:t>Telia omab suuremat osa Eestit katvat ülekande- ja juurdepääsuvõrku, mistõttu on Telial võimalik saavutada piiritletud turul ka suurt mastaabisäästu</w:t>
      </w:r>
      <w:r w:rsidR="00913B6D">
        <w:t xml:space="preserve"> (vt tabel 44)</w:t>
      </w:r>
      <w:r>
        <w:t>. Kuna teised turuanalüüsi kaasatud ettevõtjad ei oma sellises ulatuses võrku, vaid nende lairibateenuse osutamist võimaldavad sidevõrgud on lokaalse ulatusega ning mitu lokaalvõrku ei pruugi ka omavahel alati ühendatud olla (samuti on nad oma kogumahult väiksemad), siis ei ole neil Teliaga sarnases ulatuses mastaabisäästu saavutamine ilmselt võimalik.</w:t>
      </w:r>
    </w:p>
    <w:p w14:paraId="4494A003" w14:textId="77777777" w:rsidR="002C1737" w:rsidRPr="008577CC" w:rsidRDefault="002C1737" w:rsidP="00AA241E">
      <w:pPr>
        <w:jc w:val="both"/>
        <w:rPr>
          <w:b/>
          <w:bCs/>
        </w:rPr>
      </w:pPr>
      <w:r w:rsidRPr="008577CC">
        <w:rPr>
          <w:b/>
          <w:bCs/>
        </w:rPr>
        <w:t>Eeltoodust järeldub, et mastaabisäästu puudumine või väiksus on lairiba juurdepääsu hulgiturul oluliseks sisenemistõkkeks. Samuti annab võrreldes teiste sideettevõtjatega suuremahulisest teenuse osutamisest saadav kulude kokkuhoid tugeva konkurentsieelise Teliale.</w:t>
      </w:r>
    </w:p>
    <w:p w14:paraId="14CB7699" w14:textId="77777777" w:rsidR="002C1737" w:rsidRPr="002E251B" w:rsidRDefault="002C1737" w:rsidP="00AA241E">
      <w:pPr>
        <w:pStyle w:val="Heading49"/>
        <w:numPr>
          <w:ilvl w:val="3"/>
          <w:numId w:val="69"/>
        </w:numPr>
      </w:pPr>
      <w:r w:rsidRPr="002E251B">
        <w:t>Kolme kriteerium test</w:t>
      </w:r>
    </w:p>
    <w:p w14:paraId="5C918773" w14:textId="0E16E414" w:rsidR="002C1737" w:rsidRPr="002E251B" w:rsidRDefault="002C1737" w:rsidP="00AA241E">
      <w:pPr>
        <w:jc w:val="both"/>
      </w:pPr>
      <w:r w:rsidRPr="002E251B">
        <w:t xml:space="preserve">Kolme kriteeriumi testi läbiviimise kohta vt punkt </w:t>
      </w:r>
      <w:r w:rsidR="00146200" w:rsidRPr="002E251B">
        <w:t>6</w:t>
      </w:r>
      <w:r w:rsidRPr="002E251B">
        <w:t>.1.1.7.</w:t>
      </w:r>
    </w:p>
    <w:p w14:paraId="560625A3" w14:textId="034FFF6C" w:rsidR="002C1737" w:rsidRPr="002E251B" w:rsidRDefault="002C1737" w:rsidP="00AA241E">
      <w:pPr>
        <w:jc w:val="both"/>
      </w:pPr>
      <w:bookmarkStart w:id="855" w:name="_Toc168995286"/>
      <w:bookmarkStart w:id="856" w:name="_Toc168995720"/>
      <w:bookmarkStart w:id="857" w:name="_Hlk172112379"/>
      <w:r w:rsidRPr="002E251B">
        <w:t xml:space="preserve">Võttes arvesse </w:t>
      </w:r>
      <w:proofErr w:type="spellStart"/>
      <w:r w:rsidR="002A1662" w:rsidRPr="002E251B">
        <w:rPr>
          <w:i/>
        </w:rPr>
        <w:t>Gr</w:t>
      </w:r>
      <w:r w:rsidR="00C318C1" w:rsidRPr="002E251B">
        <w:rPr>
          <w:i/>
        </w:rPr>
        <w:t>e</w:t>
      </w:r>
      <w:r w:rsidR="002A1662" w:rsidRPr="002E251B">
        <w:rPr>
          <w:i/>
        </w:rPr>
        <w:t>enfieldi</w:t>
      </w:r>
      <w:proofErr w:type="spellEnd"/>
      <w:r w:rsidRPr="002E251B">
        <w:t xml:space="preserve"> lähenemisviisi põhimõtet ja põhimõtet, et </w:t>
      </w:r>
      <w:r w:rsidR="0007135D" w:rsidRPr="002E251B">
        <w:t>hulgiturg</w:t>
      </w:r>
      <w:r w:rsidRPr="002E251B">
        <w:t xml:space="preserve"> 3b järgneb </w:t>
      </w:r>
      <w:r w:rsidR="00987300" w:rsidRPr="002E251B">
        <w:t>hulgi</w:t>
      </w:r>
      <w:r w:rsidRPr="002E251B">
        <w:t xml:space="preserve">turule 1, samuti asjaolu, et Telia ei paku teistele sideettevõtjatele </w:t>
      </w:r>
      <w:r w:rsidR="00987300" w:rsidRPr="002E251B">
        <w:t>hulgi</w:t>
      </w:r>
      <w:r w:rsidRPr="002E251B">
        <w:t xml:space="preserve">turu 1 teenuseid valguskaabel interneti võrgus, langeb </w:t>
      </w:r>
      <w:r w:rsidR="00987300" w:rsidRPr="002E251B">
        <w:t>hulgi</w:t>
      </w:r>
      <w:r w:rsidRPr="002E251B">
        <w:t xml:space="preserve">turu 1 käigus tehtud </w:t>
      </w:r>
      <w:r w:rsidR="00074E61" w:rsidRPr="002E251B">
        <w:t xml:space="preserve">valguskaabelvõrgu jaetasandi internetiühenduste tooteturu </w:t>
      </w:r>
      <w:r w:rsidRPr="002E251B">
        <w:t xml:space="preserve">kolmekriteeriumi testi tulemused täielikult kokku käesoleva punkti kolmekriteeriumi testi tulemustega. Nimelt iseloomustab seda peamiselt infrastruktuurikonkurents Eestis. </w:t>
      </w:r>
    </w:p>
    <w:p w14:paraId="44DEB668" w14:textId="57C18809" w:rsidR="002C1737" w:rsidRPr="002E251B" w:rsidRDefault="00074E61" w:rsidP="00AA241E">
      <w:pPr>
        <w:jc w:val="both"/>
      </w:pPr>
      <w:r w:rsidRPr="002E251B">
        <w:t xml:space="preserve">TTJA analüüsis </w:t>
      </w:r>
      <w:r w:rsidR="000D2EDD" w:rsidRPr="002E251B">
        <w:rPr>
          <w:lang w:eastAsia="et-EE"/>
        </w:rPr>
        <w:t>valguskaabelvõrgu internetiühenduste A piirkonna jaeturgu</w:t>
      </w:r>
      <w:r w:rsidRPr="002E251B">
        <w:t xml:space="preserve"> </w:t>
      </w:r>
      <w:r w:rsidR="002C1737" w:rsidRPr="002E251B">
        <w:t xml:space="preserve">üksikasjalikult punktis </w:t>
      </w:r>
      <w:r w:rsidR="009E450F" w:rsidRPr="002E251B">
        <w:t>5</w:t>
      </w:r>
      <w:r w:rsidR="002C1737" w:rsidRPr="002E251B">
        <w:t xml:space="preserve">.1.2.2 esitatud sisenemistõkkeid ja jõudis järeldusele, et tõkked elektroonilise side turule sisenemisele või laienemisele </w:t>
      </w:r>
      <w:r w:rsidR="00A90A7A" w:rsidRPr="002E251B">
        <w:rPr>
          <w:lang w:eastAsia="et-EE"/>
        </w:rPr>
        <w:t xml:space="preserve">valguskaabelvõrgu internetiühenduste A piirkonna jaeturul </w:t>
      </w:r>
      <w:r w:rsidR="002C1737" w:rsidRPr="002E251B">
        <w:t>on sisuliselt olemas, kuid kuna A piirkonnas tegutseb palju regionaalseid sideettevõtjaid, siis see näitab, et A piirkonnas on turule sisenemine võimalik.</w:t>
      </w:r>
    </w:p>
    <w:p w14:paraId="2F08859B" w14:textId="1DD8E69F" w:rsidR="002C1737" w:rsidRDefault="009E37C6" w:rsidP="00AA241E">
      <w:pPr>
        <w:jc w:val="both"/>
      </w:pPr>
      <w:r w:rsidRPr="002E251B">
        <w:t>Valguskaabelvõrgu</w:t>
      </w:r>
      <w:r w:rsidR="00E10907" w:rsidRPr="002E251B">
        <w:t xml:space="preserve"> internetiühenduste </w:t>
      </w:r>
      <w:r w:rsidRPr="002E251B">
        <w:t>A piirkonna jaeturu</w:t>
      </w:r>
      <w:r w:rsidR="00E10907" w:rsidRPr="002E251B">
        <w:t xml:space="preserve"> </w:t>
      </w:r>
      <w:r w:rsidR="002C1737" w:rsidRPr="002E251B">
        <w:t>analüüsi tulemusena jõudis TTJA järeldusele:</w:t>
      </w:r>
    </w:p>
    <w:p w14:paraId="74FA4C45" w14:textId="5B38284A" w:rsidR="002C1737" w:rsidRDefault="009E37C6" w:rsidP="00144B3D">
      <w:pPr>
        <w:numPr>
          <w:ilvl w:val="0"/>
          <w:numId w:val="44"/>
        </w:numPr>
        <w:spacing w:before="120" w:after="120" w:line="276" w:lineRule="auto"/>
        <w:jc w:val="both"/>
        <w:rPr>
          <w:lang w:eastAsia="en-US"/>
        </w:rPr>
      </w:pPr>
      <w:r w:rsidRPr="009E37C6">
        <w:rPr>
          <w:lang w:eastAsia="et-EE"/>
        </w:rPr>
        <w:t>Valguskaabelvõrgu</w:t>
      </w:r>
      <w:r w:rsidR="00E10907" w:rsidRPr="009E37C6">
        <w:rPr>
          <w:lang w:eastAsia="et-EE"/>
        </w:rPr>
        <w:t xml:space="preserve"> internetiühenduste </w:t>
      </w:r>
      <w:r w:rsidRPr="009E37C6">
        <w:rPr>
          <w:lang w:eastAsia="et-EE"/>
        </w:rPr>
        <w:t>A piirkonna jaetur</w:t>
      </w:r>
      <w:r>
        <w:rPr>
          <w:lang w:eastAsia="et-EE"/>
        </w:rPr>
        <w:t>u</w:t>
      </w:r>
      <w:r w:rsidR="00E10907" w:rsidRPr="009E37C6">
        <w:rPr>
          <w:lang w:eastAsia="et-EE"/>
        </w:rPr>
        <w:t xml:space="preserve"> </w:t>
      </w:r>
      <w:r w:rsidR="00E10907">
        <w:t xml:space="preserve">struktuur </w:t>
      </w:r>
      <w:r w:rsidR="002C1737" w:rsidRPr="00FD32BF">
        <w:rPr>
          <w:lang w:eastAsia="et-EE"/>
        </w:rPr>
        <w:t>on selline, mis võimaldab tõhusat konkurentsi</w:t>
      </w:r>
      <w:r w:rsidR="002C1737">
        <w:rPr>
          <w:lang w:eastAsia="et-EE"/>
        </w:rPr>
        <w:t>;</w:t>
      </w:r>
    </w:p>
    <w:p w14:paraId="414CDF6A" w14:textId="77777777" w:rsidR="002C1737" w:rsidRDefault="002C1737" w:rsidP="00144B3D">
      <w:pPr>
        <w:numPr>
          <w:ilvl w:val="0"/>
          <w:numId w:val="44"/>
        </w:numPr>
        <w:spacing w:before="120" w:after="120" w:line="276" w:lineRule="auto"/>
        <w:jc w:val="both"/>
        <w:rPr>
          <w:lang w:eastAsia="en-US"/>
        </w:rPr>
      </w:pPr>
      <w:r>
        <w:rPr>
          <w:lang w:eastAsia="et-EE"/>
        </w:rPr>
        <w:lastRenderedPageBreak/>
        <w:t xml:space="preserve">Turuosade üldine struktuur ei näita, et </w:t>
      </w:r>
      <w:r w:rsidRPr="00A155C6">
        <w:rPr>
          <w:lang w:eastAsia="et-EE"/>
        </w:rPr>
        <w:t xml:space="preserve">turul </w:t>
      </w:r>
      <w:r>
        <w:rPr>
          <w:lang w:eastAsia="et-EE"/>
        </w:rPr>
        <w:t>tegutseks</w:t>
      </w:r>
      <w:r w:rsidRPr="00A155C6">
        <w:rPr>
          <w:lang w:eastAsia="et-EE"/>
        </w:rPr>
        <w:t xml:space="preserve"> ettevõtja, kelle majanduslik tugevus on samaväärne turgu valitseva seisundiga</w:t>
      </w:r>
      <w:r>
        <w:rPr>
          <w:lang w:eastAsia="et-EE"/>
        </w:rPr>
        <w:t>;</w:t>
      </w:r>
    </w:p>
    <w:p w14:paraId="3D23B229" w14:textId="77777777" w:rsidR="002C1737" w:rsidRDefault="002C1737" w:rsidP="00144B3D">
      <w:pPr>
        <w:numPr>
          <w:ilvl w:val="0"/>
          <w:numId w:val="44"/>
        </w:numPr>
        <w:spacing w:before="120" w:after="120" w:line="276" w:lineRule="auto"/>
        <w:jc w:val="both"/>
      </w:pPr>
      <w:r>
        <w:t xml:space="preserve">Telia </w:t>
      </w:r>
      <w:r w:rsidRPr="00A155C6">
        <w:t>omab endiselt kontrolli olulise elektroonilise side infrastruktuuri üle ja tal on tehnoloogilised eelised</w:t>
      </w:r>
      <w:r>
        <w:t xml:space="preserve">, kuid see ei ole piisav, et ta </w:t>
      </w:r>
      <w:r w:rsidRPr="00A155C6">
        <w:t xml:space="preserve">individuaalselt </w:t>
      </w:r>
      <w:r>
        <w:t xml:space="preserve">võiks </w:t>
      </w:r>
      <w:r w:rsidRPr="00A155C6">
        <w:t>olla turgu valitseva seisundiga samaväärses majandusliku võim</w:t>
      </w:r>
      <w:r>
        <w:t>u</w:t>
      </w:r>
      <w:r w:rsidRPr="00A155C6">
        <w:t xml:space="preserve"> positsioonis</w:t>
      </w:r>
      <w:r>
        <w:t>;</w:t>
      </w:r>
    </w:p>
    <w:p w14:paraId="1D76A1C5" w14:textId="71C1A2C1" w:rsidR="002C1737" w:rsidRDefault="00493EBB" w:rsidP="00144B3D">
      <w:pPr>
        <w:numPr>
          <w:ilvl w:val="0"/>
          <w:numId w:val="44"/>
        </w:numPr>
        <w:spacing w:before="120" w:after="120" w:line="276" w:lineRule="auto"/>
        <w:jc w:val="both"/>
      </w:pPr>
      <w:r w:rsidRPr="00EB5D52">
        <w:t>Tasakaalustav</w:t>
      </w:r>
      <w:r w:rsidR="002C1737" w:rsidRPr="00EB5D52">
        <w:t xml:space="preserve"> </w:t>
      </w:r>
      <w:r w:rsidR="00EE71F9">
        <w:t>ostjaj</w:t>
      </w:r>
      <w:r w:rsidR="002C1737" w:rsidRPr="00EB5D52">
        <w:t xml:space="preserve">õud </w:t>
      </w:r>
      <w:r w:rsidR="00E10907" w:rsidRPr="00530054">
        <w:rPr>
          <w:rFonts w:cs="Times New Roman"/>
        </w:rPr>
        <w:t xml:space="preserve">valguskaabelvõrgu internetiühenduste </w:t>
      </w:r>
      <w:r w:rsidRPr="00530054">
        <w:rPr>
          <w:rFonts w:cs="Times New Roman"/>
        </w:rPr>
        <w:t>A piirkonna jaetur</w:t>
      </w:r>
      <w:r>
        <w:rPr>
          <w:rFonts w:cs="Times New Roman"/>
        </w:rPr>
        <w:t>ul</w:t>
      </w:r>
      <w:r w:rsidR="00E10907">
        <w:t xml:space="preserve"> </w:t>
      </w:r>
      <w:r w:rsidR="002C1737" w:rsidRPr="00EB5D52">
        <w:t>on praegu piisav</w:t>
      </w:r>
      <w:r w:rsidR="002C1737">
        <w:t>;</w:t>
      </w:r>
    </w:p>
    <w:p w14:paraId="6B28B1FE" w14:textId="20D4AB3B" w:rsidR="002C1737" w:rsidRDefault="002C1737" w:rsidP="00144B3D">
      <w:pPr>
        <w:numPr>
          <w:ilvl w:val="0"/>
          <w:numId w:val="44"/>
        </w:numPr>
        <w:spacing w:before="120" w:after="120" w:line="276" w:lineRule="auto"/>
        <w:jc w:val="both"/>
      </w:pPr>
      <w:r>
        <w:t xml:space="preserve">Telia </w:t>
      </w:r>
      <w:r w:rsidRPr="00EB5D52">
        <w:t xml:space="preserve">on endiselt eeliseid </w:t>
      </w:r>
      <w:r w:rsidR="00E10907" w:rsidRPr="00530054">
        <w:rPr>
          <w:rFonts w:cs="Times New Roman"/>
        </w:rPr>
        <w:t xml:space="preserve">valguskaabelvõrgu internetiühenduste </w:t>
      </w:r>
      <w:r w:rsidR="009E37C6" w:rsidRPr="00530054">
        <w:rPr>
          <w:rFonts w:cs="Times New Roman"/>
        </w:rPr>
        <w:t>A piirkonna jaetur</w:t>
      </w:r>
      <w:r w:rsidR="009E37C6">
        <w:rPr>
          <w:rFonts w:cs="Times New Roman"/>
        </w:rPr>
        <w:t>u</w:t>
      </w:r>
      <w:r w:rsidR="00E10907">
        <w:t xml:space="preserve"> </w:t>
      </w:r>
      <w:r w:rsidRPr="00EB5D52">
        <w:t>teenuste sidumise osas, kuid mitte niivõrd, kuivõrd see individuaalselt võimalda</w:t>
      </w:r>
      <w:r>
        <w:t>ks</w:t>
      </w:r>
      <w:r w:rsidRPr="00EB5D52">
        <w:t xml:space="preserve"> tal olla turgu valitseva seisundiga samaväärses majandusliku võimu positsioonis</w:t>
      </w:r>
      <w:r>
        <w:t>;</w:t>
      </w:r>
    </w:p>
    <w:p w14:paraId="13415CA8" w14:textId="3E4EF74D" w:rsidR="002C1737" w:rsidRPr="00EB5D52" w:rsidRDefault="002C1737" w:rsidP="00144B3D">
      <w:pPr>
        <w:pStyle w:val="Loendilik"/>
        <w:numPr>
          <w:ilvl w:val="0"/>
          <w:numId w:val="44"/>
        </w:numPr>
        <w:spacing w:line="276" w:lineRule="auto"/>
        <w:jc w:val="both"/>
      </w:pPr>
      <w:r>
        <w:t xml:space="preserve">Telial </w:t>
      </w:r>
      <w:r w:rsidRPr="00EB5D52">
        <w:t>on nii mastaabi- kui ka mahu</w:t>
      </w:r>
      <w:r>
        <w:t>säästu</w:t>
      </w:r>
      <w:r w:rsidRPr="00EB5D52">
        <w:t xml:space="preserve"> eelised, samuti eelisjuurdepääs rahalistele vahenditele </w:t>
      </w:r>
      <w:r w:rsidR="00E10907" w:rsidRPr="00530054">
        <w:rPr>
          <w:rFonts w:cs="Times New Roman"/>
        </w:rPr>
        <w:t xml:space="preserve">valguskaabelvõrgu internetiühenduste </w:t>
      </w:r>
      <w:r w:rsidR="009E37C6" w:rsidRPr="00530054">
        <w:rPr>
          <w:rFonts w:cs="Times New Roman"/>
        </w:rPr>
        <w:t>A piirkonna jaetur</w:t>
      </w:r>
      <w:r w:rsidR="009E37C6">
        <w:rPr>
          <w:rFonts w:cs="Times New Roman"/>
        </w:rPr>
        <w:t>ul</w:t>
      </w:r>
      <w:r w:rsidRPr="00EB5D52">
        <w:t>, kuid mitte niivõrd, kuivõrd see individuaalselt võimaldab tal olla turgu valitseva seisundiga samaväärses majandusliku võimu positsioonis.</w:t>
      </w:r>
    </w:p>
    <w:p w14:paraId="4D8C446A" w14:textId="4378E0B1" w:rsidR="002C1737" w:rsidRDefault="002C1737" w:rsidP="00144B3D">
      <w:pPr>
        <w:spacing w:before="120" w:after="120" w:line="276" w:lineRule="auto"/>
        <w:jc w:val="both"/>
      </w:pPr>
      <w:r>
        <w:t xml:space="preserve">Seega ei ole täidetud kolme kriteeriumi testi teine kriteerium: </w:t>
      </w:r>
      <w:r w:rsidRPr="00EB5D52">
        <w:t xml:space="preserve">turustruktuur, mis ei võimalda tõhusa konkurentsi saavutamist teatava aja jooksul. </w:t>
      </w:r>
      <w:r w:rsidR="008D31B9" w:rsidRPr="00530054">
        <w:rPr>
          <w:rFonts w:cs="Times New Roman"/>
        </w:rPr>
        <w:t>Valguskaabelvõrgu</w:t>
      </w:r>
      <w:r w:rsidR="00E10907" w:rsidRPr="00AC04C7">
        <w:t xml:space="preserve"> internetiühenduste </w:t>
      </w:r>
      <w:r w:rsidR="008D31B9" w:rsidRPr="00530054">
        <w:rPr>
          <w:rFonts w:cs="Times New Roman"/>
        </w:rPr>
        <w:t>A piirkonna jaetur</w:t>
      </w:r>
      <w:r w:rsidR="008D31B9">
        <w:rPr>
          <w:rFonts w:cs="Times New Roman"/>
        </w:rPr>
        <w:t>ul</w:t>
      </w:r>
      <w:r>
        <w:t xml:space="preserve"> on</w:t>
      </w:r>
      <w:r w:rsidRPr="005739DF">
        <w:t xml:space="preserve"> </w:t>
      </w:r>
      <w:r>
        <w:t>tõhus konkurents, mis põhineb peamiselt infrastruktuurikonkurentsil, mitte võrguteenuste osutamisel. TTJA järeldab, et olemasolev taristukonkurents on praegu piisav ja reguleeriv sekkumine asjaomasel hulgiturul ei ole enam vajalik.</w:t>
      </w:r>
    </w:p>
    <w:p w14:paraId="192976DE" w14:textId="77777777" w:rsidR="002C1737" w:rsidRDefault="002C1737" w:rsidP="00144B3D">
      <w:pPr>
        <w:spacing w:before="120" w:after="120" w:line="276" w:lineRule="auto"/>
        <w:jc w:val="both"/>
      </w:pPr>
      <w:r>
        <w:t>Kuna vähemalt üks kolmest kumulatiivsest kriteeriumist ei ole täidetud, ei ole vaja hinnata kolme kriteeriumi kolmandat kriteeriumi (konkurentsiõiguse kohaldamine ei ole turutõrgete kõrvaldamiseks piisav).</w:t>
      </w:r>
    </w:p>
    <w:p w14:paraId="66C1ECC0" w14:textId="0C8A06CF" w:rsidR="002C1737" w:rsidRPr="002E251B" w:rsidRDefault="002C1737" w:rsidP="00144B3D">
      <w:pPr>
        <w:spacing w:before="120" w:after="120" w:line="276" w:lineRule="auto"/>
        <w:jc w:val="both"/>
        <w:rPr>
          <w:b/>
          <w:bCs/>
        </w:rPr>
      </w:pPr>
      <w:r w:rsidRPr="002E251B">
        <w:rPr>
          <w:b/>
          <w:bCs/>
        </w:rPr>
        <w:t xml:space="preserve">Eelpool öeldut silmas pidades ei ole </w:t>
      </w:r>
      <w:r w:rsidR="00E10907" w:rsidRPr="002E251B">
        <w:rPr>
          <w:b/>
          <w:bCs/>
          <w:lang w:eastAsia="et-EE"/>
        </w:rPr>
        <w:t xml:space="preserve">valguskaabelvõrgu internetiühenduste </w:t>
      </w:r>
      <w:r w:rsidR="008D31B9" w:rsidRPr="002E251B">
        <w:rPr>
          <w:b/>
          <w:bCs/>
        </w:rPr>
        <w:t>A piirkonna jaeturul</w:t>
      </w:r>
      <w:r w:rsidRPr="002E251B">
        <w:rPr>
          <w:b/>
          <w:bCs/>
          <w:lang w:eastAsia="et-EE"/>
        </w:rPr>
        <w:t xml:space="preserve"> </w:t>
      </w:r>
      <w:r w:rsidRPr="002E251B">
        <w:rPr>
          <w:b/>
          <w:bCs/>
        </w:rPr>
        <w:t>kumulatiivselt täidetud kolm kriteeriumi ja valitseb tõhus konkurents.</w:t>
      </w:r>
    </w:p>
    <w:p w14:paraId="38A4743E" w14:textId="77777777" w:rsidR="002C1737" w:rsidRPr="002E251B" w:rsidRDefault="002C1737" w:rsidP="00144B3D">
      <w:pPr>
        <w:spacing w:before="120" w:after="120" w:line="276" w:lineRule="auto"/>
        <w:jc w:val="both"/>
      </w:pPr>
    </w:p>
    <w:p w14:paraId="180C36FB" w14:textId="5352198E" w:rsidR="002C1737" w:rsidRPr="002E251B" w:rsidRDefault="00151625" w:rsidP="00144B3D">
      <w:pPr>
        <w:spacing w:before="120" w:after="120" w:line="276" w:lineRule="auto"/>
        <w:jc w:val="both"/>
      </w:pPr>
      <w:r w:rsidRPr="002E251B">
        <w:rPr>
          <w:rFonts w:cs="Times New Roman"/>
        </w:rPr>
        <w:t>Valguskaabelvõrgu internetiühenduste B piirkonna jaetur</w:t>
      </w:r>
      <w:r w:rsidR="00B579BA" w:rsidRPr="002E251B">
        <w:rPr>
          <w:rFonts w:cs="Times New Roman"/>
        </w:rPr>
        <w:t>u</w:t>
      </w:r>
      <w:r w:rsidR="008A2391" w:rsidRPr="002E251B">
        <w:rPr>
          <w:rFonts w:cs="Times New Roman"/>
        </w:rPr>
        <w:t>l</w:t>
      </w:r>
      <w:r w:rsidRPr="002E251B">
        <w:t xml:space="preserve"> </w:t>
      </w:r>
      <w:r w:rsidR="002C1737" w:rsidRPr="002E251B">
        <w:t xml:space="preserve">analüüsis TTJA üksikasjalikult punktis </w:t>
      </w:r>
      <w:r w:rsidR="00B55506" w:rsidRPr="002E251B">
        <w:t>5</w:t>
      </w:r>
      <w:r w:rsidR="002C1737" w:rsidRPr="002E251B">
        <w:t>.1.2.2 esitatud turule sisenemise tõkkeid ja jõudis järeldusele, et tõkked elektroonilise side võr</w:t>
      </w:r>
      <w:r w:rsidR="00834D5D" w:rsidRPr="002E251B">
        <w:t>k</w:t>
      </w:r>
      <w:r w:rsidR="002C1737" w:rsidRPr="002E251B">
        <w:t xml:space="preserve">u  sisenemisel ja selle </w:t>
      </w:r>
      <w:r w:rsidR="00834D5D" w:rsidRPr="002E251B">
        <w:t>katvuse</w:t>
      </w:r>
      <w:r w:rsidR="002C1737" w:rsidRPr="002E251B">
        <w:t xml:space="preserve"> laiendamisel </w:t>
      </w:r>
      <w:r w:rsidR="00D917CE" w:rsidRPr="002E251B">
        <w:t xml:space="preserve">valguskaabelvõrgu internetiühenduste B piirkonna jaeturul </w:t>
      </w:r>
      <w:r w:rsidR="002C1737" w:rsidRPr="002E251B">
        <w:t>on kõrged ning FTTH ja FTTB katvuse edendamine Eesti piirkonnas B on eriti oluline. Seega on täidetud kolme kriteeriumi testi esimene kriteerium, mis on määratletud kui turule sisenemise ulatuslike ja pikaajaliste struktuuriliste, õiguslike või regulatiivsete tõkete olemasoluga.</w:t>
      </w:r>
    </w:p>
    <w:p w14:paraId="27A60776" w14:textId="385054AC" w:rsidR="002C1737" w:rsidRDefault="002C1737" w:rsidP="00AA241E">
      <w:pPr>
        <w:jc w:val="both"/>
      </w:pPr>
      <w:r w:rsidRPr="002E251B">
        <w:t>TTJA viis läbi turuanalüüsi punktis</w:t>
      </w:r>
      <w:r w:rsidR="00FE2A18" w:rsidRPr="002E251B">
        <w:t xml:space="preserve"> </w:t>
      </w:r>
      <w:r w:rsidR="00176A12" w:rsidRPr="002E251B">
        <w:t>5</w:t>
      </w:r>
      <w:r w:rsidRPr="002E251B">
        <w:t xml:space="preserve">.1.2 </w:t>
      </w:r>
      <w:r w:rsidR="00EA7B90" w:rsidRPr="002E251B">
        <w:rPr>
          <w:rFonts w:cs="Times New Roman"/>
        </w:rPr>
        <w:t>valguskaabelvõrgu</w:t>
      </w:r>
      <w:r w:rsidR="00EA7B90" w:rsidRPr="00530054">
        <w:rPr>
          <w:rFonts w:cs="Times New Roman"/>
        </w:rPr>
        <w:t xml:space="preserve"> internetiühenduste </w:t>
      </w:r>
      <w:r w:rsidR="00EA7B90">
        <w:rPr>
          <w:rFonts w:cs="Times New Roman"/>
        </w:rPr>
        <w:t>B</w:t>
      </w:r>
      <w:r w:rsidR="00EA7B90" w:rsidRPr="00530054">
        <w:rPr>
          <w:rFonts w:cs="Times New Roman"/>
        </w:rPr>
        <w:t xml:space="preserve"> piirkonna jaetur</w:t>
      </w:r>
      <w:r w:rsidR="00EA7B90">
        <w:rPr>
          <w:rFonts w:cs="Times New Roman"/>
        </w:rPr>
        <w:t>ul</w:t>
      </w:r>
      <w:r w:rsidR="00EA7B90" w:rsidRPr="00E10D88">
        <w:t xml:space="preserve"> </w:t>
      </w:r>
      <w:r w:rsidRPr="00E10D88">
        <w:t>ja jõudis järeldusele, et:</w:t>
      </w:r>
    </w:p>
    <w:p w14:paraId="27791043" w14:textId="0BEE08B3" w:rsidR="002C1737" w:rsidRDefault="00BC5B1E" w:rsidP="00AA241E">
      <w:pPr>
        <w:pStyle w:val="Loendilik"/>
        <w:numPr>
          <w:ilvl w:val="0"/>
          <w:numId w:val="45"/>
        </w:numPr>
        <w:spacing w:line="259" w:lineRule="auto"/>
        <w:jc w:val="both"/>
      </w:pPr>
      <w:r w:rsidRPr="00530054">
        <w:rPr>
          <w:rFonts w:cs="Times New Roman"/>
        </w:rPr>
        <w:lastRenderedPageBreak/>
        <w:t xml:space="preserve">Valguskaabelvõrgu internetiühenduste </w:t>
      </w:r>
      <w:r>
        <w:rPr>
          <w:rFonts w:cs="Times New Roman"/>
        </w:rPr>
        <w:t>B</w:t>
      </w:r>
      <w:r w:rsidRPr="00530054">
        <w:rPr>
          <w:rFonts w:cs="Times New Roman"/>
        </w:rPr>
        <w:t xml:space="preserve"> piirkonna jaetur</w:t>
      </w:r>
      <w:r>
        <w:rPr>
          <w:rFonts w:cs="Times New Roman"/>
        </w:rPr>
        <w:t>u</w:t>
      </w:r>
      <w:r>
        <w:t xml:space="preserve"> </w:t>
      </w:r>
      <w:r w:rsidR="002C1737">
        <w:t xml:space="preserve">turuosade </w:t>
      </w:r>
      <w:r w:rsidR="002C1737" w:rsidRPr="00E10D88">
        <w:t xml:space="preserve">üldine struktuur ei näita selles tõhusat konkurentsi, vaid näitab pigem </w:t>
      </w:r>
      <w:r w:rsidR="002C1737">
        <w:t>Telia</w:t>
      </w:r>
      <w:r w:rsidR="002C1737" w:rsidRPr="00E10D88">
        <w:t xml:space="preserve"> seisundit turgu valitseva seisundiga samaväärses majandusliku võim</w:t>
      </w:r>
      <w:r w:rsidR="002C1737">
        <w:t>u</w:t>
      </w:r>
      <w:r w:rsidR="002C1737" w:rsidRPr="00E10D88">
        <w:t xml:space="preserve"> seisundis;</w:t>
      </w:r>
    </w:p>
    <w:p w14:paraId="6A719E5F" w14:textId="67523D65" w:rsidR="002C1737" w:rsidRPr="00E10D88" w:rsidRDefault="002C1737" w:rsidP="00AA241E">
      <w:pPr>
        <w:pStyle w:val="Loendilik"/>
        <w:numPr>
          <w:ilvl w:val="0"/>
          <w:numId w:val="45"/>
        </w:numPr>
        <w:spacing w:line="259" w:lineRule="auto"/>
        <w:jc w:val="both"/>
      </w:pPr>
      <w:r>
        <w:t xml:space="preserve">Telial </w:t>
      </w:r>
      <w:r w:rsidRPr="00E10D88">
        <w:t xml:space="preserve">on endiselt kontroll olulise elektroonilise side infrastruktuuri üle ja </w:t>
      </w:r>
      <w:r>
        <w:t xml:space="preserve">tal </w:t>
      </w:r>
      <w:r w:rsidRPr="00E10D88">
        <w:t xml:space="preserve">tehnoloogilised eelised </w:t>
      </w:r>
      <w:r w:rsidR="0094341C" w:rsidRPr="00530054">
        <w:rPr>
          <w:rFonts w:cs="Times New Roman"/>
        </w:rPr>
        <w:t xml:space="preserve">valguskaabelvõrgu </w:t>
      </w:r>
      <w:r w:rsidR="003C3A14" w:rsidRPr="00530054">
        <w:rPr>
          <w:rFonts w:cs="Times New Roman"/>
        </w:rPr>
        <w:t xml:space="preserve">internetiühenduste </w:t>
      </w:r>
      <w:r w:rsidR="003C3A14">
        <w:rPr>
          <w:rFonts w:cs="Times New Roman"/>
        </w:rPr>
        <w:t>B</w:t>
      </w:r>
      <w:r w:rsidR="003C3A14" w:rsidRPr="00530054">
        <w:rPr>
          <w:rFonts w:cs="Times New Roman"/>
        </w:rPr>
        <w:t xml:space="preserve"> piirkonna jaetur</w:t>
      </w:r>
      <w:r w:rsidR="0094341C">
        <w:rPr>
          <w:rFonts w:cs="Times New Roman"/>
        </w:rPr>
        <w:t>ul</w:t>
      </w:r>
      <w:r w:rsidR="003C3A14" w:rsidRPr="00E10D88">
        <w:t xml:space="preserve"> </w:t>
      </w:r>
      <w:r w:rsidRPr="00E10D88">
        <w:t>ulatuses, mis individuaalselt võimaldab tal olla valitseva seisundiga samaväärses majandusliku võim</w:t>
      </w:r>
      <w:r>
        <w:t>u</w:t>
      </w:r>
      <w:r w:rsidRPr="00E10D88">
        <w:t xml:space="preserve"> seisundis;</w:t>
      </w:r>
    </w:p>
    <w:p w14:paraId="23D5A005" w14:textId="393FFD0D" w:rsidR="002C1737" w:rsidRPr="0003227A" w:rsidRDefault="002C1737" w:rsidP="00AA241E">
      <w:pPr>
        <w:pStyle w:val="Loendilik"/>
        <w:numPr>
          <w:ilvl w:val="0"/>
          <w:numId w:val="45"/>
        </w:numPr>
        <w:spacing w:line="259" w:lineRule="auto"/>
        <w:jc w:val="both"/>
      </w:pPr>
      <w:r w:rsidRPr="0003227A">
        <w:t xml:space="preserve">tasakaalustav </w:t>
      </w:r>
      <w:r w:rsidR="00EE71F9">
        <w:t>ostjaj</w:t>
      </w:r>
      <w:r w:rsidRPr="0003227A">
        <w:t xml:space="preserve">õud </w:t>
      </w:r>
      <w:r w:rsidR="0094341C" w:rsidRPr="00530054">
        <w:rPr>
          <w:rFonts w:cs="Times New Roman"/>
        </w:rPr>
        <w:t xml:space="preserve">valguskaabelvõrgu internetiühenduste </w:t>
      </w:r>
      <w:r w:rsidR="0094341C">
        <w:rPr>
          <w:rFonts w:cs="Times New Roman"/>
        </w:rPr>
        <w:t>B</w:t>
      </w:r>
      <w:r w:rsidR="0094341C" w:rsidRPr="00530054">
        <w:rPr>
          <w:rFonts w:cs="Times New Roman"/>
        </w:rPr>
        <w:t xml:space="preserve"> piirkonna jaetur</w:t>
      </w:r>
      <w:r w:rsidR="0094341C">
        <w:rPr>
          <w:rFonts w:cs="Times New Roman"/>
        </w:rPr>
        <w:t>ul</w:t>
      </w:r>
      <w:r w:rsidR="0094341C">
        <w:t xml:space="preserve"> </w:t>
      </w:r>
      <w:r>
        <w:t xml:space="preserve">ei ole </w:t>
      </w:r>
      <w:r w:rsidRPr="0003227A">
        <w:t>piisav;</w:t>
      </w:r>
    </w:p>
    <w:p w14:paraId="55689CCF" w14:textId="1ADAF265" w:rsidR="002C1737" w:rsidRDefault="002C1737" w:rsidP="00AA241E">
      <w:pPr>
        <w:pStyle w:val="Loendilik"/>
        <w:numPr>
          <w:ilvl w:val="0"/>
          <w:numId w:val="45"/>
        </w:numPr>
        <w:spacing w:line="259" w:lineRule="auto"/>
        <w:jc w:val="both"/>
      </w:pPr>
      <w:r w:rsidRPr="0003227A">
        <w:t xml:space="preserve">Telia on endiselt eeliseid </w:t>
      </w:r>
      <w:r w:rsidR="00845CC6" w:rsidRPr="00530054">
        <w:rPr>
          <w:rFonts w:cs="Times New Roman"/>
        </w:rPr>
        <w:t xml:space="preserve">valguskaabelvõrgu </w:t>
      </w:r>
      <w:r w:rsidR="0094341C" w:rsidRPr="00530054">
        <w:rPr>
          <w:rFonts w:cs="Times New Roman"/>
        </w:rPr>
        <w:t xml:space="preserve">internetiühenduste </w:t>
      </w:r>
      <w:r w:rsidR="0094341C">
        <w:rPr>
          <w:rFonts w:cs="Times New Roman"/>
        </w:rPr>
        <w:t>B</w:t>
      </w:r>
      <w:r w:rsidR="0094341C" w:rsidRPr="00530054">
        <w:rPr>
          <w:rFonts w:cs="Times New Roman"/>
        </w:rPr>
        <w:t xml:space="preserve"> piirkonna jaetur</w:t>
      </w:r>
      <w:r w:rsidR="00845CC6">
        <w:rPr>
          <w:rFonts w:cs="Times New Roman"/>
        </w:rPr>
        <w:t>u</w:t>
      </w:r>
      <w:r w:rsidR="0094341C" w:rsidRPr="0003227A">
        <w:t xml:space="preserve"> </w:t>
      </w:r>
      <w:r w:rsidRPr="0003227A">
        <w:t>teenuste sidumise osas</w:t>
      </w:r>
      <w:r>
        <w:t xml:space="preserve"> ja</w:t>
      </w:r>
      <w:r w:rsidRPr="0003227A">
        <w:t xml:space="preserve"> see võimalda</w:t>
      </w:r>
      <w:r>
        <w:t>b</w:t>
      </w:r>
      <w:r w:rsidRPr="0003227A">
        <w:t xml:space="preserve"> tal individuaalselt olla turgu valitseva seisundiga samaväärses majandusliku võimu positsioonis</w:t>
      </w:r>
      <w:r>
        <w:t>;</w:t>
      </w:r>
    </w:p>
    <w:p w14:paraId="2954857F" w14:textId="3F562CE2" w:rsidR="002C1737" w:rsidRPr="00EB5D52" w:rsidRDefault="002C1737" w:rsidP="00AA241E">
      <w:pPr>
        <w:pStyle w:val="Loendilik"/>
        <w:numPr>
          <w:ilvl w:val="0"/>
          <w:numId w:val="45"/>
        </w:numPr>
        <w:spacing w:line="259" w:lineRule="auto"/>
        <w:jc w:val="both"/>
      </w:pPr>
      <w:r>
        <w:t xml:space="preserve">Telial </w:t>
      </w:r>
      <w:r w:rsidRPr="00EB5D52">
        <w:t>on nii mastaabi- kui ka mahu</w:t>
      </w:r>
      <w:r>
        <w:t>säästu</w:t>
      </w:r>
      <w:r w:rsidRPr="00EB5D52">
        <w:t xml:space="preserve"> eelised, samuti eelisjuurdepääs rahalistele vahenditele </w:t>
      </w:r>
      <w:r w:rsidR="00E10907">
        <w:t>valguskaabelvõrgu</w:t>
      </w:r>
      <w:r w:rsidR="00E10907" w:rsidRPr="00AC04C7">
        <w:t xml:space="preserve"> internetiühenduste </w:t>
      </w:r>
      <w:r w:rsidR="00BC0894">
        <w:rPr>
          <w:rFonts w:cs="Times New Roman"/>
        </w:rPr>
        <w:t>B</w:t>
      </w:r>
      <w:r w:rsidR="00BC0894" w:rsidRPr="00530054">
        <w:rPr>
          <w:rFonts w:cs="Times New Roman"/>
        </w:rPr>
        <w:t xml:space="preserve"> piirkonna jaetur</w:t>
      </w:r>
      <w:r w:rsidR="00BC0894">
        <w:rPr>
          <w:rFonts w:cs="Times New Roman"/>
        </w:rPr>
        <w:t>ul</w:t>
      </w:r>
      <w:r w:rsidRPr="00EB5D52">
        <w:t xml:space="preserve">, </w:t>
      </w:r>
      <w:r>
        <w:t>mis</w:t>
      </w:r>
      <w:r w:rsidRPr="00EB5D52">
        <w:t xml:space="preserve"> individuaalselt võimaldab tal olla turgu valitseva seisundiga samaväärses majandusliku võimu positsioonis.</w:t>
      </w:r>
    </w:p>
    <w:p w14:paraId="2A9219E0" w14:textId="2454E056" w:rsidR="002C1737" w:rsidRDefault="002C1737" w:rsidP="00AA241E">
      <w:pPr>
        <w:jc w:val="both"/>
      </w:pPr>
      <w:r>
        <w:t xml:space="preserve">Seega on täidetud kolme kriteeriumi testi teine kriteerium: </w:t>
      </w:r>
      <w:r w:rsidRPr="00EB5D52">
        <w:t xml:space="preserve">turustruktuur, mis ei võimalda tõhusa konkurentsi saavutamist teatava aja jooksul. </w:t>
      </w:r>
      <w:r w:rsidR="00BC0894" w:rsidRPr="00530054">
        <w:rPr>
          <w:rFonts w:cs="Times New Roman"/>
        </w:rPr>
        <w:t>Valguskaabelvõrgu</w:t>
      </w:r>
      <w:r w:rsidR="00E10907" w:rsidRPr="00AC04C7">
        <w:t xml:space="preserve"> internetiühenduste </w:t>
      </w:r>
      <w:r w:rsidR="00BC0894">
        <w:rPr>
          <w:rFonts w:cs="Times New Roman"/>
        </w:rPr>
        <w:t>B</w:t>
      </w:r>
      <w:r w:rsidR="00BC0894" w:rsidRPr="00530054">
        <w:rPr>
          <w:rFonts w:cs="Times New Roman"/>
        </w:rPr>
        <w:t xml:space="preserve"> piirkonna jaetur</w:t>
      </w:r>
      <w:r w:rsidR="00BC0894">
        <w:rPr>
          <w:rFonts w:cs="Times New Roman"/>
        </w:rPr>
        <w:t>u</w:t>
      </w:r>
      <w:r w:rsidR="008B18CE">
        <w:rPr>
          <w:rFonts w:cs="Times New Roman"/>
        </w:rPr>
        <w:t>l</w:t>
      </w:r>
      <w:r w:rsidR="00E10907">
        <w:t xml:space="preserve"> </w:t>
      </w:r>
      <w:r>
        <w:t>puudub</w:t>
      </w:r>
      <w:r w:rsidRPr="005739DF">
        <w:t xml:space="preserve"> </w:t>
      </w:r>
      <w:r>
        <w:t xml:space="preserve">TTJA analüüsi kohaselt tõhus konkurents. </w:t>
      </w:r>
    </w:p>
    <w:p w14:paraId="41F77DD1" w14:textId="7B0630E6" w:rsidR="002C1737" w:rsidRDefault="002C1737" w:rsidP="00AA241E">
      <w:pPr>
        <w:jc w:val="both"/>
      </w:pPr>
      <w:r>
        <w:t xml:space="preserve">Kuigi infrastruktuurikonkurents </w:t>
      </w:r>
      <w:r w:rsidR="00E10907">
        <w:t>valguskaabelvõrgu</w:t>
      </w:r>
      <w:r w:rsidR="00E10907" w:rsidRPr="00AC04C7">
        <w:t xml:space="preserve"> internetiühenduste </w:t>
      </w:r>
      <w:r w:rsidR="00BC0894">
        <w:rPr>
          <w:rFonts w:cs="Times New Roman"/>
        </w:rPr>
        <w:t>B</w:t>
      </w:r>
      <w:r w:rsidR="00BC0894" w:rsidRPr="00530054">
        <w:rPr>
          <w:rFonts w:cs="Times New Roman"/>
        </w:rPr>
        <w:t xml:space="preserve"> piirkonna jaetur</w:t>
      </w:r>
      <w:r w:rsidR="00BC0894">
        <w:rPr>
          <w:rFonts w:cs="Times New Roman"/>
        </w:rPr>
        <w:t>ul</w:t>
      </w:r>
      <w:r w:rsidR="00E10907">
        <w:t xml:space="preserve"> </w:t>
      </w:r>
      <w:r>
        <w:t xml:space="preserve">ei ole veel piisav ja täielik ning turule sisenemisel ja elektroonilise side võrgu </w:t>
      </w:r>
      <w:r w:rsidR="00AF441A">
        <w:t>katvuse</w:t>
      </w:r>
      <w:r>
        <w:t xml:space="preserve"> laiendamisel esineb takistusi, ei ole ka üldise konkurentsiõiguse kohaldamine piisav, sest püsivate turutõrgete kõrvaldamine nõuab kohest sekkumist. Seega on kõik kolm kriteeriumi Eesti B piirkonnas täidetud ja TTJA järeldab, et regulatiivne sekkumine asjaomasel hulgiturul on endiselt vajalik.</w:t>
      </w:r>
    </w:p>
    <w:p w14:paraId="4EA293CA" w14:textId="00496449" w:rsidR="002C1737" w:rsidRPr="001E678C" w:rsidRDefault="002C1737" w:rsidP="00AA241E">
      <w:pPr>
        <w:jc w:val="both"/>
        <w:rPr>
          <w:b/>
          <w:bCs/>
        </w:rPr>
      </w:pPr>
      <w:r w:rsidRPr="001E678C">
        <w:rPr>
          <w:b/>
          <w:bCs/>
        </w:rPr>
        <w:t xml:space="preserve">Eelpool öeldut silmas pidades on </w:t>
      </w:r>
      <w:r w:rsidR="002E7B11" w:rsidRPr="002E7B11">
        <w:rPr>
          <w:b/>
          <w:bCs/>
        </w:rPr>
        <w:t xml:space="preserve">valguskaabelvõrgu </w:t>
      </w:r>
      <w:r w:rsidR="004523CC" w:rsidRPr="002E7B11">
        <w:rPr>
          <w:b/>
          <w:bCs/>
        </w:rPr>
        <w:t>internetiühenduste B piirkonna jaetur</w:t>
      </w:r>
      <w:r w:rsidR="002E7B11" w:rsidRPr="002E7B11">
        <w:rPr>
          <w:b/>
          <w:bCs/>
        </w:rPr>
        <w:t>ul</w:t>
      </w:r>
      <w:r w:rsidR="00E10907" w:rsidRPr="00E10907">
        <w:rPr>
          <w:b/>
          <w:bCs/>
        </w:rPr>
        <w:t xml:space="preserve"> </w:t>
      </w:r>
      <w:r w:rsidRPr="001E678C">
        <w:rPr>
          <w:b/>
          <w:bCs/>
        </w:rPr>
        <w:t xml:space="preserve">kumulatiivselt täidetud kolm kriteeriumi ja puudub tõhus konkurents. </w:t>
      </w:r>
    </w:p>
    <w:p w14:paraId="4E0C968E" w14:textId="5A90C1AE" w:rsidR="002C1737" w:rsidRDefault="002C1737" w:rsidP="00AA241E">
      <w:pPr>
        <w:jc w:val="both"/>
      </w:pPr>
      <w:r>
        <w:t xml:space="preserve">Teisest küljest ei hõlma 2020. aasta soovitus enam </w:t>
      </w:r>
      <w:r w:rsidR="008D4F42">
        <w:t>hulgi</w:t>
      </w:r>
      <w:r>
        <w:t>turgu 3b, kuna see ei läbi kolme kriteeriumi testi (kõik kolm kriteeriumi ei ole kumulatiivselt täidetud).  2020. aasta soovituse seletuskirja kohaselt on selle peamised põhjused järgmised :</w:t>
      </w:r>
    </w:p>
    <w:p w14:paraId="53F8AE2F" w14:textId="77777777" w:rsidR="002C1737" w:rsidRDefault="002C1737" w:rsidP="00AA241E">
      <w:pPr>
        <w:jc w:val="both"/>
      </w:pPr>
      <w:r>
        <w:t>•</w:t>
      </w:r>
      <w:r>
        <w:tab/>
        <w:t>palju väiksemad turule sisenemise tõkked, mille mõned alternatiivsed operaatorid on ületanud, juurutades oma võrgud kuni juurdepääsukeskuseni kohalikul tasandil, et pakkuda jaeteenuseid, mis põhinevad eraldatud juurdepääsul kliendiliinile või selle osadele või juurdepääsul andmeliiklusele (VULA). Eeldatakse, et VULA kasutuselevõtt on piisav, et tagada konkurents jaemüügi tasandil, kuna magistraalliinide rentimine on saadaval kaubanduslikel tingimustel, et jõuda juurdepääsukeskusesse kohalikul tasandil;</w:t>
      </w:r>
    </w:p>
    <w:p w14:paraId="063F30CC" w14:textId="3CE3C30C" w:rsidR="002C1737" w:rsidRDefault="002C1737" w:rsidP="00AA241E">
      <w:pPr>
        <w:jc w:val="both"/>
      </w:pPr>
      <w:r>
        <w:t>•</w:t>
      </w:r>
      <w:r>
        <w:tab/>
        <w:t xml:space="preserve">DOCSIS-tehnoloogia täiustused võimaldavad hulgimüügitasandi juurdepääsu kaabellevivõrgule. Enamikul juhtudel on DOCSIS-tehnoloogia kaasatud </w:t>
      </w:r>
      <w:r w:rsidR="00C23D6A">
        <w:t>hulgi</w:t>
      </w:r>
      <w:r>
        <w:t>turule 3b ja seega on turustruktuuri eesmärk tõhus konkurents;</w:t>
      </w:r>
    </w:p>
    <w:p w14:paraId="413FAEEB" w14:textId="77777777" w:rsidR="002C1737" w:rsidRDefault="002C1737" w:rsidP="00AA241E">
      <w:pPr>
        <w:jc w:val="both"/>
      </w:pPr>
      <w:r>
        <w:lastRenderedPageBreak/>
        <w:t>•</w:t>
      </w:r>
      <w:r>
        <w:tab/>
        <w:t>pidades silmas mobiilsidevõrkude eeldatavat lühiajalist ja keskmise tähtajaga arengut, eeldatakse, et 5G FWA-l on oluline roll eelkõige püsijuurdepääsu asendajana, eelkõige ELi riikide maapiirkondades. Lähiaastatel on oodata märkimisväärseid edusamme 5G kasutuselevõtul, mis on paljudes ELi riikides seotud ulatuslike katvuseesmärkidega.</w:t>
      </w:r>
    </w:p>
    <w:p w14:paraId="432638AD" w14:textId="08A340E8" w:rsidR="002C1737" w:rsidRDefault="002C1737" w:rsidP="00AA241E">
      <w:pPr>
        <w:jc w:val="both"/>
      </w:pPr>
      <w:r>
        <w:t xml:space="preserve">TTJA esitab järgmise selgituse kolme kriteeriumi testi toimimise kohta Eesti B piirkonnas  asuval 3b </w:t>
      </w:r>
      <w:r w:rsidR="00E10907">
        <w:t>valguskaabelvõrgu</w:t>
      </w:r>
      <w:r w:rsidR="00E10907" w:rsidRPr="00AC04C7">
        <w:t xml:space="preserve"> jaetasandi internetiühenduste tootetur</w:t>
      </w:r>
      <w:r w:rsidR="00E10907">
        <w:t>ul</w:t>
      </w:r>
      <w:r>
        <w:t>:</w:t>
      </w:r>
    </w:p>
    <w:p w14:paraId="2C590D61" w14:textId="45C1F569" w:rsidR="002C1737" w:rsidRDefault="002C1737" w:rsidP="00AA241E">
      <w:pPr>
        <w:jc w:val="both"/>
      </w:pPr>
      <w:r>
        <w:t>•</w:t>
      </w:r>
      <w:r>
        <w:tab/>
        <w:t xml:space="preserve">olukord Eestis erineb drastiliselt olukorrast teistes ELi riikides. Eelkõige ei ole alternatiivsed operaatorid </w:t>
      </w:r>
      <w:r w:rsidRPr="002E251B">
        <w:t xml:space="preserve">kasutanud eraldatud juurdepääsu kliendiliinile või selle osadele ega </w:t>
      </w:r>
      <w:proofErr w:type="spellStart"/>
      <w:r w:rsidRPr="002E251B">
        <w:t>VULA-d</w:t>
      </w:r>
      <w:proofErr w:type="spellEnd"/>
      <w:r w:rsidRPr="002E251B">
        <w:t>, kuid nad saavad juurdepääsu lairibale riigi tasandil 8. juurdepääsupunktis. See tähendab, et Eesti investeerimisredeli põhimõte (vt punkt 4.2.5) ei ole olnud asjakohane ja alternatiivsed operaatorid ei ole Telia põhivõrku üle võtnud</w:t>
      </w:r>
      <w:r w:rsidR="00741AA3">
        <w:t>;</w:t>
      </w:r>
    </w:p>
    <w:p w14:paraId="6F63157B" w14:textId="4B1CC0AA" w:rsidR="002C1737" w:rsidRPr="002E251B" w:rsidRDefault="002C1737" w:rsidP="00AA241E">
      <w:pPr>
        <w:jc w:val="both"/>
      </w:pPr>
      <w:r>
        <w:t>•</w:t>
      </w:r>
      <w:r>
        <w:tab/>
        <w:t xml:space="preserve">olukord Eestis erineb oluliselt teiste ELi riikide olukorrast ka seoses DOCSIS-võrkudega, mida Eestis pakuvad kolm alternatiivset operaatorit. Selle tehnoloogia aktiivsete </w:t>
      </w:r>
      <w:r w:rsidR="0007135D">
        <w:t>kliendiliin</w:t>
      </w:r>
      <w:r>
        <w:t xml:space="preserve">ide arv Eesti jaetasandil on väike, aja jooksul on see vähenenud ja eeldatakse, et pikemas perspektiivis ei </w:t>
      </w:r>
      <w:r w:rsidRPr="002E251B">
        <w:t>kasutata DOCSIS-tehnoloogiat Eestis üldse;</w:t>
      </w:r>
    </w:p>
    <w:p w14:paraId="473C0851" w14:textId="1393FF6E" w:rsidR="002C1737" w:rsidRDefault="002C1737" w:rsidP="00AA241E">
      <w:pPr>
        <w:jc w:val="both"/>
      </w:pPr>
      <w:r w:rsidRPr="002E251B">
        <w:t>•</w:t>
      </w:r>
      <w:r w:rsidRPr="002E251B">
        <w:tab/>
        <w:t xml:space="preserve">TTJA võttis arvesse mobiilse interneti jõudluse paranemist ja 5G kasutuselevõttu jaeturul turumääratluse kaudu ja jõudis järeldusele, et </w:t>
      </w:r>
      <w:r w:rsidR="00A83B36" w:rsidRPr="002E251B">
        <w:t>püsiasukohas tarbimiseks suunatud piiramatu mahuga internetiühendused mobiilsidevõrgu baasil teenus</w:t>
      </w:r>
      <w:r w:rsidRPr="002E251B">
        <w:t xml:space="preserve"> ei saa praegu asendada suurema jõudlusega interneti püsivõrgu tehnoloogiaid </w:t>
      </w:r>
      <w:r w:rsidR="000214D5" w:rsidRPr="002E251B">
        <w:t>valguskaabel</w:t>
      </w:r>
      <w:r w:rsidRPr="002E251B">
        <w:t xml:space="preserve"> juurdepääsuvõrgus (FTTH ja FTTB) (vt punktid 6.2 ja 6.4). Teisest küljest võib </w:t>
      </w:r>
      <w:r w:rsidR="00A83B36" w:rsidRPr="002E251B">
        <w:t>püsiasukohas tarbimiseks suunatud piiramatu mahuga internetiühendused mobiilsidevõrgu baasil teenus</w:t>
      </w:r>
      <w:r w:rsidRPr="002E251B">
        <w:t xml:space="preserve"> asendada väiksema jõudlusega </w:t>
      </w:r>
      <w:r w:rsidR="00183BEB" w:rsidRPr="002E251B">
        <w:t>vaskkaabli</w:t>
      </w:r>
      <w:r w:rsidRPr="002E251B">
        <w:t xml:space="preserve">- ja </w:t>
      </w:r>
      <w:r w:rsidR="00266105" w:rsidRPr="002E251B">
        <w:t>mobiil</w:t>
      </w:r>
      <w:r w:rsidR="0022333B" w:rsidRPr="002E251B">
        <w:t>side</w:t>
      </w:r>
      <w:r w:rsidR="00266105" w:rsidRPr="002E251B">
        <w:t>võrgu</w:t>
      </w:r>
      <w:r w:rsidRPr="002E251B">
        <w:t xml:space="preserve"> interneti püsiühenduse tehnoloogiaid (vt punktid 6.2 ja 6.3).</w:t>
      </w:r>
    </w:p>
    <w:p w14:paraId="6517F659" w14:textId="5F880345" w:rsidR="002C1737" w:rsidRPr="001E678C" w:rsidRDefault="002C1737" w:rsidP="00AA241E">
      <w:pPr>
        <w:jc w:val="both"/>
        <w:rPr>
          <w:b/>
          <w:bCs/>
        </w:rPr>
      </w:pPr>
      <w:r w:rsidRPr="001E678C">
        <w:rPr>
          <w:b/>
          <w:bCs/>
        </w:rPr>
        <w:t xml:space="preserve">Eelpool öeldut silmas pidades on </w:t>
      </w:r>
      <w:r w:rsidR="00E10907" w:rsidRPr="00E10907">
        <w:rPr>
          <w:b/>
          <w:bCs/>
        </w:rPr>
        <w:t xml:space="preserve">valguskaabelvõrgu internetiühenduste </w:t>
      </w:r>
      <w:r w:rsidR="00F21C48" w:rsidRPr="00F21C48">
        <w:rPr>
          <w:b/>
          <w:bCs/>
        </w:rPr>
        <w:t>B piirkonna jaetur</w:t>
      </w:r>
      <w:r w:rsidR="00F21C48">
        <w:rPr>
          <w:b/>
          <w:bCs/>
        </w:rPr>
        <w:t>ul</w:t>
      </w:r>
      <w:r w:rsidR="00E10907" w:rsidRPr="00E10907">
        <w:rPr>
          <w:b/>
          <w:bCs/>
        </w:rPr>
        <w:t xml:space="preserve"> </w:t>
      </w:r>
      <w:r w:rsidRPr="001E678C">
        <w:rPr>
          <w:b/>
          <w:bCs/>
        </w:rPr>
        <w:t>kumulatiivselt täidetud kolm kriteeriumi ja puudub tõhus konkurents.</w:t>
      </w:r>
    </w:p>
    <w:p w14:paraId="635295E3" w14:textId="56E3C2A9" w:rsidR="002C1737" w:rsidRDefault="002C1737" w:rsidP="00AA241E">
      <w:pPr>
        <w:pStyle w:val="Heading49"/>
        <w:numPr>
          <w:ilvl w:val="3"/>
          <w:numId w:val="69"/>
        </w:numPr>
      </w:pPr>
      <w:r w:rsidRPr="00E85BB2">
        <w:t xml:space="preserve">Turuanalüüsi </w:t>
      </w:r>
      <w:r w:rsidR="00E26D01">
        <w:t>järeldused</w:t>
      </w:r>
    </w:p>
    <w:p w14:paraId="46F74AD5" w14:textId="6D559295" w:rsidR="00303572" w:rsidRPr="006E317E" w:rsidRDefault="00B05F1E" w:rsidP="00303572">
      <w:pPr>
        <w:jc w:val="both"/>
      </w:pPr>
      <w:bookmarkStart w:id="858" w:name="_Hlk174092957"/>
      <w:r w:rsidRPr="00B05F1E">
        <w:t xml:space="preserve">Võttes arvesse punktis </w:t>
      </w:r>
      <w:r w:rsidR="00BB0F79">
        <w:t>pe</w:t>
      </w:r>
      <w:r w:rsidR="009B6DD5">
        <w:t>a</w:t>
      </w:r>
      <w:r w:rsidR="00BB0F79">
        <w:t>tükis</w:t>
      </w:r>
      <w:r w:rsidR="00BB0F79" w:rsidRPr="00B05F1E">
        <w:t xml:space="preserve"> </w:t>
      </w:r>
      <w:r w:rsidR="00DE2DB6">
        <w:t>6</w:t>
      </w:r>
      <w:r w:rsidRPr="00B05F1E">
        <w:t xml:space="preserve">.1.2 esitatud analüüsi, järeldab TTJA, et valguskaabelvõrgu internetiühenduste A piirkonna jaeturul on tõhus konkurents ja Telia ei ole enam turgu valitseva seisundiga samaväärses majandusliku jõu seisundis. Nimelt ei ole Telia enam märkimisväärse turujõuga ettevõtjast teenuseosutaja. </w:t>
      </w:r>
      <w:r w:rsidR="00303572" w:rsidRPr="006E317E">
        <w:t xml:space="preserve">Seega on vaja tühistada Telia </w:t>
      </w:r>
      <w:r w:rsidR="00303572">
        <w:t>kohustused</w:t>
      </w:r>
      <w:r w:rsidR="00303572" w:rsidRPr="006E317E">
        <w:t xml:space="preserve"> </w:t>
      </w:r>
      <w:r w:rsidR="00303572" w:rsidRPr="00B93690">
        <w:t xml:space="preserve">valguskaabelvõrgu internetiühenduste A piirkonna </w:t>
      </w:r>
      <w:r w:rsidR="00303572">
        <w:t>hulgiturul 3b</w:t>
      </w:r>
      <w:r w:rsidR="00303572" w:rsidRPr="006E317E">
        <w:t xml:space="preserve">, mille TTJA on kehtestanud otsusega </w:t>
      </w:r>
      <w:r w:rsidR="00303572" w:rsidRPr="001F7118">
        <w:rPr>
          <w:rStyle w:val="Laad1Mrk"/>
          <w:rFonts w:eastAsia="Calibri"/>
          <w:sz w:val="24"/>
          <w:szCs w:val="24"/>
        </w:rPr>
        <w:t>16.06.17 nr 1-10/17-22</w:t>
      </w:r>
      <w:r w:rsidR="00303572">
        <w:rPr>
          <w:rStyle w:val="Laad1Mrk"/>
          <w:rFonts w:eastAsia="Calibri"/>
          <w:sz w:val="24"/>
          <w:szCs w:val="24"/>
        </w:rPr>
        <w:t>7</w:t>
      </w:r>
      <w:r w:rsidR="009F554A">
        <w:rPr>
          <w:rStyle w:val="Laad1Mrk"/>
          <w:rFonts w:eastAsia="Calibri"/>
          <w:sz w:val="24"/>
          <w:szCs w:val="24"/>
        </w:rPr>
        <w:t>, vt ptk 7.1.2</w:t>
      </w:r>
      <w:r w:rsidR="00303572" w:rsidRPr="006E317E">
        <w:t>.</w:t>
      </w:r>
    </w:p>
    <w:p w14:paraId="11C5442A" w14:textId="2D9C5D01" w:rsidR="002C1737" w:rsidRDefault="002C1737" w:rsidP="00AA241E">
      <w:pPr>
        <w:jc w:val="both"/>
      </w:pPr>
      <w:r w:rsidRPr="002E251B">
        <w:t xml:space="preserve">Võttes arvesse punktis </w:t>
      </w:r>
      <w:r w:rsidR="00303572" w:rsidRPr="002E251B">
        <w:t>6</w:t>
      </w:r>
      <w:r w:rsidRPr="002E251B">
        <w:t xml:space="preserve">.1.2 tehtud analüüsi, järeldab TTJA, et </w:t>
      </w:r>
      <w:r w:rsidR="00067502" w:rsidRPr="002E251B">
        <w:rPr>
          <w:b/>
          <w:bCs/>
        </w:rPr>
        <w:t>B piirkonna valguskaabli hulgitur</w:t>
      </w:r>
      <w:r w:rsidR="00093816" w:rsidRPr="002E251B">
        <w:rPr>
          <w:b/>
          <w:bCs/>
        </w:rPr>
        <w:t>ul</w:t>
      </w:r>
      <w:r w:rsidR="006159AA" w:rsidRPr="002E251B">
        <w:rPr>
          <w:b/>
          <w:bCs/>
        </w:rPr>
        <w:t xml:space="preserve"> 3b</w:t>
      </w:r>
      <w:r w:rsidR="00067502" w:rsidRPr="002E251B">
        <w:rPr>
          <w:b/>
          <w:bCs/>
        </w:rPr>
        <w:t xml:space="preserve"> </w:t>
      </w:r>
      <w:r w:rsidRPr="002E251B">
        <w:t>puudub</w:t>
      </w:r>
      <w:r>
        <w:t xml:space="preserve"> tõhus konkurents ja Telia on endiselt turgu valitseva seisundiga samaväärse majandusliku jõuga. Nimelt on Telia selles piirkonnas endiselt MTE. Seega teostab TTJA täiendavalt </w:t>
      </w:r>
      <w:r w:rsidR="0090080F" w:rsidRPr="0090080F">
        <w:t xml:space="preserve">valguskaablivõrgu B piirkonna hulgiturul </w:t>
      </w:r>
      <w:r w:rsidR="0090080F">
        <w:t>3b</w:t>
      </w:r>
      <w:r w:rsidR="0090080F" w:rsidRPr="0090080F">
        <w:t xml:space="preserve"> </w:t>
      </w:r>
      <w:r>
        <w:t>analüüsi</w:t>
      </w:r>
      <w:r w:rsidR="00D36710">
        <w:t>.</w:t>
      </w:r>
      <w:r>
        <w:t xml:space="preserve"> </w:t>
      </w:r>
    </w:p>
    <w:p w14:paraId="603ECF1A" w14:textId="6F55DA08" w:rsidR="002C1737" w:rsidRDefault="00681903" w:rsidP="00AA241E">
      <w:pPr>
        <w:pStyle w:val="Pealkiri2"/>
        <w:jc w:val="both"/>
      </w:pPr>
      <w:bookmarkStart w:id="859" w:name="_Toc174710806"/>
      <w:bookmarkStart w:id="860" w:name="_Hlk172110890"/>
      <w:bookmarkStart w:id="861" w:name="_Hlk172111020"/>
      <w:bookmarkEnd w:id="855"/>
      <w:bookmarkEnd w:id="856"/>
      <w:bookmarkEnd w:id="858"/>
      <w:r>
        <w:rPr>
          <w:rFonts w:cs="Times New Roman"/>
        </w:rPr>
        <w:lastRenderedPageBreak/>
        <w:t xml:space="preserve">Hulgiturg 3b: </w:t>
      </w:r>
      <w:r w:rsidR="00CF2C1B">
        <w:rPr>
          <w:rFonts w:cs="Times New Roman"/>
        </w:rPr>
        <w:t xml:space="preserve">piiritlemine ja analüüs </w:t>
      </w:r>
      <w:r w:rsidR="00203A00">
        <w:rPr>
          <w:rFonts w:cs="Times New Roman"/>
        </w:rPr>
        <w:t>v</w:t>
      </w:r>
      <w:r w:rsidR="00203A00" w:rsidRPr="009D7FE5">
        <w:rPr>
          <w:rFonts w:cs="Times New Roman"/>
        </w:rPr>
        <w:t>alguskaablivõrgu</w:t>
      </w:r>
      <w:r w:rsidR="00203A00">
        <w:rPr>
          <w:rFonts w:cs="Times New Roman"/>
        </w:rPr>
        <w:t xml:space="preserve"> </w:t>
      </w:r>
      <w:r w:rsidR="00257B78">
        <w:rPr>
          <w:rFonts w:cs="Times New Roman"/>
        </w:rPr>
        <w:t>B</w:t>
      </w:r>
      <w:r w:rsidR="00257B78" w:rsidRPr="009D7FE5">
        <w:rPr>
          <w:rFonts w:cs="Times New Roman"/>
        </w:rPr>
        <w:t xml:space="preserve"> piirkonna hulgitur</w:t>
      </w:r>
      <w:r w:rsidR="00257B78">
        <w:rPr>
          <w:rFonts w:cs="Times New Roman"/>
        </w:rPr>
        <w:t>u</w:t>
      </w:r>
      <w:r w:rsidR="00CF2C1B">
        <w:rPr>
          <w:rFonts w:cs="Times New Roman"/>
        </w:rPr>
        <w:t>l</w:t>
      </w:r>
      <w:r w:rsidR="00257B78" w:rsidRPr="009D7FE5">
        <w:rPr>
          <w:rFonts w:cs="Times New Roman"/>
        </w:rPr>
        <w:t xml:space="preserve"> </w:t>
      </w:r>
      <w:r w:rsidR="00257B78">
        <w:rPr>
          <w:rFonts w:cs="Times New Roman"/>
        </w:rPr>
        <w:t>3b</w:t>
      </w:r>
      <w:r w:rsidR="00257B78">
        <w:t xml:space="preserve"> analüüs</w:t>
      </w:r>
      <w:bookmarkEnd w:id="859"/>
      <w:r w:rsidR="00257B78">
        <w:t xml:space="preserve"> </w:t>
      </w:r>
      <w:bookmarkEnd w:id="860"/>
      <w:r w:rsidR="002C1737">
        <w:t xml:space="preserve"> </w:t>
      </w:r>
    </w:p>
    <w:p w14:paraId="2540346A" w14:textId="77777777" w:rsidR="00A470CF" w:rsidRPr="00A470CF" w:rsidRDefault="00A470CF" w:rsidP="00AA241E">
      <w:pPr>
        <w:pStyle w:val="Loendilik"/>
        <w:keepNext/>
        <w:keepLines/>
        <w:numPr>
          <w:ilvl w:val="1"/>
          <w:numId w:val="67"/>
        </w:numPr>
        <w:spacing w:before="160" w:after="80" w:line="360" w:lineRule="auto"/>
        <w:contextualSpacing w:val="0"/>
        <w:jc w:val="both"/>
        <w:outlineLvl w:val="2"/>
        <w:rPr>
          <w:rFonts w:eastAsia="Calibri" w:cstheme="majorBidi"/>
          <w:bCs/>
          <w:vanish/>
          <w:color w:val="000000" w:themeColor="text1"/>
          <w:lang w:eastAsia="en-US"/>
        </w:rPr>
      </w:pPr>
      <w:bookmarkStart w:id="862" w:name="_Toc174094598"/>
      <w:bookmarkStart w:id="863" w:name="_Toc174094865"/>
      <w:bookmarkStart w:id="864" w:name="_Toc174095131"/>
      <w:bookmarkStart w:id="865" w:name="_Toc174095396"/>
      <w:bookmarkStart w:id="866" w:name="_Toc174095934"/>
      <w:bookmarkStart w:id="867" w:name="_Toc174096200"/>
      <w:bookmarkStart w:id="868" w:name="_Toc174536090"/>
      <w:bookmarkStart w:id="869" w:name="_Toc174617191"/>
      <w:bookmarkStart w:id="870" w:name="_Toc174618548"/>
      <w:bookmarkStart w:id="871" w:name="_Toc174627610"/>
      <w:bookmarkStart w:id="872" w:name="_Toc174705034"/>
      <w:bookmarkStart w:id="873" w:name="_Toc174709578"/>
      <w:bookmarkStart w:id="874" w:name="_Toc174710807"/>
      <w:bookmarkEnd w:id="857"/>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4E1FE378" w14:textId="77777777" w:rsidR="002E0D07" w:rsidRPr="002E0D07" w:rsidRDefault="002E0D07"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875" w:name="_Toc174094599"/>
      <w:bookmarkStart w:id="876" w:name="_Toc174094866"/>
      <w:bookmarkStart w:id="877" w:name="_Toc174095132"/>
      <w:bookmarkStart w:id="878" w:name="_Toc174095397"/>
      <w:bookmarkStart w:id="879" w:name="_Toc174095935"/>
      <w:bookmarkStart w:id="880" w:name="_Toc174096201"/>
      <w:bookmarkStart w:id="881" w:name="_Toc174536091"/>
      <w:bookmarkStart w:id="882" w:name="_Toc174617192"/>
      <w:bookmarkStart w:id="883" w:name="_Toc174618549"/>
      <w:bookmarkStart w:id="884" w:name="_Toc174627611"/>
      <w:bookmarkStart w:id="885" w:name="_Toc174705035"/>
      <w:bookmarkStart w:id="886" w:name="_Toc174709579"/>
      <w:bookmarkStart w:id="887" w:name="_Toc174710808"/>
      <w:bookmarkEnd w:id="875"/>
      <w:bookmarkEnd w:id="876"/>
      <w:bookmarkEnd w:id="877"/>
      <w:bookmarkEnd w:id="878"/>
      <w:bookmarkEnd w:id="879"/>
      <w:bookmarkEnd w:id="880"/>
      <w:bookmarkEnd w:id="881"/>
      <w:bookmarkEnd w:id="882"/>
      <w:bookmarkEnd w:id="883"/>
      <w:bookmarkEnd w:id="884"/>
      <w:bookmarkEnd w:id="885"/>
      <w:bookmarkEnd w:id="886"/>
      <w:bookmarkEnd w:id="887"/>
    </w:p>
    <w:p w14:paraId="649BFA73" w14:textId="262772B6" w:rsidR="002C1737" w:rsidRDefault="007B5638" w:rsidP="009805E1">
      <w:pPr>
        <w:pStyle w:val="Pealkiri3"/>
      </w:pPr>
      <w:bookmarkStart w:id="888" w:name="_Toc174710809"/>
      <w:r>
        <w:t>V</w:t>
      </w:r>
      <w:r w:rsidRPr="009D7FE5">
        <w:t>alguskaablivõrgu</w:t>
      </w:r>
      <w:r>
        <w:t xml:space="preserve"> B</w:t>
      </w:r>
      <w:r w:rsidRPr="009D7FE5">
        <w:t xml:space="preserve"> piirkonna hulgitur</w:t>
      </w:r>
      <w:r>
        <w:t>u 3b</w:t>
      </w:r>
      <w:r w:rsidRPr="00603BE4">
        <w:t xml:space="preserve"> </w:t>
      </w:r>
      <w:r w:rsidR="002C1737">
        <w:t>määratlemine</w:t>
      </w:r>
      <w:bookmarkEnd w:id="888"/>
      <w:r w:rsidR="002C1737">
        <w:t xml:space="preserve"> </w:t>
      </w:r>
      <w:r w:rsidRPr="007B5638">
        <w:t xml:space="preserve"> </w:t>
      </w:r>
    </w:p>
    <w:p w14:paraId="1B97C346" w14:textId="0162A18F" w:rsidR="002C1737" w:rsidRPr="002E251B" w:rsidRDefault="002C1737" w:rsidP="00AA241E">
      <w:pPr>
        <w:jc w:val="both"/>
      </w:pPr>
      <w:r>
        <w:t xml:space="preserve">Kui turu määratlemine ja analüüs on jaetasandil läbi viidud, on vaja teostada turu määratlemine hulgimüügi tasandil, mis on aluseks kohustuste kehtestamisele. Tulevikus teostab TTJA </w:t>
      </w:r>
      <w:r w:rsidR="003053DA">
        <w:t>hulgi</w:t>
      </w:r>
      <w:r>
        <w:t xml:space="preserve">turu </w:t>
      </w:r>
      <w:r w:rsidR="007E0DF2">
        <w:t>v</w:t>
      </w:r>
      <w:r w:rsidR="007E0DF2" w:rsidRPr="009D7FE5">
        <w:t>alguskaablivõrgu</w:t>
      </w:r>
      <w:r w:rsidR="007E0DF2">
        <w:t xml:space="preserve"> B</w:t>
      </w:r>
      <w:r w:rsidR="007E0DF2" w:rsidRPr="009D7FE5">
        <w:t xml:space="preserve"> </w:t>
      </w:r>
      <w:r w:rsidR="007E0DF2" w:rsidRPr="002E251B">
        <w:t>piirkonna hulgiturul 3b</w:t>
      </w:r>
      <w:r w:rsidRPr="002E251B">
        <w:t xml:space="preserve">, kuna </w:t>
      </w:r>
      <w:r w:rsidR="00F07272" w:rsidRPr="002E251B">
        <w:rPr>
          <w:rFonts w:cs="Times New Roman"/>
        </w:rPr>
        <w:t>vaskkaabli- ja mobiilsidevõrgu internetiühenduste üleriigilisel jaeturul</w:t>
      </w:r>
      <w:r w:rsidR="00F07272" w:rsidRPr="002E251B">
        <w:t xml:space="preserve"> </w:t>
      </w:r>
      <w:r w:rsidRPr="002E251B">
        <w:t xml:space="preserve">ning </w:t>
      </w:r>
      <w:r w:rsidR="003A7A9A" w:rsidRPr="002E251B">
        <w:rPr>
          <w:rFonts w:cs="Times New Roman"/>
        </w:rPr>
        <w:t xml:space="preserve">valguskaabelvõrgu internetiühenduste A piirkonna jaeturul </w:t>
      </w:r>
      <w:r w:rsidRPr="002E251B">
        <w:t xml:space="preserve">on tõhus konkurents (vt punktid </w:t>
      </w:r>
      <w:r w:rsidR="002E251B">
        <w:t>6</w:t>
      </w:r>
      <w:r w:rsidRPr="002E251B">
        <w:t xml:space="preserve">.1.1 ja </w:t>
      </w:r>
      <w:r w:rsidR="002E251B">
        <w:t>6</w:t>
      </w:r>
      <w:r w:rsidRPr="002E251B">
        <w:t>.1.2).</w:t>
      </w:r>
    </w:p>
    <w:p w14:paraId="7B0FD363" w14:textId="08ACAB99" w:rsidR="00737424" w:rsidRDefault="002C1737" w:rsidP="00AA241E">
      <w:pPr>
        <w:jc w:val="both"/>
      </w:pPr>
      <w:r w:rsidRPr="002E251B">
        <w:t>Punktis 4.</w:t>
      </w:r>
      <w:r w:rsidR="002E251B">
        <w:t>1</w:t>
      </w:r>
      <w:r w:rsidRPr="002E251B">
        <w:t>.</w:t>
      </w:r>
      <w:r w:rsidR="002E251B">
        <w:t>2</w:t>
      </w:r>
      <w:r w:rsidRPr="002E251B">
        <w:t xml:space="preserve">.1 selgitas TTJA, et </w:t>
      </w:r>
      <w:r w:rsidR="0007135D" w:rsidRPr="002E251B">
        <w:t>hulgiturg</w:t>
      </w:r>
      <w:r w:rsidRPr="002E251B">
        <w:t xml:space="preserve"> 3b viitab juurdepääsule</w:t>
      </w:r>
      <w:r>
        <w:t xml:space="preserve"> andmesidele piirkondlikul ja riiklikul tasandil. Hulgituru määratlemisel on vaja veelgi üksikasjalikumalt kindlaks määrata, mis </w:t>
      </w:r>
      <w:r w:rsidR="00B26905">
        <w:t xml:space="preserve">teenused </w:t>
      </w:r>
      <w:r>
        <w:t>kuulu</w:t>
      </w:r>
      <w:r w:rsidR="00B26905">
        <w:t>vad</w:t>
      </w:r>
      <w:r>
        <w:t xml:space="preserve"> </w:t>
      </w:r>
      <w:r w:rsidR="00B26905">
        <w:t>v</w:t>
      </w:r>
      <w:r w:rsidR="00B26905" w:rsidRPr="009D7FE5">
        <w:t>alguskaablivõrgu</w:t>
      </w:r>
      <w:r w:rsidR="00B26905">
        <w:t xml:space="preserve"> B</w:t>
      </w:r>
      <w:r w:rsidR="00B26905" w:rsidRPr="009D7FE5">
        <w:t xml:space="preserve"> piirkonna hulgitur</w:t>
      </w:r>
      <w:r w:rsidR="00B26905">
        <w:t>u 3b koosseisu</w:t>
      </w:r>
      <w:r>
        <w:t xml:space="preserve">, st millised tehnoloogiad, elektroonilise side võrgu arhitektuurid ja teenused kuuluvad konkreetse hulgituru koosseisu, mille puhul TTJA määrab </w:t>
      </w:r>
      <w:r w:rsidRPr="00875AC6">
        <w:rPr>
          <w:i/>
          <w:iCs/>
        </w:rPr>
        <w:t>ex ante</w:t>
      </w:r>
      <w:r>
        <w:t xml:space="preserve"> kohustused.</w:t>
      </w:r>
    </w:p>
    <w:p w14:paraId="7C167D43" w14:textId="77777777" w:rsidR="00DA63BA" w:rsidRPr="00EE180E" w:rsidRDefault="00DA63BA" w:rsidP="00AA241E">
      <w:pPr>
        <w:jc w:val="both"/>
      </w:pPr>
    </w:p>
    <w:p w14:paraId="7D6A0E52" w14:textId="77777777" w:rsidR="00DA63BA" w:rsidRPr="00DA63BA" w:rsidRDefault="00DA63BA" w:rsidP="00AA241E">
      <w:pPr>
        <w:pStyle w:val="Loendilik"/>
        <w:keepNext/>
        <w:keepLines/>
        <w:numPr>
          <w:ilvl w:val="1"/>
          <w:numId w:val="36"/>
        </w:numPr>
        <w:tabs>
          <w:tab w:val="left" w:pos="1985"/>
        </w:tabs>
        <w:spacing w:after="0"/>
        <w:contextualSpacing w:val="0"/>
        <w:jc w:val="both"/>
        <w:outlineLvl w:val="3"/>
        <w:rPr>
          <w:rFonts w:eastAsiaTheme="majorEastAsia" w:cstheme="majorBidi"/>
          <w:i/>
          <w:iCs/>
          <w:vanish/>
          <w:lang w:eastAsia="en-US"/>
        </w:rPr>
      </w:pPr>
    </w:p>
    <w:p w14:paraId="6C8E111A" w14:textId="77777777" w:rsidR="00DA63BA" w:rsidRPr="00DA63BA" w:rsidRDefault="00DA63BA" w:rsidP="00AA241E">
      <w:pPr>
        <w:pStyle w:val="Loendilik"/>
        <w:keepNext/>
        <w:keepLines/>
        <w:numPr>
          <w:ilvl w:val="1"/>
          <w:numId w:val="36"/>
        </w:numPr>
        <w:tabs>
          <w:tab w:val="left" w:pos="1985"/>
        </w:tabs>
        <w:spacing w:after="0"/>
        <w:contextualSpacing w:val="0"/>
        <w:jc w:val="both"/>
        <w:outlineLvl w:val="3"/>
        <w:rPr>
          <w:rFonts w:eastAsiaTheme="majorEastAsia" w:cstheme="majorBidi"/>
          <w:i/>
          <w:iCs/>
          <w:vanish/>
          <w:lang w:eastAsia="en-US"/>
        </w:rPr>
      </w:pPr>
    </w:p>
    <w:p w14:paraId="3D3A34AE" w14:textId="77777777" w:rsidR="00DA63BA" w:rsidRPr="00DA63BA" w:rsidRDefault="00DA63BA" w:rsidP="00AA241E">
      <w:pPr>
        <w:pStyle w:val="Loendilik"/>
        <w:keepNext/>
        <w:keepLines/>
        <w:numPr>
          <w:ilvl w:val="2"/>
          <w:numId w:val="36"/>
        </w:numPr>
        <w:tabs>
          <w:tab w:val="left" w:pos="1985"/>
        </w:tabs>
        <w:spacing w:after="0"/>
        <w:contextualSpacing w:val="0"/>
        <w:jc w:val="both"/>
        <w:outlineLvl w:val="3"/>
        <w:rPr>
          <w:rFonts w:eastAsiaTheme="majorEastAsia" w:cstheme="majorBidi"/>
          <w:i/>
          <w:iCs/>
          <w:vanish/>
          <w:lang w:eastAsia="en-US"/>
        </w:rPr>
      </w:pPr>
    </w:p>
    <w:p w14:paraId="00FB1CEB" w14:textId="77777777" w:rsidR="005078FE" w:rsidRPr="005078FE" w:rsidRDefault="005078FE" w:rsidP="005078FE">
      <w:pPr>
        <w:pStyle w:val="Loendilik"/>
        <w:keepNext/>
        <w:keepLines/>
        <w:numPr>
          <w:ilvl w:val="0"/>
          <w:numId w:val="70"/>
        </w:numPr>
        <w:tabs>
          <w:tab w:val="left" w:pos="1985"/>
        </w:tabs>
        <w:spacing w:before="120" w:after="240"/>
        <w:contextualSpacing w:val="0"/>
        <w:jc w:val="both"/>
        <w:outlineLvl w:val="3"/>
        <w:rPr>
          <w:rFonts w:eastAsiaTheme="majorEastAsia" w:cstheme="majorBidi"/>
          <w:i/>
          <w:iCs/>
          <w:vanish/>
          <w:lang w:eastAsia="en-US"/>
        </w:rPr>
      </w:pPr>
    </w:p>
    <w:p w14:paraId="2371682A" w14:textId="77777777" w:rsidR="005078FE" w:rsidRPr="005078FE" w:rsidRDefault="005078FE" w:rsidP="005078FE">
      <w:pPr>
        <w:pStyle w:val="Loendilik"/>
        <w:keepNext/>
        <w:keepLines/>
        <w:numPr>
          <w:ilvl w:val="0"/>
          <w:numId w:val="70"/>
        </w:numPr>
        <w:tabs>
          <w:tab w:val="left" w:pos="1985"/>
        </w:tabs>
        <w:spacing w:before="120" w:after="240"/>
        <w:contextualSpacing w:val="0"/>
        <w:jc w:val="both"/>
        <w:outlineLvl w:val="3"/>
        <w:rPr>
          <w:rFonts w:eastAsiaTheme="majorEastAsia" w:cstheme="majorBidi"/>
          <w:i/>
          <w:iCs/>
          <w:vanish/>
          <w:lang w:eastAsia="en-US"/>
        </w:rPr>
      </w:pPr>
    </w:p>
    <w:p w14:paraId="6C1F633B" w14:textId="77777777" w:rsidR="005078FE" w:rsidRPr="005078FE" w:rsidRDefault="005078FE" w:rsidP="005078FE">
      <w:pPr>
        <w:pStyle w:val="Loendilik"/>
        <w:keepNext/>
        <w:keepLines/>
        <w:numPr>
          <w:ilvl w:val="0"/>
          <w:numId w:val="70"/>
        </w:numPr>
        <w:tabs>
          <w:tab w:val="left" w:pos="1985"/>
        </w:tabs>
        <w:spacing w:before="120" w:after="240"/>
        <w:contextualSpacing w:val="0"/>
        <w:jc w:val="both"/>
        <w:outlineLvl w:val="3"/>
        <w:rPr>
          <w:rFonts w:eastAsiaTheme="majorEastAsia" w:cstheme="majorBidi"/>
          <w:i/>
          <w:iCs/>
          <w:vanish/>
          <w:lang w:eastAsia="en-US"/>
        </w:rPr>
      </w:pPr>
    </w:p>
    <w:p w14:paraId="18D7AD25" w14:textId="77777777" w:rsidR="005078FE" w:rsidRPr="005078FE" w:rsidRDefault="005078FE" w:rsidP="005078FE">
      <w:pPr>
        <w:pStyle w:val="Loendilik"/>
        <w:keepNext/>
        <w:keepLines/>
        <w:numPr>
          <w:ilvl w:val="0"/>
          <w:numId w:val="70"/>
        </w:numPr>
        <w:tabs>
          <w:tab w:val="left" w:pos="1985"/>
        </w:tabs>
        <w:spacing w:before="120" w:after="240"/>
        <w:contextualSpacing w:val="0"/>
        <w:jc w:val="both"/>
        <w:outlineLvl w:val="3"/>
        <w:rPr>
          <w:rFonts w:eastAsiaTheme="majorEastAsia" w:cstheme="majorBidi"/>
          <w:i/>
          <w:iCs/>
          <w:vanish/>
          <w:lang w:eastAsia="en-US"/>
        </w:rPr>
      </w:pPr>
    </w:p>
    <w:p w14:paraId="79335494" w14:textId="77777777" w:rsidR="005078FE" w:rsidRPr="005078FE" w:rsidRDefault="005078FE" w:rsidP="005078FE">
      <w:pPr>
        <w:pStyle w:val="Loendilik"/>
        <w:keepNext/>
        <w:keepLines/>
        <w:numPr>
          <w:ilvl w:val="0"/>
          <w:numId w:val="70"/>
        </w:numPr>
        <w:tabs>
          <w:tab w:val="left" w:pos="1985"/>
        </w:tabs>
        <w:spacing w:before="120" w:after="240"/>
        <w:contextualSpacing w:val="0"/>
        <w:jc w:val="both"/>
        <w:outlineLvl w:val="3"/>
        <w:rPr>
          <w:rFonts w:eastAsiaTheme="majorEastAsia" w:cstheme="majorBidi"/>
          <w:i/>
          <w:iCs/>
          <w:vanish/>
          <w:lang w:eastAsia="en-US"/>
        </w:rPr>
      </w:pPr>
    </w:p>
    <w:p w14:paraId="6777459A" w14:textId="77777777" w:rsidR="005078FE" w:rsidRPr="005078FE" w:rsidRDefault="005078FE" w:rsidP="005078FE">
      <w:pPr>
        <w:pStyle w:val="Loendilik"/>
        <w:keepNext/>
        <w:keepLines/>
        <w:numPr>
          <w:ilvl w:val="0"/>
          <w:numId w:val="70"/>
        </w:numPr>
        <w:tabs>
          <w:tab w:val="left" w:pos="1985"/>
        </w:tabs>
        <w:spacing w:before="120" w:after="240"/>
        <w:contextualSpacing w:val="0"/>
        <w:jc w:val="both"/>
        <w:outlineLvl w:val="3"/>
        <w:rPr>
          <w:rFonts w:eastAsiaTheme="majorEastAsia" w:cstheme="majorBidi"/>
          <w:i/>
          <w:iCs/>
          <w:vanish/>
          <w:lang w:eastAsia="en-US"/>
        </w:rPr>
      </w:pPr>
    </w:p>
    <w:p w14:paraId="1768983B" w14:textId="77777777" w:rsidR="005078FE" w:rsidRPr="005078FE" w:rsidRDefault="005078FE" w:rsidP="005078FE">
      <w:pPr>
        <w:pStyle w:val="Loendilik"/>
        <w:keepNext/>
        <w:keepLines/>
        <w:numPr>
          <w:ilvl w:val="1"/>
          <w:numId w:val="70"/>
        </w:numPr>
        <w:tabs>
          <w:tab w:val="left" w:pos="1985"/>
        </w:tabs>
        <w:spacing w:before="120" w:after="240"/>
        <w:contextualSpacing w:val="0"/>
        <w:jc w:val="both"/>
        <w:outlineLvl w:val="3"/>
        <w:rPr>
          <w:rFonts w:eastAsiaTheme="majorEastAsia" w:cstheme="majorBidi"/>
          <w:i/>
          <w:iCs/>
          <w:vanish/>
          <w:lang w:eastAsia="en-US"/>
        </w:rPr>
      </w:pPr>
    </w:p>
    <w:p w14:paraId="266E8F77" w14:textId="77777777" w:rsidR="005078FE" w:rsidRPr="005078FE" w:rsidRDefault="005078FE" w:rsidP="005078FE">
      <w:pPr>
        <w:pStyle w:val="Loendilik"/>
        <w:keepNext/>
        <w:keepLines/>
        <w:numPr>
          <w:ilvl w:val="1"/>
          <w:numId w:val="70"/>
        </w:numPr>
        <w:tabs>
          <w:tab w:val="left" w:pos="1985"/>
        </w:tabs>
        <w:spacing w:before="120" w:after="240"/>
        <w:contextualSpacing w:val="0"/>
        <w:jc w:val="both"/>
        <w:outlineLvl w:val="3"/>
        <w:rPr>
          <w:rFonts w:eastAsiaTheme="majorEastAsia" w:cstheme="majorBidi"/>
          <w:i/>
          <w:iCs/>
          <w:vanish/>
          <w:lang w:eastAsia="en-US"/>
        </w:rPr>
      </w:pPr>
    </w:p>
    <w:p w14:paraId="7C82ACE5" w14:textId="77777777" w:rsidR="005078FE" w:rsidRPr="005078FE" w:rsidRDefault="005078FE" w:rsidP="005078FE">
      <w:pPr>
        <w:pStyle w:val="Loendilik"/>
        <w:keepNext/>
        <w:keepLines/>
        <w:numPr>
          <w:ilvl w:val="2"/>
          <w:numId w:val="70"/>
        </w:numPr>
        <w:tabs>
          <w:tab w:val="left" w:pos="1985"/>
        </w:tabs>
        <w:spacing w:before="120" w:after="240"/>
        <w:contextualSpacing w:val="0"/>
        <w:jc w:val="both"/>
        <w:outlineLvl w:val="3"/>
        <w:rPr>
          <w:rFonts w:eastAsiaTheme="majorEastAsia" w:cstheme="majorBidi"/>
          <w:i/>
          <w:iCs/>
          <w:vanish/>
          <w:lang w:eastAsia="en-US"/>
        </w:rPr>
      </w:pPr>
    </w:p>
    <w:p w14:paraId="0B980A25" w14:textId="48DC1237" w:rsidR="002C1737" w:rsidRPr="00A00AFA" w:rsidRDefault="002C1737" w:rsidP="005078FE">
      <w:pPr>
        <w:pStyle w:val="Heading49"/>
        <w:numPr>
          <w:ilvl w:val="3"/>
          <w:numId w:val="70"/>
        </w:numPr>
        <w:rPr>
          <w:rFonts w:ascii="Tahoma" w:eastAsiaTheme="minorEastAsia" w:hAnsi="Tahoma" w:cs="Tahoma"/>
          <w:sz w:val="22"/>
        </w:rPr>
      </w:pPr>
      <w:r w:rsidRPr="00737424">
        <w:t>FTTH</w:t>
      </w:r>
      <w:r w:rsidRPr="00C57614">
        <w:t>-l (P2P või PON) ja FTTB-l põhinev juurdepääs lairibale</w:t>
      </w:r>
      <w:r>
        <w:t xml:space="preserve"> kui</w:t>
      </w:r>
      <w:r w:rsidRPr="00C57614">
        <w:t xml:space="preserve">  üht</w:t>
      </w:r>
      <w:r>
        <w:t xml:space="preserve">ne </w:t>
      </w:r>
      <w:r w:rsidR="00C46B6C">
        <w:rPr>
          <w:rFonts w:cs="Times New Roman"/>
        </w:rPr>
        <w:t>v</w:t>
      </w:r>
      <w:r w:rsidR="00C46B6C" w:rsidRPr="009D7FE5">
        <w:rPr>
          <w:rFonts w:cs="Times New Roman"/>
        </w:rPr>
        <w:t>alguskaablivõrgu</w:t>
      </w:r>
      <w:r w:rsidR="00C46B6C">
        <w:rPr>
          <w:rFonts w:cs="Times New Roman"/>
        </w:rPr>
        <w:t xml:space="preserve"> B</w:t>
      </w:r>
      <w:r w:rsidR="00C46B6C" w:rsidRPr="009D7FE5">
        <w:rPr>
          <w:rFonts w:cs="Times New Roman"/>
        </w:rPr>
        <w:t xml:space="preserve"> piirkonna</w:t>
      </w:r>
      <w:r w:rsidRPr="009D7FE5">
        <w:rPr>
          <w:rFonts w:cs="Times New Roman"/>
        </w:rPr>
        <w:t xml:space="preserve"> hulgiturg </w:t>
      </w:r>
      <w:r w:rsidR="00C46B6C">
        <w:rPr>
          <w:rFonts w:cs="Times New Roman"/>
        </w:rPr>
        <w:t>3b</w:t>
      </w:r>
    </w:p>
    <w:p w14:paraId="62C9DB72" w14:textId="32AF7742" w:rsidR="002C1737" w:rsidRDefault="002C1737" w:rsidP="00AA241E">
      <w:pPr>
        <w:jc w:val="both"/>
      </w:pPr>
      <w:r>
        <w:t>Soovituses 2003</w:t>
      </w:r>
      <w:r w:rsidR="004B43E7">
        <w:t>.</w:t>
      </w:r>
      <w:r>
        <w:t xml:space="preserve"> osutatud 12. </w:t>
      </w:r>
      <w:r w:rsidR="00C137B1">
        <w:t>hulgi</w:t>
      </w:r>
      <w:r>
        <w:t>turg  käsitleb hulgimüügitasandi juurdepääsu liiklusandmetele  üksnes vaskvõrgu kaudu. Seevastu soovituses 2007</w:t>
      </w:r>
      <w:r w:rsidR="005F42C9">
        <w:t>.</w:t>
      </w:r>
      <w:r>
        <w:t xml:space="preserve"> osutatud </w:t>
      </w:r>
      <w:r w:rsidR="00C137B1">
        <w:t>hulgi</w:t>
      </w:r>
      <w:r>
        <w:t xml:space="preserve">turg 3b  ja soovituses 2014 osutatud </w:t>
      </w:r>
      <w:r w:rsidR="00C137B1">
        <w:t>hulgi</w:t>
      </w:r>
      <w:r>
        <w:t>turg 3b käsitlevad  hulgimüügitasandi juurdepääsu andme</w:t>
      </w:r>
      <w:r w:rsidR="00F53C28">
        <w:t>sidele</w:t>
      </w:r>
      <w:r>
        <w:t xml:space="preserve"> nii </w:t>
      </w:r>
      <w:r w:rsidR="00183BEB">
        <w:t>vaskkaabli</w:t>
      </w:r>
      <w:r>
        <w:t xml:space="preserve">- kui ka </w:t>
      </w:r>
      <w:r w:rsidR="000214D5">
        <w:t xml:space="preserve">valguskaabel </w:t>
      </w:r>
      <w:r>
        <w:t>juurdepääsuvõrkudes. Ajalooliselt peeti juurdepääsu andme</w:t>
      </w:r>
      <w:r w:rsidR="00F53C28">
        <w:t>sidele</w:t>
      </w:r>
      <w:r>
        <w:t xml:space="preserve"> FTTH (P2P või GPON) ja FTTB või FTTN/VDSL vaskjuurdepääsuvõrgu kaudu toimuvale andme</w:t>
      </w:r>
      <w:r w:rsidR="00F53C28">
        <w:t>side</w:t>
      </w:r>
      <w:r>
        <w:t xml:space="preserve"> funktsionaalseks asendajaks, kuna neid tehnoloogiaid peetakse eelmiste põlvkondade tehnoloogiliseks arenguks.</w:t>
      </w:r>
    </w:p>
    <w:p w14:paraId="74F4927B" w14:textId="49C57E1E" w:rsidR="002C1737" w:rsidRDefault="002C1737" w:rsidP="00AA241E">
      <w:pPr>
        <w:jc w:val="both"/>
      </w:pPr>
      <w:r>
        <w:t xml:space="preserve">DSL-, VDSL- ja VDSL-vektortehnoloogiad, sealhulgas FTTN-juurdepääsuvõrgu arhitektuur, ei kuulu 3b </w:t>
      </w:r>
      <w:r w:rsidR="00306F9B">
        <w:t>valgus</w:t>
      </w:r>
      <w:r w:rsidR="00306F9B" w:rsidRPr="006E317E">
        <w:t>kaabel</w:t>
      </w:r>
      <w:r>
        <w:t xml:space="preserve"> hulgiturule, sest :</w:t>
      </w:r>
    </w:p>
    <w:p w14:paraId="65A4725D" w14:textId="19F68569" w:rsidR="002C1737" w:rsidRDefault="002C1737" w:rsidP="00AA241E">
      <w:pPr>
        <w:pStyle w:val="Loendilik"/>
        <w:numPr>
          <w:ilvl w:val="0"/>
          <w:numId w:val="46"/>
        </w:numPr>
        <w:spacing w:line="259" w:lineRule="auto"/>
        <w:jc w:val="both"/>
      </w:pPr>
      <w:r>
        <w:t xml:space="preserve">Tavainternet, mis põhineb DSL-, VDSL-, VDSL2-vektor- ja FTTH/FTTB-tehnoloogiatel, ei kujuta endast enam interneti ühtset jaeturgu. Seega ei kuulu DSL, VDSL ja VDSL2 </w:t>
      </w:r>
      <w:proofErr w:type="spellStart"/>
      <w:r w:rsidR="00DA0A4D">
        <w:rPr>
          <w:i/>
          <w:iCs/>
        </w:rPr>
        <w:t>v</w:t>
      </w:r>
      <w:r w:rsidRPr="008575D9">
        <w:rPr>
          <w:i/>
          <w:iCs/>
        </w:rPr>
        <w:t>ectoring</w:t>
      </w:r>
      <w:proofErr w:type="spellEnd"/>
      <w:r>
        <w:t xml:space="preserve"> tehnoloogiad 3b </w:t>
      </w:r>
      <w:r w:rsidR="00F53C28" w:rsidRPr="00F53C28">
        <w:t>valguskaabelvõrgu jaetasandi internetiühenduste tooteturul</w:t>
      </w:r>
      <w:r w:rsidR="00F53C28">
        <w:t>e</w:t>
      </w:r>
      <w:r>
        <w:t>;</w:t>
      </w:r>
    </w:p>
    <w:p w14:paraId="70C45963" w14:textId="063DD383" w:rsidR="002C1737" w:rsidRDefault="00EB39FE" w:rsidP="00AA241E">
      <w:pPr>
        <w:pStyle w:val="Loendilik"/>
        <w:numPr>
          <w:ilvl w:val="0"/>
          <w:numId w:val="46"/>
        </w:numPr>
        <w:spacing w:line="259" w:lineRule="auto"/>
        <w:jc w:val="both"/>
      </w:pPr>
      <w:r w:rsidRPr="00EB39FE">
        <w:t xml:space="preserve">Vaskkaabli- ja mobiilsidevõrgu internetiühenduste üleriigiline jaeturg </w:t>
      </w:r>
      <w:r w:rsidR="002C1737">
        <w:t>on tõhusalt konkurentsivõimeline.</w:t>
      </w:r>
    </w:p>
    <w:p w14:paraId="37A6119E" w14:textId="77777777" w:rsidR="002C1737" w:rsidRDefault="002C1737" w:rsidP="00AA241E">
      <w:pPr>
        <w:jc w:val="both"/>
      </w:pPr>
      <w:r>
        <w:t>FTTH (P2P või PON) ja FTTB puhul on juurdepääs hulgimüügitasandi andmesidele funktsionaalselt asendatav.</w:t>
      </w:r>
    </w:p>
    <w:p w14:paraId="78FEAE8A" w14:textId="77777777" w:rsidR="002C1737" w:rsidRDefault="002C1737" w:rsidP="00AA241E">
      <w:pPr>
        <w:jc w:val="both"/>
      </w:pPr>
      <w:r w:rsidRPr="00670F54">
        <w:t>FTTH puhul kasuta</w:t>
      </w:r>
      <w:r>
        <w:t>b</w:t>
      </w:r>
      <w:r w:rsidRPr="00670F54">
        <w:t xml:space="preserve"> </w:t>
      </w:r>
      <w:r>
        <w:t>Telia</w:t>
      </w:r>
      <w:r w:rsidRPr="00670F54">
        <w:t xml:space="preserve"> s</w:t>
      </w:r>
      <w:r>
        <w:t>ageli</w:t>
      </w:r>
      <w:r w:rsidRPr="00670F54">
        <w:t xml:space="preserve"> ainult FTTH P2P ja FTTH GPON tehnoloogiaid, mille </w:t>
      </w:r>
      <w:r>
        <w:t>TTJA</w:t>
      </w:r>
      <w:r w:rsidRPr="00670F54">
        <w:t xml:space="preserve"> o</w:t>
      </w:r>
      <w:r>
        <w:t>n</w:t>
      </w:r>
      <w:r w:rsidRPr="00670F54">
        <w:t xml:space="preserve"> lisanud hulgituru määratlusse</w:t>
      </w:r>
      <w:r>
        <w:t>.</w:t>
      </w:r>
    </w:p>
    <w:p w14:paraId="4E7CAA3A" w14:textId="587E9310" w:rsidR="002C1737" w:rsidRPr="00F56DA0" w:rsidRDefault="002C1737" w:rsidP="00AA241E">
      <w:pPr>
        <w:jc w:val="both"/>
        <w:rPr>
          <w:rFonts w:cs="Times New Roman"/>
          <w:b/>
          <w:bCs/>
        </w:rPr>
      </w:pPr>
      <w:r w:rsidRPr="00F56DA0">
        <w:rPr>
          <w:b/>
          <w:bCs/>
        </w:rPr>
        <w:lastRenderedPageBreak/>
        <w:t>Võttes arvesse eespool öeldut ja geograafiliste turgude määratlust, ku</w:t>
      </w:r>
      <w:r w:rsidR="00A44DFB">
        <w:rPr>
          <w:b/>
          <w:bCs/>
        </w:rPr>
        <w:t>ulub</w:t>
      </w:r>
      <w:r w:rsidRPr="00F56DA0">
        <w:rPr>
          <w:b/>
          <w:bCs/>
        </w:rPr>
        <w:t xml:space="preserve"> FTTH (P2P ja PON) ja FTTB </w:t>
      </w:r>
      <w:r w:rsidR="00A44DFB">
        <w:rPr>
          <w:b/>
          <w:bCs/>
        </w:rPr>
        <w:t xml:space="preserve">tehnoloogial </w:t>
      </w:r>
      <w:r w:rsidRPr="00F56DA0">
        <w:rPr>
          <w:b/>
          <w:bCs/>
        </w:rPr>
        <w:t xml:space="preserve">juurdepääs lairibale </w:t>
      </w:r>
      <w:r w:rsidRPr="00F56DA0">
        <w:rPr>
          <w:rFonts w:cs="Times New Roman"/>
          <w:b/>
          <w:bCs/>
        </w:rPr>
        <w:t xml:space="preserve">B </w:t>
      </w:r>
      <w:r w:rsidR="00DA3684" w:rsidRPr="00F56DA0">
        <w:rPr>
          <w:rFonts w:cs="Times New Roman"/>
          <w:b/>
          <w:bCs/>
        </w:rPr>
        <w:t>piirkonna hulgitur</w:t>
      </w:r>
      <w:r w:rsidR="00195BFB" w:rsidRPr="00F56DA0">
        <w:rPr>
          <w:rFonts w:cs="Times New Roman"/>
          <w:b/>
          <w:bCs/>
        </w:rPr>
        <w:t>u</w:t>
      </w:r>
      <w:r w:rsidR="000176A6">
        <w:rPr>
          <w:rFonts w:cs="Times New Roman"/>
          <w:b/>
          <w:bCs/>
        </w:rPr>
        <w:t>le</w:t>
      </w:r>
      <w:r w:rsidR="00DA3684" w:rsidRPr="00F56DA0">
        <w:rPr>
          <w:rFonts w:cs="Times New Roman"/>
          <w:b/>
          <w:bCs/>
        </w:rPr>
        <w:t xml:space="preserve"> 3b</w:t>
      </w:r>
      <w:r w:rsidR="005426EF" w:rsidRPr="00F56DA0">
        <w:rPr>
          <w:rFonts w:cs="Times New Roman"/>
          <w:b/>
          <w:bCs/>
        </w:rPr>
        <w:t>.</w:t>
      </w:r>
    </w:p>
    <w:p w14:paraId="3023B41D" w14:textId="77777777" w:rsidR="005426EF" w:rsidRDefault="005426EF" w:rsidP="00AA241E">
      <w:pPr>
        <w:jc w:val="both"/>
      </w:pPr>
    </w:p>
    <w:p w14:paraId="1BAA0C08" w14:textId="6CE2F80D" w:rsidR="00FB154F" w:rsidRDefault="002C1737" w:rsidP="00AA241E">
      <w:pPr>
        <w:pStyle w:val="Heading49"/>
        <w:numPr>
          <w:ilvl w:val="3"/>
          <w:numId w:val="70"/>
        </w:numPr>
      </w:pPr>
      <w:r w:rsidRPr="00C57614">
        <w:t>Põhivõrgu arhitektuuri hierarhia tasandid</w:t>
      </w:r>
      <w:r>
        <w:t>, mis</w:t>
      </w:r>
      <w:r w:rsidRPr="00C57614">
        <w:t xml:space="preserve"> kohald</w:t>
      </w:r>
      <w:r>
        <w:t>uvad</w:t>
      </w:r>
      <w:r w:rsidRPr="00C57614">
        <w:t xml:space="preserve"> </w:t>
      </w:r>
      <w:bookmarkStart w:id="889" w:name="_Hlk172112061"/>
      <w:r w:rsidR="00FB154F">
        <w:rPr>
          <w:rFonts w:cs="Times New Roman"/>
        </w:rPr>
        <w:t>v</w:t>
      </w:r>
      <w:r w:rsidR="00FB154F" w:rsidRPr="009D7FE5">
        <w:rPr>
          <w:rFonts w:cs="Times New Roman"/>
        </w:rPr>
        <w:t>alguskaablivõrgu</w:t>
      </w:r>
      <w:r w:rsidR="00FB154F">
        <w:rPr>
          <w:rFonts w:cs="Times New Roman"/>
        </w:rPr>
        <w:t xml:space="preserve"> B</w:t>
      </w:r>
      <w:r w:rsidR="00FB154F" w:rsidRPr="009D7FE5">
        <w:rPr>
          <w:rFonts w:cs="Times New Roman"/>
        </w:rPr>
        <w:t xml:space="preserve"> piirkonna hulgitur</w:t>
      </w:r>
      <w:r w:rsidR="00FB154F">
        <w:rPr>
          <w:rFonts w:cs="Times New Roman"/>
        </w:rPr>
        <w:t>ul</w:t>
      </w:r>
      <w:r w:rsidR="00FB154F" w:rsidRPr="009D7FE5">
        <w:rPr>
          <w:rFonts w:cs="Times New Roman"/>
        </w:rPr>
        <w:t xml:space="preserve"> </w:t>
      </w:r>
      <w:r w:rsidR="00FB154F">
        <w:rPr>
          <w:rFonts w:cs="Times New Roman"/>
        </w:rPr>
        <w:t>3b</w:t>
      </w:r>
    </w:p>
    <w:bookmarkEnd w:id="889"/>
    <w:p w14:paraId="25B6E33D" w14:textId="6F8D93B1" w:rsidR="002C1737" w:rsidRDefault="002C1737" w:rsidP="00AA241E">
      <w:pPr>
        <w:jc w:val="both"/>
      </w:pPr>
      <w:r w:rsidRPr="005E5515">
        <w:t xml:space="preserve">Euroopa Komisjoni 2014. aasta soovituse seletuskirjas  ja 2020. aasta soovituse seletuskirjas märgitakse, et võrreldes </w:t>
      </w:r>
      <w:r w:rsidR="00C137B1">
        <w:t>hulgi</w:t>
      </w:r>
      <w:r w:rsidR="00C137B1" w:rsidRPr="005E5515">
        <w:t xml:space="preserve">turu </w:t>
      </w:r>
      <w:r w:rsidRPr="005E5515">
        <w:t xml:space="preserve">1. teenustega pakutakse </w:t>
      </w:r>
      <w:r w:rsidR="004A2094">
        <w:t>hulgi</w:t>
      </w:r>
      <w:r w:rsidRPr="005E5515">
        <w:t xml:space="preserve">turu 3b teenuseid tavaliselt alternatiivsetele operaatoritele, kes on elektroonilise side võrkude hierarhias </w:t>
      </w:r>
      <w:r>
        <w:t>madalamal</w:t>
      </w:r>
      <w:r w:rsidRPr="005E5515">
        <w:t>, st piirkondlikul ja riiklikul tasandil</w:t>
      </w:r>
      <w:r>
        <w:t>.</w:t>
      </w:r>
    </w:p>
    <w:p w14:paraId="743860FE" w14:textId="3F9B922F" w:rsidR="002C1737" w:rsidRPr="00F56DA0" w:rsidRDefault="002C1737" w:rsidP="00AA241E">
      <w:pPr>
        <w:jc w:val="both"/>
        <w:rPr>
          <w:b/>
          <w:bCs/>
        </w:rPr>
      </w:pPr>
      <w:r w:rsidRPr="00F56DA0">
        <w:rPr>
          <w:b/>
          <w:bCs/>
        </w:rPr>
        <w:t xml:space="preserve">Eelpool öeldut silmas pidades hõlmab </w:t>
      </w:r>
      <w:r w:rsidR="00260AAE" w:rsidRPr="00260AAE">
        <w:rPr>
          <w:b/>
          <w:bCs/>
        </w:rPr>
        <w:t>valguskaablivõrgu B piirkonna hulgitur</w:t>
      </w:r>
      <w:r w:rsidR="00C12DE6">
        <w:rPr>
          <w:b/>
          <w:bCs/>
        </w:rPr>
        <w:t>g</w:t>
      </w:r>
      <w:r w:rsidR="00260AAE" w:rsidRPr="00260AAE">
        <w:rPr>
          <w:b/>
          <w:bCs/>
        </w:rPr>
        <w:t xml:space="preserve"> 3b </w:t>
      </w:r>
      <w:r w:rsidRPr="00F56DA0">
        <w:rPr>
          <w:b/>
          <w:bCs/>
        </w:rPr>
        <w:t>piirkondlikku ja riiklikku tasandit.</w:t>
      </w:r>
    </w:p>
    <w:p w14:paraId="31EDD534" w14:textId="01D84F30" w:rsidR="002C1737" w:rsidRDefault="005D3E97" w:rsidP="00AA241E">
      <w:pPr>
        <w:pStyle w:val="Heading49"/>
        <w:numPr>
          <w:ilvl w:val="3"/>
          <w:numId w:val="70"/>
        </w:numPr>
      </w:pPr>
      <w:r w:rsidRPr="00C57614">
        <w:t>Valguskaabelvõrgus</w:t>
      </w:r>
      <w:r w:rsidR="002C1737" w:rsidRPr="00C57614">
        <w:t xml:space="preserve"> B </w:t>
      </w:r>
      <w:r w:rsidRPr="00C57614">
        <w:t xml:space="preserve">piirkonna </w:t>
      </w:r>
      <w:r w:rsidR="002C1737" w:rsidRPr="00C57614">
        <w:t>hulgitur</w:t>
      </w:r>
      <w:r>
        <w:t>u</w:t>
      </w:r>
      <w:r w:rsidR="002C1737" w:rsidRPr="00C57614">
        <w:t xml:space="preserve"> </w:t>
      </w:r>
      <w:r w:rsidR="005B23F7" w:rsidRPr="00C57614">
        <w:t>3b</w:t>
      </w:r>
      <w:r w:rsidR="002C1737" w:rsidRPr="00C57614">
        <w:t xml:space="preserve"> </w:t>
      </w:r>
      <w:r w:rsidR="002C1737">
        <w:t>on asendatavus</w:t>
      </w:r>
      <w:r w:rsidR="002C1737" w:rsidRPr="00C57614">
        <w:t xml:space="preserve"> kvaliteetse juurdepääsu</w:t>
      </w:r>
      <w:r w:rsidR="002C1737">
        <w:t>ga</w:t>
      </w:r>
      <w:r w:rsidR="002C1737" w:rsidRPr="00C57614">
        <w:t xml:space="preserve"> andme</w:t>
      </w:r>
      <w:r w:rsidR="002C1737">
        <w:t>sidele</w:t>
      </w:r>
    </w:p>
    <w:p w14:paraId="0C18F925" w14:textId="6C974288" w:rsidR="002C1737" w:rsidRPr="00F56DA0" w:rsidRDefault="002C1737" w:rsidP="00AA241E">
      <w:pPr>
        <w:jc w:val="both"/>
        <w:rPr>
          <w:b/>
          <w:bCs/>
        </w:rPr>
      </w:pPr>
      <w:r w:rsidRPr="000235DF">
        <w:t xml:space="preserve">Sidevõrgu erivõimsustele juurdepääsu hulgiturg e kvaliteetse juurdepääsu hulgiturg on valdavalt mõeldud äriotstarbeliseks kasutuseks ning ühendused nõuavad kõrgemat ühenduse kvaliteeti. Peamiselt sobivad kvaliteetse juurdepääsuturu jaeteenused majandusüksustele, kelle nõudlus erineb oluliselt nõudlusest lairiba </w:t>
      </w:r>
      <w:r w:rsidR="00BE68C5">
        <w:t>jaetur</w:t>
      </w:r>
      <w:r w:rsidRPr="000235DF">
        <w:t xml:space="preserve">ul. Selleks on eriti kõrge juurdepääsu kvaliteet, toimepidevuse tase, sageli ka mitme erineva asukoha ühendamine (sh välismaal). Teenused on enamasti eritellimusel valmistatud konkreetsetele klientidele just neile sobivate ühendusviiside kõige sobivamast kombinatsioonist. Kvaliteetse juurdepääsuturu äriüksused nõuavad teenuseid, millel on konkreetse kliendi nõutud parameetrid nagu toimepidevuse tase ja kõrgemad teenuse kvaliteedi parameetrid, kui standardsel lairiba </w:t>
      </w:r>
      <w:r w:rsidR="00BE68C5">
        <w:t>jaetur</w:t>
      </w:r>
      <w:r w:rsidRPr="000235DF">
        <w:t xml:space="preserve">ul. </w:t>
      </w:r>
      <w:r w:rsidR="00623F70" w:rsidRPr="00F56DA0">
        <w:rPr>
          <w:b/>
          <w:bCs/>
        </w:rPr>
        <w:t xml:space="preserve">Seega ei ole </w:t>
      </w:r>
      <w:r w:rsidR="00AD26A5" w:rsidRPr="00F56DA0">
        <w:rPr>
          <w:b/>
          <w:bCs/>
        </w:rPr>
        <w:t>nimetatud turu</w:t>
      </w:r>
      <w:r w:rsidR="00806D36" w:rsidRPr="00F56DA0">
        <w:rPr>
          <w:b/>
          <w:bCs/>
        </w:rPr>
        <w:t>d omavahel asendatavad</w:t>
      </w:r>
      <w:r w:rsidR="006779D8" w:rsidRPr="00F56DA0">
        <w:rPr>
          <w:b/>
          <w:bCs/>
        </w:rPr>
        <w:t>.</w:t>
      </w:r>
    </w:p>
    <w:p w14:paraId="351ABE55" w14:textId="508BF8A3" w:rsidR="002C1737" w:rsidRDefault="002C1737" w:rsidP="00AA241E">
      <w:pPr>
        <w:pStyle w:val="Heading49"/>
        <w:numPr>
          <w:ilvl w:val="3"/>
          <w:numId w:val="70"/>
        </w:numPr>
      </w:pPr>
      <w:r>
        <w:t xml:space="preserve">Muud </w:t>
      </w:r>
      <w:r w:rsidRPr="00C57614">
        <w:t xml:space="preserve"> valguskaabelvõrgus </w:t>
      </w:r>
      <w:r w:rsidR="00B37297" w:rsidRPr="00C57614">
        <w:t xml:space="preserve">B piirkonna </w:t>
      </w:r>
      <w:r w:rsidRPr="00C57614">
        <w:t>hulgitur</w:t>
      </w:r>
      <w:r>
        <w:t>u</w:t>
      </w:r>
      <w:r w:rsidR="000E6B80">
        <w:t>l</w:t>
      </w:r>
      <w:r w:rsidRPr="00C57614">
        <w:t xml:space="preserve"> </w:t>
      </w:r>
      <w:r w:rsidR="00731EF1" w:rsidRPr="00C57614">
        <w:t xml:space="preserve">3b </w:t>
      </w:r>
      <w:r w:rsidRPr="00C57614">
        <w:t xml:space="preserve"> </w:t>
      </w:r>
      <w:r>
        <w:t>asendatavad</w:t>
      </w:r>
      <w:r w:rsidRPr="00C57614">
        <w:t xml:space="preserve"> tehnoloogia</w:t>
      </w:r>
      <w:r>
        <w:t>d</w:t>
      </w:r>
    </w:p>
    <w:p w14:paraId="5E049E11" w14:textId="4DE53C77" w:rsidR="002C1737" w:rsidRPr="005E5515" w:rsidRDefault="002C1737" w:rsidP="00AA241E">
      <w:pPr>
        <w:jc w:val="both"/>
      </w:pPr>
      <w:r w:rsidRPr="005E5515">
        <w:t xml:space="preserve">Muud tehnoloogiad, st DOCSIS, Ethernet LAN, FWA ja mobiilne internet, ei kuulunud </w:t>
      </w:r>
      <w:r w:rsidR="00876145" w:rsidRPr="00F53C28">
        <w:t>valguskaabelvõrgu jaetasandi internetiühenduste tooteturul</w:t>
      </w:r>
      <w:r w:rsidR="00876145">
        <w:t>e</w:t>
      </w:r>
      <w:r w:rsidRPr="00F56DA0">
        <w:rPr>
          <w:b/>
          <w:bCs/>
        </w:rPr>
        <w:t xml:space="preserve">. Järelikult ei ole vaja lisada neid tehnoloogiaid </w:t>
      </w:r>
      <w:r w:rsidR="000E6B80" w:rsidRPr="00F56DA0">
        <w:rPr>
          <w:rFonts w:cs="Times New Roman"/>
          <w:b/>
          <w:bCs/>
        </w:rPr>
        <w:t>valguskaablivõrgu B piirkonna</w:t>
      </w:r>
      <w:r w:rsidRPr="00F56DA0">
        <w:rPr>
          <w:rFonts w:cs="Times New Roman"/>
          <w:b/>
          <w:bCs/>
        </w:rPr>
        <w:t xml:space="preserve"> hulgiturule</w:t>
      </w:r>
      <w:r w:rsidR="000E6B80" w:rsidRPr="00F56DA0">
        <w:rPr>
          <w:rFonts w:cs="Times New Roman"/>
          <w:b/>
          <w:bCs/>
        </w:rPr>
        <w:t xml:space="preserve"> 3b</w:t>
      </w:r>
      <w:r w:rsidRPr="00F56DA0">
        <w:rPr>
          <w:b/>
          <w:bCs/>
        </w:rPr>
        <w:t>, sest kui need tehnoloogiad ei ole jaetasandil asendatavad, ei saa neid tehnoloogiaid ka hulgi asendada.</w:t>
      </w:r>
    </w:p>
    <w:p w14:paraId="7230CE2F" w14:textId="3C04628D" w:rsidR="002C1737" w:rsidRDefault="000E6B80" w:rsidP="00AA241E">
      <w:pPr>
        <w:pStyle w:val="Heading49"/>
        <w:numPr>
          <w:ilvl w:val="3"/>
          <w:numId w:val="70"/>
        </w:numPr>
      </w:pPr>
      <w:r w:rsidRPr="00C57614">
        <w:t>Valguskaabelvõrgus B piirkonna</w:t>
      </w:r>
      <w:r w:rsidR="002C1737" w:rsidRPr="00C57614">
        <w:t xml:space="preserve"> hulgiturgu </w:t>
      </w:r>
      <w:r w:rsidRPr="00C57614">
        <w:t xml:space="preserve">3b </w:t>
      </w:r>
      <w:r w:rsidR="002C1737">
        <w:t>määratlemise</w:t>
      </w:r>
      <w:r w:rsidR="002C1737" w:rsidRPr="00C57614">
        <w:t xml:space="preserve"> tulemused</w:t>
      </w:r>
    </w:p>
    <w:p w14:paraId="5562E360" w14:textId="74D14961" w:rsidR="002C1737" w:rsidRDefault="00FE1657" w:rsidP="00AA241E">
      <w:pPr>
        <w:jc w:val="both"/>
      </w:pPr>
      <w:r w:rsidRPr="00FE1657">
        <w:rPr>
          <w:rFonts w:cs="Times New Roman"/>
          <w:b/>
          <w:bCs/>
        </w:rPr>
        <w:t>Valguskaablivõrgu</w:t>
      </w:r>
      <w:r w:rsidR="002C1737" w:rsidRPr="00FE1657">
        <w:rPr>
          <w:rFonts w:cs="Times New Roman"/>
          <w:b/>
        </w:rPr>
        <w:t xml:space="preserve"> B </w:t>
      </w:r>
      <w:r w:rsidRPr="00FE1657">
        <w:rPr>
          <w:rFonts w:cs="Times New Roman"/>
          <w:b/>
          <w:bCs/>
        </w:rPr>
        <w:t>piirkonna hulgiturg 3b</w:t>
      </w:r>
      <w:r w:rsidR="002C1737" w:rsidRPr="00C57614">
        <w:rPr>
          <w:b/>
          <w:bCs/>
        </w:rPr>
        <w:t xml:space="preserve"> hõlmab juurdepääsu andme</w:t>
      </w:r>
      <w:r w:rsidR="002C1737">
        <w:rPr>
          <w:b/>
          <w:bCs/>
        </w:rPr>
        <w:t>sidele</w:t>
      </w:r>
      <w:r w:rsidR="002C1737" w:rsidRPr="00C57614">
        <w:rPr>
          <w:b/>
          <w:bCs/>
        </w:rPr>
        <w:t xml:space="preserve"> FTTH (P2P ja PON) ja FTTB-</w:t>
      </w:r>
      <w:proofErr w:type="spellStart"/>
      <w:r w:rsidR="002C1737" w:rsidRPr="00C57614">
        <w:rPr>
          <w:b/>
          <w:bCs/>
        </w:rPr>
        <w:t>le</w:t>
      </w:r>
      <w:proofErr w:type="spellEnd"/>
      <w:r w:rsidR="002C1737" w:rsidRPr="00C57614">
        <w:rPr>
          <w:b/>
          <w:bCs/>
        </w:rPr>
        <w:t xml:space="preserve"> piirkondlikul ja riiklikul tasandil, mida ei hõlma kvaliteetne juurdepääs andme</w:t>
      </w:r>
      <w:r w:rsidR="002C1737">
        <w:rPr>
          <w:b/>
          <w:bCs/>
        </w:rPr>
        <w:t>sidele</w:t>
      </w:r>
      <w:r w:rsidR="002C1737" w:rsidRPr="00C57614">
        <w:t>.</w:t>
      </w:r>
    </w:p>
    <w:p w14:paraId="0D3F498F" w14:textId="645B1A6B" w:rsidR="002C1737" w:rsidRPr="00B84A5B" w:rsidRDefault="00D7256F" w:rsidP="009805E1">
      <w:pPr>
        <w:pStyle w:val="Pealkiri3"/>
      </w:pPr>
      <w:bookmarkStart w:id="890" w:name="_Toc174710810"/>
      <w:r w:rsidRPr="00B84A5B">
        <w:lastRenderedPageBreak/>
        <w:t>Valguskaab</w:t>
      </w:r>
      <w:r>
        <w:t>li</w:t>
      </w:r>
      <w:r w:rsidRPr="00B84A5B">
        <w:t xml:space="preserve">võrgu </w:t>
      </w:r>
      <w:r w:rsidR="002C1737" w:rsidRPr="00B84A5B">
        <w:t>B piirkonna</w:t>
      </w:r>
      <w:r w:rsidR="0097432B">
        <w:t xml:space="preserve"> hulgiturg 3b</w:t>
      </w:r>
      <w:bookmarkEnd w:id="890"/>
    </w:p>
    <w:p w14:paraId="3A697185" w14:textId="77777777" w:rsidR="00344836" w:rsidRPr="00344836" w:rsidRDefault="00344836" w:rsidP="00AA241E">
      <w:pPr>
        <w:pStyle w:val="Loendilik"/>
        <w:keepNext/>
        <w:keepLines/>
        <w:numPr>
          <w:ilvl w:val="2"/>
          <w:numId w:val="70"/>
        </w:numPr>
        <w:tabs>
          <w:tab w:val="left" w:pos="1985"/>
        </w:tabs>
        <w:spacing w:after="0"/>
        <w:contextualSpacing w:val="0"/>
        <w:jc w:val="both"/>
        <w:outlineLvl w:val="3"/>
        <w:rPr>
          <w:rFonts w:eastAsiaTheme="majorEastAsia" w:cstheme="majorBidi"/>
          <w:i/>
          <w:vanish/>
          <w:lang w:eastAsia="en-US"/>
        </w:rPr>
      </w:pPr>
    </w:p>
    <w:p w14:paraId="1E68D07D" w14:textId="7D08170E" w:rsidR="002C1737" w:rsidRPr="006C3C03" w:rsidRDefault="002C1737" w:rsidP="00AA241E">
      <w:pPr>
        <w:pStyle w:val="Heading49"/>
        <w:numPr>
          <w:ilvl w:val="3"/>
          <w:numId w:val="70"/>
        </w:numPr>
      </w:pPr>
      <w:r w:rsidRPr="006C3C03">
        <w:t>Turu analüüs</w:t>
      </w:r>
    </w:p>
    <w:p w14:paraId="3612FF69" w14:textId="00E13B0A" w:rsidR="002C1737" w:rsidRPr="006C3C03" w:rsidRDefault="002C1737" w:rsidP="00AA241E">
      <w:pPr>
        <w:jc w:val="both"/>
      </w:pPr>
      <w:r>
        <w:t xml:space="preserve">TTJA </w:t>
      </w:r>
      <w:r w:rsidRPr="006C3C03">
        <w:t xml:space="preserve">analüüsib </w:t>
      </w:r>
      <w:r w:rsidR="005F590B">
        <w:rPr>
          <w:rFonts w:cs="Times New Roman"/>
        </w:rPr>
        <w:t>v</w:t>
      </w:r>
      <w:r w:rsidR="005F590B" w:rsidRPr="009D7FE5">
        <w:rPr>
          <w:rFonts w:cs="Times New Roman"/>
        </w:rPr>
        <w:t>alguskaablivõrgu</w:t>
      </w:r>
      <w:r w:rsidR="005F590B">
        <w:rPr>
          <w:rFonts w:cs="Times New Roman"/>
        </w:rPr>
        <w:t xml:space="preserve"> B</w:t>
      </w:r>
      <w:r w:rsidR="005F590B" w:rsidRPr="009D7FE5">
        <w:rPr>
          <w:rFonts w:cs="Times New Roman"/>
        </w:rPr>
        <w:t xml:space="preserve"> piirkonna hulgiturg</w:t>
      </w:r>
      <w:r w:rsidR="0097432B">
        <w:rPr>
          <w:rFonts w:cs="Times New Roman"/>
        </w:rPr>
        <w:t>u</w:t>
      </w:r>
      <w:r w:rsidR="005F590B" w:rsidRPr="009D7FE5">
        <w:rPr>
          <w:rFonts w:cs="Times New Roman"/>
        </w:rPr>
        <w:t xml:space="preserve"> </w:t>
      </w:r>
      <w:r>
        <w:rPr>
          <w:rFonts w:cs="Times New Roman"/>
        </w:rPr>
        <w:t>3b</w:t>
      </w:r>
      <w:r w:rsidRPr="006C3C03">
        <w:t xml:space="preserve">, võttes arvesse </w:t>
      </w:r>
      <w:r w:rsidR="00492041" w:rsidRPr="00492041">
        <w:t xml:space="preserve">valguskaablivõrgu B piirkonna hulgituru 3b </w:t>
      </w:r>
      <w:r>
        <w:t>määratlust</w:t>
      </w:r>
      <w:r w:rsidRPr="006C3C03">
        <w:t>.</w:t>
      </w:r>
    </w:p>
    <w:p w14:paraId="11DD3B3C" w14:textId="77777777" w:rsidR="002C1737" w:rsidRPr="006C3C03" w:rsidRDefault="002C1737" w:rsidP="00AA241E">
      <w:pPr>
        <w:jc w:val="both"/>
      </w:pPr>
      <w:r w:rsidRPr="006C3C03">
        <w:t xml:space="preserve">BEREC on analüüsinud (BERECi 2010. aasta märtsi aruandes </w:t>
      </w:r>
      <w:proofErr w:type="spellStart"/>
      <w:r w:rsidRPr="006C3C03">
        <w:t>BoR</w:t>
      </w:r>
      <w:proofErr w:type="spellEnd"/>
      <w:r w:rsidRPr="006C3C03">
        <w:t xml:space="preserve"> (10) 09 </w:t>
      </w:r>
      <w:proofErr w:type="spellStart"/>
      <w:r w:rsidRPr="006C3C03">
        <w:t>siseteenuste</w:t>
      </w:r>
      <w:proofErr w:type="spellEnd"/>
      <w:r w:rsidRPr="006C3C03">
        <w:t xml:space="preserve"> kohta) jae- ja hulgimüügiturgude aspekte ning olukordi, kus hulgimüügi hindamisel ja analüüsimisel peaks kajastuma jaemüügitasandi konkurentsisurve.</w:t>
      </w:r>
    </w:p>
    <w:p w14:paraId="6F362956" w14:textId="058AE60E" w:rsidR="002C1737" w:rsidRDefault="002C1737" w:rsidP="00AA241E">
      <w:pPr>
        <w:jc w:val="both"/>
      </w:pPr>
      <w:r w:rsidRPr="006C3C03">
        <w:t xml:space="preserve">Kui märkimisväärse turujõuga </w:t>
      </w:r>
      <w:r>
        <w:t>sideettevõtja</w:t>
      </w:r>
      <w:r w:rsidRPr="006C3C03">
        <w:t xml:space="preserve"> tegutseb hulgi</w:t>
      </w:r>
      <w:r>
        <w:t>turul</w:t>
      </w:r>
      <w:r w:rsidRPr="006C3C03">
        <w:t xml:space="preserve">, võib seda vahetult piirata teine </w:t>
      </w:r>
      <w:r>
        <w:t>sideettevõtja</w:t>
      </w:r>
      <w:r w:rsidRPr="006C3C03">
        <w:t xml:space="preserve">, kes tegutseb samuti samal tasemel (otsene mõju konkurentsile).  Näiteks võib märkimisväärse turujõuga </w:t>
      </w:r>
      <w:r w:rsidR="00EC5B6E">
        <w:t>sideettevõtjal</w:t>
      </w:r>
      <w:r>
        <w:t xml:space="preserve"> </w:t>
      </w:r>
      <w:r w:rsidRPr="006C3C03">
        <w:t>olla keelatud tõsta hulgi</w:t>
      </w:r>
      <w:r w:rsidR="00BC509C">
        <w:t>hindu</w:t>
      </w:r>
      <w:r w:rsidRPr="006C3C03">
        <w:t xml:space="preserve"> kolmandate isikute jaoks, kuna ta valib lõppkasutajatele teenuste osutamiseks teise vertikaalselt integreeritud </w:t>
      </w:r>
      <w:r>
        <w:t>teenuseosutaja hulgiteenused.</w:t>
      </w:r>
    </w:p>
    <w:p w14:paraId="2EA99EAE" w14:textId="5E9E2EAB" w:rsidR="002C1737" w:rsidRDefault="002C1737" w:rsidP="00AA241E">
      <w:pPr>
        <w:jc w:val="both"/>
      </w:pPr>
      <w:r w:rsidRPr="008B53D4">
        <w:t>Kuna puudub veel üks hulgi</w:t>
      </w:r>
      <w:r w:rsidR="00A66FEB">
        <w:t>teenust pakkuv</w:t>
      </w:r>
      <w:r w:rsidRPr="008B53D4">
        <w:t xml:space="preserve"> vertikaalselt integreeritud </w:t>
      </w:r>
      <w:r w:rsidR="00A66FEB">
        <w:t>side</w:t>
      </w:r>
      <w:r w:rsidRPr="008B53D4">
        <w:t>ettevõtja, puudub ka otsene konkurentsimõju.</w:t>
      </w:r>
      <w:r w:rsidR="00EC5B6E">
        <w:t xml:space="preserve"> </w:t>
      </w:r>
      <w:r w:rsidRPr="008B53D4">
        <w:t>Toodete</w:t>
      </w:r>
      <w:r w:rsidR="00EC5B6E">
        <w:t xml:space="preserve"> </w:t>
      </w:r>
      <w:r w:rsidRPr="008B53D4">
        <w:t>vaheline konkurents jaetasandil võib kaudselt piirata märkimisväärse turujõuga ettevõtjat (kaudne mõju konkurentsile). Kui jae</w:t>
      </w:r>
      <w:r>
        <w:t>turul</w:t>
      </w:r>
      <w:r w:rsidRPr="008B53D4">
        <w:t xml:space="preserve"> valitseb konkurents, piirab see kaudselt märkimisväärse turujõuga </w:t>
      </w:r>
      <w:r>
        <w:t>ettevõtjat</w:t>
      </w:r>
      <w:r w:rsidRPr="008B53D4">
        <w:t>, kuna lõppkasutajad võivad otsustada minna üle teise</w:t>
      </w:r>
      <w:r>
        <w:t xml:space="preserve"> teenuseosutaja juurde</w:t>
      </w:r>
      <w:r w:rsidRPr="008B53D4">
        <w:t>, kes tegeleb samuti jae</w:t>
      </w:r>
      <w:r>
        <w:t>turul teenuse osutamisega</w:t>
      </w:r>
      <w:r w:rsidRPr="008B53D4">
        <w:t>.</w:t>
      </w:r>
    </w:p>
    <w:p w14:paraId="7E8D0762" w14:textId="2134E299" w:rsidR="002C1737" w:rsidRDefault="002C1737" w:rsidP="00AA241E">
      <w:pPr>
        <w:jc w:val="both"/>
      </w:pPr>
      <w:r w:rsidRPr="00283497">
        <w:t>Turu</w:t>
      </w:r>
      <w:r>
        <w:t>jõu</w:t>
      </w:r>
      <w:r w:rsidRPr="00283497">
        <w:t xml:space="preserve"> hindamisel on ü</w:t>
      </w:r>
      <w:r>
        <w:t>heks</w:t>
      </w:r>
      <w:r w:rsidRPr="00283497">
        <w:t xml:space="preserve"> olulise</w:t>
      </w:r>
      <w:r>
        <w:t>ks indikaatoriks</w:t>
      </w:r>
      <w:r w:rsidRPr="00283497">
        <w:t xml:space="preserve"> turuosad. Kui kaalu</w:t>
      </w:r>
      <w:r>
        <w:t>da</w:t>
      </w:r>
      <w:r w:rsidRPr="00283497">
        <w:t xml:space="preserve"> ainult teenuste osutamist kolmandatele isikutele (teistele </w:t>
      </w:r>
      <w:r>
        <w:t>teenuseosutajatele</w:t>
      </w:r>
      <w:r w:rsidRPr="00283497">
        <w:t>) hulgi</w:t>
      </w:r>
      <w:r>
        <w:t>tasandil</w:t>
      </w:r>
      <w:r w:rsidRPr="00283497">
        <w:t xml:space="preserve">, võib see kaasa tuua </w:t>
      </w:r>
      <w:r w:rsidR="00EB6F12">
        <w:t>moonutatud</w:t>
      </w:r>
      <w:r w:rsidRPr="00283497">
        <w:t xml:space="preserve"> tulemuse, kuna tavaliselt, kuid mitte ainult, tegutseb turul üks </w:t>
      </w:r>
      <w:r>
        <w:t>ettevõtja</w:t>
      </w:r>
      <w:r w:rsidRPr="00283497">
        <w:t xml:space="preserve"> (</w:t>
      </w:r>
      <w:r>
        <w:t>MTE)</w:t>
      </w:r>
      <w:r w:rsidRPr="00283497">
        <w:t xml:space="preserve"> (teoreetiliselt 100% turuosaga). Kui teenuste osutamine teistele hulgi</w:t>
      </w:r>
      <w:r>
        <w:t>teenuse osutajatele</w:t>
      </w:r>
      <w:r w:rsidRPr="00283497">
        <w:t xml:space="preserve"> toimub väikestes kogustes, on see väike osa </w:t>
      </w:r>
      <w:proofErr w:type="spellStart"/>
      <w:r w:rsidRPr="00283497">
        <w:t>ühisturust</w:t>
      </w:r>
      <w:proofErr w:type="spellEnd"/>
      <w:r w:rsidRPr="00283497">
        <w:t xml:space="preserve">. Seega on hulgituru turuosade õigeks hindamiseks vaja arvutada ka turuosad, sealhulgas </w:t>
      </w:r>
      <w:proofErr w:type="spellStart"/>
      <w:r w:rsidRPr="00283497">
        <w:t>siseteenused</w:t>
      </w:r>
      <w:proofErr w:type="spellEnd"/>
      <w:r w:rsidR="004B005D">
        <w:t xml:space="preserve"> (</w:t>
      </w:r>
      <w:proofErr w:type="spellStart"/>
      <w:r w:rsidR="004B005D" w:rsidRPr="004B005D">
        <w:rPr>
          <w:i/>
          <w:iCs/>
        </w:rPr>
        <w:t>self-supply</w:t>
      </w:r>
      <w:proofErr w:type="spellEnd"/>
      <w:r w:rsidR="004B005D">
        <w:t>)</w:t>
      </w:r>
      <w:r w:rsidRPr="00283497">
        <w:t>. Eelkõige võivad hulgi</w:t>
      </w:r>
      <w:r>
        <w:t>teenuse osutajad</w:t>
      </w:r>
      <w:r w:rsidRPr="00283497">
        <w:t>, kes pakuvad hulgit</w:t>
      </w:r>
      <w:r w:rsidR="00F31D32">
        <w:t>urul</w:t>
      </w:r>
      <w:r w:rsidRPr="00283497">
        <w:t xml:space="preserve"> juurdepääsu teistele </w:t>
      </w:r>
      <w:r>
        <w:t>side</w:t>
      </w:r>
      <w:r w:rsidRPr="00283497">
        <w:t>ettevõtjatele, osutada samu teenuseid jae</w:t>
      </w:r>
      <w:r>
        <w:t>t</w:t>
      </w:r>
      <w:r w:rsidR="006D5CE3">
        <w:t>urul</w:t>
      </w:r>
      <w:r w:rsidRPr="00283497">
        <w:t xml:space="preserve">, kus osutatakse teenuseid lõppkasutajatele. Need </w:t>
      </w:r>
      <w:proofErr w:type="spellStart"/>
      <w:r w:rsidRPr="00283497">
        <w:t>siseteenused</w:t>
      </w:r>
      <w:proofErr w:type="spellEnd"/>
      <w:r w:rsidRPr="00283497">
        <w:t xml:space="preserve"> tuleb kaasata konkreetse turu analüüsi – nii </w:t>
      </w:r>
      <w:r w:rsidR="00C837B8">
        <w:t>sideettevõtja</w:t>
      </w:r>
      <w:r w:rsidRPr="00283497">
        <w:t xml:space="preserve"> </w:t>
      </w:r>
      <w:proofErr w:type="spellStart"/>
      <w:r w:rsidRPr="00283497">
        <w:t>siseteenused</w:t>
      </w:r>
      <w:proofErr w:type="spellEnd"/>
      <w:r w:rsidRPr="00283497">
        <w:t xml:space="preserve"> koos </w:t>
      </w:r>
      <w:r>
        <w:t>MTE</w:t>
      </w:r>
      <w:r w:rsidRPr="00283497">
        <w:t>-</w:t>
      </w:r>
      <w:proofErr w:type="spellStart"/>
      <w:r w:rsidRPr="00283497">
        <w:t>ga</w:t>
      </w:r>
      <w:proofErr w:type="spellEnd"/>
      <w:r w:rsidR="00173D88">
        <w:t>,</w:t>
      </w:r>
      <w:r w:rsidRPr="00283497">
        <w:t xml:space="preserve"> kui ka teised </w:t>
      </w:r>
      <w:r>
        <w:t>sideettevõtjad</w:t>
      </w:r>
      <w:r w:rsidRPr="00283497">
        <w:t>.</w:t>
      </w:r>
      <w:r w:rsidR="00EC5B6E">
        <w:t xml:space="preserve"> </w:t>
      </w:r>
      <w:r w:rsidRPr="00283497">
        <w:t xml:space="preserve">Seega arvutab </w:t>
      </w:r>
      <w:r>
        <w:t>TTJA</w:t>
      </w:r>
      <w:r w:rsidRPr="00283497">
        <w:t xml:space="preserve"> hulgi</w:t>
      </w:r>
      <w:r w:rsidR="00173D88">
        <w:t>teenuse</w:t>
      </w:r>
      <w:r w:rsidRPr="00283497">
        <w:t xml:space="preserve"> turuosade arvutamisel turuosad</w:t>
      </w:r>
      <w:r w:rsidR="00177E51">
        <w:t>,</w:t>
      </w:r>
      <w:r w:rsidRPr="00283497">
        <w:t xml:space="preserve"> nii ilma </w:t>
      </w:r>
      <w:proofErr w:type="spellStart"/>
      <w:r w:rsidRPr="00283497">
        <w:t>siseteenusteta</w:t>
      </w:r>
      <w:proofErr w:type="spellEnd"/>
      <w:r w:rsidR="00177E51">
        <w:t>,</w:t>
      </w:r>
      <w:r w:rsidRPr="00283497">
        <w:t xml:space="preserve"> kui ka </w:t>
      </w:r>
      <w:proofErr w:type="spellStart"/>
      <w:r w:rsidRPr="00283497">
        <w:t>siseteenuste</w:t>
      </w:r>
      <w:r>
        <w:t>g</w:t>
      </w:r>
      <w:r w:rsidRPr="00283497">
        <w:t>a</w:t>
      </w:r>
      <w:proofErr w:type="spellEnd"/>
      <w:r w:rsidRPr="00283497">
        <w:t>.</w:t>
      </w:r>
    </w:p>
    <w:tbl>
      <w:tblPr>
        <w:tblW w:w="9175" w:type="dxa"/>
        <w:tblCellMar>
          <w:left w:w="70" w:type="dxa"/>
          <w:right w:w="70" w:type="dxa"/>
        </w:tblCellMar>
        <w:tblLook w:val="04A0" w:firstRow="1" w:lastRow="0" w:firstColumn="1" w:lastColumn="0" w:noHBand="0" w:noVBand="1"/>
      </w:tblPr>
      <w:tblGrid>
        <w:gridCol w:w="1899"/>
        <w:gridCol w:w="1819"/>
        <w:gridCol w:w="1819"/>
        <w:gridCol w:w="1819"/>
        <w:gridCol w:w="1819"/>
      </w:tblGrid>
      <w:tr w:rsidR="00374955" w:rsidRPr="00983CAF" w14:paraId="6916346C" w14:textId="77777777" w:rsidTr="00EC5B6E">
        <w:trPr>
          <w:trHeight w:val="271"/>
        </w:trPr>
        <w:tc>
          <w:tcPr>
            <w:tcW w:w="189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C4213AD" w14:textId="21743EA0" w:rsidR="00374955" w:rsidRPr="00BF0685" w:rsidRDefault="00BF0685" w:rsidP="00BF0685">
            <w:pPr>
              <w:spacing w:after="0" w:line="240" w:lineRule="auto"/>
              <w:jc w:val="center"/>
              <w:rPr>
                <w:rFonts w:eastAsia="Times New Roman" w:cs="Times New Roman"/>
                <w:b/>
                <w:bCs/>
                <w:color w:val="000000"/>
                <w:sz w:val="22"/>
                <w:lang w:eastAsia="et-EE"/>
              </w:rPr>
            </w:pPr>
            <w:r w:rsidRPr="00BF0685">
              <w:rPr>
                <w:rFonts w:eastAsia="Times New Roman" w:cs="Times New Roman"/>
                <w:b/>
                <w:bCs/>
                <w:color w:val="000000"/>
                <w:sz w:val="22"/>
                <w:lang w:eastAsia="et-EE"/>
              </w:rPr>
              <w:t>Ettevõtja</w:t>
            </w:r>
          </w:p>
        </w:tc>
        <w:tc>
          <w:tcPr>
            <w:tcW w:w="1819" w:type="dxa"/>
            <w:tcBorders>
              <w:top w:val="single" w:sz="4" w:space="0" w:color="auto"/>
              <w:left w:val="nil"/>
              <w:bottom w:val="single" w:sz="4" w:space="0" w:color="auto"/>
              <w:right w:val="single" w:sz="4" w:space="0" w:color="auto"/>
            </w:tcBorders>
            <w:shd w:val="clear" w:color="auto" w:fill="92D050"/>
            <w:noWrap/>
            <w:vAlign w:val="bottom"/>
            <w:hideMark/>
          </w:tcPr>
          <w:p w14:paraId="1DF9ABAB" w14:textId="77777777" w:rsidR="00374955" w:rsidRPr="00BF0685" w:rsidRDefault="00374955" w:rsidP="00BF0685">
            <w:pPr>
              <w:spacing w:after="0" w:line="240" w:lineRule="auto"/>
              <w:jc w:val="center"/>
              <w:rPr>
                <w:rFonts w:eastAsia="Times New Roman" w:cs="Times New Roman"/>
                <w:b/>
                <w:bCs/>
                <w:color w:val="000000"/>
                <w:sz w:val="22"/>
                <w:lang w:eastAsia="et-EE"/>
              </w:rPr>
            </w:pPr>
            <w:r w:rsidRPr="00BF0685">
              <w:rPr>
                <w:rFonts w:eastAsia="Times New Roman" w:cs="Times New Roman"/>
                <w:b/>
                <w:bCs/>
                <w:color w:val="000000"/>
                <w:sz w:val="22"/>
                <w:lang w:eastAsia="et-EE"/>
              </w:rPr>
              <w:t>2022</w:t>
            </w:r>
          </w:p>
        </w:tc>
        <w:tc>
          <w:tcPr>
            <w:tcW w:w="1819" w:type="dxa"/>
            <w:tcBorders>
              <w:top w:val="single" w:sz="4" w:space="0" w:color="auto"/>
              <w:left w:val="nil"/>
              <w:bottom w:val="single" w:sz="4" w:space="0" w:color="auto"/>
              <w:right w:val="single" w:sz="4" w:space="0" w:color="auto"/>
            </w:tcBorders>
            <w:shd w:val="clear" w:color="auto" w:fill="92D050"/>
            <w:noWrap/>
            <w:vAlign w:val="bottom"/>
            <w:hideMark/>
          </w:tcPr>
          <w:p w14:paraId="0E3B6E1B" w14:textId="77777777" w:rsidR="00374955" w:rsidRPr="00BF0685" w:rsidRDefault="00374955" w:rsidP="00BF0685">
            <w:pPr>
              <w:spacing w:after="0" w:line="240" w:lineRule="auto"/>
              <w:jc w:val="center"/>
              <w:rPr>
                <w:rFonts w:eastAsia="Times New Roman" w:cs="Times New Roman"/>
                <w:b/>
                <w:bCs/>
                <w:color w:val="000000"/>
                <w:sz w:val="22"/>
                <w:lang w:eastAsia="et-EE"/>
              </w:rPr>
            </w:pPr>
            <w:r w:rsidRPr="00BF0685">
              <w:rPr>
                <w:rFonts w:eastAsia="Times New Roman" w:cs="Times New Roman"/>
                <w:b/>
                <w:bCs/>
                <w:color w:val="000000"/>
                <w:sz w:val="22"/>
                <w:lang w:eastAsia="et-EE"/>
              </w:rPr>
              <w:t>2023</w:t>
            </w:r>
          </w:p>
        </w:tc>
        <w:tc>
          <w:tcPr>
            <w:tcW w:w="1819" w:type="dxa"/>
            <w:tcBorders>
              <w:top w:val="single" w:sz="4" w:space="0" w:color="auto"/>
              <w:left w:val="nil"/>
              <w:bottom w:val="single" w:sz="4" w:space="0" w:color="auto"/>
              <w:right w:val="single" w:sz="4" w:space="0" w:color="auto"/>
            </w:tcBorders>
            <w:shd w:val="clear" w:color="auto" w:fill="92D050"/>
            <w:noWrap/>
            <w:vAlign w:val="bottom"/>
            <w:hideMark/>
          </w:tcPr>
          <w:p w14:paraId="18FBB104" w14:textId="77777777" w:rsidR="00374955" w:rsidRPr="00BF0685" w:rsidRDefault="00374955" w:rsidP="00BF0685">
            <w:pPr>
              <w:spacing w:after="0" w:line="240" w:lineRule="auto"/>
              <w:jc w:val="center"/>
              <w:rPr>
                <w:rFonts w:eastAsia="Times New Roman" w:cs="Times New Roman"/>
                <w:b/>
                <w:bCs/>
                <w:color w:val="000000"/>
                <w:sz w:val="22"/>
                <w:lang w:eastAsia="et-EE"/>
              </w:rPr>
            </w:pPr>
            <w:r w:rsidRPr="00BF0685">
              <w:rPr>
                <w:rFonts w:eastAsia="Times New Roman" w:cs="Times New Roman"/>
                <w:b/>
                <w:bCs/>
                <w:color w:val="000000"/>
                <w:sz w:val="22"/>
                <w:lang w:eastAsia="et-EE"/>
              </w:rPr>
              <w:t>2022</w:t>
            </w:r>
          </w:p>
        </w:tc>
        <w:tc>
          <w:tcPr>
            <w:tcW w:w="1819" w:type="dxa"/>
            <w:tcBorders>
              <w:top w:val="single" w:sz="4" w:space="0" w:color="auto"/>
              <w:left w:val="nil"/>
              <w:bottom w:val="single" w:sz="4" w:space="0" w:color="auto"/>
              <w:right w:val="single" w:sz="4" w:space="0" w:color="auto"/>
            </w:tcBorders>
            <w:shd w:val="clear" w:color="auto" w:fill="92D050"/>
            <w:noWrap/>
            <w:vAlign w:val="bottom"/>
            <w:hideMark/>
          </w:tcPr>
          <w:p w14:paraId="0AC2AA91" w14:textId="77777777" w:rsidR="00374955" w:rsidRPr="00BF0685" w:rsidRDefault="00374955" w:rsidP="00BF0685">
            <w:pPr>
              <w:spacing w:after="0" w:line="240" w:lineRule="auto"/>
              <w:jc w:val="center"/>
              <w:rPr>
                <w:rFonts w:eastAsia="Times New Roman" w:cs="Times New Roman"/>
                <w:b/>
                <w:bCs/>
                <w:color w:val="000000"/>
                <w:sz w:val="22"/>
                <w:lang w:eastAsia="et-EE"/>
              </w:rPr>
            </w:pPr>
            <w:r w:rsidRPr="00BF0685">
              <w:rPr>
                <w:rFonts w:eastAsia="Times New Roman" w:cs="Times New Roman"/>
                <w:b/>
                <w:bCs/>
                <w:color w:val="000000"/>
                <w:sz w:val="22"/>
                <w:lang w:eastAsia="et-EE"/>
              </w:rPr>
              <w:t>2023</w:t>
            </w:r>
          </w:p>
        </w:tc>
      </w:tr>
      <w:tr w:rsidR="00374955" w:rsidRPr="00AE53F0" w14:paraId="64487E9E" w14:textId="77777777">
        <w:trPr>
          <w:trHeight w:val="271"/>
        </w:trPr>
        <w:tc>
          <w:tcPr>
            <w:tcW w:w="1899" w:type="dxa"/>
            <w:tcBorders>
              <w:top w:val="nil"/>
              <w:left w:val="single" w:sz="4" w:space="0" w:color="auto"/>
              <w:bottom w:val="single" w:sz="4" w:space="0" w:color="auto"/>
              <w:right w:val="single" w:sz="4" w:space="0" w:color="auto"/>
            </w:tcBorders>
            <w:shd w:val="clear" w:color="auto" w:fill="auto"/>
            <w:noWrap/>
            <w:vAlign w:val="bottom"/>
            <w:hideMark/>
          </w:tcPr>
          <w:p w14:paraId="13E5F279" w14:textId="77777777" w:rsidR="00374955" w:rsidRPr="00BF0685" w:rsidRDefault="00374955" w:rsidP="00BF0685">
            <w:pPr>
              <w:spacing w:after="0" w:line="240" w:lineRule="auto"/>
              <w:jc w:val="center"/>
              <w:rPr>
                <w:rFonts w:eastAsia="Times New Roman" w:cs="Times New Roman"/>
                <w:color w:val="000000"/>
                <w:sz w:val="22"/>
                <w:lang w:eastAsia="et-EE"/>
              </w:rPr>
            </w:pPr>
            <w:r w:rsidRPr="00BF0685">
              <w:rPr>
                <w:rFonts w:eastAsia="Times New Roman" w:cs="Times New Roman"/>
                <w:color w:val="000000"/>
                <w:sz w:val="22"/>
                <w:lang w:eastAsia="et-EE"/>
              </w:rPr>
              <w:t>Elisa</w:t>
            </w:r>
          </w:p>
        </w:tc>
        <w:tc>
          <w:tcPr>
            <w:tcW w:w="1819" w:type="dxa"/>
            <w:tcBorders>
              <w:top w:val="nil"/>
              <w:left w:val="nil"/>
              <w:bottom w:val="single" w:sz="4" w:space="0" w:color="auto"/>
              <w:right w:val="single" w:sz="4" w:space="0" w:color="auto"/>
            </w:tcBorders>
            <w:shd w:val="clear" w:color="auto" w:fill="auto"/>
            <w:noWrap/>
            <w:vAlign w:val="bottom"/>
            <w:hideMark/>
          </w:tcPr>
          <w:p w14:paraId="7793BA42" w14:textId="17D83659" w:rsidR="00374955" w:rsidRPr="0029579C" w:rsidRDefault="0029579C" w:rsidP="00BF0685">
            <w:pPr>
              <w:spacing w:after="0" w:line="240" w:lineRule="auto"/>
              <w:jc w:val="center"/>
              <w:rPr>
                <w:rFonts w:eastAsia="Times New Roman" w:cs="Times New Roman"/>
                <w:color w:val="000000"/>
                <w:sz w:val="22"/>
                <w:szCs w:val="22"/>
                <w:lang w:eastAsia="et-EE"/>
              </w:rPr>
            </w:pPr>
            <w:r w:rsidRPr="0029579C">
              <w:rPr>
                <w:sz w:val="22"/>
                <w:szCs w:val="22"/>
              </w:rPr>
              <w:t>…*</w:t>
            </w:r>
          </w:p>
        </w:tc>
        <w:tc>
          <w:tcPr>
            <w:tcW w:w="1819" w:type="dxa"/>
            <w:tcBorders>
              <w:top w:val="nil"/>
              <w:left w:val="nil"/>
              <w:bottom w:val="single" w:sz="4" w:space="0" w:color="auto"/>
              <w:right w:val="single" w:sz="4" w:space="0" w:color="auto"/>
            </w:tcBorders>
            <w:shd w:val="clear" w:color="auto" w:fill="auto"/>
            <w:noWrap/>
            <w:vAlign w:val="bottom"/>
            <w:hideMark/>
          </w:tcPr>
          <w:p w14:paraId="795D7FEB" w14:textId="33362D62" w:rsidR="00374955" w:rsidRPr="00BF0685" w:rsidRDefault="0029579C" w:rsidP="00BF0685">
            <w:pPr>
              <w:spacing w:after="0" w:line="240" w:lineRule="auto"/>
              <w:jc w:val="center"/>
              <w:rPr>
                <w:rFonts w:eastAsia="Times New Roman" w:cs="Times New Roman"/>
                <w:color w:val="000000"/>
                <w:sz w:val="22"/>
                <w:lang w:eastAsia="et-EE"/>
              </w:rPr>
            </w:pPr>
            <w:r w:rsidRPr="0029579C">
              <w:rPr>
                <w:sz w:val="22"/>
                <w:szCs w:val="22"/>
              </w:rPr>
              <w:t>…*</w:t>
            </w:r>
          </w:p>
        </w:tc>
        <w:tc>
          <w:tcPr>
            <w:tcW w:w="1819" w:type="dxa"/>
            <w:tcBorders>
              <w:top w:val="nil"/>
              <w:left w:val="nil"/>
              <w:bottom w:val="single" w:sz="4" w:space="0" w:color="auto"/>
              <w:right w:val="single" w:sz="4" w:space="0" w:color="auto"/>
            </w:tcBorders>
            <w:shd w:val="clear" w:color="auto" w:fill="auto"/>
            <w:noWrap/>
            <w:vAlign w:val="bottom"/>
            <w:hideMark/>
          </w:tcPr>
          <w:p w14:paraId="130143A6" w14:textId="1082E9E5" w:rsidR="00374955" w:rsidRPr="00BF0685" w:rsidRDefault="0029579C" w:rsidP="00BF0685">
            <w:pPr>
              <w:spacing w:after="0" w:line="240" w:lineRule="auto"/>
              <w:jc w:val="center"/>
              <w:rPr>
                <w:rFonts w:eastAsia="Times New Roman" w:cs="Times New Roman"/>
                <w:color w:val="000000"/>
                <w:sz w:val="22"/>
                <w:lang w:eastAsia="et-EE"/>
              </w:rPr>
            </w:pPr>
            <w:r w:rsidRPr="0029579C">
              <w:rPr>
                <w:sz w:val="22"/>
                <w:szCs w:val="22"/>
              </w:rPr>
              <w:t>…*</w:t>
            </w:r>
            <w:r w:rsidR="00374955" w:rsidRPr="00BF0685">
              <w:rPr>
                <w:rFonts w:eastAsia="Times New Roman" w:cs="Times New Roman"/>
                <w:color w:val="000000"/>
                <w:sz w:val="22"/>
                <w:lang w:eastAsia="et-EE"/>
              </w:rPr>
              <w:t>%</w:t>
            </w:r>
          </w:p>
        </w:tc>
        <w:tc>
          <w:tcPr>
            <w:tcW w:w="1819" w:type="dxa"/>
            <w:tcBorders>
              <w:top w:val="nil"/>
              <w:left w:val="nil"/>
              <w:bottom w:val="single" w:sz="4" w:space="0" w:color="auto"/>
              <w:right w:val="single" w:sz="4" w:space="0" w:color="auto"/>
            </w:tcBorders>
            <w:shd w:val="clear" w:color="auto" w:fill="auto"/>
            <w:noWrap/>
            <w:vAlign w:val="bottom"/>
            <w:hideMark/>
          </w:tcPr>
          <w:p w14:paraId="328CF2B9" w14:textId="734C98E7" w:rsidR="00374955" w:rsidRPr="00BF0685" w:rsidRDefault="0029579C" w:rsidP="00BF0685">
            <w:pPr>
              <w:spacing w:after="0" w:line="240" w:lineRule="auto"/>
              <w:jc w:val="center"/>
              <w:rPr>
                <w:rFonts w:eastAsia="Times New Roman" w:cs="Times New Roman"/>
                <w:color w:val="000000"/>
                <w:sz w:val="22"/>
                <w:lang w:eastAsia="et-EE"/>
              </w:rPr>
            </w:pPr>
            <w:r w:rsidRPr="0029579C">
              <w:rPr>
                <w:sz w:val="22"/>
                <w:szCs w:val="22"/>
              </w:rPr>
              <w:t>…*</w:t>
            </w:r>
            <w:r w:rsidR="00374955" w:rsidRPr="00BF0685">
              <w:rPr>
                <w:rFonts w:eastAsia="Times New Roman" w:cs="Times New Roman"/>
                <w:color w:val="000000"/>
                <w:sz w:val="22"/>
                <w:lang w:eastAsia="et-EE"/>
              </w:rPr>
              <w:t>%</w:t>
            </w:r>
          </w:p>
        </w:tc>
      </w:tr>
      <w:tr w:rsidR="00787B61" w:rsidRPr="00AE53F0" w14:paraId="7C70C1BC" w14:textId="77777777" w:rsidTr="002F5C60">
        <w:trPr>
          <w:trHeight w:val="271"/>
        </w:trPr>
        <w:tc>
          <w:tcPr>
            <w:tcW w:w="1899" w:type="dxa"/>
            <w:tcBorders>
              <w:top w:val="nil"/>
              <w:left w:val="single" w:sz="4" w:space="0" w:color="auto"/>
              <w:bottom w:val="single" w:sz="4" w:space="0" w:color="auto"/>
              <w:right w:val="single" w:sz="4" w:space="0" w:color="auto"/>
            </w:tcBorders>
            <w:shd w:val="clear" w:color="auto" w:fill="auto"/>
            <w:noWrap/>
            <w:vAlign w:val="bottom"/>
            <w:hideMark/>
          </w:tcPr>
          <w:p w14:paraId="4C2E6451" w14:textId="77777777" w:rsidR="00787B61" w:rsidRPr="00BF0685" w:rsidRDefault="00787B61" w:rsidP="00787B61">
            <w:pPr>
              <w:spacing w:after="0" w:line="240" w:lineRule="auto"/>
              <w:jc w:val="center"/>
              <w:rPr>
                <w:rFonts w:eastAsia="Times New Roman" w:cs="Times New Roman"/>
                <w:color w:val="000000"/>
                <w:sz w:val="22"/>
                <w:lang w:eastAsia="et-EE"/>
              </w:rPr>
            </w:pPr>
            <w:r w:rsidRPr="00BF0685">
              <w:rPr>
                <w:rFonts w:eastAsia="Times New Roman" w:cs="Times New Roman"/>
                <w:color w:val="000000"/>
                <w:sz w:val="22"/>
                <w:lang w:eastAsia="et-EE"/>
              </w:rPr>
              <w:t>Telia</w:t>
            </w:r>
          </w:p>
        </w:tc>
        <w:tc>
          <w:tcPr>
            <w:tcW w:w="1819" w:type="dxa"/>
            <w:tcBorders>
              <w:top w:val="nil"/>
              <w:left w:val="nil"/>
              <w:bottom w:val="single" w:sz="4" w:space="0" w:color="auto"/>
              <w:right w:val="single" w:sz="4" w:space="0" w:color="auto"/>
            </w:tcBorders>
            <w:shd w:val="clear" w:color="auto" w:fill="auto"/>
            <w:noWrap/>
            <w:hideMark/>
          </w:tcPr>
          <w:p w14:paraId="2ACB4700" w14:textId="25E98190" w:rsidR="00787B61" w:rsidRPr="00BF0685" w:rsidRDefault="00787B61" w:rsidP="00787B61">
            <w:pPr>
              <w:spacing w:after="0" w:line="240" w:lineRule="auto"/>
              <w:jc w:val="center"/>
              <w:rPr>
                <w:rFonts w:eastAsia="Times New Roman" w:cs="Times New Roman"/>
                <w:color w:val="000000"/>
                <w:sz w:val="22"/>
                <w:lang w:eastAsia="et-EE"/>
              </w:rPr>
            </w:pPr>
            <w:r w:rsidRPr="00F63791">
              <w:rPr>
                <w:sz w:val="22"/>
                <w:szCs w:val="22"/>
              </w:rPr>
              <w:t>…*</w:t>
            </w:r>
          </w:p>
        </w:tc>
        <w:tc>
          <w:tcPr>
            <w:tcW w:w="1819" w:type="dxa"/>
            <w:tcBorders>
              <w:top w:val="nil"/>
              <w:left w:val="nil"/>
              <w:bottom w:val="single" w:sz="4" w:space="0" w:color="auto"/>
              <w:right w:val="single" w:sz="4" w:space="0" w:color="auto"/>
            </w:tcBorders>
            <w:shd w:val="clear" w:color="auto" w:fill="auto"/>
            <w:noWrap/>
            <w:hideMark/>
          </w:tcPr>
          <w:p w14:paraId="536FA117" w14:textId="7856F88A" w:rsidR="00787B61" w:rsidRPr="00BF0685" w:rsidRDefault="00787B61" w:rsidP="00787B61">
            <w:pPr>
              <w:spacing w:after="0" w:line="240" w:lineRule="auto"/>
              <w:jc w:val="center"/>
              <w:rPr>
                <w:rFonts w:eastAsia="Times New Roman" w:cs="Times New Roman"/>
                <w:color w:val="000000"/>
                <w:sz w:val="22"/>
                <w:lang w:eastAsia="et-EE"/>
              </w:rPr>
            </w:pPr>
            <w:r w:rsidRPr="00F63791">
              <w:rPr>
                <w:sz w:val="22"/>
                <w:szCs w:val="22"/>
              </w:rPr>
              <w:t>…*</w:t>
            </w:r>
          </w:p>
        </w:tc>
        <w:tc>
          <w:tcPr>
            <w:tcW w:w="1819" w:type="dxa"/>
            <w:tcBorders>
              <w:top w:val="nil"/>
              <w:left w:val="nil"/>
              <w:bottom w:val="single" w:sz="4" w:space="0" w:color="auto"/>
              <w:right w:val="single" w:sz="4" w:space="0" w:color="auto"/>
            </w:tcBorders>
            <w:shd w:val="clear" w:color="auto" w:fill="auto"/>
            <w:noWrap/>
            <w:hideMark/>
          </w:tcPr>
          <w:p w14:paraId="7C83E43D" w14:textId="1A5BF45D" w:rsidR="00787B61" w:rsidRPr="00BF0685" w:rsidRDefault="00787B61" w:rsidP="00787B61">
            <w:pPr>
              <w:spacing w:after="0" w:line="240" w:lineRule="auto"/>
              <w:jc w:val="center"/>
              <w:rPr>
                <w:rFonts w:eastAsia="Times New Roman" w:cs="Times New Roman"/>
                <w:color w:val="000000"/>
                <w:sz w:val="22"/>
                <w:lang w:eastAsia="et-EE"/>
              </w:rPr>
            </w:pPr>
            <w:r w:rsidRPr="001A2EF5">
              <w:rPr>
                <w:sz w:val="22"/>
                <w:szCs w:val="22"/>
              </w:rPr>
              <w:t>…*</w:t>
            </w:r>
            <w:r w:rsidRPr="001A2EF5">
              <w:rPr>
                <w:rFonts w:eastAsia="Times New Roman" w:cs="Times New Roman"/>
                <w:color w:val="000000"/>
                <w:sz w:val="22"/>
                <w:lang w:eastAsia="et-EE"/>
              </w:rPr>
              <w:t>%</w:t>
            </w:r>
          </w:p>
        </w:tc>
        <w:tc>
          <w:tcPr>
            <w:tcW w:w="1819" w:type="dxa"/>
            <w:tcBorders>
              <w:top w:val="nil"/>
              <w:left w:val="nil"/>
              <w:bottom w:val="single" w:sz="4" w:space="0" w:color="auto"/>
              <w:right w:val="single" w:sz="4" w:space="0" w:color="auto"/>
            </w:tcBorders>
            <w:shd w:val="clear" w:color="auto" w:fill="auto"/>
            <w:noWrap/>
            <w:hideMark/>
          </w:tcPr>
          <w:p w14:paraId="6AD80626" w14:textId="099763A7" w:rsidR="00787B61" w:rsidRPr="00BF0685" w:rsidRDefault="00787B61" w:rsidP="00787B61">
            <w:pPr>
              <w:spacing w:after="0" w:line="240" w:lineRule="auto"/>
              <w:jc w:val="center"/>
              <w:rPr>
                <w:rFonts w:eastAsia="Times New Roman" w:cs="Times New Roman"/>
                <w:color w:val="000000"/>
                <w:sz w:val="22"/>
                <w:lang w:eastAsia="et-EE"/>
              </w:rPr>
            </w:pPr>
            <w:r w:rsidRPr="001A2EF5">
              <w:rPr>
                <w:sz w:val="22"/>
                <w:szCs w:val="22"/>
              </w:rPr>
              <w:t>…*</w:t>
            </w:r>
            <w:r w:rsidRPr="001A2EF5">
              <w:rPr>
                <w:rFonts w:eastAsia="Times New Roman" w:cs="Times New Roman"/>
                <w:color w:val="000000"/>
                <w:sz w:val="22"/>
                <w:lang w:eastAsia="et-EE"/>
              </w:rPr>
              <w:t>%</w:t>
            </w:r>
          </w:p>
        </w:tc>
      </w:tr>
      <w:tr w:rsidR="0029579C" w:rsidRPr="00AE53F0" w14:paraId="142C6452" w14:textId="77777777" w:rsidTr="00A21831">
        <w:trPr>
          <w:trHeight w:val="271"/>
        </w:trPr>
        <w:tc>
          <w:tcPr>
            <w:tcW w:w="1899" w:type="dxa"/>
            <w:tcBorders>
              <w:top w:val="nil"/>
              <w:left w:val="single" w:sz="4" w:space="0" w:color="auto"/>
              <w:bottom w:val="single" w:sz="4" w:space="0" w:color="auto"/>
              <w:right w:val="single" w:sz="4" w:space="0" w:color="auto"/>
            </w:tcBorders>
            <w:shd w:val="clear" w:color="auto" w:fill="auto"/>
            <w:noWrap/>
            <w:vAlign w:val="bottom"/>
            <w:hideMark/>
          </w:tcPr>
          <w:p w14:paraId="0CC532B9" w14:textId="77777777" w:rsidR="0029579C" w:rsidRPr="00BF0685" w:rsidRDefault="0029579C" w:rsidP="0029579C">
            <w:pPr>
              <w:spacing w:after="0" w:line="240" w:lineRule="auto"/>
              <w:jc w:val="center"/>
              <w:rPr>
                <w:rFonts w:eastAsia="Times New Roman" w:cs="Times New Roman"/>
                <w:color w:val="000000"/>
                <w:sz w:val="22"/>
                <w:lang w:eastAsia="et-EE"/>
              </w:rPr>
            </w:pPr>
            <w:r w:rsidRPr="00BF0685">
              <w:rPr>
                <w:rFonts w:eastAsia="Times New Roman" w:cs="Times New Roman"/>
                <w:color w:val="000000"/>
                <w:sz w:val="22"/>
                <w:lang w:eastAsia="et-EE"/>
              </w:rPr>
              <w:t>Kokku</w:t>
            </w:r>
          </w:p>
        </w:tc>
        <w:tc>
          <w:tcPr>
            <w:tcW w:w="1819" w:type="dxa"/>
            <w:tcBorders>
              <w:top w:val="nil"/>
              <w:left w:val="nil"/>
              <w:bottom w:val="single" w:sz="4" w:space="0" w:color="auto"/>
              <w:right w:val="single" w:sz="4" w:space="0" w:color="auto"/>
            </w:tcBorders>
            <w:shd w:val="clear" w:color="auto" w:fill="auto"/>
            <w:noWrap/>
            <w:hideMark/>
          </w:tcPr>
          <w:p w14:paraId="0437AC91" w14:textId="23F890D0" w:rsidR="0029579C" w:rsidRPr="00BF0685" w:rsidRDefault="0029579C" w:rsidP="0029579C">
            <w:pPr>
              <w:spacing w:after="0" w:line="240" w:lineRule="auto"/>
              <w:jc w:val="center"/>
              <w:rPr>
                <w:rFonts w:eastAsia="Times New Roman" w:cs="Times New Roman"/>
                <w:color w:val="000000"/>
                <w:sz w:val="22"/>
                <w:lang w:eastAsia="et-EE"/>
              </w:rPr>
            </w:pPr>
            <w:r w:rsidRPr="00AE156D">
              <w:rPr>
                <w:sz w:val="22"/>
                <w:szCs w:val="22"/>
              </w:rPr>
              <w:t>…*</w:t>
            </w:r>
          </w:p>
        </w:tc>
        <w:tc>
          <w:tcPr>
            <w:tcW w:w="1819" w:type="dxa"/>
            <w:tcBorders>
              <w:top w:val="nil"/>
              <w:left w:val="nil"/>
              <w:bottom w:val="single" w:sz="4" w:space="0" w:color="auto"/>
              <w:right w:val="single" w:sz="4" w:space="0" w:color="auto"/>
            </w:tcBorders>
            <w:shd w:val="clear" w:color="auto" w:fill="auto"/>
            <w:noWrap/>
            <w:hideMark/>
          </w:tcPr>
          <w:p w14:paraId="66E3E37B" w14:textId="3065C3B7" w:rsidR="0029579C" w:rsidRPr="00BF0685" w:rsidRDefault="0029579C" w:rsidP="0029579C">
            <w:pPr>
              <w:spacing w:after="0" w:line="240" w:lineRule="auto"/>
              <w:jc w:val="center"/>
              <w:rPr>
                <w:rFonts w:eastAsia="Times New Roman" w:cs="Times New Roman"/>
                <w:color w:val="000000"/>
                <w:sz w:val="22"/>
                <w:lang w:eastAsia="et-EE"/>
              </w:rPr>
            </w:pPr>
            <w:r w:rsidRPr="00AE156D">
              <w:rPr>
                <w:sz w:val="22"/>
                <w:szCs w:val="22"/>
              </w:rPr>
              <w:t>…*</w:t>
            </w:r>
          </w:p>
        </w:tc>
        <w:tc>
          <w:tcPr>
            <w:tcW w:w="1819" w:type="dxa"/>
            <w:tcBorders>
              <w:top w:val="nil"/>
              <w:left w:val="nil"/>
              <w:bottom w:val="single" w:sz="4" w:space="0" w:color="auto"/>
              <w:right w:val="single" w:sz="4" w:space="0" w:color="auto"/>
            </w:tcBorders>
            <w:shd w:val="clear" w:color="auto" w:fill="auto"/>
            <w:noWrap/>
            <w:vAlign w:val="bottom"/>
            <w:hideMark/>
          </w:tcPr>
          <w:p w14:paraId="4F9AD759" w14:textId="77777777" w:rsidR="0029579C" w:rsidRPr="00BF0685" w:rsidRDefault="0029579C" w:rsidP="0029579C">
            <w:pPr>
              <w:spacing w:after="0" w:line="240" w:lineRule="auto"/>
              <w:jc w:val="center"/>
              <w:rPr>
                <w:rFonts w:eastAsia="Times New Roman" w:cs="Times New Roman"/>
                <w:color w:val="000000"/>
                <w:sz w:val="22"/>
                <w:lang w:eastAsia="et-EE"/>
              </w:rPr>
            </w:pPr>
            <w:r w:rsidRPr="00BF0685">
              <w:rPr>
                <w:rFonts w:eastAsia="Times New Roman" w:cs="Times New Roman"/>
                <w:color w:val="000000"/>
                <w:sz w:val="22"/>
                <w:lang w:eastAsia="et-EE"/>
              </w:rPr>
              <w:t>100%</w:t>
            </w:r>
          </w:p>
        </w:tc>
        <w:tc>
          <w:tcPr>
            <w:tcW w:w="1819" w:type="dxa"/>
            <w:tcBorders>
              <w:top w:val="nil"/>
              <w:left w:val="nil"/>
              <w:bottom w:val="single" w:sz="4" w:space="0" w:color="auto"/>
              <w:right w:val="single" w:sz="4" w:space="0" w:color="auto"/>
            </w:tcBorders>
            <w:shd w:val="clear" w:color="auto" w:fill="auto"/>
            <w:noWrap/>
            <w:vAlign w:val="bottom"/>
            <w:hideMark/>
          </w:tcPr>
          <w:p w14:paraId="0244603B" w14:textId="77777777" w:rsidR="0029579C" w:rsidRPr="00BF0685" w:rsidRDefault="0029579C" w:rsidP="0029579C">
            <w:pPr>
              <w:spacing w:after="0" w:line="240" w:lineRule="auto"/>
              <w:jc w:val="center"/>
              <w:rPr>
                <w:rFonts w:eastAsia="Times New Roman" w:cs="Times New Roman"/>
                <w:color w:val="000000"/>
                <w:sz w:val="22"/>
                <w:lang w:eastAsia="et-EE"/>
              </w:rPr>
            </w:pPr>
            <w:r w:rsidRPr="00BF0685">
              <w:rPr>
                <w:rFonts w:eastAsia="Times New Roman" w:cs="Times New Roman"/>
                <w:color w:val="000000"/>
                <w:sz w:val="22"/>
                <w:lang w:eastAsia="et-EE"/>
              </w:rPr>
              <w:t>100%</w:t>
            </w:r>
          </w:p>
        </w:tc>
      </w:tr>
    </w:tbl>
    <w:p w14:paraId="061149B4" w14:textId="052F591F" w:rsidR="00374955" w:rsidRDefault="00374955" w:rsidP="00AA241E">
      <w:pPr>
        <w:pStyle w:val="Pealdis"/>
        <w:jc w:val="both"/>
        <w:rPr>
          <w:szCs w:val="24"/>
        </w:rPr>
      </w:pPr>
      <w:r w:rsidRPr="00AE53F0">
        <w:t xml:space="preserve">Tabel </w:t>
      </w:r>
      <w:r w:rsidRPr="00AE53F0">
        <w:fldChar w:fldCharType="begin"/>
      </w:r>
      <w:r w:rsidRPr="00AE53F0">
        <w:instrText xml:space="preserve"> SEQ Tabel \* ARABIC </w:instrText>
      </w:r>
      <w:r w:rsidRPr="00AE53F0">
        <w:fldChar w:fldCharType="separate"/>
      </w:r>
      <w:r w:rsidR="00247D84" w:rsidRPr="00AE53F0">
        <w:rPr>
          <w:noProof/>
        </w:rPr>
        <w:t>45</w:t>
      </w:r>
      <w:r w:rsidRPr="00AE53F0">
        <w:fldChar w:fldCharType="end"/>
      </w:r>
      <w:r w:rsidRPr="00AE53F0">
        <w:t xml:space="preserve"> Teiste sideettevõtjate kasutusse antud valguskaabelvõrgu </w:t>
      </w:r>
      <w:proofErr w:type="spellStart"/>
      <w:r w:rsidRPr="00AE53F0">
        <w:t>laribaühenduste</w:t>
      </w:r>
      <w:proofErr w:type="spellEnd"/>
      <w:r w:rsidRPr="00AE53F0">
        <w:t xml:space="preserve"> arv ja ne</w:t>
      </w:r>
      <w:r>
        <w:t>nde osakaalud aastal 2022-2023 Eesti piirkonnas B</w:t>
      </w:r>
    </w:p>
    <w:p w14:paraId="5CE1AB55" w14:textId="404EBE61" w:rsidR="002A7329" w:rsidRPr="002E251B" w:rsidRDefault="002A7329" w:rsidP="00AA241E">
      <w:pPr>
        <w:jc w:val="both"/>
      </w:pPr>
      <w:r w:rsidRPr="00FF3265">
        <w:lastRenderedPageBreak/>
        <w:t>Nagu ee</w:t>
      </w:r>
      <w:r w:rsidR="004C63D9">
        <w:t>l</w:t>
      </w:r>
      <w:r w:rsidRPr="00FF3265">
        <w:t>pool mainitud</w:t>
      </w:r>
      <w:r w:rsidR="00913B6D">
        <w:t xml:space="preserve"> (vt tabel 45)</w:t>
      </w:r>
      <w:r w:rsidRPr="00FF3265">
        <w:t xml:space="preserve">, on nõudlus 3b teenuste järele turul väga väike. </w:t>
      </w:r>
      <w:r>
        <w:t xml:space="preserve">2023. aasta </w:t>
      </w:r>
      <w:r w:rsidRPr="002E251B">
        <w:t xml:space="preserve">seisuga  omas Telia valguskaabel juurdepääsuvõrgus hulgitasandil (FTTH ja FTTB aktiivsed </w:t>
      </w:r>
      <w:r w:rsidR="0007135D" w:rsidRPr="002E251B">
        <w:t>kliendiliin</w:t>
      </w:r>
      <w:r w:rsidRPr="002E251B">
        <w:t xml:space="preserve">id) Eesti piirkonnas B </w:t>
      </w:r>
      <w:r w:rsidR="00BB5079" w:rsidRPr="006379B0">
        <w:t>…*</w:t>
      </w:r>
      <w:r w:rsidRPr="002E251B">
        <w:t xml:space="preserve"> ühendust. </w:t>
      </w:r>
    </w:p>
    <w:p w14:paraId="5876C54D" w14:textId="19B0FD4A" w:rsidR="002A7329" w:rsidRPr="00FF3265" w:rsidRDefault="002A7329" w:rsidP="00AA241E">
      <w:pPr>
        <w:jc w:val="both"/>
      </w:pPr>
      <w:r w:rsidRPr="002E251B">
        <w:t>TTJA käsutuses oleva teabe kohaselt osuta</w:t>
      </w:r>
      <w:r w:rsidR="00022B24" w:rsidRPr="002E251B">
        <w:t>b</w:t>
      </w:r>
      <w:r w:rsidRPr="002E251B">
        <w:t xml:space="preserve"> </w:t>
      </w:r>
      <w:r w:rsidR="0094402B" w:rsidRPr="002E251B">
        <w:t xml:space="preserve">valguskaablivõrgu B piirkonna hulgituru 3b </w:t>
      </w:r>
      <w:r w:rsidR="003C7A52" w:rsidRPr="002E251B">
        <w:t xml:space="preserve">teenust </w:t>
      </w:r>
      <w:r w:rsidRPr="002E251B">
        <w:t xml:space="preserve">veel Elisa. See tähendab, et Telial ei ole otseseid konkurentsipiiranguid </w:t>
      </w:r>
      <w:r w:rsidR="003C7A52" w:rsidRPr="002E251B">
        <w:t>valguskaablivõrgu B piirkonna hulgiturul 3b</w:t>
      </w:r>
      <w:r w:rsidRPr="002E251B">
        <w:t xml:space="preserve">. Telia turuosa </w:t>
      </w:r>
      <w:r w:rsidR="003C7A52" w:rsidRPr="002E251B">
        <w:t xml:space="preserve">valguskaablivõrgu B piirkonna hulgiturul 3b </w:t>
      </w:r>
      <w:r w:rsidR="00230BDC" w:rsidRPr="002E251B">
        <w:t>on</w:t>
      </w:r>
      <w:r w:rsidRPr="002E251B">
        <w:t xml:space="preserve"> </w:t>
      </w:r>
      <w:r w:rsidR="00BB5079" w:rsidRPr="006379B0">
        <w:t>…*</w:t>
      </w:r>
      <w:r w:rsidRPr="002E251B">
        <w:t>%</w:t>
      </w:r>
      <w:r w:rsidR="00BB5079" w:rsidRPr="002E251B">
        <w:t xml:space="preserve"> </w:t>
      </w:r>
      <w:r w:rsidR="00913B6D" w:rsidRPr="002E251B">
        <w:t>(tabel 45).</w:t>
      </w:r>
      <w:r w:rsidRPr="002E251B">
        <w:t xml:space="preserve"> Võttes arvesse, et 2023. aasta lõpu seisuga pakuti </w:t>
      </w:r>
      <w:r w:rsidR="00B06B66" w:rsidRPr="002E251B">
        <w:t>valguskaablivõrgu B piirkonna</w:t>
      </w:r>
      <w:r w:rsidR="00B06B66" w:rsidRPr="00B06B66">
        <w:t xml:space="preserve"> hulgiturul 3b </w:t>
      </w:r>
      <w:r w:rsidR="009620E8">
        <w:t>juurdepääsu</w:t>
      </w:r>
      <w:r>
        <w:t xml:space="preserve"> valdavalt</w:t>
      </w:r>
      <w:r w:rsidRPr="00FF3265">
        <w:t xml:space="preserve"> </w:t>
      </w:r>
      <w:r>
        <w:t>valguskaabelvõrgu</w:t>
      </w:r>
      <w:r w:rsidRPr="00FF3265">
        <w:t xml:space="preserve"> juurdepääsuliinidele, ei kajasta see turuosa tegelikku olukorda ja tegelikku turu</w:t>
      </w:r>
      <w:r w:rsidR="008323D4">
        <w:t>jõudu</w:t>
      </w:r>
      <w:r w:rsidRPr="00FF3265">
        <w:t xml:space="preserve"> </w:t>
      </w:r>
      <w:r w:rsidR="009620E8" w:rsidRPr="009620E8">
        <w:t>valguskaablivõrgu B piirkonna hulgiturul 3b</w:t>
      </w:r>
      <w:r>
        <w:t xml:space="preserve">. </w:t>
      </w:r>
      <w:r w:rsidRPr="00FF3265">
        <w:t>Nagu ee</w:t>
      </w:r>
      <w:r w:rsidR="008323D4">
        <w:t>l</w:t>
      </w:r>
      <w:r w:rsidRPr="00FF3265">
        <w:t xml:space="preserve">pool mainitud, on turuosade õige arvutamise saamiseks vaja lisada </w:t>
      </w:r>
      <w:proofErr w:type="spellStart"/>
      <w:r w:rsidRPr="00FF3265">
        <w:t>siseteenused</w:t>
      </w:r>
      <w:proofErr w:type="spellEnd"/>
      <w:r w:rsidRPr="00FF3265">
        <w:t>.</w:t>
      </w:r>
    </w:p>
    <w:p w14:paraId="5F7C0A9D" w14:textId="20E5A38B" w:rsidR="002A7329" w:rsidRPr="00FF3265" w:rsidRDefault="002A7329" w:rsidP="00AA241E">
      <w:pPr>
        <w:jc w:val="both"/>
      </w:pPr>
      <w:r w:rsidRPr="00FF3265">
        <w:t xml:space="preserve">Kui arvutatakse turuosad, sealhulgas </w:t>
      </w:r>
      <w:r>
        <w:t>Telia</w:t>
      </w:r>
      <w:r w:rsidRPr="00FF3265">
        <w:t xml:space="preserve"> </w:t>
      </w:r>
      <w:proofErr w:type="spellStart"/>
      <w:r w:rsidRPr="00FF3265">
        <w:t>siseteenused</w:t>
      </w:r>
      <w:proofErr w:type="spellEnd"/>
      <w:r w:rsidRPr="00FF3265">
        <w:t xml:space="preserve"> ja alternatiivsed </w:t>
      </w:r>
      <w:r>
        <w:t>sideettevõtjad</w:t>
      </w:r>
      <w:r w:rsidRPr="00FF3265">
        <w:t xml:space="preserve"> nende tehnoloogiate jaoks, mis olid hõlmatud turu määratlusega, st FTTH ja FTTB, siis 202</w:t>
      </w:r>
      <w:r>
        <w:t>3</w:t>
      </w:r>
      <w:r w:rsidR="002E251B">
        <w:t>.</w:t>
      </w:r>
      <w:r>
        <w:t xml:space="preserve"> aasta lõpu seisuga</w:t>
      </w:r>
      <w:r w:rsidRPr="00FF3265">
        <w:t xml:space="preserve"> on </w:t>
      </w:r>
      <w:r>
        <w:t>Telia</w:t>
      </w:r>
      <w:r w:rsidRPr="00FF3265">
        <w:t xml:space="preserve"> turuosa </w:t>
      </w:r>
      <w:r w:rsidR="009620E8" w:rsidRPr="009620E8">
        <w:t>valguskaablivõrgu B piirkonna hulgiturul 3b</w:t>
      </w:r>
      <w:r>
        <w:t xml:space="preserve">, </w:t>
      </w:r>
      <w:r w:rsidRPr="00F768C8">
        <w:t xml:space="preserve"> </w:t>
      </w:r>
      <w:r w:rsidRPr="00FF3265">
        <w:t xml:space="preserve">mis vastab turuosadele </w:t>
      </w:r>
      <w:r w:rsidR="005603A6" w:rsidRPr="00530054">
        <w:rPr>
          <w:rFonts w:cs="Times New Roman"/>
        </w:rPr>
        <w:t xml:space="preserve">Valguskaabelvõrgu internetiühenduste </w:t>
      </w:r>
      <w:r w:rsidR="005603A6">
        <w:rPr>
          <w:rFonts w:cs="Times New Roman"/>
        </w:rPr>
        <w:t>B</w:t>
      </w:r>
      <w:r w:rsidR="005603A6" w:rsidRPr="00530054">
        <w:rPr>
          <w:rFonts w:cs="Times New Roman"/>
        </w:rPr>
        <w:t xml:space="preserve"> piirkonna jaetur</w:t>
      </w:r>
      <w:r w:rsidR="00B61C52">
        <w:rPr>
          <w:rFonts w:cs="Times New Roman"/>
        </w:rPr>
        <w:t>ul</w:t>
      </w:r>
      <w:r w:rsidR="000F091B">
        <w:rPr>
          <w:rFonts w:cs="Times New Roman"/>
        </w:rPr>
        <w:t xml:space="preserve"> </w:t>
      </w:r>
      <w:r w:rsidRPr="00FF3265">
        <w:t xml:space="preserve">(vt punkt </w:t>
      </w:r>
      <w:r w:rsidR="00072F0F">
        <w:t>7</w:t>
      </w:r>
      <w:r w:rsidRPr="00FF3265">
        <w:t xml:space="preserve">.1.2.1). Eelkõige turuosad </w:t>
      </w:r>
      <w:r>
        <w:t>ei ole muutunud ja on</w:t>
      </w:r>
      <w:r w:rsidRPr="00FF3265">
        <w:t xml:space="preserve"> ilma tugeva langussuundumuseta. </w:t>
      </w:r>
      <w:r>
        <w:t>TTJA</w:t>
      </w:r>
      <w:r w:rsidRPr="00FF3265">
        <w:t xml:space="preserve"> järeldab, et analüüsitud turuosad ei viita tõhusale konkurentsile </w:t>
      </w:r>
      <w:r w:rsidR="000F091B" w:rsidRPr="0094402B">
        <w:t>valguskaablivõrgu B piirkonna hulgiturul 3b</w:t>
      </w:r>
      <w:r w:rsidRPr="00FF3265">
        <w:t>.</w:t>
      </w:r>
    </w:p>
    <w:p w14:paraId="34B01B9A" w14:textId="6068A658" w:rsidR="002A7329" w:rsidRPr="00FF3265" w:rsidRDefault="002A7329" w:rsidP="00AA241E">
      <w:pPr>
        <w:jc w:val="both"/>
      </w:pPr>
      <w:r>
        <w:t>Telia</w:t>
      </w:r>
      <w:r w:rsidRPr="00FF3265">
        <w:t xml:space="preserve"> turuosad on suured, mis näitab, et </w:t>
      </w:r>
      <w:r>
        <w:t xml:space="preserve">Eesti piirkonnas B on üks </w:t>
      </w:r>
      <w:proofErr w:type="spellStart"/>
      <w:r>
        <w:t>sideettvõtja</w:t>
      </w:r>
      <w:proofErr w:type="spellEnd"/>
      <w:r w:rsidRPr="00FF3265">
        <w:t xml:space="preserve">, mida peetakse turuliidriks – tema turuosa on suurim ja oluliselt suurem kui ühelgi teisel konkurendil. Võib järeldada, et </w:t>
      </w:r>
      <w:r>
        <w:t>Telia</w:t>
      </w:r>
      <w:r w:rsidRPr="00FF3265">
        <w:t xml:space="preserve"> säilitab endiselt turgu valitseva seisundi</w:t>
      </w:r>
      <w:r>
        <w:t>t</w:t>
      </w:r>
      <w:r w:rsidRPr="00FF3265">
        <w:t xml:space="preserve"> </w:t>
      </w:r>
      <w:r w:rsidR="005144FC" w:rsidRPr="0094402B">
        <w:t>valguskaablivõrgu B piirkonna hulgiturul 3b</w:t>
      </w:r>
      <w:r>
        <w:t>.</w:t>
      </w:r>
      <w:r w:rsidRPr="00FF3265">
        <w:t xml:space="preserve"> Seega on </w:t>
      </w:r>
      <w:r>
        <w:t>Telial</w:t>
      </w:r>
      <w:r w:rsidRPr="00FF3265">
        <w:t xml:space="preserve"> turuvõim pakkuda turu 3b teenuseid teistele </w:t>
      </w:r>
      <w:r>
        <w:t xml:space="preserve">sideettevõtjatele </w:t>
      </w:r>
      <w:r w:rsidRPr="00FF3265">
        <w:t xml:space="preserve">või </w:t>
      </w:r>
      <w:r w:rsidR="00876145">
        <w:t xml:space="preserve">iseendale </w:t>
      </w:r>
      <w:r w:rsidRPr="00FF3265">
        <w:t>ja</w:t>
      </w:r>
      <w:r w:rsidR="00876145">
        <w:t>etasandil</w:t>
      </w:r>
      <w:r w:rsidRPr="00FF3265">
        <w:t>.</w:t>
      </w:r>
    </w:p>
    <w:p w14:paraId="631FB25E" w14:textId="77777777" w:rsidR="002A7329" w:rsidRPr="00FF3265" w:rsidRDefault="002A7329" w:rsidP="00AA241E">
      <w:pPr>
        <w:jc w:val="both"/>
      </w:pPr>
      <w:r>
        <w:t>TTJA</w:t>
      </w:r>
      <w:r w:rsidRPr="00FF3265">
        <w:t xml:space="preserve"> </w:t>
      </w:r>
      <w:r>
        <w:t>arvates</w:t>
      </w:r>
      <w:r w:rsidRPr="00FF3265">
        <w:t xml:space="preserve"> ei oleks </w:t>
      </w:r>
      <w:r>
        <w:t>Telial</w:t>
      </w:r>
      <w:r w:rsidRPr="00FF3265">
        <w:t xml:space="preserve"> ilma reguleerimiseta stiimulit pakkuda või võimaldada juurdepääsu </w:t>
      </w:r>
      <w:r>
        <w:t>lairibale</w:t>
      </w:r>
      <w:r w:rsidRPr="00FF3265">
        <w:t xml:space="preserve"> teistele </w:t>
      </w:r>
      <w:r w:rsidRPr="00B84A5B">
        <w:t>lairiba juurdepääsu hulgi</w:t>
      </w:r>
      <w:r w:rsidRPr="00FF3265">
        <w:t>teenuseid</w:t>
      </w:r>
      <w:r>
        <w:t xml:space="preserve"> pakkuvatele sideettevõtjatele Eestis B piirkonnas.</w:t>
      </w:r>
    </w:p>
    <w:p w14:paraId="520AAEAB" w14:textId="1B8F3812" w:rsidR="002A7329" w:rsidRPr="00FF3265" w:rsidRDefault="002A7329" w:rsidP="00AA241E">
      <w:pPr>
        <w:jc w:val="both"/>
      </w:pPr>
      <w:r w:rsidRPr="00FF3265">
        <w:t xml:space="preserve">Analüüsides </w:t>
      </w:r>
      <w:r w:rsidR="00F561C2">
        <w:t xml:space="preserve">valguskaabelvõrgu internetiühenduste </w:t>
      </w:r>
      <w:r w:rsidR="00A63B29">
        <w:t xml:space="preserve">B </w:t>
      </w:r>
      <w:r>
        <w:t>piirkonna</w:t>
      </w:r>
      <w:r w:rsidR="00A63B29">
        <w:t xml:space="preserve"> jaeturgu</w:t>
      </w:r>
      <w:r w:rsidRPr="00FF3265">
        <w:t xml:space="preserve">, analüüsis </w:t>
      </w:r>
      <w:r>
        <w:t>TTJA</w:t>
      </w:r>
      <w:r w:rsidRPr="00FF3265">
        <w:t xml:space="preserve"> erinevaid kriteeriume (vt punktid </w:t>
      </w:r>
      <w:r w:rsidR="002E251B">
        <w:t>6</w:t>
      </w:r>
      <w:r w:rsidRPr="00FF3265">
        <w:t>.1.2.2–</w:t>
      </w:r>
      <w:r w:rsidR="002E251B">
        <w:t>6</w:t>
      </w:r>
      <w:r w:rsidRPr="00FF3265">
        <w:t>.1.2.6) ja jõudis järeldusele, et:</w:t>
      </w:r>
    </w:p>
    <w:p w14:paraId="7EDBACE2" w14:textId="409D96B8" w:rsidR="002A7329" w:rsidRPr="00FF3265" w:rsidRDefault="002A7329" w:rsidP="00AA241E">
      <w:pPr>
        <w:jc w:val="both"/>
      </w:pPr>
      <w:r w:rsidRPr="00FF3265">
        <w:t>•</w:t>
      </w:r>
      <w:r w:rsidRPr="00FF3265">
        <w:tab/>
      </w:r>
      <w:r w:rsidRPr="002C2740">
        <w:t xml:space="preserve">kuigi on olemas ka alternatiivsed infrastruktuurid, </w:t>
      </w:r>
      <w:r w:rsidR="00A63B29">
        <w:t>valguskaabelvõrgu internetiühenduste B piirkonna jaetur</w:t>
      </w:r>
      <w:r w:rsidR="00AC0956">
        <w:t xml:space="preserve">ule </w:t>
      </w:r>
      <w:r w:rsidRPr="002C2740">
        <w:t xml:space="preserve">sisenemisel ja </w:t>
      </w:r>
      <w:r w:rsidR="00353372">
        <w:t>võrgu</w:t>
      </w:r>
      <w:r w:rsidR="00876145">
        <w:t xml:space="preserve"> katvuse</w:t>
      </w:r>
      <w:r w:rsidRPr="002C2740">
        <w:t xml:space="preserve"> laiendamise tõkked kõrged ning FTTH ja FTTB </w:t>
      </w:r>
      <w:r w:rsidR="00AF441A">
        <w:t>sidevõrkude</w:t>
      </w:r>
      <w:r w:rsidRPr="002C2740">
        <w:t xml:space="preserve"> edendamine </w:t>
      </w:r>
      <w:r w:rsidR="00336554" w:rsidRPr="002C2740">
        <w:t xml:space="preserve">Eesti </w:t>
      </w:r>
      <w:r w:rsidRPr="002C2740">
        <w:t>piirkonnas B on eriti oluline.</w:t>
      </w:r>
    </w:p>
    <w:p w14:paraId="4C846757" w14:textId="65B581F7" w:rsidR="002A7329" w:rsidRPr="00FF3265" w:rsidRDefault="002A7329" w:rsidP="00AA241E">
      <w:pPr>
        <w:jc w:val="both"/>
      </w:pPr>
      <w:r w:rsidRPr="00FF3265">
        <w:t>•</w:t>
      </w:r>
      <w:r w:rsidRPr="00FF3265">
        <w:tab/>
      </w:r>
      <w:r w:rsidRPr="002C2740">
        <w:t xml:space="preserve">Telial on endiselt kontroll olulise elektroonilise side infrastruktuuri üle ja tehnoloogilised eelised </w:t>
      </w:r>
      <w:r w:rsidR="00AC0956">
        <w:t>valguskaabelvõrgu internetiühenduste B piirkonna jaetur</w:t>
      </w:r>
      <w:r w:rsidR="00B862F3">
        <w:t xml:space="preserve">ul </w:t>
      </w:r>
      <w:r w:rsidRPr="002C2740">
        <w:t>ning seda määras, mis individuaalselt võimaldab tal olla turgu valitseva seisundiga samaväärses majanduslikus seisundis.</w:t>
      </w:r>
    </w:p>
    <w:p w14:paraId="0E7D5D95" w14:textId="66DBABD2" w:rsidR="002A7329" w:rsidRPr="00FF3265" w:rsidRDefault="002A7329" w:rsidP="00AA241E">
      <w:pPr>
        <w:jc w:val="both"/>
      </w:pPr>
      <w:r w:rsidRPr="00FF3265">
        <w:t>•</w:t>
      </w:r>
      <w:r w:rsidRPr="00FF3265">
        <w:tab/>
      </w:r>
      <w:r w:rsidR="00B862F3">
        <w:t xml:space="preserve">valguskaabelvõrgu internetiühenduste B piirkonna jaeturul </w:t>
      </w:r>
      <w:r w:rsidRPr="00FF3265">
        <w:t xml:space="preserve">ei ole tasakaalustav </w:t>
      </w:r>
      <w:r w:rsidR="00EE71F9">
        <w:t>ostjaj</w:t>
      </w:r>
      <w:r w:rsidRPr="00FF3265">
        <w:t>õud piisav;</w:t>
      </w:r>
    </w:p>
    <w:p w14:paraId="7A7BE2F5" w14:textId="1DF0DF4E" w:rsidR="002A7329" w:rsidRPr="00FF3265" w:rsidRDefault="002A7329" w:rsidP="00AA241E">
      <w:pPr>
        <w:jc w:val="both"/>
      </w:pPr>
      <w:r w:rsidRPr="00FF3265">
        <w:lastRenderedPageBreak/>
        <w:t>•</w:t>
      </w:r>
      <w:r w:rsidRPr="00FF3265">
        <w:tab/>
      </w:r>
      <w:r>
        <w:t>Telial</w:t>
      </w:r>
      <w:r w:rsidRPr="00FF3265">
        <w:t xml:space="preserve"> on </w:t>
      </w:r>
      <w:r w:rsidR="00B862F3">
        <w:t>valguskaabelvõrgu internetiühenduste B piirkonna jaeturul</w:t>
      </w:r>
      <w:r w:rsidR="00876145">
        <w:t xml:space="preserve"> </w:t>
      </w:r>
      <w:r w:rsidRPr="00FF3265">
        <w:t xml:space="preserve">endiselt eeliseid seoses </w:t>
      </w:r>
      <w:r>
        <w:t>erinevate komplekslahendustega</w:t>
      </w:r>
      <w:r w:rsidRPr="00FF3265">
        <w:t xml:space="preserve"> niivõrd, kuivõrd see individuaalselt võimaldab tal olla turgu valitseva seisundiga samaväärses majandusliku</w:t>
      </w:r>
      <w:r w:rsidR="005B43C4">
        <w:t>s</w:t>
      </w:r>
      <w:r w:rsidRPr="00FF3265">
        <w:t xml:space="preserve"> seisundis;</w:t>
      </w:r>
    </w:p>
    <w:p w14:paraId="7DBEDC4B" w14:textId="3F4B8AD1" w:rsidR="002A7329" w:rsidRPr="00FF3265" w:rsidRDefault="002A7329" w:rsidP="00AA241E">
      <w:pPr>
        <w:jc w:val="both"/>
      </w:pPr>
      <w:r w:rsidRPr="00FF3265">
        <w:t>•</w:t>
      </w:r>
      <w:r w:rsidRPr="00FF3265">
        <w:tab/>
      </w:r>
      <w:r>
        <w:t>Telial</w:t>
      </w:r>
      <w:r w:rsidRPr="00FF3265">
        <w:t xml:space="preserve"> on nii mastaabi- kui ka mahusäästu eelised, samuti eelisjuurdepääs rahalistele vahenditele </w:t>
      </w:r>
      <w:r w:rsidR="006A2DCD">
        <w:t xml:space="preserve">valguskaabelvõrgu internetiühenduste B piirkonna jaeturul </w:t>
      </w:r>
      <w:r w:rsidRPr="00FF3265">
        <w:t>niivõrd, kuivõrd see individuaalselt võimaldab tal olla valitseva seisundiga samaväärses majandusliku</w:t>
      </w:r>
      <w:r w:rsidR="005B43C4">
        <w:t>s</w:t>
      </w:r>
      <w:r w:rsidRPr="00FF3265">
        <w:t xml:space="preserve"> positsioonis.</w:t>
      </w:r>
    </w:p>
    <w:p w14:paraId="4087AE50" w14:textId="219CB389" w:rsidR="00820CEC" w:rsidRDefault="002A7329" w:rsidP="00AA241E">
      <w:pPr>
        <w:jc w:val="both"/>
      </w:pPr>
      <w:r w:rsidRPr="00FF3265">
        <w:t>Võttes arvesse, et hulgimüük on tühine (</w:t>
      </w:r>
      <w:r w:rsidR="0007135D">
        <w:t>kliendiliin</w:t>
      </w:r>
      <w:r w:rsidRPr="00FF3265">
        <w:t xml:space="preserve">ide arv), viitab </w:t>
      </w:r>
      <w:r w:rsidR="0007135D">
        <w:t>hulgiturg</w:t>
      </w:r>
      <w:r w:rsidRPr="00FF3265">
        <w:t xml:space="preserve"> 3b põhimõtteliselt abstraktsele hulgimüügitasandi juurdepääsu andmisele oma </w:t>
      </w:r>
      <w:r>
        <w:t>jaeteenustele</w:t>
      </w:r>
      <w:r w:rsidRPr="00FF3265">
        <w:t xml:space="preserve">. Seega on eespool </w:t>
      </w:r>
      <w:r w:rsidRPr="002E251B">
        <w:t>nimetatud kriteeriumide analüüs jae</w:t>
      </w:r>
      <w:r w:rsidR="0048454E" w:rsidRPr="002E251B">
        <w:t xml:space="preserve">turul </w:t>
      </w:r>
      <w:r w:rsidRPr="002E251B">
        <w:t xml:space="preserve">kooskõlas ka hulgituru analüüsiga. Võttes arvesse punktides </w:t>
      </w:r>
      <w:r w:rsidR="001250D9" w:rsidRPr="002E251B">
        <w:t>6</w:t>
      </w:r>
      <w:r w:rsidRPr="002E251B">
        <w:t>.1.2.2–</w:t>
      </w:r>
      <w:r w:rsidR="001250D9" w:rsidRPr="002E251B">
        <w:t>6</w:t>
      </w:r>
      <w:r w:rsidRPr="002E251B">
        <w:t>.1.2.6 analüüsitud</w:t>
      </w:r>
      <w:r w:rsidRPr="00FF3265">
        <w:t xml:space="preserve"> kriteeriume, teeb </w:t>
      </w:r>
      <w:r>
        <w:t>TTJA</w:t>
      </w:r>
      <w:r w:rsidRPr="00FF3265">
        <w:t xml:space="preserve">  hulgi</w:t>
      </w:r>
      <w:r>
        <w:t xml:space="preserve">turu </w:t>
      </w:r>
      <w:r w:rsidRPr="00FF3265">
        <w:t>valdkonnas järgmised järeldused:</w:t>
      </w:r>
    </w:p>
    <w:p w14:paraId="56A32880" w14:textId="01970EAB" w:rsidR="00820CEC" w:rsidRDefault="002571C3" w:rsidP="00AA241E">
      <w:pPr>
        <w:pStyle w:val="Loendilik"/>
        <w:numPr>
          <w:ilvl w:val="0"/>
          <w:numId w:val="73"/>
        </w:numPr>
        <w:jc w:val="both"/>
      </w:pPr>
      <w:r w:rsidRPr="002571C3">
        <w:t>valguskaablivõrgu B piirkonna hulgiturul</w:t>
      </w:r>
      <w:r>
        <w:t>e</w:t>
      </w:r>
      <w:r w:rsidRPr="002571C3">
        <w:t xml:space="preserve"> 3b </w:t>
      </w:r>
      <w:r w:rsidR="00820CEC">
        <w:t xml:space="preserve">sisenemise ja </w:t>
      </w:r>
      <w:r w:rsidR="0036186F">
        <w:t>võrgu</w:t>
      </w:r>
      <w:r w:rsidR="00820CEC">
        <w:t xml:space="preserve"> laiendamise tõkked </w:t>
      </w:r>
      <w:r w:rsidR="0036186F">
        <w:t xml:space="preserve">on </w:t>
      </w:r>
      <w:r w:rsidR="00820CEC">
        <w:t>kõrged</w:t>
      </w:r>
      <w:r w:rsidR="0036186F">
        <w:t>;</w:t>
      </w:r>
    </w:p>
    <w:p w14:paraId="5599ACDB" w14:textId="7CB66787" w:rsidR="001C7B17" w:rsidRPr="001C7B17" w:rsidRDefault="00EA5E2A" w:rsidP="00AA241E">
      <w:pPr>
        <w:pStyle w:val="Loendilik"/>
        <w:numPr>
          <w:ilvl w:val="0"/>
          <w:numId w:val="73"/>
        </w:numPr>
        <w:jc w:val="both"/>
      </w:pPr>
      <w:r>
        <w:t>Telia</w:t>
      </w:r>
      <w:r w:rsidR="009E6AB2">
        <w:t>l on</w:t>
      </w:r>
      <w:r>
        <w:t xml:space="preserve">  </w:t>
      </w:r>
      <w:r w:rsidR="009E6AB2" w:rsidRPr="009E6AB2">
        <w:t>endiselt kontroll olulise elektroonilise side infrastruktuuri üle ja tehnoloogilised eelised</w:t>
      </w:r>
      <w:r w:rsidR="009E6AB2">
        <w:t xml:space="preserve"> </w:t>
      </w:r>
      <w:r w:rsidR="002571C3" w:rsidRPr="002571C3">
        <w:t xml:space="preserve">valguskaablivõrgu B piirkonna hulgiturul 3b </w:t>
      </w:r>
      <w:r w:rsidR="00463313">
        <w:t>ning</w:t>
      </w:r>
      <w:r w:rsidR="001C7B17" w:rsidRPr="001C7B17">
        <w:t xml:space="preserve"> see </w:t>
      </w:r>
      <w:r w:rsidR="00463313" w:rsidRPr="001C7B17">
        <w:t xml:space="preserve">võimaldab tal olla </w:t>
      </w:r>
      <w:r w:rsidR="001C7B17" w:rsidRPr="001C7B17">
        <w:t>individuaalselt turgu valitseva seisundiga samaväärses majandusliku</w:t>
      </w:r>
      <w:r w:rsidR="005B43C4">
        <w:t>s</w:t>
      </w:r>
      <w:r w:rsidR="001C7B17" w:rsidRPr="001C7B17">
        <w:t xml:space="preserve"> seisundis;</w:t>
      </w:r>
    </w:p>
    <w:p w14:paraId="73B74105" w14:textId="2F4CC245" w:rsidR="00602FDB" w:rsidRDefault="00602FDB" w:rsidP="00AA241E">
      <w:pPr>
        <w:pStyle w:val="Loendilik"/>
        <w:numPr>
          <w:ilvl w:val="0"/>
          <w:numId w:val="73"/>
        </w:numPr>
        <w:jc w:val="both"/>
      </w:pPr>
      <w:r w:rsidRPr="00602FDB">
        <w:t>Tasakaalustav ostu</w:t>
      </w:r>
      <w:r>
        <w:t xml:space="preserve"> jõud</w:t>
      </w:r>
      <w:r w:rsidRPr="00602FDB">
        <w:t xml:space="preserve"> hulgiturul on olemas juhul, kui alternatiivsed operaatorid saavad valida turgu valitsevast operaatorist erineva hulgimüügiteenuse osutaja. </w:t>
      </w:r>
      <w:r w:rsidR="0023693C" w:rsidRPr="009B4167">
        <w:t xml:space="preserve">Tasakaalustavast </w:t>
      </w:r>
      <w:r w:rsidR="00EE71F9">
        <w:t>ostjaj</w:t>
      </w:r>
      <w:r w:rsidR="0023693C" w:rsidRPr="009B4167">
        <w:t xml:space="preserve">õust </w:t>
      </w:r>
      <w:r w:rsidR="009B4167" w:rsidRPr="009B4167">
        <w:t xml:space="preserve">ei piisa </w:t>
      </w:r>
      <w:r w:rsidR="002571C3" w:rsidRPr="002571C3">
        <w:t>valguskaablivõrgu B piirkonna hulgiturul 3b</w:t>
      </w:r>
      <w:r w:rsidR="009B4167" w:rsidRPr="009B4167">
        <w:t xml:space="preserve">, sest hetkel ei ole ühtegi teist </w:t>
      </w:r>
      <w:r w:rsidR="00E1229B">
        <w:t>sideettevõtjat</w:t>
      </w:r>
      <w:r w:rsidR="009B4167" w:rsidRPr="009B4167">
        <w:t xml:space="preserve">, kes võimaldaks juurdepääsu </w:t>
      </w:r>
      <w:r w:rsidR="00165244">
        <w:t>lairibal</w:t>
      </w:r>
      <w:r w:rsidR="009B4167" w:rsidRPr="009B4167">
        <w:t xml:space="preserve">e. Tasakaalustav </w:t>
      </w:r>
      <w:r w:rsidR="00EE71F9">
        <w:t>ostjaj</w:t>
      </w:r>
      <w:r w:rsidR="009B4167" w:rsidRPr="009B4167">
        <w:t xml:space="preserve">õud ei ole piisav, sest ühelgi teisel </w:t>
      </w:r>
      <w:r w:rsidR="00165244">
        <w:t xml:space="preserve">Eesti </w:t>
      </w:r>
      <w:r w:rsidR="009B4167" w:rsidRPr="009B4167">
        <w:t>operaatoril ei ole samaväärset katvust, et võimaldada juurdepääsu</w:t>
      </w:r>
      <w:r w:rsidR="00B45AA7" w:rsidRPr="00B45AA7">
        <w:t xml:space="preserve"> valguskaablivõrgu B piirkonna hulgiturul 3b </w:t>
      </w:r>
      <w:r w:rsidR="009B4167" w:rsidRPr="009B4167">
        <w:t xml:space="preserve"> asuvale </w:t>
      </w:r>
      <w:r w:rsidR="003B5E14">
        <w:t>sideettevõtjale</w:t>
      </w:r>
      <w:r w:rsidR="009B4167" w:rsidRPr="009B4167">
        <w:t xml:space="preserve"> sellisel määral, nagu </w:t>
      </w:r>
      <w:r w:rsidR="003B5E14">
        <w:t>Telia</w:t>
      </w:r>
      <w:r w:rsidR="009B4167" w:rsidRPr="009B4167">
        <w:t xml:space="preserve"> seda suudab, kuna alternatiivsete operaatorite katvus on sageli piiratud</w:t>
      </w:r>
      <w:r w:rsidR="003B5E14">
        <w:t>;</w:t>
      </w:r>
    </w:p>
    <w:p w14:paraId="0E577239" w14:textId="75CD5015" w:rsidR="0097273E" w:rsidRDefault="0097273E" w:rsidP="00AA241E">
      <w:pPr>
        <w:pStyle w:val="Loendilik"/>
        <w:numPr>
          <w:ilvl w:val="0"/>
          <w:numId w:val="73"/>
        </w:numPr>
        <w:jc w:val="both"/>
      </w:pPr>
      <w:r>
        <w:t xml:space="preserve">Telial </w:t>
      </w:r>
      <w:r w:rsidRPr="0097273E">
        <w:t>on nii mastaabi- kui ka mahu</w:t>
      </w:r>
      <w:r>
        <w:t>säästu</w:t>
      </w:r>
      <w:r w:rsidRPr="0097273E">
        <w:t xml:space="preserve"> eelised, samuti eelisjuurdepääs rahalistele ressurssidele </w:t>
      </w:r>
      <w:r w:rsidR="00C84E2D" w:rsidRPr="00C84E2D">
        <w:t xml:space="preserve">valguskaablivõrgu B piirkonna hulgiturul 3b </w:t>
      </w:r>
      <w:r w:rsidRPr="0097273E">
        <w:t>niivõrd, kuivõrd see individuaalselt võimaldab tal olla turgu valitseva seisundiga samaväärses majandusliku</w:t>
      </w:r>
      <w:r w:rsidR="005B43C4">
        <w:t>s</w:t>
      </w:r>
      <w:r w:rsidRPr="0097273E">
        <w:t xml:space="preserve"> seisundis</w:t>
      </w:r>
      <w:r w:rsidR="00561420">
        <w:t>.</w:t>
      </w:r>
    </w:p>
    <w:p w14:paraId="70DD31D9" w14:textId="291E6A73" w:rsidR="00626D18" w:rsidRPr="00687C8A" w:rsidRDefault="00E9261B" w:rsidP="00AA241E">
      <w:pPr>
        <w:jc w:val="both"/>
        <w:rPr>
          <w:b/>
          <w:bCs/>
        </w:rPr>
      </w:pPr>
      <w:r w:rsidRPr="00687C8A">
        <w:rPr>
          <w:b/>
          <w:bCs/>
        </w:rPr>
        <w:t xml:space="preserve">Võttes arvesse turuosa analüüsi ja muid kriteeriume, ei </w:t>
      </w:r>
      <w:r w:rsidR="005210A5">
        <w:rPr>
          <w:b/>
          <w:bCs/>
        </w:rPr>
        <w:t xml:space="preserve">ole </w:t>
      </w:r>
      <w:r w:rsidR="00E75D2C" w:rsidRPr="00687C8A">
        <w:rPr>
          <w:b/>
          <w:bCs/>
        </w:rPr>
        <w:t xml:space="preserve">valguskaablivõrgu B piirkonna hulgiturul 3b </w:t>
      </w:r>
      <w:r w:rsidRPr="00687C8A">
        <w:rPr>
          <w:b/>
          <w:bCs/>
        </w:rPr>
        <w:t xml:space="preserve"> tõhusat konkurentsi ja </w:t>
      </w:r>
      <w:r w:rsidR="0042209E" w:rsidRPr="00687C8A">
        <w:rPr>
          <w:b/>
          <w:bCs/>
        </w:rPr>
        <w:t>Telia</w:t>
      </w:r>
      <w:r w:rsidRPr="00687C8A">
        <w:rPr>
          <w:b/>
          <w:bCs/>
        </w:rPr>
        <w:t xml:space="preserve"> on endiselt majandusliku </w:t>
      </w:r>
      <w:r w:rsidR="00F97D86" w:rsidRPr="00687C8A">
        <w:rPr>
          <w:b/>
          <w:bCs/>
        </w:rPr>
        <w:t>ülekaalu</w:t>
      </w:r>
      <w:r w:rsidRPr="00687C8A">
        <w:rPr>
          <w:b/>
          <w:bCs/>
        </w:rPr>
        <w:t xml:space="preserve"> positsioonis, mis on samaväärne turgu valitseva seisundiga. Nimelt on </w:t>
      </w:r>
      <w:r w:rsidR="00F97D86" w:rsidRPr="00687C8A">
        <w:rPr>
          <w:b/>
          <w:bCs/>
        </w:rPr>
        <w:t>Telia</w:t>
      </w:r>
      <w:r w:rsidRPr="00687C8A">
        <w:rPr>
          <w:b/>
          <w:bCs/>
        </w:rPr>
        <w:t xml:space="preserve"> endiselt </w:t>
      </w:r>
      <w:r w:rsidR="00F97D86" w:rsidRPr="00687C8A">
        <w:rPr>
          <w:b/>
          <w:bCs/>
        </w:rPr>
        <w:t>MTE</w:t>
      </w:r>
      <w:r w:rsidRPr="00687C8A">
        <w:rPr>
          <w:b/>
          <w:bCs/>
        </w:rPr>
        <w:t>.</w:t>
      </w:r>
    </w:p>
    <w:p w14:paraId="1E161CDD" w14:textId="5FF7CD31" w:rsidR="002A7329" w:rsidRDefault="002A7329" w:rsidP="00AA241E">
      <w:pPr>
        <w:pStyle w:val="Loendilik"/>
        <w:numPr>
          <w:ilvl w:val="0"/>
          <w:numId w:val="72"/>
        </w:numPr>
        <w:jc w:val="both"/>
      </w:pPr>
      <w:r>
        <w:br w:type="page"/>
      </w:r>
    </w:p>
    <w:p w14:paraId="7304858E" w14:textId="77777777" w:rsidR="00BF0895" w:rsidRDefault="00BF0895" w:rsidP="00AA241E">
      <w:pPr>
        <w:pStyle w:val="Heading49"/>
        <w:numPr>
          <w:ilvl w:val="3"/>
          <w:numId w:val="70"/>
        </w:numPr>
      </w:pPr>
      <w:r w:rsidRPr="006C3C03">
        <w:lastRenderedPageBreak/>
        <w:t>Kolme kriteeriumi test</w:t>
      </w:r>
    </w:p>
    <w:p w14:paraId="462EDE2F" w14:textId="226DA0B9" w:rsidR="000D4384" w:rsidRPr="002E251B" w:rsidRDefault="000D4384" w:rsidP="00AA241E">
      <w:pPr>
        <w:jc w:val="both"/>
      </w:pPr>
      <w:r>
        <w:t xml:space="preserve">Võttes arvesse, et </w:t>
      </w:r>
      <w:r w:rsidR="00540C1B">
        <w:t xml:space="preserve">lairiba juurdepääsu hulgiteenuse maht </w:t>
      </w:r>
      <w:r>
        <w:t>on tühine (</w:t>
      </w:r>
      <w:r w:rsidR="005A4FEE" w:rsidRPr="002E251B">
        <w:t xml:space="preserve">väike </w:t>
      </w:r>
      <w:r w:rsidR="00C86E76" w:rsidRPr="002E251B">
        <w:t>kliendi</w:t>
      </w:r>
      <w:r w:rsidRPr="002E251B">
        <w:t xml:space="preserve">liinide arv), viitab 3b hulgiturg põhimõtteliselt </w:t>
      </w:r>
      <w:r w:rsidR="00770BB4" w:rsidRPr="002E251B">
        <w:t xml:space="preserve">oma jaeturu teenustele </w:t>
      </w:r>
      <w:r w:rsidRPr="002E251B">
        <w:t>abstraktse</w:t>
      </w:r>
      <w:r w:rsidR="00A60A2D" w:rsidRPr="002E251B">
        <w:t xml:space="preserve"> </w:t>
      </w:r>
      <w:r w:rsidRPr="002E251B">
        <w:t xml:space="preserve">hulgimüügitasandi juurdepääsu andmisele. Seega vastab </w:t>
      </w:r>
      <w:r w:rsidR="006C2D43" w:rsidRPr="002E251B">
        <w:t xml:space="preserve">jaeturul läbiviidud </w:t>
      </w:r>
      <w:r w:rsidRPr="002E251B">
        <w:t xml:space="preserve">kolme kriteeriumi </w:t>
      </w:r>
      <w:r w:rsidR="009D0F2F" w:rsidRPr="002E251B">
        <w:t>test</w:t>
      </w:r>
      <w:r w:rsidR="00865905" w:rsidRPr="002E251B">
        <w:t>i tulemus</w:t>
      </w:r>
      <w:r w:rsidRPr="002E251B">
        <w:t xml:space="preserve"> (punkt </w:t>
      </w:r>
      <w:r w:rsidR="00F24E85" w:rsidRPr="002E251B">
        <w:t>6</w:t>
      </w:r>
      <w:r w:rsidRPr="002E251B">
        <w:t>.1.2.7) ka hulgi</w:t>
      </w:r>
      <w:r w:rsidR="006C2D43" w:rsidRPr="002E251B">
        <w:t>tur</w:t>
      </w:r>
      <w:r w:rsidR="00865905" w:rsidRPr="002E251B">
        <w:t>u</w:t>
      </w:r>
      <w:r w:rsidR="006C2D43" w:rsidRPr="002E251B">
        <w:t>l</w:t>
      </w:r>
      <w:r w:rsidRPr="002E251B">
        <w:t xml:space="preserve"> </w:t>
      </w:r>
      <w:r w:rsidR="001D549B" w:rsidRPr="002E251B">
        <w:t>läbi viidud</w:t>
      </w:r>
      <w:r w:rsidRPr="002E251B">
        <w:t xml:space="preserve"> kolme kriteeriumi </w:t>
      </w:r>
      <w:r w:rsidR="00865905" w:rsidRPr="002E251B">
        <w:t>testile</w:t>
      </w:r>
      <w:r w:rsidRPr="002E251B">
        <w:t>.</w:t>
      </w:r>
    </w:p>
    <w:p w14:paraId="0F0E9D46" w14:textId="2CAE9B07" w:rsidR="000D4384" w:rsidRPr="002E251B" w:rsidRDefault="00700899" w:rsidP="00AA241E">
      <w:pPr>
        <w:jc w:val="both"/>
      </w:pPr>
      <w:r w:rsidRPr="002E251B">
        <w:t>TTJA analüüsis</w:t>
      </w:r>
      <w:r w:rsidR="000D4384" w:rsidRPr="002E251B">
        <w:t xml:space="preserve"> </w:t>
      </w:r>
      <w:r w:rsidRPr="002E251B">
        <w:t xml:space="preserve">üksikasjalikult </w:t>
      </w:r>
      <w:r w:rsidR="0062361D" w:rsidRPr="002E251B">
        <w:rPr>
          <w:rFonts w:cs="Times New Roman"/>
        </w:rPr>
        <w:t>valguskaabelvõrgu internetiühenduste B piirkonna jaeturg</w:t>
      </w:r>
      <w:r w:rsidR="00F62546" w:rsidRPr="002E251B">
        <w:rPr>
          <w:rFonts w:cs="Times New Roman"/>
        </w:rPr>
        <w:t>u</w:t>
      </w:r>
      <w:r w:rsidR="0062361D" w:rsidRPr="002E251B">
        <w:rPr>
          <w:rFonts w:cs="Times New Roman"/>
        </w:rPr>
        <w:t xml:space="preserve"> </w:t>
      </w:r>
      <w:r w:rsidR="000D4384" w:rsidRPr="002E251B">
        <w:t xml:space="preserve">punktis </w:t>
      </w:r>
      <w:r w:rsidR="00F24E85" w:rsidRPr="002E251B">
        <w:t>6</w:t>
      </w:r>
      <w:r w:rsidR="000E4D08" w:rsidRPr="002E251B">
        <w:t>.</w:t>
      </w:r>
      <w:r w:rsidR="000D4384" w:rsidRPr="002E251B">
        <w:t>1.2.2 esitatud sisenemistõkkeid ja jõudis järeldusele, et tõkked elektroonilise side võr</w:t>
      </w:r>
      <w:r w:rsidR="00B77994" w:rsidRPr="002E251B">
        <w:t>g</w:t>
      </w:r>
      <w:r w:rsidR="000D4384" w:rsidRPr="002E251B">
        <w:t>u</w:t>
      </w:r>
      <w:r w:rsidR="00B77994" w:rsidRPr="002E251B">
        <w:t xml:space="preserve">s </w:t>
      </w:r>
      <w:bookmarkStart w:id="891" w:name="_Hlk174100028"/>
      <w:r w:rsidR="00B77994" w:rsidRPr="002E251B">
        <w:t>teenuse osutamise turule</w:t>
      </w:r>
      <w:r w:rsidR="000D4384" w:rsidRPr="002E251B">
        <w:t xml:space="preserve"> sisenemisel ja </w:t>
      </w:r>
      <w:r w:rsidR="00B77994" w:rsidRPr="002E251B">
        <w:t xml:space="preserve">võrgu </w:t>
      </w:r>
      <w:r w:rsidR="000D4384" w:rsidRPr="002E251B">
        <w:t xml:space="preserve">laiendamisel </w:t>
      </w:r>
      <w:bookmarkEnd w:id="891"/>
      <w:r w:rsidR="0060686C" w:rsidRPr="002E251B">
        <w:t xml:space="preserve">valguskaabelvõrgu internetiühenduste B piirkonna jaeturul </w:t>
      </w:r>
      <w:r w:rsidR="0060686C" w:rsidRPr="002E251B">
        <w:rPr>
          <w:rFonts w:cs="Times New Roman"/>
        </w:rPr>
        <w:t xml:space="preserve">on </w:t>
      </w:r>
      <w:r w:rsidR="000D4384" w:rsidRPr="002E251B">
        <w:t>suured. Jae</w:t>
      </w:r>
      <w:r w:rsidR="00A135E3" w:rsidRPr="002E251B">
        <w:t>turul</w:t>
      </w:r>
      <w:r w:rsidR="000D4384" w:rsidRPr="002E251B">
        <w:t xml:space="preserve"> analüüsitud turul</w:t>
      </w:r>
      <w:r w:rsidR="001C7488" w:rsidRPr="002E251B">
        <w:t>e sisenemise</w:t>
      </w:r>
      <w:r w:rsidR="000D4384" w:rsidRPr="002E251B">
        <w:t xml:space="preserve"> tõkked kehtivad ka hulgi</w:t>
      </w:r>
      <w:r w:rsidR="001C7488" w:rsidRPr="002E251B">
        <w:t>turu</w:t>
      </w:r>
      <w:r w:rsidR="000D4384" w:rsidRPr="002E251B">
        <w:t xml:space="preserve">l. Seega, arvestades punktides </w:t>
      </w:r>
      <w:r w:rsidR="00F24E85" w:rsidRPr="002E251B">
        <w:t>6</w:t>
      </w:r>
      <w:r w:rsidR="000D4384" w:rsidRPr="002E251B">
        <w:t xml:space="preserve">.1.2.2 ja </w:t>
      </w:r>
      <w:r w:rsidR="00F24E85" w:rsidRPr="002E251B">
        <w:t>6</w:t>
      </w:r>
      <w:r w:rsidR="000D4384" w:rsidRPr="002E251B">
        <w:t>.2.2.1 tehtud analüüsi, on täidetud</w:t>
      </w:r>
      <w:r w:rsidR="000D4384">
        <w:t xml:space="preserve"> kolme </w:t>
      </w:r>
      <w:r w:rsidR="000D4384" w:rsidRPr="002E251B">
        <w:t xml:space="preserve">kriteeriumi </w:t>
      </w:r>
      <w:r w:rsidR="001C7488" w:rsidRPr="002E251B">
        <w:t xml:space="preserve">testi </w:t>
      </w:r>
      <w:r w:rsidR="000D4384" w:rsidRPr="002E251B">
        <w:t>esimene kriteerium, mis on määratletud kui suurte ja pikaajaliste struktuursete, õiguslike või regulatiivsete tõkete olemasolu turule (hulgiturule) sisenemisel.</w:t>
      </w:r>
    </w:p>
    <w:p w14:paraId="467B032D" w14:textId="40665144" w:rsidR="00F14EC7" w:rsidRDefault="00700E5A" w:rsidP="00AA241E">
      <w:pPr>
        <w:jc w:val="both"/>
      </w:pPr>
      <w:r w:rsidRPr="002E251B">
        <w:t>TTJA</w:t>
      </w:r>
      <w:r w:rsidR="000D4384" w:rsidRPr="002E251B">
        <w:t xml:space="preserve"> viis läbi </w:t>
      </w:r>
      <w:r w:rsidR="0060686C" w:rsidRPr="002E251B">
        <w:rPr>
          <w:rFonts w:cs="Times New Roman"/>
        </w:rPr>
        <w:t>valguskaabelvõrgu internetiühenduste B piirkonna jaeturu</w:t>
      </w:r>
      <w:r w:rsidR="0060686C" w:rsidRPr="002E251B">
        <w:t xml:space="preserve"> </w:t>
      </w:r>
      <w:r w:rsidR="000D4384" w:rsidRPr="002E251B">
        <w:t xml:space="preserve">turuanalüüsi punktis </w:t>
      </w:r>
      <w:r w:rsidR="00F24E85" w:rsidRPr="002E251B">
        <w:t>6</w:t>
      </w:r>
      <w:r w:rsidR="000D4384" w:rsidRPr="002E251B">
        <w:t xml:space="preserve">.1.2 ja jõudis järeldusele, et kolme kriteeriumi testi teine kriteerium, </w:t>
      </w:r>
      <w:r w:rsidR="000E4D08" w:rsidRPr="002E251B">
        <w:t xml:space="preserve">mis on määratletud kui turustruktuur, mis ei ole suunatud tõhusale konkurentsile, on täidetud, sest TTJA analüüsi kohaselt puudub </w:t>
      </w:r>
      <w:r w:rsidR="003B3451" w:rsidRPr="002E251B">
        <w:rPr>
          <w:rFonts w:cs="Times New Roman"/>
        </w:rPr>
        <w:t xml:space="preserve">valguskaabelvõrgu internetiühenduste </w:t>
      </w:r>
      <w:r w:rsidR="000E4D08" w:rsidRPr="002E251B">
        <w:rPr>
          <w:rFonts w:cs="Times New Roman"/>
        </w:rPr>
        <w:t xml:space="preserve">B </w:t>
      </w:r>
      <w:r w:rsidR="003B3451" w:rsidRPr="002E251B">
        <w:rPr>
          <w:rFonts w:cs="Times New Roman"/>
        </w:rPr>
        <w:t>piirkonna jaeturul</w:t>
      </w:r>
      <w:r w:rsidR="003B3451" w:rsidRPr="002E251B">
        <w:t xml:space="preserve"> </w:t>
      </w:r>
      <w:r w:rsidR="000E4D08" w:rsidRPr="002E251B">
        <w:t xml:space="preserve">tõhus konkurents. </w:t>
      </w:r>
      <w:r w:rsidR="00593ECF" w:rsidRPr="002E251B">
        <w:t>Seega ei ole täidetud kolme kriteeriumi testi teine kriteerium: turustruktuur, mis ei võimalda tõhusa konkurentsi saavutamist teatava aja jooksul</w:t>
      </w:r>
      <w:r w:rsidR="000D4384" w:rsidRPr="002E251B">
        <w:t xml:space="preserve"> on täidetud, sest </w:t>
      </w:r>
      <w:r w:rsidR="00AC1E92" w:rsidRPr="002E251B">
        <w:t>TTJA</w:t>
      </w:r>
      <w:r w:rsidR="000D4384" w:rsidRPr="002E251B">
        <w:t xml:space="preserve"> analüüsi kohaselt puudub </w:t>
      </w:r>
      <w:r w:rsidR="00986ADB" w:rsidRPr="002E251B">
        <w:rPr>
          <w:rFonts w:cs="Times New Roman"/>
        </w:rPr>
        <w:t>valguskaabelvõrgu</w:t>
      </w:r>
      <w:r w:rsidR="00700899" w:rsidRPr="002E251B">
        <w:rPr>
          <w:rFonts w:cs="Times New Roman"/>
        </w:rPr>
        <w:t xml:space="preserve"> internetiühenduste </w:t>
      </w:r>
      <w:r w:rsidR="00F430EF" w:rsidRPr="002E251B">
        <w:rPr>
          <w:rFonts w:cs="Times New Roman"/>
        </w:rPr>
        <w:t>B piirkonna jaetur</w:t>
      </w:r>
      <w:r w:rsidR="00AB73B4" w:rsidRPr="002E251B">
        <w:rPr>
          <w:rFonts w:cs="Times New Roman"/>
        </w:rPr>
        <w:t>ul</w:t>
      </w:r>
      <w:r w:rsidR="00700899" w:rsidRPr="002E251B">
        <w:rPr>
          <w:rFonts w:cs="Times New Roman"/>
        </w:rPr>
        <w:t xml:space="preserve"> </w:t>
      </w:r>
      <w:r w:rsidR="000D4384" w:rsidRPr="002E251B">
        <w:t xml:space="preserve">tõhus konkurents. Seega, võttes arvesse </w:t>
      </w:r>
      <w:r w:rsidR="00BA57AC" w:rsidRPr="002E251B">
        <w:t>Telia</w:t>
      </w:r>
      <w:r w:rsidR="000D4384" w:rsidRPr="002E251B">
        <w:t xml:space="preserve"> suuri turuosasid </w:t>
      </w:r>
      <w:r w:rsidR="00774114" w:rsidRPr="002E251B">
        <w:t xml:space="preserve">valguskaablivõrgu B piirkonna hulgiturul 3b </w:t>
      </w:r>
      <w:r w:rsidR="000D4384" w:rsidRPr="002E251B">
        <w:t xml:space="preserve">(vt punkt </w:t>
      </w:r>
      <w:r w:rsidR="00531926" w:rsidRPr="002E251B">
        <w:t>6</w:t>
      </w:r>
      <w:r w:rsidR="000D4384" w:rsidRPr="002E251B">
        <w:t xml:space="preserve">.2.2.1) ja muid analüüsitud kriteeriume punktides </w:t>
      </w:r>
      <w:r w:rsidR="00531926" w:rsidRPr="002E251B">
        <w:t>6</w:t>
      </w:r>
      <w:r w:rsidR="000D4384" w:rsidRPr="002E251B">
        <w:t xml:space="preserve">.1.2 ja </w:t>
      </w:r>
      <w:r w:rsidR="00531926" w:rsidRPr="002E251B">
        <w:t>6</w:t>
      </w:r>
      <w:r w:rsidR="000D4384" w:rsidRPr="002E251B">
        <w:t xml:space="preserve">.2.2.1, on täidetud kolme kriteeriumi </w:t>
      </w:r>
      <w:r w:rsidR="00BA57AC" w:rsidRPr="002E251B">
        <w:t>testi</w:t>
      </w:r>
      <w:r w:rsidR="000D4384" w:rsidRPr="002E251B">
        <w:t xml:space="preserve"> teine</w:t>
      </w:r>
      <w:r w:rsidR="000D4384">
        <w:t xml:space="preserve"> kriteerium</w:t>
      </w:r>
      <w:r w:rsidR="00107983">
        <w:t xml:space="preserve">: </w:t>
      </w:r>
      <w:r w:rsidR="00107983" w:rsidRPr="00EB5D52">
        <w:t xml:space="preserve">turustruktuur, mis ei võimalda tõhusa konkurentsi saavutamist </w:t>
      </w:r>
      <w:r w:rsidR="000E4D08" w:rsidRPr="000E4D08">
        <w:t>ettenähtud</w:t>
      </w:r>
      <w:r w:rsidR="00107983" w:rsidRPr="00EB5D52">
        <w:t xml:space="preserve"> aja jooksul</w:t>
      </w:r>
      <w:r w:rsidR="00F2692B">
        <w:t xml:space="preserve"> (hulgiturul)</w:t>
      </w:r>
      <w:r w:rsidR="00107983" w:rsidRPr="00EB5D52">
        <w:t xml:space="preserve">. </w:t>
      </w:r>
    </w:p>
    <w:p w14:paraId="33FEF601" w14:textId="77777777" w:rsidR="00B96009" w:rsidRDefault="00F430EF" w:rsidP="00AA241E">
      <w:pPr>
        <w:jc w:val="both"/>
        <w:rPr>
          <w:b/>
          <w:bCs/>
        </w:rPr>
      </w:pPr>
      <w:r w:rsidRPr="00476291">
        <w:rPr>
          <w:rFonts w:cs="Times New Roman"/>
        </w:rPr>
        <w:t>Valguskaabelvõrgu</w:t>
      </w:r>
      <w:r w:rsidR="00700899" w:rsidRPr="00476291">
        <w:rPr>
          <w:rFonts w:cs="Times New Roman"/>
        </w:rPr>
        <w:t xml:space="preserve"> internetiühenduste </w:t>
      </w:r>
      <w:r w:rsidRPr="00476291">
        <w:rPr>
          <w:rFonts w:cs="Times New Roman"/>
        </w:rPr>
        <w:t>B piirkonna jaeturu</w:t>
      </w:r>
      <w:r w:rsidR="00700899" w:rsidRPr="00476291">
        <w:t xml:space="preserve"> </w:t>
      </w:r>
      <w:r w:rsidR="000D4384" w:rsidRPr="00476291">
        <w:t xml:space="preserve">infrastruktuuris </w:t>
      </w:r>
      <w:r w:rsidRPr="00476291">
        <w:t>puudub</w:t>
      </w:r>
      <w:r w:rsidR="000D4384" w:rsidRPr="00476291">
        <w:t xml:space="preserve"> endiselt konkurents</w:t>
      </w:r>
      <w:r w:rsidRPr="00476291">
        <w:t xml:space="preserve"> ja</w:t>
      </w:r>
      <w:r w:rsidR="000D4384" w:rsidRPr="00476291">
        <w:t xml:space="preserve"> ei piisa ka üldise konkurentsiõiguse kohaldamisest (hulgi</w:t>
      </w:r>
      <w:r w:rsidR="00F2692B" w:rsidRPr="00476291">
        <w:t>turul</w:t>
      </w:r>
      <w:r w:rsidR="000D4384" w:rsidRPr="00476291">
        <w:t>), kuna püsivate turutõrgete kõrvaldamine nõuab kohest sekkumist</w:t>
      </w:r>
      <w:r w:rsidR="000D4384" w:rsidRPr="00687C8A">
        <w:rPr>
          <w:b/>
          <w:bCs/>
        </w:rPr>
        <w:t xml:space="preserve">. </w:t>
      </w:r>
    </w:p>
    <w:p w14:paraId="24CACB57" w14:textId="2644AF1F" w:rsidR="00657808" w:rsidRPr="00687C8A" w:rsidRDefault="000D4384" w:rsidP="00AA241E">
      <w:pPr>
        <w:jc w:val="both"/>
        <w:rPr>
          <w:b/>
          <w:bCs/>
        </w:rPr>
      </w:pPr>
      <w:r w:rsidRPr="00687C8A">
        <w:rPr>
          <w:b/>
          <w:bCs/>
        </w:rPr>
        <w:t xml:space="preserve">Seega on kõik kolm kriteeriumi </w:t>
      </w:r>
      <w:r w:rsidR="00E21DAB" w:rsidRPr="00687C8A">
        <w:rPr>
          <w:b/>
          <w:bCs/>
        </w:rPr>
        <w:t>valguskaablivõrgu</w:t>
      </w:r>
      <w:r w:rsidR="009F4206" w:rsidRPr="00687C8A">
        <w:rPr>
          <w:b/>
          <w:bCs/>
        </w:rPr>
        <w:t xml:space="preserve"> B</w:t>
      </w:r>
      <w:r w:rsidRPr="00687C8A">
        <w:rPr>
          <w:b/>
          <w:bCs/>
        </w:rPr>
        <w:t xml:space="preserve"> </w:t>
      </w:r>
      <w:r w:rsidR="00E21DAB" w:rsidRPr="00687C8A">
        <w:rPr>
          <w:b/>
          <w:bCs/>
        </w:rPr>
        <w:t>piirkonna</w:t>
      </w:r>
      <w:r w:rsidR="009F4206" w:rsidRPr="00687C8A">
        <w:rPr>
          <w:b/>
          <w:bCs/>
        </w:rPr>
        <w:t xml:space="preserve"> hulgiturul</w:t>
      </w:r>
      <w:r w:rsidRPr="00687C8A">
        <w:rPr>
          <w:b/>
          <w:bCs/>
        </w:rPr>
        <w:t xml:space="preserve"> </w:t>
      </w:r>
      <w:r w:rsidR="00E21DAB" w:rsidRPr="00687C8A">
        <w:rPr>
          <w:b/>
          <w:bCs/>
        </w:rPr>
        <w:t xml:space="preserve">3b </w:t>
      </w:r>
      <w:r w:rsidRPr="00687C8A">
        <w:rPr>
          <w:b/>
          <w:bCs/>
        </w:rPr>
        <w:t xml:space="preserve">täidetud ja </w:t>
      </w:r>
      <w:r w:rsidR="009F4206" w:rsidRPr="00687C8A">
        <w:rPr>
          <w:b/>
          <w:bCs/>
        </w:rPr>
        <w:t>TTJA</w:t>
      </w:r>
      <w:r w:rsidRPr="00687C8A">
        <w:rPr>
          <w:b/>
          <w:bCs/>
        </w:rPr>
        <w:t xml:space="preserve"> järeldab, et regulatiivne sekkumine asjaomasel hulgiturul on endiselt vajalik.</w:t>
      </w:r>
    </w:p>
    <w:p w14:paraId="3E73851B" w14:textId="7BD405BF" w:rsidR="006023AC" w:rsidRDefault="00BF0895" w:rsidP="00AA241E">
      <w:pPr>
        <w:pStyle w:val="Heading49"/>
        <w:numPr>
          <w:ilvl w:val="3"/>
          <w:numId w:val="70"/>
        </w:numPr>
      </w:pPr>
      <w:r w:rsidRPr="006C3C03">
        <w:t>Turuanalüüsi järeldused</w:t>
      </w:r>
    </w:p>
    <w:p w14:paraId="1D9674FC" w14:textId="3483FEAC" w:rsidR="00E21DAB" w:rsidRDefault="006023AC" w:rsidP="00AA241E">
      <w:pPr>
        <w:jc w:val="both"/>
      </w:pPr>
      <w:r>
        <w:t xml:space="preserve">Võttes arvesse </w:t>
      </w:r>
      <w:r w:rsidRPr="002E251B">
        <w:t xml:space="preserve">punktis </w:t>
      </w:r>
      <w:r w:rsidR="00687C8A" w:rsidRPr="002E251B">
        <w:t>6</w:t>
      </w:r>
      <w:r w:rsidRPr="002E251B">
        <w:t>.2.2 tehtud</w:t>
      </w:r>
      <w:r>
        <w:t xml:space="preserve"> analüüsi, puudub tõhus konkurents </w:t>
      </w:r>
      <w:r w:rsidR="00E92A0E">
        <w:rPr>
          <w:rFonts w:cs="Times New Roman"/>
        </w:rPr>
        <w:t>v</w:t>
      </w:r>
      <w:r w:rsidR="00E92A0E" w:rsidRPr="009D7FE5">
        <w:rPr>
          <w:rFonts w:cs="Times New Roman"/>
        </w:rPr>
        <w:t>alguskaablivõrgu</w:t>
      </w:r>
      <w:r w:rsidR="00E92A0E">
        <w:rPr>
          <w:rFonts w:cs="Times New Roman"/>
        </w:rPr>
        <w:t xml:space="preserve"> </w:t>
      </w:r>
      <w:r w:rsidR="002E2FBE">
        <w:rPr>
          <w:rFonts w:cs="Times New Roman"/>
        </w:rPr>
        <w:t>B</w:t>
      </w:r>
      <w:r w:rsidR="002E2FBE" w:rsidRPr="009D7FE5">
        <w:rPr>
          <w:rFonts w:cs="Times New Roman"/>
        </w:rPr>
        <w:t xml:space="preserve"> piirkonna hulgitur</w:t>
      </w:r>
      <w:r w:rsidR="00E92A0E">
        <w:rPr>
          <w:rFonts w:cs="Times New Roman"/>
        </w:rPr>
        <w:t>ul</w:t>
      </w:r>
      <w:r w:rsidR="002E2FBE" w:rsidRPr="009D7FE5">
        <w:rPr>
          <w:rFonts w:cs="Times New Roman"/>
        </w:rPr>
        <w:t xml:space="preserve"> </w:t>
      </w:r>
      <w:r w:rsidR="002E2FBE">
        <w:rPr>
          <w:rFonts w:cs="Times New Roman"/>
        </w:rPr>
        <w:t>3b</w:t>
      </w:r>
      <w:r w:rsidR="002E2FBE">
        <w:t xml:space="preserve"> </w:t>
      </w:r>
      <w:r w:rsidR="00875AB0">
        <w:t xml:space="preserve">ja Telial </w:t>
      </w:r>
      <w:r>
        <w:t xml:space="preserve">on märkimisväärne turujõud </w:t>
      </w:r>
      <w:r w:rsidR="00E21DAB">
        <w:rPr>
          <w:rFonts w:cs="Times New Roman"/>
        </w:rPr>
        <w:t>v</w:t>
      </w:r>
      <w:r w:rsidR="00E21DAB" w:rsidRPr="009D7FE5">
        <w:rPr>
          <w:rFonts w:cs="Times New Roman"/>
        </w:rPr>
        <w:t>alguskaablivõrgu</w:t>
      </w:r>
      <w:r w:rsidR="00E21DAB">
        <w:rPr>
          <w:rFonts w:cs="Times New Roman"/>
        </w:rPr>
        <w:t xml:space="preserve">s </w:t>
      </w:r>
      <w:r w:rsidR="00E92A0E">
        <w:rPr>
          <w:rFonts w:cs="Times New Roman"/>
        </w:rPr>
        <w:t>B</w:t>
      </w:r>
      <w:r w:rsidR="00E92A0E" w:rsidRPr="009D7FE5">
        <w:rPr>
          <w:rFonts w:cs="Times New Roman"/>
        </w:rPr>
        <w:t xml:space="preserve"> piirkonna hulgitur</w:t>
      </w:r>
      <w:r w:rsidR="00E21DAB">
        <w:rPr>
          <w:rFonts w:cs="Times New Roman"/>
        </w:rPr>
        <w:t>ul</w:t>
      </w:r>
      <w:r w:rsidR="00E92A0E" w:rsidRPr="009D7FE5">
        <w:rPr>
          <w:rFonts w:cs="Times New Roman"/>
        </w:rPr>
        <w:t xml:space="preserve"> </w:t>
      </w:r>
      <w:r w:rsidR="00E92A0E">
        <w:rPr>
          <w:rFonts w:cs="Times New Roman"/>
        </w:rPr>
        <w:t>3b</w:t>
      </w:r>
      <w:r w:rsidR="00E21DAB">
        <w:t>.</w:t>
      </w:r>
    </w:p>
    <w:p w14:paraId="4592F56C" w14:textId="61F8B722" w:rsidR="009B3B9E" w:rsidRDefault="006023AC" w:rsidP="00AA241E">
      <w:pPr>
        <w:jc w:val="both"/>
      </w:pPr>
      <w:r>
        <w:t xml:space="preserve">Seega määratleb </w:t>
      </w:r>
      <w:r w:rsidR="008A3245">
        <w:t xml:space="preserve">TTJA </w:t>
      </w:r>
      <w:r>
        <w:t xml:space="preserve"> </w:t>
      </w:r>
      <w:r w:rsidR="008A3245">
        <w:t>Telia</w:t>
      </w:r>
      <w:r>
        <w:t xml:space="preserve"> kui </w:t>
      </w:r>
      <w:r w:rsidR="008A3245">
        <w:t>sideettevõtjat</w:t>
      </w:r>
      <w:r w:rsidR="00F661D4">
        <w:t>,</w:t>
      </w:r>
      <w:r>
        <w:t xml:space="preserve"> kellel on märkimisväärne </w:t>
      </w:r>
      <w:r w:rsidR="00F661D4">
        <w:t>turujõud</w:t>
      </w:r>
      <w:r>
        <w:t xml:space="preserve"> </w:t>
      </w:r>
      <w:r w:rsidR="002E2FBE">
        <w:rPr>
          <w:rFonts w:cs="Times New Roman"/>
        </w:rPr>
        <w:t>v</w:t>
      </w:r>
      <w:r w:rsidR="002E2FBE" w:rsidRPr="009D7FE5">
        <w:rPr>
          <w:rFonts w:cs="Times New Roman"/>
        </w:rPr>
        <w:t>alguskaablivõrgu</w:t>
      </w:r>
      <w:r w:rsidR="002E2FBE">
        <w:rPr>
          <w:rFonts w:cs="Times New Roman"/>
        </w:rPr>
        <w:t xml:space="preserve"> B</w:t>
      </w:r>
      <w:r w:rsidR="002E2FBE" w:rsidRPr="009D7FE5">
        <w:rPr>
          <w:rFonts w:cs="Times New Roman"/>
        </w:rPr>
        <w:t xml:space="preserve"> piirkonna</w:t>
      </w:r>
      <w:r w:rsidR="00F661D4">
        <w:t xml:space="preserve"> hulgiturul </w:t>
      </w:r>
      <w:r w:rsidR="002E2FBE">
        <w:rPr>
          <w:rFonts w:cs="Times New Roman"/>
        </w:rPr>
        <w:t>3b</w:t>
      </w:r>
      <w:r w:rsidR="00F661D4">
        <w:t xml:space="preserve"> </w:t>
      </w:r>
      <w:r>
        <w:t>(</w:t>
      </w:r>
      <w:r w:rsidR="00F661D4">
        <w:t>lairiba</w:t>
      </w:r>
      <w:r>
        <w:t xml:space="preserve"> </w:t>
      </w:r>
      <w:r w:rsidR="00F661D4">
        <w:t>keskse</w:t>
      </w:r>
      <w:r>
        <w:t xml:space="preserve"> juurdepääs</w:t>
      </w:r>
      <w:r w:rsidR="00484FA7">
        <w:t>u hulgiturul</w:t>
      </w:r>
      <w:r>
        <w:t xml:space="preserve"> kindlaksmääratud asukohas).</w:t>
      </w:r>
    </w:p>
    <w:p w14:paraId="2B5B2D6D" w14:textId="223CF3F3" w:rsidR="009B3B9E" w:rsidRDefault="003C5344" w:rsidP="00AA241E">
      <w:pPr>
        <w:pStyle w:val="Pealkiri1"/>
      </w:pPr>
      <w:bookmarkStart w:id="892" w:name="_Toc174710811"/>
      <w:r>
        <w:lastRenderedPageBreak/>
        <w:t>H</w:t>
      </w:r>
      <w:r w:rsidR="0021436A">
        <w:t>ULGITURG</w:t>
      </w:r>
      <w:r>
        <w:t xml:space="preserve"> 1 </w:t>
      </w:r>
      <w:r w:rsidR="0021436A">
        <w:t>KOHUSTUSED</w:t>
      </w:r>
      <w:bookmarkEnd w:id="892"/>
    </w:p>
    <w:p w14:paraId="4C78B962" w14:textId="77777777" w:rsidR="00F03958" w:rsidRPr="00F03958" w:rsidRDefault="00F03958" w:rsidP="00AA241E">
      <w:pPr>
        <w:pStyle w:val="Loendilik"/>
        <w:numPr>
          <w:ilvl w:val="0"/>
          <w:numId w:val="81"/>
        </w:numPr>
        <w:spacing w:before="120" w:after="240"/>
        <w:contextualSpacing w:val="0"/>
        <w:jc w:val="both"/>
        <w:outlineLvl w:val="1"/>
        <w:rPr>
          <w:b/>
          <w:iCs/>
          <w:vanish/>
        </w:rPr>
      </w:pPr>
      <w:bookmarkStart w:id="893" w:name="_Toc174094603"/>
      <w:bookmarkStart w:id="894" w:name="_Toc174094870"/>
      <w:bookmarkStart w:id="895" w:name="_Toc174095136"/>
      <w:bookmarkStart w:id="896" w:name="_Toc174095401"/>
      <w:bookmarkStart w:id="897" w:name="_Toc174095939"/>
      <w:bookmarkStart w:id="898" w:name="_Toc174096205"/>
      <w:bookmarkStart w:id="899" w:name="_Toc174536095"/>
      <w:bookmarkStart w:id="900" w:name="_Toc174617196"/>
      <w:bookmarkStart w:id="901" w:name="_Toc174618553"/>
      <w:bookmarkStart w:id="902" w:name="_Toc174627615"/>
      <w:bookmarkStart w:id="903" w:name="_Toc174705039"/>
      <w:bookmarkStart w:id="904" w:name="_Toc174709583"/>
      <w:bookmarkStart w:id="905" w:name="_Toc174710812"/>
      <w:bookmarkEnd w:id="893"/>
      <w:bookmarkEnd w:id="894"/>
      <w:bookmarkEnd w:id="895"/>
      <w:bookmarkEnd w:id="896"/>
      <w:bookmarkEnd w:id="897"/>
      <w:bookmarkEnd w:id="898"/>
      <w:bookmarkEnd w:id="899"/>
      <w:bookmarkEnd w:id="900"/>
      <w:bookmarkEnd w:id="901"/>
      <w:bookmarkEnd w:id="902"/>
      <w:bookmarkEnd w:id="903"/>
      <w:bookmarkEnd w:id="904"/>
      <w:bookmarkEnd w:id="905"/>
    </w:p>
    <w:p w14:paraId="2DC3421B" w14:textId="23E08CE2" w:rsidR="00F03958" w:rsidRPr="00883566" w:rsidRDefault="005A07FA" w:rsidP="00AA241E">
      <w:pPr>
        <w:pStyle w:val="Pealkiri2"/>
        <w:jc w:val="both"/>
      </w:pPr>
      <w:bookmarkStart w:id="906" w:name="_Toc174710813"/>
      <w:bookmarkStart w:id="907" w:name="_Hlk174524617"/>
      <w:r>
        <w:t>Sissejuhatus</w:t>
      </w:r>
      <w:bookmarkEnd w:id="906"/>
    </w:p>
    <w:bookmarkEnd w:id="907"/>
    <w:p w14:paraId="41A10AE8" w14:textId="77777777" w:rsidR="00F03958" w:rsidRPr="00883566" w:rsidRDefault="00F03958" w:rsidP="00AA241E">
      <w:pPr>
        <w:spacing w:line="259" w:lineRule="auto"/>
        <w:jc w:val="both"/>
        <w:rPr>
          <w:rFonts w:cs="Times New Roman"/>
        </w:rPr>
      </w:pPr>
      <w:r w:rsidRPr="00883566">
        <w:rPr>
          <w:rFonts w:cs="Times New Roman"/>
        </w:rPr>
        <w:t>ESS § 46 lõike 2 kohaselt, kui sideettevõtja tunnistatakse MTE-ks siis kehtestab TTJA sideettevõtjatel ühe või mitu asjakohast kohust sellel turul, millel sideettevõtja MTE-ks tunnistati.</w:t>
      </w:r>
    </w:p>
    <w:p w14:paraId="5A2C37CD" w14:textId="77777777" w:rsidR="00F03958" w:rsidRPr="00883566" w:rsidRDefault="00F03958" w:rsidP="00AA241E">
      <w:pPr>
        <w:spacing w:line="259" w:lineRule="auto"/>
        <w:jc w:val="both"/>
        <w:rPr>
          <w:rFonts w:cs="Times New Roman"/>
        </w:rPr>
      </w:pPr>
      <w:r w:rsidRPr="00883566">
        <w:rPr>
          <w:rFonts w:cs="Times New Roman"/>
        </w:rPr>
        <w:t>ESS § 49 lõike 6 ja 7 kohaselt, kui TTJA teeb turuanalüüsi alusel kindlaks, et vastaval turul toimib konkurents, siis tunnistab TTJA vastaval turul eelnevad MTE-ks tunnistamise ja MTE-</w:t>
      </w:r>
      <w:proofErr w:type="spellStart"/>
      <w:r w:rsidRPr="00883566">
        <w:rPr>
          <w:rFonts w:cs="Times New Roman"/>
        </w:rPr>
        <w:t>le</w:t>
      </w:r>
      <w:proofErr w:type="spellEnd"/>
      <w:r w:rsidRPr="00883566">
        <w:rPr>
          <w:rFonts w:cs="Times New Roman"/>
        </w:rPr>
        <w:t xml:space="preserve"> kohustuste kehtestamise otsused kehtetuks, andes nendel turgudel MTE-</w:t>
      </w:r>
      <w:proofErr w:type="spellStart"/>
      <w:r w:rsidRPr="00883566">
        <w:rPr>
          <w:rFonts w:cs="Times New Roman"/>
        </w:rPr>
        <w:t>le</w:t>
      </w:r>
      <w:proofErr w:type="spellEnd"/>
      <w:r w:rsidRPr="00883566">
        <w:rPr>
          <w:rFonts w:cs="Times New Roman"/>
        </w:rPr>
        <w:t xml:space="preserve"> sõlmitud juurdepääsulepingute muutmise või lõpetamise õiguse osas mõistliku tähtaja.</w:t>
      </w:r>
    </w:p>
    <w:p w14:paraId="6D65A549" w14:textId="32D21453" w:rsidR="00F03958" w:rsidRPr="00883566" w:rsidRDefault="00F03958" w:rsidP="00AA241E">
      <w:pPr>
        <w:spacing w:line="259" w:lineRule="auto"/>
        <w:jc w:val="both"/>
        <w:rPr>
          <w:rFonts w:cs="Times New Roman"/>
        </w:rPr>
      </w:pPr>
      <w:r w:rsidRPr="00883566">
        <w:rPr>
          <w:rFonts w:cs="Times New Roman"/>
        </w:rPr>
        <w:t xml:space="preserve">Käesoleva otsuse </w:t>
      </w:r>
      <w:r w:rsidR="008C159A">
        <w:rPr>
          <w:rFonts w:cs="Times New Roman"/>
        </w:rPr>
        <w:t>ptk.-</w:t>
      </w:r>
      <w:r w:rsidRPr="00883566">
        <w:rPr>
          <w:rFonts w:cs="Times New Roman"/>
        </w:rPr>
        <w:t>s</w:t>
      </w:r>
      <w:r w:rsidR="000C57B5">
        <w:rPr>
          <w:rFonts w:cs="Times New Roman"/>
        </w:rPr>
        <w:t xml:space="preserve"> </w:t>
      </w:r>
      <w:r w:rsidR="00D337B6">
        <w:rPr>
          <w:rFonts w:cs="Times New Roman"/>
        </w:rPr>
        <w:t>5.2.2</w:t>
      </w:r>
      <w:r w:rsidRPr="00883566">
        <w:rPr>
          <w:rFonts w:cs="Times New Roman"/>
        </w:rPr>
        <w:t xml:space="preserve"> tunnistati Telia MTE-ks </w:t>
      </w:r>
      <w:r w:rsidR="00A3232C">
        <w:rPr>
          <w:rFonts w:cs="Times New Roman"/>
        </w:rPr>
        <w:t>valguskaabelvõrgu</w:t>
      </w:r>
      <w:r w:rsidRPr="00883566">
        <w:rPr>
          <w:rFonts w:cs="Times New Roman"/>
        </w:rPr>
        <w:t xml:space="preserve">s B piirkonna hulgiturul 1. Käesoleva otsuse koostamise ajal on Telia määratud TTJA 2017 hulgituru 1 otsuse alusel MTE-ks ja kehtestatud kohustusi Telia hulgituru 1 teenustele Telia üleriigilise ulatusega </w:t>
      </w:r>
      <w:r w:rsidR="00532579">
        <w:rPr>
          <w:rFonts w:cs="Times New Roman"/>
        </w:rPr>
        <w:t>vaskpaar</w:t>
      </w:r>
      <w:r w:rsidRPr="00883566">
        <w:rPr>
          <w:rFonts w:cs="Times New Roman"/>
        </w:rPr>
        <w:t xml:space="preserve">- ja </w:t>
      </w:r>
      <w:r w:rsidR="00A3232C">
        <w:rPr>
          <w:rFonts w:cs="Times New Roman"/>
        </w:rPr>
        <w:t>valguskaabelvõrgu</w:t>
      </w:r>
      <w:r w:rsidRPr="00883566">
        <w:rPr>
          <w:rFonts w:cs="Times New Roman"/>
        </w:rPr>
        <w:t>s.</w:t>
      </w:r>
    </w:p>
    <w:p w14:paraId="6F82DE59" w14:textId="70A0CCD4" w:rsidR="00F03958" w:rsidRPr="00883566" w:rsidRDefault="00F03958" w:rsidP="00AA241E">
      <w:pPr>
        <w:spacing w:line="259" w:lineRule="auto"/>
        <w:jc w:val="both"/>
        <w:rPr>
          <w:rFonts w:cs="Times New Roman"/>
          <w:b/>
          <w:bCs/>
        </w:rPr>
      </w:pPr>
      <w:r w:rsidRPr="00883566">
        <w:rPr>
          <w:rFonts w:cs="Times New Roman"/>
          <w:b/>
          <w:bCs/>
        </w:rPr>
        <w:t xml:space="preserve">Võttes arvesse eeltoodut tuvastatakse ja määratakse järgnevalt mõistlikud ja proportsionaalsed kohustused Teliale käesoleva otsuses piiritletud </w:t>
      </w:r>
      <w:r w:rsidR="00A3232C">
        <w:rPr>
          <w:rFonts w:cs="Times New Roman"/>
          <w:b/>
          <w:bCs/>
        </w:rPr>
        <w:t>valguskaabelvõrgu</w:t>
      </w:r>
      <w:r w:rsidRPr="00883566">
        <w:rPr>
          <w:rFonts w:cs="Times New Roman"/>
          <w:b/>
          <w:bCs/>
        </w:rPr>
        <w:t xml:space="preserve">s B piirkonna hulgiturul 1 ja tühistatakse TTJA 2017 hulgituru </w:t>
      </w:r>
      <w:r w:rsidR="007407F5">
        <w:rPr>
          <w:rFonts w:cs="Times New Roman"/>
          <w:b/>
          <w:bCs/>
        </w:rPr>
        <w:t>1</w:t>
      </w:r>
      <w:r w:rsidRPr="00883566">
        <w:rPr>
          <w:rFonts w:cs="Times New Roman"/>
          <w:b/>
          <w:bCs/>
        </w:rPr>
        <w:t xml:space="preserve"> otsuse alusel Teliale määratud kohustused Telia </w:t>
      </w:r>
      <w:r w:rsidR="00AD1150">
        <w:rPr>
          <w:rFonts w:cs="Times New Roman"/>
          <w:b/>
          <w:bCs/>
        </w:rPr>
        <w:t>vaskpaar</w:t>
      </w:r>
      <w:r w:rsidRPr="00883566">
        <w:rPr>
          <w:rFonts w:cs="Times New Roman"/>
          <w:b/>
          <w:bCs/>
        </w:rPr>
        <w:t xml:space="preserve">võrgus üleriigiliselt ja </w:t>
      </w:r>
      <w:r w:rsidR="00A3232C">
        <w:rPr>
          <w:rFonts w:cs="Times New Roman"/>
          <w:b/>
          <w:bCs/>
        </w:rPr>
        <w:t>valguskaabelvõrgu</w:t>
      </w:r>
      <w:r w:rsidRPr="00883566">
        <w:rPr>
          <w:rFonts w:cs="Times New Roman"/>
          <w:b/>
          <w:bCs/>
        </w:rPr>
        <w:t xml:space="preserve">s A piirkonnas, seejuures andes nendes piirkondades ja võrkudes Teliale hulgituru </w:t>
      </w:r>
      <w:r w:rsidR="007407F5">
        <w:rPr>
          <w:rFonts w:cs="Times New Roman"/>
          <w:b/>
          <w:bCs/>
        </w:rPr>
        <w:t>1</w:t>
      </w:r>
      <w:r w:rsidRPr="00883566">
        <w:rPr>
          <w:rFonts w:cs="Times New Roman"/>
          <w:b/>
          <w:bCs/>
        </w:rPr>
        <w:t xml:space="preserve"> teenuste osutamise lepingute muutmise ja lõpetamise õiguse osas mõistliku tähtaja.</w:t>
      </w:r>
    </w:p>
    <w:p w14:paraId="0A98EDDA" w14:textId="77777777" w:rsidR="00F03958" w:rsidRPr="00883566" w:rsidRDefault="00F03958" w:rsidP="00AA241E">
      <w:pPr>
        <w:jc w:val="both"/>
      </w:pPr>
    </w:p>
    <w:p w14:paraId="5B2D5EF6" w14:textId="77777777" w:rsidR="00B92E96" w:rsidRPr="00B92E96" w:rsidRDefault="00B92E96" w:rsidP="00AA241E">
      <w:pPr>
        <w:pStyle w:val="Loendilik"/>
        <w:keepNext/>
        <w:keepLines/>
        <w:numPr>
          <w:ilvl w:val="0"/>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908" w:name="_Toc174096207"/>
      <w:bookmarkStart w:id="909" w:name="_Toc174536097"/>
      <w:bookmarkStart w:id="910" w:name="_Toc174618555"/>
      <w:bookmarkStart w:id="911" w:name="_Toc174627617"/>
      <w:bookmarkStart w:id="912" w:name="_Toc174705041"/>
      <w:bookmarkStart w:id="913" w:name="_Toc174710814"/>
      <w:bookmarkEnd w:id="908"/>
      <w:bookmarkEnd w:id="909"/>
      <w:bookmarkEnd w:id="910"/>
      <w:bookmarkEnd w:id="911"/>
      <w:bookmarkEnd w:id="912"/>
      <w:bookmarkEnd w:id="913"/>
    </w:p>
    <w:p w14:paraId="17AE8543" w14:textId="77777777" w:rsidR="00B92E96" w:rsidRPr="00B92E96" w:rsidRDefault="00B92E96"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914" w:name="_Toc174094606"/>
      <w:bookmarkStart w:id="915" w:name="_Toc174094873"/>
      <w:bookmarkStart w:id="916" w:name="_Toc174095139"/>
      <w:bookmarkStart w:id="917" w:name="_Toc174095404"/>
      <w:bookmarkStart w:id="918" w:name="_Toc174095942"/>
      <w:bookmarkStart w:id="919" w:name="_Toc174096208"/>
      <w:bookmarkStart w:id="920" w:name="_Toc174536098"/>
      <w:bookmarkStart w:id="921" w:name="_Toc174617199"/>
      <w:bookmarkStart w:id="922" w:name="_Toc174618556"/>
      <w:bookmarkStart w:id="923" w:name="_Toc174627618"/>
      <w:bookmarkStart w:id="924" w:name="_Toc174705042"/>
      <w:bookmarkStart w:id="925" w:name="_Toc174709586"/>
      <w:bookmarkStart w:id="926" w:name="_Toc174710815"/>
      <w:bookmarkEnd w:id="914"/>
      <w:bookmarkEnd w:id="915"/>
      <w:bookmarkEnd w:id="916"/>
      <w:bookmarkEnd w:id="917"/>
      <w:bookmarkEnd w:id="918"/>
      <w:bookmarkEnd w:id="919"/>
      <w:bookmarkEnd w:id="920"/>
      <w:bookmarkEnd w:id="921"/>
      <w:bookmarkEnd w:id="922"/>
      <w:bookmarkEnd w:id="923"/>
      <w:bookmarkEnd w:id="924"/>
      <w:bookmarkEnd w:id="925"/>
      <w:bookmarkEnd w:id="926"/>
    </w:p>
    <w:p w14:paraId="27E97EDE" w14:textId="271506D4" w:rsidR="00F03958" w:rsidRPr="00883566" w:rsidRDefault="00546A8E" w:rsidP="009805E1">
      <w:pPr>
        <w:pStyle w:val="Pealkiri3"/>
      </w:pPr>
      <w:bookmarkStart w:id="927" w:name="_Toc174710816"/>
      <w:r>
        <w:t>Hulgiturg</w:t>
      </w:r>
      <w:r w:rsidR="00F03958" w:rsidRPr="00883566">
        <w:t xml:space="preserve"> 1 kohustuste subjekt ja objekt</w:t>
      </w:r>
      <w:bookmarkEnd w:id="927"/>
    </w:p>
    <w:p w14:paraId="0939346E" w14:textId="7F82B6CB" w:rsidR="00F03958" w:rsidRPr="00883566" w:rsidRDefault="00F03958" w:rsidP="00AA241E">
      <w:pPr>
        <w:pStyle w:val="Loendilik"/>
        <w:spacing w:before="120" w:after="120"/>
        <w:ind w:left="0"/>
        <w:jc w:val="both"/>
        <w:rPr>
          <w:rFonts w:cs="Times New Roman"/>
        </w:rPr>
      </w:pPr>
      <w:r w:rsidRPr="00883566">
        <w:rPr>
          <w:rFonts w:cs="Times New Roman"/>
        </w:rPr>
        <w:t xml:space="preserve">Telia hulgituru 1 teenused on käesoleva otsuse koostame ajal valdkonnaspetsiifiliselt reguleeritud TTJA 2017 hulgituru 1 otsuse alusel üleriigilise ulatusega </w:t>
      </w:r>
      <w:r w:rsidR="00183BEB">
        <w:rPr>
          <w:rFonts w:cs="Times New Roman"/>
        </w:rPr>
        <w:t>vaskkaabli</w:t>
      </w:r>
      <w:r w:rsidRPr="00883566">
        <w:rPr>
          <w:rFonts w:cs="Times New Roman"/>
        </w:rPr>
        <w:t xml:space="preserve">- ja </w:t>
      </w:r>
      <w:r w:rsidR="00A3232C">
        <w:rPr>
          <w:rFonts w:cs="Times New Roman"/>
        </w:rPr>
        <w:t>valguskaabelvõrgu</w:t>
      </w:r>
      <w:r w:rsidRPr="00883566">
        <w:rPr>
          <w:rFonts w:cs="Times New Roman"/>
        </w:rPr>
        <w:t xml:space="preserve">s. </w:t>
      </w:r>
    </w:p>
    <w:p w14:paraId="729D056C" w14:textId="77777777" w:rsidR="00F03958" w:rsidRPr="00883566" w:rsidRDefault="00F03958" w:rsidP="00AA241E">
      <w:pPr>
        <w:pStyle w:val="Loendilik"/>
        <w:spacing w:before="120" w:after="120"/>
        <w:ind w:left="0"/>
        <w:jc w:val="both"/>
        <w:rPr>
          <w:rFonts w:cs="Times New Roman"/>
        </w:rPr>
      </w:pPr>
    </w:p>
    <w:p w14:paraId="0CE5F98C" w14:textId="77777777" w:rsidR="00F03958" w:rsidRDefault="00F03958" w:rsidP="00AA241E">
      <w:pPr>
        <w:pStyle w:val="Loendilik"/>
        <w:spacing w:before="120" w:after="120"/>
        <w:ind w:left="0"/>
        <w:jc w:val="both"/>
        <w:rPr>
          <w:rFonts w:cs="Times New Roman"/>
        </w:rPr>
      </w:pPr>
      <w:r w:rsidRPr="00883566">
        <w:rPr>
          <w:rFonts w:cs="Times New Roman"/>
        </w:rPr>
        <w:t>Käesolevas otsuses jaotati hulgiturg 1 kolmeks alamturuks ning tuvastati, et nendes alamturgudel eksisteerivad erinevad konkurentstingimused, mistõttu määrati MTE ainult osadel alamturgudel järgmiselt:</w:t>
      </w:r>
    </w:p>
    <w:p w14:paraId="50F5E080" w14:textId="5C6B96B1" w:rsidR="005010FC" w:rsidRPr="00883566" w:rsidRDefault="005010FC" w:rsidP="00290478">
      <w:pPr>
        <w:pStyle w:val="Loendilik"/>
        <w:spacing w:before="120" w:after="120"/>
        <w:jc w:val="both"/>
        <w:rPr>
          <w:rFonts w:cs="Times New Roman"/>
        </w:rPr>
      </w:pPr>
      <w:r w:rsidRPr="00883566">
        <w:rPr>
          <w:rFonts w:cs="Times New Roman"/>
        </w:rPr>
        <w:t xml:space="preserve">1) </w:t>
      </w:r>
      <w:r w:rsidR="00183BEB">
        <w:rPr>
          <w:rFonts w:cs="Times New Roman"/>
        </w:rPr>
        <w:t>vaskkaabli</w:t>
      </w:r>
      <w:r w:rsidRPr="00883566">
        <w:rPr>
          <w:rFonts w:cs="Times New Roman"/>
        </w:rPr>
        <w:t xml:space="preserve">- ja </w:t>
      </w:r>
      <w:r w:rsidR="00183BEB">
        <w:rPr>
          <w:rFonts w:cs="Times New Roman"/>
        </w:rPr>
        <w:t>mobiilsidevõr</w:t>
      </w:r>
      <w:r w:rsidRPr="00883566">
        <w:rPr>
          <w:rFonts w:cs="Times New Roman"/>
        </w:rPr>
        <w:t xml:space="preserve">gus üleriigiline hulgiturg </w:t>
      </w:r>
      <w:r w:rsidR="00FA252C">
        <w:rPr>
          <w:rFonts w:cs="Times New Roman"/>
        </w:rPr>
        <w:t>1</w:t>
      </w:r>
      <w:r w:rsidRPr="00883566">
        <w:rPr>
          <w:rFonts w:cs="Times New Roman"/>
        </w:rPr>
        <w:t xml:space="preserve"> – </w:t>
      </w:r>
      <w:r>
        <w:rPr>
          <w:rFonts w:cs="Times New Roman"/>
        </w:rPr>
        <w:t xml:space="preserve">kuna sellele järgneval </w:t>
      </w:r>
      <w:r w:rsidR="00183BEB">
        <w:rPr>
          <w:rFonts w:cs="Times New Roman"/>
        </w:rPr>
        <w:t>vaskkaabli</w:t>
      </w:r>
      <w:r w:rsidRPr="00D8036F">
        <w:rPr>
          <w:rFonts w:cs="Times New Roman"/>
        </w:rPr>
        <w:t xml:space="preserve">- ja </w:t>
      </w:r>
      <w:r w:rsidR="00183BEB">
        <w:rPr>
          <w:rFonts w:cs="Times New Roman"/>
        </w:rPr>
        <w:t>mobiilsidevõr</w:t>
      </w:r>
      <w:r w:rsidRPr="00D8036F">
        <w:rPr>
          <w:rFonts w:cs="Times New Roman"/>
        </w:rPr>
        <w:t>gu internetiühenduste üleriigili</w:t>
      </w:r>
      <w:r>
        <w:rPr>
          <w:rFonts w:cs="Times New Roman"/>
        </w:rPr>
        <w:t>s</w:t>
      </w:r>
      <w:r w:rsidRPr="00D8036F">
        <w:rPr>
          <w:rFonts w:cs="Times New Roman"/>
        </w:rPr>
        <w:t>e</w:t>
      </w:r>
      <w:r>
        <w:rPr>
          <w:rFonts w:cs="Times New Roman"/>
        </w:rPr>
        <w:t>l</w:t>
      </w:r>
      <w:r w:rsidRPr="00D8036F">
        <w:rPr>
          <w:rFonts w:cs="Times New Roman"/>
        </w:rPr>
        <w:t xml:space="preserve"> jaetur</w:t>
      </w:r>
      <w:r>
        <w:rPr>
          <w:rFonts w:cs="Times New Roman"/>
        </w:rPr>
        <w:t>ul</w:t>
      </w:r>
      <w:r w:rsidRPr="00D8036F">
        <w:rPr>
          <w:rFonts w:cs="Times New Roman"/>
        </w:rPr>
        <w:t xml:space="preserve"> </w:t>
      </w:r>
      <w:r w:rsidRPr="00883566">
        <w:rPr>
          <w:rFonts w:cs="Times New Roman"/>
        </w:rPr>
        <w:t>eksisteerib piisavalt tõhus konkurents</w:t>
      </w:r>
      <w:r>
        <w:rPr>
          <w:rFonts w:cs="Times New Roman"/>
        </w:rPr>
        <w:t xml:space="preserve">, siis </w:t>
      </w:r>
      <w:r w:rsidR="007407F5">
        <w:rPr>
          <w:rFonts w:cs="Times New Roman"/>
        </w:rPr>
        <w:t xml:space="preserve">teostati vastava hulgituru osas kolme kriteeriumi test ja tuvastati, et vastaval hulgiturul </w:t>
      </w:r>
      <w:r>
        <w:rPr>
          <w:rFonts w:cs="Times New Roman"/>
        </w:rPr>
        <w:t xml:space="preserve">valdkonnaspetsiifilise regulatsiooni vajadus puudub ja </w:t>
      </w:r>
      <w:r w:rsidRPr="00883566">
        <w:rPr>
          <w:rFonts w:cs="Times New Roman"/>
        </w:rPr>
        <w:t xml:space="preserve">MTE-t ei määratud, vt </w:t>
      </w:r>
      <w:r w:rsidR="008C159A">
        <w:rPr>
          <w:rFonts w:cs="Times New Roman"/>
        </w:rPr>
        <w:t xml:space="preserve">ptk. </w:t>
      </w:r>
      <w:r w:rsidR="00ED3BA8">
        <w:rPr>
          <w:rFonts w:cs="Times New Roman"/>
        </w:rPr>
        <w:t>5</w:t>
      </w:r>
      <w:r w:rsidR="00FA252C">
        <w:rPr>
          <w:rFonts w:cs="Times New Roman"/>
        </w:rPr>
        <w:t>.1.1.8</w:t>
      </w:r>
      <w:r w:rsidRPr="00883566">
        <w:rPr>
          <w:rFonts w:cs="Times New Roman"/>
        </w:rPr>
        <w:t>;</w:t>
      </w:r>
    </w:p>
    <w:p w14:paraId="03B26A71" w14:textId="7FE4D653" w:rsidR="005010FC" w:rsidRPr="00883566" w:rsidRDefault="005010FC" w:rsidP="00290478">
      <w:pPr>
        <w:pStyle w:val="Loendilik"/>
        <w:spacing w:before="120" w:after="120"/>
        <w:jc w:val="both"/>
        <w:rPr>
          <w:rFonts w:cs="Times New Roman"/>
        </w:rPr>
      </w:pPr>
      <w:r w:rsidRPr="00883566">
        <w:rPr>
          <w:rFonts w:cs="Times New Roman"/>
        </w:rPr>
        <w:t xml:space="preserve">2) </w:t>
      </w:r>
      <w:r>
        <w:rPr>
          <w:rFonts w:cs="Times New Roman"/>
        </w:rPr>
        <w:t>valguskaabelvõrgu</w:t>
      </w:r>
      <w:r w:rsidRPr="00883566">
        <w:rPr>
          <w:rFonts w:cs="Times New Roman"/>
        </w:rPr>
        <w:t xml:space="preserve">s A piirkonna hulgiturg </w:t>
      </w:r>
      <w:r w:rsidR="00FA252C">
        <w:rPr>
          <w:rFonts w:cs="Times New Roman"/>
        </w:rPr>
        <w:t>1</w:t>
      </w:r>
      <w:r w:rsidRPr="00883566">
        <w:rPr>
          <w:rFonts w:cs="Times New Roman"/>
        </w:rPr>
        <w:t xml:space="preserve"> – </w:t>
      </w:r>
      <w:r>
        <w:rPr>
          <w:rFonts w:cs="Times New Roman"/>
        </w:rPr>
        <w:t>kuna sellele järgneval v</w:t>
      </w:r>
      <w:r w:rsidRPr="00BC484B">
        <w:rPr>
          <w:rFonts w:cs="Times New Roman"/>
        </w:rPr>
        <w:t>alguskaabelvõrgu internetiühenduste A piirkonna jaetur</w:t>
      </w:r>
      <w:r>
        <w:rPr>
          <w:rFonts w:cs="Times New Roman"/>
        </w:rPr>
        <w:t>ul</w:t>
      </w:r>
      <w:r w:rsidRPr="00BC484B">
        <w:rPr>
          <w:rFonts w:cs="Times New Roman"/>
        </w:rPr>
        <w:t xml:space="preserve"> </w:t>
      </w:r>
      <w:r w:rsidRPr="00883566">
        <w:rPr>
          <w:rFonts w:cs="Times New Roman"/>
        </w:rPr>
        <w:t>eksisteerib piisavalt tõhus konkurents</w:t>
      </w:r>
      <w:r>
        <w:rPr>
          <w:rFonts w:cs="Times New Roman"/>
        </w:rPr>
        <w:t xml:space="preserve">, siis </w:t>
      </w:r>
      <w:r w:rsidR="007407F5">
        <w:rPr>
          <w:rFonts w:cs="Times New Roman"/>
        </w:rPr>
        <w:t xml:space="preserve">teostati vastava hulgituru osas kolme kriteeriumi test ja tuvastati, et vastaval hulgiturul </w:t>
      </w:r>
      <w:r>
        <w:rPr>
          <w:rFonts w:cs="Times New Roman"/>
        </w:rPr>
        <w:t>valdkonnasp</w:t>
      </w:r>
      <w:r w:rsidR="005E62A8">
        <w:rPr>
          <w:rFonts w:cs="Times New Roman"/>
        </w:rPr>
        <w:t>e</w:t>
      </w:r>
      <w:r>
        <w:rPr>
          <w:rFonts w:cs="Times New Roman"/>
        </w:rPr>
        <w:t>tsiifilise regulatsiooni vajadus puudub</w:t>
      </w:r>
      <w:r w:rsidRPr="00883566">
        <w:rPr>
          <w:rFonts w:cs="Times New Roman"/>
        </w:rPr>
        <w:t xml:space="preserve"> ja MTE-t ei määratud, vt </w:t>
      </w:r>
      <w:r w:rsidR="008C159A">
        <w:rPr>
          <w:rFonts w:cs="Times New Roman"/>
        </w:rPr>
        <w:t xml:space="preserve">ptk. </w:t>
      </w:r>
      <w:r w:rsidR="00ED3BA8">
        <w:rPr>
          <w:rFonts w:cs="Times New Roman"/>
        </w:rPr>
        <w:t>5</w:t>
      </w:r>
      <w:r w:rsidR="00FA252C">
        <w:rPr>
          <w:rFonts w:cs="Times New Roman"/>
        </w:rPr>
        <w:t>.1.2.8</w:t>
      </w:r>
      <w:r w:rsidRPr="00883566">
        <w:rPr>
          <w:rFonts w:cs="Times New Roman"/>
        </w:rPr>
        <w:t>;</w:t>
      </w:r>
    </w:p>
    <w:p w14:paraId="6EAA1FA7" w14:textId="6FF416B1" w:rsidR="005010FC" w:rsidRPr="00883566" w:rsidRDefault="005010FC" w:rsidP="00290478">
      <w:pPr>
        <w:pStyle w:val="Loendilik"/>
        <w:spacing w:before="120" w:after="120"/>
        <w:jc w:val="both"/>
        <w:rPr>
          <w:rFonts w:cs="Times New Roman"/>
        </w:rPr>
      </w:pPr>
      <w:r w:rsidRPr="00883566">
        <w:rPr>
          <w:rFonts w:cs="Times New Roman"/>
        </w:rPr>
        <w:lastRenderedPageBreak/>
        <w:t xml:space="preserve">3) </w:t>
      </w:r>
      <w:r>
        <w:rPr>
          <w:rFonts w:cs="Times New Roman"/>
        </w:rPr>
        <w:t>valguskaabelvõrgu</w:t>
      </w:r>
      <w:r w:rsidRPr="00883566">
        <w:rPr>
          <w:rFonts w:cs="Times New Roman"/>
        </w:rPr>
        <w:t xml:space="preserve">s B piirkonna hulgiturg </w:t>
      </w:r>
      <w:r w:rsidR="00FA252C">
        <w:rPr>
          <w:rFonts w:cs="Times New Roman"/>
        </w:rPr>
        <w:t>1</w:t>
      </w:r>
      <w:r w:rsidRPr="00883566">
        <w:rPr>
          <w:rFonts w:cs="Times New Roman"/>
        </w:rPr>
        <w:t xml:space="preserve"> – </w:t>
      </w:r>
      <w:r>
        <w:rPr>
          <w:rFonts w:cs="Times New Roman"/>
        </w:rPr>
        <w:t>kuna sellele järgneval v</w:t>
      </w:r>
      <w:r w:rsidRPr="00B518D3">
        <w:rPr>
          <w:rFonts w:cs="Times New Roman"/>
        </w:rPr>
        <w:t>alguskaabelvõrgu internetiühenduste B piirkonna jaetur</w:t>
      </w:r>
      <w:r>
        <w:rPr>
          <w:rFonts w:cs="Times New Roman"/>
        </w:rPr>
        <w:t>ul</w:t>
      </w:r>
      <w:r w:rsidRPr="00B518D3">
        <w:rPr>
          <w:rFonts w:cs="Times New Roman"/>
        </w:rPr>
        <w:t xml:space="preserve"> </w:t>
      </w:r>
      <w:r w:rsidRPr="00883566">
        <w:rPr>
          <w:rFonts w:cs="Times New Roman"/>
        </w:rPr>
        <w:t>puudub piisavalt tõhus konkurents</w:t>
      </w:r>
      <w:r>
        <w:rPr>
          <w:rFonts w:cs="Times New Roman"/>
        </w:rPr>
        <w:t xml:space="preserve">, siis </w:t>
      </w:r>
      <w:r w:rsidR="007407F5">
        <w:rPr>
          <w:rFonts w:cs="Times New Roman"/>
        </w:rPr>
        <w:t>teostati</w:t>
      </w:r>
      <w:r>
        <w:rPr>
          <w:rFonts w:cs="Times New Roman"/>
        </w:rPr>
        <w:t xml:space="preserve"> vastava hulgituru osas kolme kriteeriumi test</w:t>
      </w:r>
      <w:r w:rsidR="007407F5">
        <w:rPr>
          <w:rFonts w:cs="Times New Roman"/>
        </w:rPr>
        <w:t xml:space="preserve"> ja tuvastati, et vastav hulgiturg on vastuvõtlik valdkonnaspetsiifilisele regulatsioonile</w:t>
      </w:r>
      <w:r>
        <w:rPr>
          <w:rFonts w:cs="Times New Roman"/>
        </w:rPr>
        <w:t xml:space="preserve"> ja turuanalüüs</w:t>
      </w:r>
      <w:r w:rsidR="007407F5">
        <w:rPr>
          <w:rFonts w:cs="Times New Roman"/>
        </w:rPr>
        <w:t>i alusel</w:t>
      </w:r>
      <w:r>
        <w:rPr>
          <w:rFonts w:cs="Times New Roman"/>
        </w:rPr>
        <w:t xml:space="preserve">  </w:t>
      </w:r>
      <w:r w:rsidRPr="00883566">
        <w:rPr>
          <w:rFonts w:cs="Times New Roman"/>
        </w:rPr>
        <w:t xml:space="preserve">tunnistati MTE-ks Telia, vt </w:t>
      </w:r>
      <w:r w:rsidR="008C159A">
        <w:rPr>
          <w:rFonts w:cs="Times New Roman"/>
        </w:rPr>
        <w:t xml:space="preserve">ptk. </w:t>
      </w:r>
      <w:r w:rsidR="00ED3BA8">
        <w:rPr>
          <w:rFonts w:cs="Times New Roman"/>
        </w:rPr>
        <w:t>5</w:t>
      </w:r>
      <w:r w:rsidR="00FA252C">
        <w:rPr>
          <w:rFonts w:cs="Times New Roman"/>
        </w:rPr>
        <w:t>.2.2.3</w:t>
      </w:r>
      <w:r w:rsidRPr="00883566">
        <w:rPr>
          <w:rFonts w:cs="Times New Roman"/>
        </w:rPr>
        <w:t>.</w:t>
      </w:r>
    </w:p>
    <w:p w14:paraId="39BE34A1" w14:textId="77777777" w:rsidR="005010FC" w:rsidRPr="00883566" w:rsidRDefault="005010FC" w:rsidP="00AA241E">
      <w:pPr>
        <w:pStyle w:val="Loendilik"/>
        <w:spacing w:before="120" w:after="120"/>
        <w:ind w:left="0"/>
        <w:jc w:val="both"/>
        <w:rPr>
          <w:rFonts w:cs="Times New Roman"/>
        </w:rPr>
      </w:pPr>
    </w:p>
    <w:p w14:paraId="512A3C73" w14:textId="6BBDA6CF" w:rsidR="00F03958" w:rsidRPr="00883566" w:rsidRDefault="00F03958" w:rsidP="00AA241E">
      <w:pPr>
        <w:pStyle w:val="Loendilik"/>
        <w:spacing w:before="120" w:after="120"/>
        <w:ind w:left="0"/>
        <w:jc w:val="both"/>
        <w:rPr>
          <w:rFonts w:cs="Times New Roman"/>
        </w:rPr>
      </w:pPr>
      <w:r w:rsidRPr="00883566">
        <w:rPr>
          <w:rFonts w:cs="Times New Roman"/>
          <w:b/>
        </w:rPr>
        <w:t xml:space="preserve">Eeltoodust tulenevalt on käesolevas otsuses kehtestatavad kohustused suunatud </w:t>
      </w:r>
      <w:r w:rsidR="00A3232C">
        <w:rPr>
          <w:rFonts w:cs="Times New Roman"/>
          <w:b/>
        </w:rPr>
        <w:t>valguskaabelvõrgu</w:t>
      </w:r>
      <w:r w:rsidRPr="00883566">
        <w:rPr>
          <w:rFonts w:cs="Times New Roman"/>
          <w:b/>
        </w:rPr>
        <w:t>s B piirkonnas hulgituru 1 MTE-</w:t>
      </w:r>
      <w:proofErr w:type="spellStart"/>
      <w:r w:rsidRPr="00883566">
        <w:rPr>
          <w:rFonts w:cs="Times New Roman"/>
          <w:b/>
        </w:rPr>
        <w:t>le</w:t>
      </w:r>
      <w:proofErr w:type="spellEnd"/>
      <w:r w:rsidRPr="00883566">
        <w:rPr>
          <w:rFonts w:cs="Times New Roman"/>
          <w:b/>
        </w:rPr>
        <w:t xml:space="preserve"> (Teliale). </w:t>
      </w:r>
      <w:r w:rsidR="00183BEB">
        <w:rPr>
          <w:rFonts w:cs="Times New Roman"/>
          <w:b/>
        </w:rPr>
        <w:t>Vaskkaabli</w:t>
      </w:r>
      <w:r w:rsidRPr="00883566">
        <w:rPr>
          <w:rFonts w:cs="Times New Roman"/>
          <w:b/>
        </w:rPr>
        <w:t xml:space="preserve">- ja </w:t>
      </w:r>
      <w:r w:rsidR="00183BEB">
        <w:rPr>
          <w:rFonts w:cs="Times New Roman"/>
          <w:b/>
        </w:rPr>
        <w:t>mobiilsidevõr</w:t>
      </w:r>
      <w:r w:rsidRPr="00883566">
        <w:rPr>
          <w:rFonts w:cs="Times New Roman"/>
          <w:b/>
        </w:rPr>
        <w:t xml:space="preserve">gus üleriigilisel hulgiturul 1 ja </w:t>
      </w:r>
      <w:r w:rsidR="00A3232C">
        <w:rPr>
          <w:rFonts w:cs="Times New Roman"/>
          <w:b/>
        </w:rPr>
        <w:t>valguskaabelvõrgu</w:t>
      </w:r>
      <w:r w:rsidRPr="00883566">
        <w:rPr>
          <w:rFonts w:cs="Times New Roman"/>
          <w:b/>
        </w:rPr>
        <w:t xml:space="preserve"> A piirkonna hulgiturul 1 MTE-</w:t>
      </w:r>
      <w:proofErr w:type="spellStart"/>
      <w:r w:rsidRPr="00883566">
        <w:rPr>
          <w:rFonts w:cs="Times New Roman"/>
          <w:b/>
        </w:rPr>
        <w:t>le</w:t>
      </w:r>
      <w:proofErr w:type="spellEnd"/>
      <w:r w:rsidRPr="00883566">
        <w:rPr>
          <w:rFonts w:cs="Times New Roman"/>
          <w:b/>
        </w:rPr>
        <w:t xml:space="preserve"> (Teliale) kohustusi ei kehtestata ja olemasoleva</w:t>
      </w:r>
      <w:r w:rsidR="001B016A">
        <w:rPr>
          <w:rFonts w:cs="Times New Roman"/>
          <w:b/>
        </w:rPr>
        <w:t xml:space="preserve">d (TTJA 2017 hulgituru 1 otsus) kohustused </w:t>
      </w:r>
      <w:r w:rsidRPr="00883566">
        <w:rPr>
          <w:rFonts w:cs="Times New Roman"/>
          <w:b/>
        </w:rPr>
        <w:t xml:space="preserve"> tunnistatakse kehtetuks, vt </w:t>
      </w:r>
      <w:r w:rsidR="008C159A">
        <w:rPr>
          <w:rFonts w:cs="Times New Roman"/>
          <w:b/>
        </w:rPr>
        <w:t xml:space="preserve">ptk. </w:t>
      </w:r>
      <w:r w:rsidR="006C39CD">
        <w:rPr>
          <w:rFonts w:cs="Times New Roman"/>
          <w:b/>
        </w:rPr>
        <w:t>7</w:t>
      </w:r>
      <w:r w:rsidR="003C5344">
        <w:rPr>
          <w:rFonts w:cs="Times New Roman"/>
          <w:b/>
        </w:rPr>
        <w:t>.1.2</w:t>
      </w:r>
      <w:r w:rsidRPr="00883566">
        <w:rPr>
          <w:rFonts w:cs="Times New Roman"/>
          <w:b/>
        </w:rPr>
        <w:t>.</w:t>
      </w:r>
    </w:p>
    <w:p w14:paraId="5C5DE849" w14:textId="77777777" w:rsidR="00F03958" w:rsidRPr="00883566" w:rsidRDefault="00F03958" w:rsidP="00AA241E">
      <w:pPr>
        <w:pStyle w:val="Loendilik"/>
        <w:spacing w:before="120" w:after="120"/>
        <w:ind w:left="0"/>
        <w:jc w:val="both"/>
        <w:rPr>
          <w:rFonts w:cs="Times New Roman"/>
        </w:rPr>
      </w:pPr>
    </w:p>
    <w:p w14:paraId="19A51090" w14:textId="63D9ACAA" w:rsidR="00F03958" w:rsidRPr="00883566" w:rsidRDefault="007C1122" w:rsidP="00AA241E">
      <w:pPr>
        <w:pStyle w:val="Loendilik"/>
        <w:spacing w:before="120" w:after="120"/>
        <w:ind w:left="0"/>
        <w:jc w:val="both"/>
        <w:rPr>
          <w:rFonts w:cs="Times New Roman"/>
        </w:rPr>
      </w:pPr>
      <w:r>
        <w:rPr>
          <w:rFonts w:cs="Times New Roman"/>
          <w:b/>
          <w:bCs/>
        </w:rPr>
        <w:t>Hulgi</w:t>
      </w:r>
      <w:r w:rsidR="00DF3BCB">
        <w:rPr>
          <w:rFonts w:cs="Times New Roman"/>
          <w:b/>
          <w:bCs/>
        </w:rPr>
        <w:t>t</w:t>
      </w:r>
      <w:r w:rsidR="00F03958" w:rsidRPr="00883566">
        <w:rPr>
          <w:rFonts w:cs="Times New Roman"/>
          <w:b/>
          <w:bCs/>
        </w:rPr>
        <w:t xml:space="preserve">urg 1 kohustuste subjektiks on Telia ja objektiks </w:t>
      </w:r>
      <w:r w:rsidR="00A3232C">
        <w:rPr>
          <w:rFonts w:cs="Times New Roman"/>
          <w:b/>
          <w:bCs/>
        </w:rPr>
        <w:t>valguskaabelvõrgu</w:t>
      </w:r>
      <w:r w:rsidR="00F03958" w:rsidRPr="00883566">
        <w:rPr>
          <w:rFonts w:cs="Times New Roman"/>
          <w:b/>
          <w:bCs/>
        </w:rPr>
        <w:t xml:space="preserve"> B piirkonna hulgituru 1 teenused, milleks on Telia</w:t>
      </w:r>
      <w:r w:rsidR="00F03958" w:rsidRPr="00883566">
        <w:rPr>
          <w:rFonts w:cs="Times New Roman"/>
          <w:b/>
        </w:rPr>
        <w:t xml:space="preserve"> </w:t>
      </w:r>
      <w:r w:rsidR="00A3232C">
        <w:rPr>
          <w:rFonts w:cs="Times New Roman"/>
          <w:b/>
        </w:rPr>
        <w:t>valguskaabelvõrgu</w:t>
      </w:r>
      <w:r w:rsidR="00F03958" w:rsidRPr="00883566">
        <w:rPr>
          <w:rFonts w:cs="Times New Roman"/>
          <w:b/>
        </w:rPr>
        <w:t xml:space="preserve">s kliendiliinile </w:t>
      </w:r>
      <w:r w:rsidR="00A667E9">
        <w:rPr>
          <w:rFonts w:cs="Times New Roman"/>
          <w:b/>
        </w:rPr>
        <w:t xml:space="preserve">ja alamkliendiliinile </w:t>
      </w:r>
      <w:r w:rsidR="00F03958" w:rsidRPr="00883566">
        <w:rPr>
          <w:rFonts w:cs="Times New Roman"/>
          <w:b/>
        </w:rPr>
        <w:t xml:space="preserve">juurdepääsu </w:t>
      </w:r>
      <w:r w:rsidR="00F03958" w:rsidRPr="00883566">
        <w:rPr>
          <w:rFonts w:cs="Times New Roman"/>
          <w:b/>
          <w:bCs/>
        </w:rPr>
        <w:t>osutamine</w:t>
      </w:r>
      <w:r w:rsidR="00F03958" w:rsidRPr="00883566">
        <w:rPr>
          <w:rFonts w:cs="Times New Roman"/>
          <w:b/>
        </w:rPr>
        <w:t xml:space="preserve"> piirkonnas B, koos selleks vajalike tugiteenustega. ESS</w:t>
      </w:r>
      <w:r w:rsidR="00F864B3">
        <w:rPr>
          <w:rFonts w:cs="Times New Roman"/>
          <w:b/>
        </w:rPr>
        <w:noBreakHyphen/>
      </w:r>
      <w:r w:rsidR="00F03958" w:rsidRPr="00883566">
        <w:rPr>
          <w:rFonts w:cs="Times New Roman"/>
          <w:b/>
        </w:rPr>
        <w:t>i § 2 lõike 14 kohaselt on kliendiliin (</w:t>
      </w:r>
      <w:proofErr w:type="spellStart"/>
      <w:r w:rsidR="00F03958" w:rsidRPr="005E62A8">
        <w:rPr>
          <w:rFonts w:cs="Times New Roman"/>
          <w:b/>
          <w:i/>
          <w:iCs/>
        </w:rPr>
        <w:t>local</w:t>
      </w:r>
      <w:proofErr w:type="spellEnd"/>
      <w:r w:rsidR="00F03958" w:rsidRPr="005E62A8">
        <w:rPr>
          <w:rFonts w:cs="Times New Roman"/>
          <w:b/>
          <w:i/>
          <w:iCs/>
        </w:rPr>
        <w:t xml:space="preserve"> loop</w:t>
      </w:r>
      <w:r w:rsidR="00F03958" w:rsidRPr="00883566">
        <w:rPr>
          <w:rFonts w:cs="Times New Roman"/>
          <w:b/>
        </w:rPr>
        <w:t xml:space="preserve">) fikseeritud sidevõrgu lõpp-punkti ja </w:t>
      </w:r>
      <w:proofErr w:type="spellStart"/>
      <w:r w:rsidR="00F03958" w:rsidRPr="00883566">
        <w:rPr>
          <w:rFonts w:cs="Times New Roman"/>
          <w:b/>
        </w:rPr>
        <w:t>peajaotaja</w:t>
      </w:r>
      <w:proofErr w:type="spellEnd"/>
      <w:r w:rsidR="00F03958" w:rsidRPr="00883566">
        <w:rPr>
          <w:rFonts w:cs="Times New Roman"/>
          <w:b/>
        </w:rPr>
        <w:t xml:space="preserve"> või muu vastava seadme vaheline füüsiline ühendus, sh valguskaabli kiud. </w:t>
      </w:r>
      <w:r w:rsidR="005F57AA">
        <w:rPr>
          <w:rFonts w:cs="Times New Roman"/>
          <w:b/>
        </w:rPr>
        <w:t xml:space="preserve">ESS-i § 2 lõike 1 kohaselt on alamkliendiliin </w:t>
      </w:r>
      <w:r w:rsidR="00ED298D" w:rsidRPr="00ED298D">
        <w:rPr>
          <w:rFonts w:cs="Times New Roman"/>
          <w:b/>
        </w:rPr>
        <w:t>fikseeritud sidevõrgu lõpp-punkti ja vahejaotuspunkti vaheline füüsiline ühendus</w:t>
      </w:r>
      <w:r w:rsidR="00ED298D">
        <w:rPr>
          <w:rFonts w:cs="Times New Roman"/>
          <w:b/>
        </w:rPr>
        <w:t>.</w:t>
      </w:r>
    </w:p>
    <w:p w14:paraId="6C792832" w14:textId="77777777" w:rsidR="00F03958" w:rsidRPr="00883566" w:rsidRDefault="00F03958" w:rsidP="00AA241E">
      <w:pPr>
        <w:pStyle w:val="Loendilik"/>
        <w:spacing w:before="120" w:after="120"/>
        <w:ind w:left="0"/>
        <w:jc w:val="both"/>
        <w:rPr>
          <w:rFonts w:cs="Times New Roman"/>
          <w:lang w:eastAsia="en-US"/>
        </w:rPr>
      </w:pPr>
    </w:p>
    <w:p w14:paraId="7F07F5BB" w14:textId="424E0746" w:rsidR="00F03958" w:rsidRPr="00883566" w:rsidRDefault="00F03958" w:rsidP="00AA241E">
      <w:pPr>
        <w:spacing w:before="120" w:after="120"/>
        <w:jc w:val="both"/>
        <w:rPr>
          <w:rFonts w:cs="Times New Roman"/>
        </w:rPr>
      </w:pPr>
      <w:r w:rsidRPr="00883566">
        <w:rPr>
          <w:rFonts w:cs="Times New Roman"/>
        </w:rPr>
        <w:t>Käesoleva otsuse koostamise ajal pakub Telia hulgiturul 1 teenust nimega optiline juurdepääsuliin</w:t>
      </w:r>
      <w:r w:rsidRPr="00883566">
        <w:rPr>
          <w:rStyle w:val="Allmrkuseviide"/>
          <w:rFonts w:eastAsiaTheme="minorHAnsi" w:cs="Times New Roman"/>
          <w:lang w:eastAsia="en-US"/>
        </w:rPr>
        <w:footnoteReference w:id="105"/>
      </w:r>
      <w:r w:rsidRPr="00883566">
        <w:rPr>
          <w:rFonts w:cs="Times New Roman"/>
        </w:rPr>
        <w:t>, mille teenustingimuste</w:t>
      </w:r>
      <w:r w:rsidRPr="00883566">
        <w:rPr>
          <w:rStyle w:val="Allmrkuseviide"/>
          <w:rFonts w:eastAsiaTheme="minorHAnsi" w:cs="Times New Roman"/>
          <w:lang w:eastAsia="en-US"/>
        </w:rPr>
        <w:footnoteReference w:id="106"/>
      </w:r>
      <w:r w:rsidRPr="00883566">
        <w:rPr>
          <w:rFonts w:cs="Times New Roman"/>
        </w:rPr>
        <w:t xml:space="preserve"> kohaselt võimaldab teenus luua valguskaabli kiul põhineva ühenduse kahe aadresspunkti vahel, millest üks on Telia võrgusõlm (peajaotuskoht) ja teine on samas sihtvõrgus asuv jaotuspunkt, kus paiknevad jaoturid, mida seostavad </w:t>
      </w:r>
      <w:proofErr w:type="spellStart"/>
      <w:r w:rsidRPr="00883566">
        <w:rPr>
          <w:rFonts w:cs="Times New Roman"/>
        </w:rPr>
        <w:t>rippkaablid</w:t>
      </w:r>
      <w:proofErr w:type="spellEnd"/>
      <w:r w:rsidRPr="00883566">
        <w:rPr>
          <w:rFonts w:cs="Times New Roman"/>
        </w:rPr>
        <w:t>. Samuti pakub Telia hulgiturul 1 teenust nimega jagatud optiline juurdepääsuliin</w:t>
      </w:r>
      <w:r w:rsidRPr="00883566">
        <w:rPr>
          <w:rStyle w:val="Allmrkuseviide"/>
          <w:rFonts w:eastAsiaTheme="minorHAnsi" w:cs="Times New Roman"/>
          <w:lang w:eastAsia="en-US"/>
        </w:rPr>
        <w:footnoteReference w:id="107"/>
      </w:r>
      <w:r w:rsidRPr="00883566">
        <w:rPr>
          <w:rFonts w:cs="Times New Roman"/>
        </w:rPr>
        <w:t>, mille teenustingimuste</w:t>
      </w:r>
      <w:r w:rsidRPr="00883566">
        <w:rPr>
          <w:rStyle w:val="Allmrkuseviide"/>
          <w:rFonts w:eastAsiaTheme="minorHAnsi" w:cs="Times New Roman"/>
          <w:lang w:eastAsia="en-US"/>
        </w:rPr>
        <w:footnoteReference w:id="108"/>
      </w:r>
      <w:r w:rsidRPr="00883566">
        <w:rPr>
          <w:rFonts w:cs="Times New Roman"/>
        </w:rPr>
        <w:t xml:space="preserve"> kohaselt võimaldab teenus luua valguskaabli kiu baasil CWDM (</w:t>
      </w:r>
      <w:proofErr w:type="spellStart"/>
      <w:r w:rsidRPr="00883566">
        <w:rPr>
          <w:rFonts w:cs="Times New Roman"/>
          <w:i/>
          <w:iCs/>
        </w:rPr>
        <w:t>coarse</w:t>
      </w:r>
      <w:proofErr w:type="spellEnd"/>
      <w:r w:rsidRPr="00883566">
        <w:rPr>
          <w:rFonts w:cs="Times New Roman"/>
          <w:i/>
          <w:iCs/>
        </w:rPr>
        <w:t xml:space="preserve"> </w:t>
      </w:r>
      <w:proofErr w:type="spellStart"/>
      <w:r w:rsidRPr="00883566">
        <w:rPr>
          <w:rFonts w:cs="Times New Roman"/>
          <w:i/>
          <w:iCs/>
        </w:rPr>
        <w:t>wavelength-division</w:t>
      </w:r>
      <w:proofErr w:type="spellEnd"/>
      <w:r w:rsidRPr="00883566">
        <w:rPr>
          <w:rFonts w:cs="Times New Roman"/>
          <w:i/>
          <w:iCs/>
        </w:rPr>
        <w:t xml:space="preserve"> </w:t>
      </w:r>
      <w:proofErr w:type="spellStart"/>
      <w:r w:rsidRPr="00883566">
        <w:rPr>
          <w:rFonts w:cs="Times New Roman"/>
          <w:i/>
          <w:iCs/>
        </w:rPr>
        <w:t>multiplexing</w:t>
      </w:r>
      <w:proofErr w:type="spellEnd"/>
      <w:r w:rsidRPr="00883566">
        <w:rPr>
          <w:rFonts w:cs="Times New Roman"/>
        </w:rPr>
        <w:t>) tehnoloogiat kasutades jagatud ühenduse kahe aadresspunkti vahel, millest üks on Telia võrgusõlm (peajaotuskoht) ja teine on samas sihtvõrgus asuv jaotuspunkt, kus paiknevad jaoturid ning multiplekserid (</w:t>
      </w:r>
      <w:proofErr w:type="spellStart"/>
      <w:r w:rsidRPr="00883566">
        <w:rPr>
          <w:rFonts w:cs="Times New Roman"/>
          <w:i/>
          <w:iCs/>
        </w:rPr>
        <w:t>Mux</w:t>
      </w:r>
      <w:proofErr w:type="spellEnd"/>
      <w:r w:rsidRPr="00883566">
        <w:rPr>
          <w:rFonts w:cs="Times New Roman"/>
          <w:i/>
          <w:iCs/>
        </w:rPr>
        <w:t>/</w:t>
      </w:r>
      <w:proofErr w:type="spellStart"/>
      <w:r w:rsidRPr="00883566">
        <w:rPr>
          <w:rFonts w:cs="Times New Roman"/>
          <w:i/>
          <w:iCs/>
        </w:rPr>
        <w:t>Demux</w:t>
      </w:r>
      <w:proofErr w:type="spellEnd"/>
      <w:r w:rsidRPr="00883566">
        <w:rPr>
          <w:rFonts w:cs="Times New Roman"/>
        </w:rPr>
        <w:t xml:space="preserve">), mida seostavad </w:t>
      </w:r>
      <w:proofErr w:type="spellStart"/>
      <w:r w:rsidRPr="00883566">
        <w:rPr>
          <w:rFonts w:cs="Times New Roman"/>
        </w:rPr>
        <w:t>rippkaablid</w:t>
      </w:r>
      <w:proofErr w:type="spellEnd"/>
      <w:r w:rsidRPr="00883566">
        <w:rPr>
          <w:rFonts w:cs="Times New Roman"/>
        </w:rPr>
        <w:t>.</w:t>
      </w:r>
    </w:p>
    <w:p w14:paraId="6F6AF29A" w14:textId="77777777" w:rsidR="00F03958" w:rsidRPr="00883566" w:rsidRDefault="00F03958" w:rsidP="00AA241E">
      <w:pPr>
        <w:pStyle w:val="Loendilik"/>
        <w:spacing w:before="120" w:after="120"/>
        <w:ind w:left="0"/>
        <w:jc w:val="both"/>
        <w:rPr>
          <w:rFonts w:cs="Times New Roman"/>
        </w:rPr>
      </w:pPr>
      <w:r w:rsidRPr="00883566">
        <w:rPr>
          <w:rFonts w:cs="Times New Roman"/>
        </w:rPr>
        <w:t xml:space="preserve">Optilise juurdepääsuliini teenuse kasutus on olnud peaaegu olematu ja jagatud optilise juurdepääsuliini teenuse kasutus täiesti olematu alates nende teenuste rakendumisest 2013 aastal. </w:t>
      </w:r>
    </w:p>
    <w:p w14:paraId="74E9FEE5" w14:textId="77777777" w:rsidR="00F03958" w:rsidRPr="00883566" w:rsidRDefault="00F03958" w:rsidP="00AA241E">
      <w:pPr>
        <w:jc w:val="both"/>
      </w:pPr>
    </w:p>
    <w:p w14:paraId="4FE48842" w14:textId="44CB2A3E" w:rsidR="00F03958" w:rsidRPr="00883566" w:rsidRDefault="00F03958" w:rsidP="009805E1">
      <w:pPr>
        <w:pStyle w:val="Pealkiri3"/>
      </w:pPr>
      <w:r w:rsidRPr="00883566">
        <w:lastRenderedPageBreak/>
        <w:t xml:space="preserve"> </w:t>
      </w:r>
      <w:bookmarkStart w:id="928" w:name="_Toc174710817"/>
      <w:r w:rsidRPr="00883566">
        <w:t>TTJA 2017 hulgituru 1 otsuse ja selles kehtestatud kohustuste kehtetuks tunnistamine</w:t>
      </w:r>
      <w:bookmarkEnd w:id="928"/>
    </w:p>
    <w:p w14:paraId="0D4C2991" w14:textId="77777777" w:rsidR="00F03958" w:rsidRPr="00883566" w:rsidRDefault="00F03958" w:rsidP="00AA241E">
      <w:pPr>
        <w:pStyle w:val="Loendilik"/>
        <w:spacing w:before="120" w:after="120"/>
        <w:ind w:left="0"/>
        <w:jc w:val="both"/>
        <w:rPr>
          <w:rFonts w:cs="Times New Roman"/>
        </w:rPr>
      </w:pPr>
    </w:p>
    <w:p w14:paraId="5498375E" w14:textId="06845280" w:rsidR="00422301" w:rsidRPr="00883566" w:rsidRDefault="00422301" w:rsidP="00AA241E">
      <w:pPr>
        <w:pStyle w:val="Loendilik"/>
        <w:spacing w:before="120" w:after="120"/>
        <w:ind w:left="0"/>
        <w:jc w:val="both"/>
        <w:rPr>
          <w:rFonts w:cs="Times New Roman"/>
        </w:rPr>
      </w:pPr>
      <w:r w:rsidRPr="00883566">
        <w:rPr>
          <w:rFonts w:cs="Times New Roman"/>
        </w:rPr>
        <w:t>Käesoleva otsuse koostamise ajal on Telia hulgituru 1 teenused reguleeritud</w:t>
      </w:r>
      <w:r w:rsidR="003448D2">
        <w:rPr>
          <w:rFonts w:cs="Times New Roman"/>
        </w:rPr>
        <w:t xml:space="preserve"> </w:t>
      </w:r>
      <w:r w:rsidR="00532579">
        <w:rPr>
          <w:rFonts w:cs="Times New Roman"/>
        </w:rPr>
        <w:t>vaskpaar</w:t>
      </w:r>
      <w:r w:rsidR="00582F64">
        <w:rPr>
          <w:rFonts w:cs="Times New Roman"/>
        </w:rPr>
        <w:t xml:space="preserve">- ja valguskaablivõrgus </w:t>
      </w:r>
      <w:r w:rsidR="003448D2">
        <w:rPr>
          <w:rFonts w:cs="Times New Roman"/>
        </w:rPr>
        <w:t>üleriigiliselt</w:t>
      </w:r>
      <w:r w:rsidRPr="00883566">
        <w:rPr>
          <w:rFonts w:cs="Times New Roman"/>
        </w:rPr>
        <w:t xml:space="preserve"> (sh hind) TTJA 2017 hulgituru 1 otsusega</w:t>
      </w:r>
      <w:r w:rsidRPr="00883566">
        <w:rPr>
          <w:rFonts w:cs="Times New Roman"/>
          <w:vertAlign w:val="superscript"/>
        </w:rPr>
        <w:footnoteReference w:id="109"/>
      </w:r>
      <w:r w:rsidRPr="00883566">
        <w:rPr>
          <w:rFonts w:cs="Times New Roman"/>
        </w:rPr>
        <w:t>.</w:t>
      </w:r>
    </w:p>
    <w:p w14:paraId="6E90FBC5" w14:textId="77777777" w:rsidR="00422301" w:rsidRPr="00883566" w:rsidRDefault="00422301" w:rsidP="00AA241E">
      <w:pPr>
        <w:pStyle w:val="Loendilik"/>
        <w:spacing w:before="120" w:after="120"/>
        <w:ind w:left="0"/>
        <w:jc w:val="both"/>
        <w:rPr>
          <w:rFonts w:cs="Times New Roman"/>
        </w:rPr>
      </w:pPr>
    </w:p>
    <w:p w14:paraId="3DE34E22" w14:textId="3B56154B" w:rsidR="00F03958" w:rsidRPr="00883566" w:rsidRDefault="00F03958" w:rsidP="00AA241E">
      <w:pPr>
        <w:pStyle w:val="Loendilik"/>
        <w:spacing w:before="120" w:after="120"/>
        <w:ind w:left="0"/>
        <w:jc w:val="both"/>
        <w:rPr>
          <w:rFonts w:cs="Times New Roman"/>
          <w:b/>
          <w:bCs/>
        </w:rPr>
      </w:pPr>
      <w:r w:rsidRPr="00883566">
        <w:rPr>
          <w:rFonts w:cs="Times New Roman"/>
          <w:b/>
          <w:bCs/>
        </w:rPr>
        <w:t xml:space="preserve">Käesoleva otsusega tunnistatakse TTJA 2017 hulgituru 1 otsus koos selles Teliale kehtestatud kohustustega kehtetuks alates käesoleva otsuse kehtima hakkamisest. </w:t>
      </w:r>
      <w:r w:rsidR="005B7613">
        <w:rPr>
          <w:rFonts w:cs="Times New Roman"/>
          <w:b/>
          <w:bCs/>
        </w:rPr>
        <w:t xml:space="preserve">Kuna käesoleva otsusega vase- ja </w:t>
      </w:r>
      <w:r w:rsidR="00183BEB">
        <w:rPr>
          <w:rFonts w:cs="Times New Roman"/>
          <w:b/>
          <w:bCs/>
        </w:rPr>
        <w:t>mobiilsidevõr</w:t>
      </w:r>
      <w:r w:rsidR="005B7613">
        <w:rPr>
          <w:rFonts w:cs="Times New Roman"/>
          <w:b/>
          <w:bCs/>
        </w:rPr>
        <w:t xml:space="preserve">gu hulgiturul 1 ja </w:t>
      </w:r>
      <w:r w:rsidR="009413AD" w:rsidRPr="00D5222A">
        <w:rPr>
          <w:rFonts w:cs="Times New Roman"/>
          <w:b/>
          <w:bCs/>
        </w:rPr>
        <w:t>valguskaabli</w:t>
      </w:r>
      <w:r w:rsidR="009413AD">
        <w:rPr>
          <w:rFonts w:cs="Times New Roman"/>
          <w:b/>
          <w:bCs/>
        </w:rPr>
        <w:t>võrgu</w:t>
      </w:r>
      <w:r w:rsidR="009413AD" w:rsidRPr="00D5222A">
        <w:rPr>
          <w:rFonts w:cs="Times New Roman"/>
          <w:b/>
          <w:bCs/>
        </w:rPr>
        <w:t xml:space="preserve"> </w:t>
      </w:r>
      <w:r w:rsidR="005B7613" w:rsidRPr="00D5222A">
        <w:rPr>
          <w:rFonts w:cs="Times New Roman"/>
          <w:b/>
          <w:bCs/>
        </w:rPr>
        <w:t>A piirkonna hulgitur</w:t>
      </w:r>
      <w:r w:rsidR="005B7613">
        <w:rPr>
          <w:rFonts w:cs="Times New Roman"/>
          <w:b/>
          <w:bCs/>
        </w:rPr>
        <w:t>ul 1</w:t>
      </w:r>
      <w:r w:rsidR="005B7613" w:rsidRPr="00D5222A">
        <w:rPr>
          <w:rFonts w:cs="Times New Roman"/>
          <w:b/>
          <w:bCs/>
        </w:rPr>
        <w:t xml:space="preserve"> </w:t>
      </w:r>
      <w:r w:rsidR="005B7613">
        <w:rPr>
          <w:rFonts w:cs="Times New Roman"/>
          <w:b/>
          <w:bCs/>
        </w:rPr>
        <w:t>Telia</w:t>
      </w:r>
      <w:r w:rsidR="00C42A7C">
        <w:rPr>
          <w:rFonts w:cs="Times New Roman"/>
          <w:b/>
          <w:bCs/>
        </w:rPr>
        <w:t xml:space="preserve">t enam MTE-ks ei </w:t>
      </w:r>
      <w:r w:rsidR="00C04EA0">
        <w:rPr>
          <w:rFonts w:cs="Times New Roman"/>
          <w:b/>
          <w:bCs/>
        </w:rPr>
        <w:t>tunnistatud</w:t>
      </w:r>
      <w:r w:rsidR="00C42A7C">
        <w:rPr>
          <w:rFonts w:cs="Times New Roman"/>
          <w:b/>
          <w:bCs/>
        </w:rPr>
        <w:t xml:space="preserve">, </w:t>
      </w:r>
      <w:r w:rsidR="0095428B">
        <w:rPr>
          <w:rFonts w:cs="Times New Roman"/>
          <w:b/>
          <w:bCs/>
        </w:rPr>
        <w:t>siis kaovad Telial</w:t>
      </w:r>
      <w:r w:rsidR="00EB4D59">
        <w:rPr>
          <w:rFonts w:cs="Times New Roman"/>
          <w:b/>
          <w:bCs/>
        </w:rPr>
        <w:t xml:space="preserve"> TTJA </w:t>
      </w:r>
      <w:r w:rsidR="00C91F18">
        <w:rPr>
          <w:rFonts w:cs="Times New Roman"/>
          <w:b/>
          <w:bCs/>
        </w:rPr>
        <w:t>2017 hulgituru 1 otsuse</w:t>
      </w:r>
      <w:r w:rsidR="006A5F09">
        <w:rPr>
          <w:rFonts w:cs="Times New Roman"/>
          <w:b/>
          <w:bCs/>
        </w:rPr>
        <w:t xml:space="preserve"> kohased </w:t>
      </w:r>
      <w:r w:rsidR="005B7613">
        <w:rPr>
          <w:rFonts w:cs="Times New Roman"/>
          <w:b/>
          <w:bCs/>
        </w:rPr>
        <w:t>kohustus</w:t>
      </w:r>
      <w:r w:rsidR="00B22347">
        <w:rPr>
          <w:rFonts w:cs="Times New Roman"/>
          <w:b/>
          <w:bCs/>
        </w:rPr>
        <w:t>ed</w:t>
      </w:r>
      <w:r w:rsidR="005B7613">
        <w:rPr>
          <w:rFonts w:cs="Times New Roman"/>
          <w:b/>
          <w:bCs/>
        </w:rPr>
        <w:t xml:space="preserve"> </w:t>
      </w:r>
      <w:r w:rsidR="00EB4D59">
        <w:rPr>
          <w:rFonts w:cs="Times New Roman"/>
          <w:b/>
          <w:bCs/>
        </w:rPr>
        <w:t xml:space="preserve">osutada </w:t>
      </w:r>
      <w:r w:rsidR="00532579">
        <w:rPr>
          <w:rFonts w:cs="Times New Roman"/>
          <w:b/>
          <w:bCs/>
        </w:rPr>
        <w:t>vaskpaar</w:t>
      </w:r>
      <w:r w:rsidR="003761DD">
        <w:rPr>
          <w:rFonts w:cs="Times New Roman"/>
          <w:b/>
          <w:bCs/>
        </w:rPr>
        <w:t xml:space="preserve">võrgus </w:t>
      </w:r>
      <w:r w:rsidR="00514787">
        <w:rPr>
          <w:rFonts w:cs="Times New Roman"/>
          <w:b/>
          <w:bCs/>
        </w:rPr>
        <w:t xml:space="preserve">üleriigiliselt </w:t>
      </w:r>
      <w:r w:rsidR="00151B6B">
        <w:rPr>
          <w:rFonts w:cs="Times New Roman"/>
          <w:b/>
          <w:bCs/>
        </w:rPr>
        <w:t>ja va</w:t>
      </w:r>
      <w:r w:rsidR="00EB4D59">
        <w:rPr>
          <w:rFonts w:cs="Times New Roman"/>
          <w:b/>
          <w:bCs/>
        </w:rPr>
        <w:t xml:space="preserve">lguskaablivõrgus </w:t>
      </w:r>
      <w:r w:rsidR="00514787">
        <w:rPr>
          <w:rFonts w:cs="Times New Roman"/>
          <w:b/>
          <w:bCs/>
        </w:rPr>
        <w:t xml:space="preserve">A piirkonnas </w:t>
      </w:r>
      <w:r w:rsidR="000072E1">
        <w:rPr>
          <w:rFonts w:cs="Times New Roman"/>
          <w:b/>
          <w:bCs/>
        </w:rPr>
        <w:t>hulgituru 1 teenuseid</w:t>
      </w:r>
      <w:r w:rsidR="003761DD">
        <w:rPr>
          <w:rFonts w:cs="Times New Roman"/>
          <w:b/>
          <w:bCs/>
        </w:rPr>
        <w:t xml:space="preserve"> </w:t>
      </w:r>
      <w:r w:rsidR="00332F14">
        <w:rPr>
          <w:rFonts w:cs="Times New Roman"/>
          <w:b/>
          <w:bCs/>
        </w:rPr>
        <w:t xml:space="preserve">läbipaistvalt, mittediskrimineerivalt ja kuludele orienteeritud hindadega. </w:t>
      </w:r>
      <w:r w:rsidR="00A27765">
        <w:rPr>
          <w:rFonts w:cs="Times New Roman"/>
          <w:b/>
          <w:bCs/>
        </w:rPr>
        <w:t xml:space="preserve">TTJA 2017 hulgituru 1 otsuse kohased </w:t>
      </w:r>
      <w:r w:rsidR="00296334">
        <w:rPr>
          <w:rFonts w:cs="Times New Roman"/>
          <w:b/>
          <w:bCs/>
        </w:rPr>
        <w:t xml:space="preserve">Telia </w:t>
      </w:r>
      <w:r w:rsidR="00A27765">
        <w:rPr>
          <w:rFonts w:cs="Times New Roman"/>
          <w:b/>
          <w:bCs/>
        </w:rPr>
        <w:t xml:space="preserve">kohustused </w:t>
      </w:r>
      <w:r w:rsidR="00335256">
        <w:rPr>
          <w:rFonts w:cs="Times New Roman"/>
          <w:b/>
          <w:bCs/>
        </w:rPr>
        <w:t>valguskaablivõrgu B piirkonna</w:t>
      </w:r>
      <w:r w:rsidR="00296334">
        <w:rPr>
          <w:rFonts w:cs="Times New Roman"/>
          <w:b/>
          <w:bCs/>
        </w:rPr>
        <w:t>s</w:t>
      </w:r>
      <w:r w:rsidR="00335256">
        <w:rPr>
          <w:rFonts w:cs="Times New Roman"/>
          <w:b/>
          <w:bCs/>
        </w:rPr>
        <w:t xml:space="preserve"> asendatakse käesoleva </w:t>
      </w:r>
      <w:r w:rsidR="00296334">
        <w:rPr>
          <w:rFonts w:cs="Times New Roman"/>
          <w:b/>
          <w:bCs/>
        </w:rPr>
        <w:t xml:space="preserve">otsuse kohustustega </w:t>
      </w:r>
      <w:r w:rsidR="008C159A">
        <w:rPr>
          <w:rFonts w:cs="Times New Roman"/>
          <w:b/>
          <w:bCs/>
        </w:rPr>
        <w:t>ptk.-</w:t>
      </w:r>
      <w:r w:rsidR="00B50BAB">
        <w:rPr>
          <w:rFonts w:cs="Times New Roman"/>
          <w:b/>
          <w:bCs/>
        </w:rPr>
        <w:t xml:space="preserve">des </w:t>
      </w:r>
      <w:r w:rsidR="00273205">
        <w:rPr>
          <w:rFonts w:cs="Times New Roman"/>
          <w:b/>
          <w:bCs/>
        </w:rPr>
        <w:t>7.3.5, 7.4.10, 7.5.5 ja 7.6.4</w:t>
      </w:r>
      <w:r w:rsidR="00D72DC8">
        <w:rPr>
          <w:rFonts w:cs="Times New Roman"/>
          <w:b/>
          <w:bCs/>
        </w:rPr>
        <w:t>.</w:t>
      </w:r>
    </w:p>
    <w:p w14:paraId="54393981" w14:textId="77777777" w:rsidR="00F03958" w:rsidRPr="00883566" w:rsidRDefault="00F03958" w:rsidP="00AA241E">
      <w:pPr>
        <w:pStyle w:val="Loendilik"/>
        <w:spacing w:before="120" w:after="120"/>
        <w:ind w:left="0"/>
        <w:jc w:val="both"/>
        <w:rPr>
          <w:rFonts w:cs="Times New Roman"/>
        </w:rPr>
      </w:pPr>
    </w:p>
    <w:p w14:paraId="325FEAD2" w14:textId="77777777" w:rsidR="00F03958" w:rsidRPr="00883566" w:rsidRDefault="00F03958" w:rsidP="00AA241E">
      <w:pPr>
        <w:pStyle w:val="Loendilik"/>
        <w:spacing w:before="120" w:after="120"/>
        <w:ind w:left="0"/>
        <w:jc w:val="both"/>
        <w:rPr>
          <w:rFonts w:cs="Times New Roman"/>
        </w:rPr>
      </w:pPr>
      <w:r w:rsidRPr="00883566">
        <w:rPr>
          <w:rFonts w:cs="Times New Roman"/>
        </w:rPr>
        <w:t xml:space="preserve">Vastavalt ESS § 49 lõikele 6, kui TTJA tunnistab mõne olemasoleva MTE-ks tunnistamise otsuse kehtetuks võib TTJA kehtestada tingimusi seoses kehtivate juurdepääsulepingutega, andes nende täitmiseks mõistliku tähtaja. </w:t>
      </w:r>
    </w:p>
    <w:p w14:paraId="24C055C7" w14:textId="77777777" w:rsidR="00F03958" w:rsidRPr="00883566" w:rsidRDefault="00F03958" w:rsidP="00AA241E">
      <w:pPr>
        <w:pStyle w:val="Loendilik"/>
        <w:spacing w:before="120" w:after="120"/>
        <w:ind w:left="0"/>
        <w:jc w:val="both"/>
        <w:rPr>
          <w:rFonts w:cs="Times New Roman"/>
        </w:rPr>
      </w:pPr>
    </w:p>
    <w:p w14:paraId="732454BD" w14:textId="0204BDEB" w:rsidR="00B74299" w:rsidRPr="00883566" w:rsidRDefault="00B74299" w:rsidP="00AA241E">
      <w:pPr>
        <w:pStyle w:val="Loendilik"/>
        <w:spacing w:before="120" w:after="120"/>
        <w:ind w:left="0"/>
        <w:jc w:val="both"/>
        <w:rPr>
          <w:rFonts w:cs="Times New Roman"/>
          <w:b/>
          <w:bCs/>
        </w:rPr>
      </w:pPr>
      <w:r>
        <w:rPr>
          <w:rFonts w:cs="Times New Roman"/>
          <w:b/>
          <w:bCs/>
        </w:rPr>
        <w:t xml:space="preserve">Kuna vase- ja </w:t>
      </w:r>
      <w:r w:rsidR="00183BEB">
        <w:rPr>
          <w:rFonts w:cs="Times New Roman"/>
          <w:b/>
          <w:bCs/>
        </w:rPr>
        <w:t>mobiilsidevõr</w:t>
      </w:r>
      <w:r>
        <w:rPr>
          <w:rFonts w:cs="Times New Roman"/>
          <w:b/>
          <w:bCs/>
        </w:rPr>
        <w:t xml:space="preserve">gu hulgituru 1 ja </w:t>
      </w:r>
      <w:r w:rsidRPr="00D5222A">
        <w:rPr>
          <w:rFonts w:cs="Times New Roman"/>
          <w:b/>
          <w:bCs/>
        </w:rPr>
        <w:t>valguskaabli</w:t>
      </w:r>
      <w:r>
        <w:rPr>
          <w:rFonts w:cs="Times New Roman"/>
          <w:b/>
          <w:bCs/>
        </w:rPr>
        <w:t xml:space="preserve">võrgu </w:t>
      </w:r>
      <w:r w:rsidRPr="00D5222A">
        <w:rPr>
          <w:rFonts w:cs="Times New Roman"/>
          <w:b/>
          <w:bCs/>
        </w:rPr>
        <w:t>A piirkonna hulgitur</w:t>
      </w:r>
      <w:r>
        <w:rPr>
          <w:rFonts w:cs="Times New Roman"/>
          <w:b/>
          <w:bCs/>
        </w:rPr>
        <w:t>u 1 teenuste osas</w:t>
      </w:r>
      <w:r w:rsidRPr="00D5222A">
        <w:rPr>
          <w:rFonts w:cs="Times New Roman"/>
          <w:b/>
          <w:bCs/>
        </w:rPr>
        <w:t xml:space="preserve"> </w:t>
      </w:r>
      <w:r>
        <w:rPr>
          <w:rFonts w:cs="Times New Roman"/>
          <w:b/>
          <w:bCs/>
        </w:rPr>
        <w:t>Telia kohustused tunnistatakse käesoleva otsusega kehtetuks, siis ESS § 49 lõikest 6 lähtudes</w:t>
      </w:r>
      <w:r w:rsidRPr="00883566">
        <w:rPr>
          <w:rFonts w:cs="Times New Roman"/>
          <w:b/>
          <w:bCs/>
        </w:rPr>
        <w:t xml:space="preserve"> ei tohi Telia käesoleva otsuse kehtestamise kuupäeval </w:t>
      </w:r>
      <w:r w:rsidR="004C7FF2">
        <w:rPr>
          <w:rFonts w:cs="Times New Roman"/>
          <w:b/>
          <w:bCs/>
        </w:rPr>
        <w:t>kehtivaid</w:t>
      </w:r>
      <w:r w:rsidRPr="00883566">
        <w:rPr>
          <w:rFonts w:cs="Times New Roman"/>
          <w:b/>
          <w:bCs/>
        </w:rPr>
        <w:t xml:space="preserve"> </w:t>
      </w:r>
      <w:r>
        <w:rPr>
          <w:rFonts w:cs="Times New Roman"/>
          <w:b/>
          <w:bCs/>
        </w:rPr>
        <w:t xml:space="preserve">hulgituru </w:t>
      </w:r>
      <w:r w:rsidR="004C7FF2">
        <w:rPr>
          <w:rFonts w:cs="Times New Roman"/>
          <w:b/>
          <w:bCs/>
        </w:rPr>
        <w:t>1</w:t>
      </w:r>
      <w:r>
        <w:rPr>
          <w:rFonts w:cs="Times New Roman"/>
          <w:b/>
          <w:bCs/>
        </w:rPr>
        <w:t xml:space="preserve"> teenuste </w:t>
      </w:r>
      <w:r w:rsidRPr="00883566">
        <w:rPr>
          <w:rFonts w:cs="Times New Roman"/>
          <w:b/>
          <w:bCs/>
        </w:rPr>
        <w:t xml:space="preserve"> </w:t>
      </w:r>
      <w:r>
        <w:rPr>
          <w:rFonts w:cs="Times New Roman"/>
          <w:b/>
          <w:bCs/>
        </w:rPr>
        <w:t xml:space="preserve">lepinguid </w:t>
      </w:r>
      <w:r w:rsidR="00532579">
        <w:rPr>
          <w:rFonts w:cs="Times New Roman"/>
          <w:b/>
          <w:bCs/>
        </w:rPr>
        <w:t>vaskpaar</w:t>
      </w:r>
      <w:r w:rsidRPr="00883566">
        <w:rPr>
          <w:rFonts w:cs="Times New Roman"/>
          <w:b/>
          <w:bCs/>
        </w:rPr>
        <w:t>võrgus</w:t>
      </w:r>
      <w:r>
        <w:rPr>
          <w:rFonts w:cs="Times New Roman"/>
          <w:b/>
          <w:bCs/>
        </w:rPr>
        <w:t xml:space="preserve"> üleriigiliselt</w:t>
      </w:r>
      <w:r w:rsidRPr="00883566">
        <w:rPr>
          <w:rFonts w:cs="Times New Roman"/>
          <w:b/>
          <w:bCs/>
        </w:rPr>
        <w:t xml:space="preserve"> ning </w:t>
      </w:r>
      <w:r>
        <w:rPr>
          <w:rFonts w:cs="Times New Roman"/>
          <w:b/>
          <w:bCs/>
        </w:rPr>
        <w:t>valguskaabelvõrgu</w:t>
      </w:r>
      <w:r w:rsidRPr="00883566">
        <w:rPr>
          <w:rFonts w:cs="Times New Roman"/>
          <w:b/>
          <w:bCs/>
        </w:rPr>
        <w:t>s A piirkonna</w:t>
      </w:r>
      <w:r>
        <w:rPr>
          <w:rFonts w:cs="Times New Roman"/>
          <w:b/>
          <w:bCs/>
        </w:rPr>
        <w:t>s</w:t>
      </w:r>
      <w:r w:rsidRPr="00883566">
        <w:rPr>
          <w:rFonts w:cs="Times New Roman"/>
          <w:b/>
          <w:bCs/>
        </w:rPr>
        <w:t xml:space="preserve"> muuta ega lõpetada 160 tööpäeva (ca 8 kuud) alates käesoleva otsuse kehtima hakkamisest ning teavitama vastavate lepingute lõpetamisest lepingu osapooli ette vähemalt 140 tööpäeva (ca 7 kuud).</w:t>
      </w:r>
    </w:p>
    <w:p w14:paraId="129F1162" w14:textId="77777777" w:rsidR="00F03958" w:rsidRDefault="00F03958" w:rsidP="00AA241E">
      <w:pPr>
        <w:jc w:val="both"/>
      </w:pPr>
    </w:p>
    <w:p w14:paraId="5B110DBE" w14:textId="77777777" w:rsidR="00080286" w:rsidRDefault="00080286" w:rsidP="00AA241E">
      <w:pPr>
        <w:jc w:val="both"/>
      </w:pPr>
    </w:p>
    <w:p w14:paraId="65F1481A" w14:textId="77777777" w:rsidR="00080286" w:rsidRPr="00883566" w:rsidRDefault="00080286" w:rsidP="00AA241E">
      <w:pPr>
        <w:jc w:val="both"/>
      </w:pPr>
    </w:p>
    <w:p w14:paraId="7B6A8CB4" w14:textId="48E93DAE" w:rsidR="00F03958" w:rsidRPr="00883566" w:rsidRDefault="00F03958" w:rsidP="00AA241E">
      <w:pPr>
        <w:pStyle w:val="Pealkiri2"/>
        <w:jc w:val="both"/>
      </w:pPr>
      <w:r w:rsidRPr="00883566">
        <w:t xml:space="preserve"> </w:t>
      </w:r>
      <w:bookmarkStart w:id="929" w:name="_Toc174710818"/>
      <w:r w:rsidR="00546A8E">
        <w:t>Hulgiturg</w:t>
      </w:r>
      <w:r w:rsidRPr="00883566">
        <w:t xml:space="preserve"> 1 kohustuste eesmärk</w:t>
      </w:r>
      <w:r w:rsidR="00627293">
        <w:t>,</w:t>
      </w:r>
      <w:r w:rsidRPr="00883566">
        <w:t xml:space="preserve"> alused</w:t>
      </w:r>
      <w:r w:rsidR="00627293">
        <w:t xml:space="preserve"> ja ajalugu</w:t>
      </w:r>
      <w:bookmarkEnd w:id="929"/>
    </w:p>
    <w:p w14:paraId="00D11381" w14:textId="77777777" w:rsidR="00276C12" w:rsidRPr="00276C12" w:rsidRDefault="00276C12"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930" w:name="_Toc174094610"/>
      <w:bookmarkStart w:id="931" w:name="_Toc174094877"/>
      <w:bookmarkStart w:id="932" w:name="_Toc174095143"/>
      <w:bookmarkStart w:id="933" w:name="_Toc174095408"/>
      <w:bookmarkStart w:id="934" w:name="_Toc174095946"/>
      <w:bookmarkStart w:id="935" w:name="_Toc174096212"/>
      <w:bookmarkStart w:id="936" w:name="_Toc174536102"/>
      <w:bookmarkStart w:id="937" w:name="_Toc174617203"/>
      <w:bookmarkStart w:id="938" w:name="_Toc174618560"/>
      <w:bookmarkStart w:id="939" w:name="_Toc174627622"/>
      <w:bookmarkStart w:id="940" w:name="_Toc174705046"/>
      <w:bookmarkStart w:id="941" w:name="_Toc174709590"/>
      <w:bookmarkStart w:id="942" w:name="_Toc174710819"/>
      <w:bookmarkEnd w:id="930"/>
      <w:bookmarkEnd w:id="931"/>
      <w:bookmarkEnd w:id="932"/>
      <w:bookmarkEnd w:id="933"/>
      <w:bookmarkEnd w:id="934"/>
      <w:bookmarkEnd w:id="935"/>
      <w:bookmarkEnd w:id="936"/>
      <w:bookmarkEnd w:id="937"/>
      <w:bookmarkEnd w:id="938"/>
      <w:bookmarkEnd w:id="939"/>
      <w:bookmarkEnd w:id="940"/>
      <w:bookmarkEnd w:id="941"/>
      <w:bookmarkEnd w:id="942"/>
    </w:p>
    <w:p w14:paraId="6B230FC1" w14:textId="60AA5022" w:rsidR="00F03958" w:rsidRPr="00883566" w:rsidRDefault="00F03958" w:rsidP="009805E1">
      <w:pPr>
        <w:pStyle w:val="Pealkiri3"/>
      </w:pPr>
      <w:bookmarkStart w:id="943" w:name="_Toc174710820"/>
      <w:r w:rsidRPr="00883566">
        <w:t>Kohustuste eesmärk</w:t>
      </w:r>
      <w:bookmarkEnd w:id="943"/>
    </w:p>
    <w:p w14:paraId="3B2060E4" w14:textId="77777777" w:rsidR="00F03958" w:rsidRPr="00883566" w:rsidRDefault="00F03958" w:rsidP="00AA241E">
      <w:pPr>
        <w:spacing w:line="259" w:lineRule="auto"/>
        <w:jc w:val="both"/>
        <w:rPr>
          <w:rFonts w:cs="Times New Roman"/>
          <w:lang w:eastAsia="et-EE"/>
        </w:rPr>
      </w:pPr>
      <w:r w:rsidRPr="00883566">
        <w:rPr>
          <w:rFonts w:cs="Times New Roman"/>
          <w:lang w:eastAsia="en-US"/>
        </w:rPr>
        <w:t xml:space="preserve">Sideteenuse turgudel </w:t>
      </w:r>
      <w:r w:rsidRPr="00883566">
        <w:rPr>
          <w:rFonts w:cs="Times New Roman"/>
        </w:rPr>
        <w:t xml:space="preserve">valdkonnaspetsiifilise </w:t>
      </w:r>
      <w:r w:rsidRPr="00883566">
        <w:rPr>
          <w:rFonts w:cs="Times New Roman"/>
          <w:lang w:eastAsia="en-US"/>
        </w:rPr>
        <w:t>regulatsiooni kehtestamise eesmärk on tagada konkurentsi soodustamisega sideteenuse osutajate paljusus, nende võrdne ja mittediskrimineeriv kohtlemine ning osutatavate teenuste kvaliteet ja kättesaadavus lõppkasutajatele</w:t>
      </w:r>
      <w:r w:rsidRPr="00883566">
        <w:rPr>
          <w:rFonts w:cs="Times New Roman"/>
          <w:vertAlign w:val="superscript"/>
          <w:lang w:eastAsia="en-US"/>
        </w:rPr>
        <w:footnoteReference w:id="110"/>
      </w:r>
      <w:r w:rsidRPr="00883566">
        <w:rPr>
          <w:rFonts w:cs="Times New Roman"/>
          <w:lang w:eastAsia="en-US"/>
        </w:rPr>
        <w:t>. MTE-</w:t>
      </w:r>
      <w:proofErr w:type="spellStart"/>
      <w:r w:rsidRPr="00883566">
        <w:rPr>
          <w:rFonts w:cs="Times New Roman"/>
          <w:lang w:eastAsia="en-US"/>
        </w:rPr>
        <w:t>le</w:t>
      </w:r>
      <w:proofErr w:type="spellEnd"/>
      <w:r w:rsidRPr="00883566">
        <w:rPr>
          <w:rFonts w:cs="Times New Roman"/>
          <w:lang w:eastAsia="en-US"/>
        </w:rPr>
        <w:t xml:space="preserve"> kohustuste kehtestamine on suunatud konkurentsiprobleemide vältimisele, </w:t>
      </w:r>
      <w:r w:rsidRPr="00883566">
        <w:rPr>
          <w:rFonts w:cs="Times New Roman"/>
          <w:lang w:eastAsia="et-EE"/>
        </w:rPr>
        <w:t>konkurentsi edendamisele elektroonilise side ja sellega seotud teenuste osutamisel, sideteenust turu arengule ning sideteenuste kasutajate kaitsele. Kohustuste kehtestamisel järgitakse objektiivseid, läbipaistvaid, mittediskrimineerivaid ja proportsionaalseid reguleerimispõhimõtteid, muu hulgas</w:t>
      </w:r>
      <w:r w:rsidRPr="00883566">
        <w:rPr>
          <w:rStyle w:val="Allmrkuseviide"/>
          <w:rFonts w:cs="Times New Roman"/>
          <w:lang w:eastAsia="et-EE"/>
        </w:rPr>
        <w:footnoteReference w:id="111"/>
      </w:r>
      <w:r w:rsidRPr="00883566">
        <w:rPr>
          <w:rFonts w:cs="Times New Roman"/>
          <w:lang w:eastAsia="et-EE"/>
        </w:rPr>
        <w:t xml:space="preserve">: </w:t>
      </w:r>
    </w:p>
    <w:p w14:paraId="6431D561" w14:textId="77777777" w:rsidR="00F03958" w:rsidRPr="00883566" w:rsidRDefault="00F03958" w:rsidP="00476291">
      <w:pPr>
        <w:ind w:left="720"/>
        <w:rPr>
          <w:rFonts w:cs="Times New Roman"/>
          <w:lang w:eastAsia="et-EE"/>
        </w:rPr>
      </w:pPr>
      <w:r w:rsidRPr="00883566">
        <w:rPr>
          <w:rFonts w:cs="Times New Roman"/>
        </w:rPr>
        <w:t>1) edendatakse regulatsiooni ettenähtavust, tagades ühetaolise regulatiivse lähenemise ka regulatsiooni muutmise järel;</w:t>
      </w:r>
      <w:r w:rsidRPr="00883566">
        <w:br/>
      </w:r>
      <w:r w:rsidRPr="00883566">
        <w:rPr>
          <w:rFonts w:cs="Times New Roman"/>
        </w:rPr>
        <w:t>2) tagatakse sideettevõtjate võrdne ja mittediskrimineeriv kohtlemine;</w:t>
      </w:r>
      <w:r w:rsidRPr="00883566">
        <w:br/>
      </w:r>
      <w:r w:rsidRPr="00883566">
        <w:rPr>
          <w:rFonts w:cs="Times New Roman"/>
        </w:rPr>
        <w:t>3) edendatakse taristupõhist konkurentsi;</w:t>
      </w:r>
      <w:r w:rsidRPr="00883566">
        <w:br/>
      </w:r>
      <w:r w:rsidRPr="00883566">
        <w:rPr>
          <w:rFonts w:cs="Times New Roman"/>
        </w:rPr>
        <w:t>4) soodustatakse sidevõrkudesse ja muudesse elektroonilise side taristu objektidesse investeerimist, toetatakse uuendusi ning kaitstakse investeeringuid;</w:t>
      </w:r>
      <w:r w:rsidRPr="00883566">
        <w:br/>
      </w:r>
      <w:r w:rsidRPr="00883566">
        <w:rPr>
          <w:rFonts w:cs="Times New Roman"/>
        </w:rPr>
        <w:t>5) arvestatakse valitsevat konkurentsi ja lõppkasutajate paiknemise eripära teenustele juurdepääsul;</w:t>
      </w:r>
      <w:r w:rsidRPr="00883566">
        <w:br/>
      </w:r>
      <w:r w:rsidRPr="00883566">
        <w:rPr>
          <w:rFonts w:cs="Times New Roman"/>
        </w:rPr>
        <w:t>6) kehtestatakse kohustusi ainult tõhusa ja jätkusuutliku konkurentsi puudumisel;</w:t>
      </w:r>
    </w:p>
    <w:p w14:paraId="66D3E02C" w14:textId="77777777" w:rsidR="00F03958" w:rsidRPr="00883566" w:rsidRDefault="00F03958" w:rsidP="00476291">
      <w:pPr>
        <w:ind w:firstLine="720"/>
        <w:rPr>
          <w:rFonts w:cs="Times New Roman"/>
          <w:lang w:eastAsia="et-EE"/>
        </w:rPr>
      </w:pPr>
      <w:r w:rsidRPr="00883566">
        <w:rPr>
          <w:rFonts w:cs="Times New Roman"/>
        </w:rPr>
        <w:t>7) juhindutakse tehnoloogilise neutraalsuse põhimõttest.</w:t>
      </w:r>
    </w:p>
    <w:p w14:paraId="694BF470" w14:textId="77777777" w:rsidR="00F03958" w:rsidRPr="00883566" w:rsidRDefault="00F03958" w:rsidP="00AA241E">
      <w:pPr>
        <w:spacing w:line="259" w:lineRule="auto"/>
        <w:jc w:val="both"/>
        <w:rPr>
          <w:rFonts w:cs="Times New Roman"/>
          <w:lang w:eastAsia="en-US"/>
        </w:rPr>
      </w:pPr>
    </w:p>
    <w:p w14:paraId="21ED6194" w14:textId="77777777" w:rsidR="00F03958" w:rsidRPr="00883566" w:rsidRDefault="00F03958" w:rsidP="00AA241E">
      <w:pPr>
        <w:spacing w:line="259" w:lineRule="auto"/>
        <w:jc w:val="both"/>
        <w:rPr>
          <w:rFonts w:cs="Times New Roman"/>
          <w:lang w:eastAsia="en-US"/>
        </w:rPr>
      </w:pPr>
      <w:r w:rsidRPr="00883566">
        <w:rPr>
          <w:rFonts w:cs="Times New Roman"/>
          <w:lang w:eastAsia="en-US"/>
        </w:rPr>
        <w:t>Kuivõrd ennetava (</w:t>
      </w:r>
      <w:r w:rsidRPr="00883566">
        <w:rPr>
          <w:rFonts w:cs="Times New Roman"/>
          <w:i/>
          <w:lang w:eastAsia="en-US"/>
        </w:rPr>
        <w:t>ex ante)</w:t>
      </w:r>
      <w:r w:rsidRPr="00883566">
        <w:rPr>
          <w:rFonts w:cs="Times New Roman"/>
          <w:lang w:eastAsia="en-US"/>
        </w:rPr>
        <w:t xml:space="preserve"> </w:t>
      </w:r>
      <w:r w:rsidRPr="00883566">
        <w:rPr>
          <w:rFonts w:cs="Times New Roman"/>
        </w:rPr>
        <w:t>valdkonnaspetsiifiliste kohustuste</w:t>
      </w:r>
      <w:r w:rsidRPr="00883566">
        <w:rPr>
          <w:rFonts w:cs="Times New Roman"/>
          <w:lang w:eastAsia="en-US"/>
        </w:rPr>
        <w:t xml:space="preserve"> kehtestamine</w:t>
      </w:r>
      <w:r w:rsidRPr="00883566">
        <w:rPr>
          <w:rFonts w:cs="Times New Roman"/>
        </w:rPr>
        <w:t xml:space="preserve"> MTE-</w:t>
      </w:r>
      <w:proofErr w:type="spellStart"/>
      <w:r w:rsidRPr="00883566">
        <w:rPr>
          <w:rFonts w:cs="Times New Roman"/>
        </w:rPr>
        <w:t>le</w:t>
      </w:r>
      <w:proofErr w:type="spellEnd"/>
      <w:r w:rsidRPr="00883566">
        <w:rPr>
          <w:rFonts w:cs="Times New Roman"/>
          <w:lang w:eastAsia="en-US"/>
        </w:rPr>
        <w:t xml:space="preserve"> ei sisalda endas hinnangut sellele, kas </w:t>
      </w:r>
      <w:r w:rsidRPr="00883566">
        <w:rPr>
          <w:rFonts w:cs="Times New Roman"/>
        </w:rPr>
        <w:t>MTE</w:t>
      </w:r>
      <w:r w:rsidRPr="00883566">
        <w:rPr>
          <w:rFonts w:cs="Times New Roman"/>
          <w:lang w:eastAsia="en-US"/>
        </w:rPr>
        <w:t xml:space="preserve"> on pannud toime õiguserikkumise ning oluline on üksnes kindlaks teha, kas tema turujõud annab talle võime käituda märgatavas ulatuses sõltumatuna konkurentidest, lepingupartneritest ja lõppkasutajatest</w:t>
      </w:r>
      <w:r w:rsidRPr="00883566">
        <w:rPr>
          <w:rFonts w:cs="Times New Roman"/>
          <w:vertAlign w:val="superscript"/>
          <w:lang w:eastAsia="en-US"/>
        </w:rPr>
        <w:footnoteReference w:id="112"/>
      </w:r>
      <w:r w:rsidRPr="00883566">
        <w:rPr>
          <w:rFonts w:cs="Times New Roman"/>
          <w:lang w:eastAsia="en-US"/>
        </w:rPr>
        <w:t xml:space="preserve">, siis tuleb ka piiritletud sideturul esineda võivaid konkurentsiprobleeme hinnata ennekõike kui potentsiaalseid konkurentsiprobleeme ning selgitada välja, kas niisugused konkurentsiprobleemid võivad turu konkurentsiolukorrast tingituna praktikas realiseeruda. </w:t>
      </w:r>
    </w:p>
    <w:p w14:paraId="6936EA66" w14:textId="77777777" w:rsidR="00F03958" w:rsidRPr="00276C12" w:rsidRDefault="00F03958" w:rsidP="009805E1">
      <w:pPr>
        <w:pStyle w:val="Pealkiri3"/>
      </w:pPr>
      <w:bookmarkStart w:id="944" w:name="_Toc174710821"/>
      <w:r w:rsidRPr="00276C12">
        <w:t>Kohustuste kehtestamise alused</w:t>
      </w:r>
      <w:bookmarkEnd w:id="944"/>
    </w:p>
    <w:p w14:paraId="7ACB2D6F" w14:textId="77777777" w:rsidR="00F03958" w:rsidRPr="00883566" w:rsidRDefault="00F03958" w:rsidP="00AA241E">
      <w:pPr>
        <w:spacing w:line="259" w:lineRule="auto"/>
        <w:jc w:val="both"/>
        <w:rPr>
          <w:rFonts w:cs="Times New Roman"/>
          <w:lang w:eastAsia="en-US"/>
        </w:rPr>
      </w:pPr>
      <w:r w:rsidRPr="00883566">
        <w:rPr>
          <w:rFonts w:cs="Times New Roman"/>
          <w:lang w:eastAsia="en-US"/>
        </w:rPr>
        <w:t>MTE-</w:t>
      </w:r>
      <w:proofErr w:type="spellStart"/>
      <w:r w:rsidRPr="00883566">
        <w:rPr>
          <w:rFonts w:cs="Times New Roman"/>
          <w:lang w:eastAsia="en-US"/>
        </w:rPr>
        <w:t>le</w:t>
      </w:r>
      <w:proofErr w:type="spellEnd"/>
      <w:r w:rsidRPr="00883566">
        <w:rPr>
          <w:rFonts w:cs="Times New Roman"/>
          <w:lang w:eastAsia="en-US"/>
        </w:rPr>
        <w:t xml:space="preserve"> kohustuse kehtestamisel lähtub TTJA ettevõtja suhtes ESS §-des 48</w:t>
      </w:r>
      <w:r w:rsidRPr="00883566">
        <w:rPr>
          <w:rFonts w:cs="Times New Roman"/>
          <w:vertAlign w:val="superscript"/>
          <w:lang w:eastAsia="en-US"/>
        </w:rPr>
        <w:t xml:space="preserve">1 </w:t>
      </w:r>
      <w:r w:rsidRPr="00883566">
        <w:rPr>
          <w:rFonts w:cs="Times New Roman"/>
          <w:lang w:eastAsia="en-US"/>
        </w:rPr>
        <w:t xml:space="preserve">– 66 sätestatust, kehtestades ettevõtjale ühe või mitu asjakohast kohustust sellel sideteenuse turul, millel sideettevõtja kohta on tehtud ettepanek tunnistada ta MTE-ks. Kohustuse valikul arvestab TTJA muuhulgas EK elektroonilise side turgu puudutavate soovituste ja seisukohtadega ning EL sideturu </w:t>
      </w:r>
      <w:r w:rsidRPr="00883566">
        <w:rPr>
          <w:rFonts w:cs="Times New Roman"/>
          <w:lang w:eastAsia="en-US"/>
        </w:rPr>
        <w:lastRenderedPageBreak/>
        <w:t>regulaatorite koostöös kujundatud vastava praktikaga</w:t>
      </w:r>
      <w:r w:rsidRPr="00883566">
        <w:rPr>
          <w:rFonts w:cs="Times New Roman"/>
          <w:vertAlign w:val="superscript"/>
          <w:lang w:eastAsia="en-US"/>
        </w:rPr>
        <w:footnoteReference w:id="113"/>
      </w:r>
      <w:r w:rsidRPr="00883566">
        <w:rPr>
          <w:rFonts w:cs="Times New Roman"/>
        </w:rPr>
        <w:t>, sh Euroopa Sideameti (BEREC) juhiste ja raportitega</w:t>
      </w:r>
      <w:r w:rsidRPr="00883566">
        <w:rPr>
          <w:rFonts w:cs="Times New Roman"/>
          <w:lang w:eastAsia="en-US"/>
        </w:rPr>
        <w:t>.</w:t>
      </w:r>
    </w:p>
    <w:p w14:paraId="5F9AE81E" w14:textId="77777777" w:rsidR="00F03958" w:rsidRPr="00883566" w:rsidRDefault="00F03958" w:rsidP="00AA241E">
      <w:pPr>
        <w:spacing w:line="259" w:lineRule="auto"/>
        <w:jc w:val="both"/>
        <w:rPr>
          <w:rFonts w:cs="Times New Roman"/>
          <w:lang w:eastAsia="en-US"/>
        </w:rPr>
      </w:pPr>
      <w:r w:rsidRPr="00883566">
        <w:rPr>
          <w:rFonts w:cs="Times New Roman"/>
        </w:rPr>
        <w:t>Kohustused</w:t>
      </w:r>
      <w:r w:rsidRPr="00883566" w:rsidDel="00FD69FD">
        <w:rPr>
          <w:rFonts w:cs="Times New Roman"/>
        </w:rPr>
        <w:t xml:space="preserve"> </w:t>
      </w:r>
      <w:r w:rsidRPr="00883566">
        <w:rPr>
          <w:rFonts w:cs="Times New Roman"/>
        </w:rPr>
        <w:t>h</w:t>
      </w:r>
      <w:r w:rsidRPr="00883566">
        <w:rPr>
          <w:rFonts w:cs="Times New Roman"/>
          <w:lang w:eastAsia="en-US"/>
        </w:rPr>
        <w:t>ulgituru</w:t>
      </w:r>
      <w:r w:rsidRPr="00883566">
        <w:rPr>
          <w:rFonts w:cs="Times New Roman"/>
        </w:rPr>
        <w:t xml:space="preserve"> 1</w:t>
      </w:r>
      <w:r w:rsidRPr="00883566">
        <w:rPr>
          <w:rFonts w:cs="Times New Roman"/>
          <w:lang w:eastAsia="en-US"/>
        </w:rPr>
        <w:t xml:space="preserve"> </w:t>
      </w:r>
      <w:r w:rsidRPr="00883566">
        <w:rPr>
          <w:rFonts w:cs="Times New Roman"/>
        </w:rPr>
        <w:t>teenuste osas</w:t>
      </w:r>
      <w:r w:rsidRPr="00883566">
        <w:rPr>
          <w:rFonts w:cs="Times New Roman"/>
          <w:lang w:eastAsia="en-US"/>
        </w:rPr>
        <w:t xml:space="preserve"> saab jaotada järgmiselt: </w:t>
      </w:r>
      <w:r w:rsidRPr="00883566">
        <w:rPr>
          <w:rFonts w:cs="Times New Roman"/>
        </w:rPr>
        <w:t xml:space="preserve">teenustele </w:t>
      </w:r>
      <w:r w:rsidRPr="00883566">
        <w:rPr>
          <w:rFonts w:cs="Times New Roman"/>
          <w:lang w:eastAsia="en-US"/>
        </w:rPr>
        <w:t>juurdepääsukohustused</w:t>
      </w:r>
      <w:r w:rsidRPr="00883566">
        <w:rPr>
          <w:rFonts w:cs="Times New Roman"/>
          <w:vertAlign w:val="superscript"/>
          <w:lang w:eastAsia="en-US"/>
        </w:rPr>
        <w:footnoteReference w:id="114"/>
      </w:r>
      <w:r w:rsidRPr="00883566">
        <w:rPr>
          <w:rFonts w:cs="Times New Roman"/>
          <w:lang w:eastAsia="en-US"/>
        </w:rPr>
        <w:t xml:space="preserve">, </w:t>
      </w:r>
      <w:r w:rsidRPr="00883566">
        <w:rPr>
          <w:rFonts w:cs="Times New Roman"/>
        </w:rPr>
        <w:t xml:space="preserve">teenuste </w:t>
      </w:r>
      <w:r w:rsidRPr="00883566">
        <w:rPr>
          <w:rFonts w:cs="Times New Roman"/>
          <w:lang w:eastAsia="en-US"/>
        </w:rPr>
        <w:t>osutamisega seotud mittediskrimineerimise kohustused</w:t>
      </w:r>
      <w:r w:rsidRPr="00883566">
        <w:rPr>
          <w:rFonts w:cs="Times New Roman"/>
          <w:vertAlign w:val="superscript"/>
          <w:lang w:eastAsia="en-US"/>
        </w:rPr>
        <w:footnoteReference w:id="115"/>
      </w:r>
      <w:r w:rsidRPr="00883566">
        <w:rPr>
          <w:rFonts w:cs="Times New Roman"/>
        </w:rPr>
        <w:t>,</w:t>
      </w:r>
      <w:r w:rsidRPr="00883566">
        <w:rPr>
          <w:rFonts w:cs="Times New Roman"/>
          <w:lang w:eastAsia="en-US"/>
        </w:rPr>
        <w:t xml:space="preserve"> </w:t>
      </w:r>
      <w:r w:rsidRPr="00883566">
        <w:rPr>
          <w:rFonts w:cs="Times New Roman"/>
        </w:rPr>
        <w:t xml:space="preserve">teenuste </w:t>
      </w:r>
      <w:r w:rsidRPr="00883566">
        <w:rPr>
          <w:rFonts w:cs="Times New Roman"/>
          <w:lang w:eastAsia="en-US"/>
        </w:rPr>
        <w:t>läbipaistvuse kohustused</w:t>
      </w:r>
      <w:r w:rsidRPr="00883566">
        <w:rPr>
          <w:rFonts w:cs="Times New Roman"/>
          <w:vertAlign w:val="superscript"/>
          <w:lang w:eastAsia="en-US"/>
        </w:rPr>
        <w:footnoteReference w:id="116"/>
      </w:r>
      <w:r w:rsidRPr="00883566">
        <w:rPr>
          <w:rFonts w:cs="Times New Roman"/>
          <w:lang w:eastAsia="en-US"/>
        </w:rPr>
        <w:t xml:space="preserve"> ning </w:t>
      </w:r>
      <w:r w:rsidRPr="00883566">
        <w:rPr>
          <w:rFonts w:cs="Times New Roman"/>
        </w:rPr>
        <w:t xml:space="preserve">teenuste </w:t>
      </w:r>
      <w:r w:rsidRPr="00883566">
        <w:rPr>
          <w:rFonts w:cs="Times New Roman"/>
          <w:lang w:eastAsia="en-US"/>
        </w:rPr>
        <w:t>hinnaga seotud kohustused</w:t>
      </w:r>
      <w:r w:rsidRPr="00883566">
        <w:rPr>
          <w:rFonts w:cs="Times New Roman"/>
          <w:vertAlign w:val="superscript"/>
          <w:lang w:eastAsia="en-US"/>
        </w:rPr>
        <w:footnoteReference w:id="117"/>
      </w:r>
      <w:r w:rsidRPr="00883566">
        <w:rPr>
          <w:rFonts w:cs="Times New Roman"/>
          <w:lang w:eastAsia="en-US"/>
        </w:rPr>
        <w:t>.</w:t>
      </w:r>
    </w:p>
    <w:p w14:paraId="54C7BD36" w14:textId="77777777" w:rsidR="00F03958" w:rsidRPr="00883566" w:rsidRDefault="00F03958" w:rsidP="00AA241E">
      <w:pPr>
        <w:spacing w:line="259" w:lineRule="auto"/>
        <w:jc w:val="both"/>
        <w:rPr>
          <w:rFonts w:cs="Times New Roman"/>
          <w:lang w:eastAsia="en-US"/>
        </w:rPr>
      </w:pPr>
      <w:r w:rsidRPr="00883566">
        <w:rPr>
          <w:rFonts w:cs="Times New Roman"/>
        </w:rPr>
        <w:t>ESS § 46 kohaselt arvestatakse MTE-</w:t>
      </w:r>
      <w:proofErr w:type="spellStart"/>
      <w:r w:rsidRPr="00883566">
        <w:rPr>
          <w:rFonts w:cs="Times New Roman"/>
        </w:rPr>
        <w:t>le</w:t>
      </w:r>
      <w:proofErr w:type="spellEnd"/>
      <w:r w:rsidRPr="00883566">
        <w:rPr>
          <w:rFonts w:cs="Times New Roman"/>
        </w:rPr>
        <w:t xml:space="preserve"> kohustusi määrates EK ja BEREC-i (Euroopa Sideameti) soovituste ja suunistega, neist peamised on järgmised:</w:t>
      </w:r>
    </w:p>
    <w:p w14:paraId="0DB29331" w14:textId="77777777" w:rsidR="00F03958" w:rsidRPr="00883566" w:rsidRDefault="00F03958" w:rsidP="00AA241E">
      <w:pPr>
        <w:pStyle w:val="Loendilik"/>
        <w:numPr>
          <w:ilvl w:val="0"/>
          <w:numId w:val="11"/>
        </w:numPr>
        <w:spacing w:after="0" w:line="259" w:lineRule="auto"/>
        <w:ind w:left="714" w:hanging="357"/>
        <w:jc w:val="both"/>
        <w:rPr>
          <w:rFonts w:cs="Times New Roman"/>
        </w:rPr>
      </w:pPr>
      <w:r w:rsidRPr="00883566">
        <w:rPr>
          <w:rFonts w:cs="Times New Roman"/>
        </w:rPr>
        <w:t xml:space="preserve">EK soovitus (EL) 2024/539, 6. veebruar 2024, </w:t>
      </w:r>
      <w:proofErr w:type="spellStart"/>
      <w:r w:rsidRPr="00883566">
        <w:rPr>
          <w:rFonts w:cs="Times New Roman"/>
        </w:rPr>
        <w:t>gigabitiühenduvuse</w:t>
      </w:r>
      <w:proofErr w:type="spellEnd"/>
      <w:r w:rsidRPr="00883566">
        <w:rPr>
          <w:rFonts w:cs="Times New Roman"/>
        </w:rPr>
        <w:t xml:space="preserve"> regulatiivse edendamise kohta (edaspidi ka EK 2024 kohustuste soovitus</w:t>
      </w:r>
      <w:r w:rsidRPr="00883566">
        <w:rPr>
          <w:rFonts w:cs="Times New Roman"/>
          <w:vertAlign w:val="superscript"/>
        </w:rPr>
        <w:footnoteReference w:id="118"/>
      </w:r>
      <w:r w:rsidRPr="00883566">
        <w:rPr>
          <w:rFonts w:cs="Times New Roman"/>
        </w:rPr>
        <w:t>);</w:t>
      </w:r>
    </w:p>
    <w:p w14:paraId="16C578B9" w14:textId="77777777" w:rsidR="00F03958" w:rsidRPr="00883566" w:rsidRDefault="00F03958" w:rsidP="00AA241E">
      <w:pPr>
        <w:pStyle w:val="Loendilik"/>
        <w:numPr>
          <w:ilvl w:val="0"/>
          <w:numId w:val="11"/>
        </w:numPr>
        <w:spacing w:after="0" w:line="259" w:lineRule="auto"/>
        <w:ind w:left="714" w:hanging="357"/>
        <w:jc w:val="both"/>
        <w:rPr>
          <w:rFonts w:cs="Times New Roman"/>
        </w:rPr>
      </w:pPr>
      <w:r w:rsidRPr="00883566">
        <w:rPr>
          <w:rFonts w:cs="Times New Roman"/>
        </w:rPr>
        <w:t>Selgitavad märkused</w:t>
      </w:r>
      <w:r w:rsidRPr="00883566">
        <w:rPr>
          <w:rFonts w:cs="Times New Roman"/>
          <w:vertAlign w:val="superscript"/>
        </w:rPr>
        <w:footnoteReference w:id="119"/>
      </w:r>
      <w:r w:rsidRPr="00883566">
        <w:rPr>
          <w:rFonts w:cs="Times New Roman"/>
        </w:rPr>
        <w:t xml:space="preserve"> EK 2024 kohustuste soovitusele (edaspidi ka EK 2024 kohustuste soovituse selgitavad märkused);</w:t>
      </w:r>
    </w:p>
    <w:p w14:paraId="30B51458" w14:textId="77777777" w:rsidR="00F03958" w:rsidRPr="00883566" w:rsidRDefault="00F03958" w:rsidP="00AA241E">
      <w:pPr>
        <w:numPr>
          <w:ilvl w:val="0"/>
          <w:numId w:val="11"/>
        </w:numPr>
        <w:spacing w:after="0" w:line="259" w:lineRule="auto"/>
        <w:ind w:left="714" w:hanging="357"/>
        <w:contextualSpacing/>
        <w:jc w:val="both"/>
        <w:rPr>
          <w:rFonts w:cs="Times New Roman"/>
          <w:lang w:eastAsia="en-US"/>
        </w:rPr>
      </w:pPr>
      <w:r w:rsidRPr="00883566">
        <w:rPr>
          <w:rFonts w:cs="Times New Roman"/>
        </w:rPr>
        <w:t>BEREC-i (Euroopa Sideameti) suunised läbipaistvuskohustustega seotud standardpakkumise miinimumnõuete kohta</w:t>
      </w:r>
      <w:r w:rsidRPr="00883566">
        <w:rPr>
          <w:rFonts w:eastAsiaTheme="minorHAnsi" w:cs="Times New Roman"/>
          <w:vertAlign w:val="superscript"/>
          <w:lang w:eastAsia="en-US"/>
        </w:rPr>
        <w:footnoteReference w:id="120"/>
      </w:r>
      <w:r w:rsidRPr="00883566">
        <w:rPr>
          <w:rFonts w:cs="Times New Roman"/>
        </w:rPr>
        <w:t xml:space="preserve">, </w:t>
      </w:r>
      <w:proofErr w:type="spellStart"/>
      <w:r w:rsidRPr="00883566">
        <w:rPr>
          <w:rFonts w:cs="Times New Roman"/>
        </w:rPr>
        <w:t>BoR</w:t>
      </w:r>
      <w:proofErr w:type="spellEnd"/>
      <w:r w:rsidRPr="00883566">
        <w:rPr>
          <w:rFonts w:cs="Times New Roman"/>
        </w:rPr>
        <w:t xml:space="preserve"> (19) 238.</w:t>
      </w:r>
    </w:p>
    <w:p w14:paraId="2DDA4438" w14:textId="77777777" w:rsidR="00F03958" w:rsidRPr="00883566" w:rsidRDefault="00F03958" w:rsidP="00AA241E">
      <w:pPr>
        <w:numPr>
          <w:ilvl w:val="0"/>
          <w:numId w:val="11"/>
        </w:numPr>
        <w:spacing w:after="0" w:line="259" w:lineRule="auto"/>
        <w:ind w:left="714" w:hanging="357"/>
        <w:contextualSpacing/>
        <w:jc w:val="both"/>
        <w:rPr>
          <w:rFonts w:cs="Times New Roman"/>
          <w:lang w:eastAsia="en-US"/>
        </w:rPr>
      </w:pPr>
      <w:r w:rsidRPr="00883566">
        <w:rPr>
          <w:rFonts w:cs="Times New Roman"/>
          <w:lang w:eastAsia="en-US"/>
        </w:rPr>
        <w:t>BEREC-i (Euroopa Sideameti) ühine seisukoht mis käsitleb hulgituru</w:t>
      </w:r>
      <w:r w:rsidRPr="00883566">
        <w:rPr>
          <w:rFonts w:cs="Times New Roman"/>
        </w:rPr>
        <w:t xml:space="preserve"> 3b</w:t>
      </w:r>
      <w:r w:rsidRPr="00883566">
        <w:rPr>
          <w:rFonts w:cs="Times New Roman"/>
          <w:lang w:eastAsia="en-US"/>
        </w:rPr>
        <w:t xml:space="preserve"> </w:t>
      </w:r>
      <w:r w:rsidRPr="00883566">
        <w:rPr>
          <w:rFonts w:cs="Times New Roman"/>
        </w:rPr>
        <w:t>toodetele valdkonnaspetsiifiliste</w:t>
      </w:r>
      <w:r w:rsidRPr="00883566">
        <w:rPr>
          <w:rFonts w:cs="Times New Roman"/>
          <w:lang w:eastAsia="en-US"/>
        </w:rPr>
        <w:t xml:space="preserve"> kohustuste kehtestamise parimaid tavasid</w:t>
      </w:r>
      <w:r w:rsidRPr="00883566">
        <w:rPr>
          <w:rFonts w:cs="Times New Roman"/>
          <w:vertAlign w:val="superscript"/>
          <w:lang w:eastAsia="en-US"/>
        </w:rPr>
        <w:footnoteReference w:id="121"/>
      </w:r>
      <w:r w:rsidRPr="00883566">
        <w:rPr>
          <w:rFonts w:cs="Times New Roman"/>
          <w:lang w:eastAsia="en-US"/>
        </w:rPr>
        <w:t xml:space="preserve">, </w:t>
      </w:r>
      <w:proofErr w:type="spellStart"/>
      <w:r w:rsidRPr="00883566">
        <w:rPr>
          <w:rFonts w:cs="Times New Roman"/>
          <w:lang w:eastAsia="en-US"/>
        </w:rPr>
        <w:t>BoR</w:t>
      </w:r>
      <w:proofErr w:type="spellEnd"/>
      <w:r w:rsidRPr="00883566">
        <w:rPr>
          <w:rFonts w:cs="Times New Roman"/>
          <w:lang w:eastAsia="en-US"/>
        </w:rPr>
        <w:t xml:space="preserve"> (12) 128;</w:t>
      </w:r>
      <w:r w:rsidRPr="00883566">
        <w:rPr>
          <w:rFonts w:cs="Times New Roman"/>
        </w:rPr>
        <w:t xml:space="preserve"> </w:t>
      </w:r>
    </w:p>
    <w:p w14:paraId="2977E06D" w14:textId="77777777" w:rsidR="00F03958" w:rsidRPr="00883566" w:rsidRDefault="00F03958" w:rsidP="00AA241E">
      <w:pPr>
        <w:numPr>
          <w:ilvl w:val="0"/>
          <w:numId w:val="11"/>
        </w:numPr>
        <w:spacing w:after="0" w:line="259" w:lineRule="auto"/>
        <w:ind w:left="714" w:hanging="357"/>
        <w:contextualSpacing/>
        <w:jc w:val="both"/>
        <w:rPr>
          <w:rFonts w:cs="Times New Roman"/>
          <w:lang w:eastAsia="en-US"/>
        </w:rPr>
      </w:pPr>
      <w:r w:rsidRPr="00883566">
        <w:rPr>
          <w:rFonts w:cs="Times New Roman"/>
        </w:rPr>
        <w:t>EK soovitus 2005/698/EÜ</w:t>
      </w:r>
      <w:r w:rsidRPr="00883566">
        <w:rPr>
          <w:rFonts w:eastAsiaTheme="minorHAnsi" w:cs="Times New Roman"/>
          <w:vertAlign w:val="superscript"/>
          <w:lang w:eastAsia="en-US"/>
        </w:rPr>
        <w:footnoteReference w:id="122"/>
      </w:r>
      <w:r w:rsidRPr="00883566">
        <w:rPr>
          <w:rFonts w:cs="Times New Roman"/>
        </w:rPr>
        <w:t>, 19. september 2005, raamatupidamise lahususe ja kuluarvestussüsteemide kohta vastavalt elektroonilist sidet reguleerivale raamistikule.</w:t>
      </w:r>
    </w:p>
    <w:p w14:paraId="76E98565" w14:textId="77777777" w:rsidR="00F03958" w:rsidRPr="00883566" w:rsidRDefault="00F03958" w:rsidP="00AA241E">
      <w:pPr>
        <w:spacing w:line="259" w:lineRule="auto"/>
        <w:ind w:left="720"/>
        <w:contextualSpacing/>
        <w:jc w:val="both"/>
        <w:rPr>
          <w:rFonts w:cs="Times New Roman"/>
          <w:lang w:eastAsia="en-US"/>
        </w:rPr>
      </w:pPr>
    </w:p>
    <w:p w14:paraId="77AF5EB0" w14:textId="77777777" w:rsidR="00F03958" w:rsidRDefault="00F03958" w:rsidP="00AA241E">
      <w:pPr>
        <w:spacing w:line="259" w:lineRule="auto"/>
        <w:contextualSpacing/>
        <w:jc w:val="both"/>
        <w:rPr>
          <w:rFonts w:cs="Times New Roman"/>
          <w:sz w:val="22"/>
          <w:szCs w:val="22"/>
          <w:lang w:eastAsia="en-US"/>
        </w:rPr>
      </w:pPr>
    </w:p>
    <w:p w14:paraId="45BA284B" w14:textId="10089A01" w:rsidR="00DB66D7" w:rsidRPr="00883566" w:rsidRDefault="00627293" w:rsidP="009805E1">
      <w:pPr>
        <w:pStyle w:val="Pealkiri3"/>
      </w:pPr>
      <w:bookmarkStart w:id="945" w:name="_Toc174710822"/>
      <w:r>
        <w:lastRenderedPageBreak/>
        <w:t>Kehtivad k</w:t>
      </w:r>
      <w:r w:rsidR="00DB66D7" w:rsidRPr="00883566">
        <w:t>ohustuse</w:t>
      </w:r>
      <w:r>
        <w:t>d</w:t>
      </w:r>
      <w:r w:rsidR="00DB66D7" w:rsidRPr="00883566">
        <w:t xml:space="preserve"> </w:t>
      </w:r>
      <w:r>
        <w:t xml:space="preserve">ja </w:t>
      </w:r>
      <w:r w:rsidR="006E6EA2">
        <w:t>nende muutmise ajalugu</w:t>
      </w:r>
      <w:bookmarkEnd w:id="945"/>
    </w:p>
    <w:p w14:paraId="1DD06E77" w14:textId="77777777" w:rsidR="00F03958" w:rsidRPr="00883566" w:rsidRDefault="00F03958" w:rsidP="00AA241E">
      <w:pPr>
        <w:pStyle w:val="Loendilik"/>
        <w:spacing w:before="120" w:after="120"/>
        <w:ind w:left="0"/>
        <w:jc w:val="both"/>
        <w:rPr>
          <w:rFonts w:cs="Times New Roman"/>
        </w:rPr>
      </w:pPr>
      <w:r w:rsidRPr="00883566">
        <w:rPr>
          <w:rFonts w:cs="Times New Roman"/>
        </w:rPr>
        <w:t>Käesoleva otsuse koostamise ajal on Telia hulgituru 1 teenused reguleeritud (sh hind) TTJA 2017 hulgituru 1 otsusega</w:t>
      </w:r>
      <w:r w:rsidRPr="00883566">
        <w:rPr>
          <w:rFonts w:cs="Times New Roman"/>
          <w:vertAlign w:val="superscript"/>
        </w:rPr>
        <w:footnoteReference w:id="123"/>
      </w:r>
      <w:r w:rsidRPr="00883566">
        <w:rPr>
          <w:rFonts w:cs="Times New Roman"/>
        </w:rPr>
        <w:t xml:space="preserve">. </w:t>
      </w:r>
    </w:p>
    <w:p w14:paraId="602A8DB1" w14:textId="77777777" w:rsidR="00F03958" w:rsidRPr="00883566" w:rsidRDefault="00F03958" w:rsidP="00AA241E">
      <w:pPr>
        <w:pStyle w:val="Loendilik"/>
        <w:spacing w:before="120" w:after="120"/>
        <w:ind w:left="0"/>
        <w:jc w:val="both"/>
        <w:rPr>
          <w:rFonts w:cs="Times New Roman"/>
        </w:rPr>
      </w:pPr>
    </w:p>
    <w:p w14:paraId="5B8A9D8F" w14:textId="7D3AB2B2" w:rsidR="00F03958" w:rsidRPr="00883566" w:rsidRDefault="00F03958" w:rsidP="00AA241E">
      <w:pPr>
        <w:pStyle w:val="Loendilik"/>
        <w:spacing w:before="120" w:after="120"/>
        <w:ind w:left="0"/>
        <w:jc w:val="both"/>
        <w:rPr>
          <w:rFonts w:cs="Times New Roman"/>
        </w:rPr>
      </w:pPr>
      <w:r w:rsidRPr="00883566">
        <w:rPr>
          <w:rFonts w:cs="Times New Roman"/>
        </w:rPr>
        <w:t>2021 aasta algul koostas TTJA hulgituru 1 osas uue analüüsi ja otsuse eelnõu (edaspidi ka TTJA 2021 hulgituru 1 otsuse eelnõu</w:t>
      </w:r>
      <w:r w:rsidRPr="00883566">
        <w:rPr>
          <w:rFonts w:cs="Times New Roman"/>
          <w:vertAlign w:val="superscript"/>
        </w:rPr>
        <w:footnoteReference w:id="124"/>
      </w:r>
      <w:r w:rsidRPr="00883566">
        <w:rPr>
          <w:rFonts w:cs="Times New Roman"/>
        </w:rPr>
        <w:t>), milles kavandati jätta Telia nimetatud turul MTE-ks ja jätta Telia hulgituru 1 toodete osas kehtima TTJA 2017 hulgituru 1 otsuses sätestatud kohustused mõningate täiendustega. Nimetatud TTJA 2021 hulgituru 1  otsuse eelnõu osas avaldas Euroopa Komisjon tõsiseid kahtlusi, eelkõige internetiühenduste jaeturu geograafilise piiritlemise osas</w:t>
      </w:r>
      <w:r w:rsidRPr="00883566">
        <w:rPr>
          <w:rFonts w:cs="Times New Roman"/>
          <w:vertAlign w:val="superscript"/>
        </w:rPr>
        <w:footnoteReference w:id="125"/>
      </w:r>
      <w:r w:rsidRPr="00883566">
        <w:rPr>
          <w:rFonts w:cs="Times New Roman"/>
        </w:rPr>
        <w:t xml:space="preserve">  ja TTJA võttis eelnõu tagasi.</w:t>
      </w:r>
      <w:r w:rsidRPr="00883566">
        <w:rPr>
          <w:rFonts w:cs="Times New Roman"/>
          <w:lang w:eastAsia="en-US"/>
        </w:rPr>
        <w:t xml:space="preserve"> </w:t>
      </w:r>
      <w:r w:rsidRPr="00883566">
        <w:rPr>
          <w:rFonts w:cs="Times New Roman"/>
        </w:rPr>
        <w:t>Käesolevas kohustuste kehtestamise analüüsis on arvestatud ka TTJA 2021 hulgituru 1 otsuse eelnõus sideettevõtjate poolt välja toodud võimalikke konkurentsiprobleeme ning hinnatud nende jätkuvat asjakohasust ning mõju konkurentsile.</w:t>
      </w:r>
    </w:p>
    <w:p w14:paraId="6FCB641E" w14:textId="77777777" w:rsidR="00F03958" w:rsidRPr="00883566" w:rsidRDefault="00F03958" w:rsidP="00AA241E">
      <w:pPr>
        <w:pStyle w:val="Loendilik"/>
        <w:spacing w:before="120" w:after="120"/>
        <w:ind w:left="0"/>
        <w:jc w:val="both"/>
        <w:rPr>
          <w:rFonts w:cs="Times New Roman"/>
        </w:rPr>
      </w:pPr>
    </w:p>
    <w:p w14:paraId="68CCC5B0" w14:textId="64CAB454" w:rsidR="00F03958" w:rsidRPr="00883566" w:rsidRDefault="00F03958" w:rsidP="00AA241E">
      <w:pPr>
        <w:pStyle w:val="Loendilik"/>
        <w:spacing w:before="120" w:after="120"/>
        <w:ind w:left="0"/>
        <w:jc w:val="both"/>
        <w:rPr>
          <w:rFonts w:cs="Times New Roman"/>
        </w:rPr>
      </w:pPr>
      <w:r w:rsidRPr="00883566">
        <w:rPr>
          <w:rFonts w:cs="Times New Roman"/>
        </w:rPr>
        <w:t>2023 aastal koostas TTJA hulgituru 1 osas uue analüüsi ja otsuse eelnõu (edaspidi ka TTJA 2023 hulgituru 1 otsuse eelnõu</w:t>
      </w:r>
      <w:r w:rsidRPr="00883566">
        <w:rPr>
          <w:rStyle w:val="Allmrkuseviide"/>
          <w:rFonts w:cs="Times New Roman"/>
        </w:rPr>
        <w:footnoteReference w:id="126"/>
      </w:r>
      <w:r w:rsidRPr="00883566">
        <w:rPr>
          <w:rFonts w:cs="Times New Roman"/>
        </w:rPr>
        <w:t>), milles TTJA piiritles internetiühenduse jaeturu ja sellest tulenevalt ka hulgituru 1 geograafiliselt kõrgema konkurentsiga A ja madalama konkurentsiga B piirkondadeks ning kavandas A ja B piirkonnas hulgiturul 1 valdkonnaspetsiifilise</w:t>
      </w:r>
      <w:r w:rsidR="008111B2">
        <w:rPr>
          <w:rFonts w:cs="Times New Roman"/>
        </w:rPr>
        <w:t xml:space="preserve"> regulatsiooni lõpetada ja vastavad</w:t>
      </w:r>
      <w:r w:rsidRPr="00883566">
        <w:rPr>
          <w:rFonts w:cs="Times New Roman"/>
        </w:rPr>
        <w:t xml:space="preserve"> kohustused tühistada. Nimetatud otsuse eelnõu osas olid Euroopa Komisjonil tõsised kahtlused, eelkõige MTE määramata jätmise osas hulgituru 1 piirkonnas B, seetõttu võttis  TTJA hulgituru 1 otsuse eelnõu tagasi. Käesolevas kohustuste kehtestamise analüüsis on arvestatud ka TTJA 2023 hulgituru 1 otsuse eelnõus sideettevõtjate poolt välja toodud võimalikke konkurentsiprobleeme ning hinnatud nende jätkuvat asjakohasust ning mõju konkurentsile.</w:t>
      </w:r>
    </w:p>
    <w:p w14:paraId="12C8D545" w14:textId="77777777" w:rsidR="00F03958" w:rsidRDefault="00F03958" w:rsidP="00AA241E">
      <w:pPr>
        <w:jc w:val="both"/>
      </w:pPr>
    </w:p>
    <w:p w14:paraId="0C287D0C" w14:textId="77777777" w:rsidR="00F97D55" w:rsidRDefault="00F97D55" w:rsidP="00AA241E">
      <w:pPr>
        <w:jc w:val="both"/>
      </w:pPr>
    </w:p>
    <w:p w14:paraId="464FFCC2" w14:textId="77777777" w:rsidR="00F97D55" w:rsidRDefault="00F97D55" w:rsidP="00AA241E">
      <w:pPr>
        <w:jc w:val="both"/>
      </w:pPr>
    </w:p>
    <w:p w14:paraId="78021C24" w14:textId="77777777" w:rsidR="00F97D55" w:rsidRPr="00883566" w:rsidRDefault="00F97D55" w:rsidP="00AA241E">
      <w:pPr>
        <w:jc w:val="both"/>
      </w:pPr>
    </w:p>
    <w:p w14:paraId="3DAA73DC" w14:textId="571BF057" w:rsidR="00F03958" w:rsidRPr="00883566" w:rsidRDefault="00F03958" w:rsidP="00AA241E">
      <w:pPr>
        <w:pStyle w:val="Pealkiri2"/>
        <w:jc w:val="both"/>
      </w:pPr>
      <w:bookmarkStart w:id="946" w:name="_Toc174710823"/>
      <w:r w:rsidRPr="00883566">
        <w:lastRenderedPageBreak/>
        <w:t>Juurdepääsu kohustused</w:t>
      </w:r>
      <w:bookmarkEnd w:id="946"/>
    </w:p>
    <w:p w14:paraId="4F2B96D0" w14:textId="77777777" w:rsidR="00F03958" w:rsidRPr="00883566" w:rsidRDefault="00F03958" w:rsidP="00AA241E">
      <w:pPr>
        <w:jc w:val="both"/>
        <w:rPr>
          <w:lang w:eastAsia="en-US"/>
        </w:rPr>
      </w:pPr>
    </w:p>
    <w:p w14:paraId="564585E0" w14:textId="566A2F0B" w:rsidR="00F03958" w:rsidRPr="00883566" w:rsidRDefault="00F03958" w:rsidP="00AA241E">
      <w:pPr>
        <w:spacing w:line="259" w:lineRule="auto"/>
        <w:jc w:val="both"/>
        <w:rPr>
          <w:rFonts w:cs="Times New Roman"/>
          <w:lang w:eastAsia="en-US"/>
        </w:rPr>
      </w:pPr>
      <w:r w:rsidRPr="00883566">
        <w:rPr>
          <w:rFonts w:cs="Times New Roman"/>
        </w:rPr>
        <w:t xml:space="preserve">Käesoleva otsuse koostamise ajal kehtivad Telia hulgituru 1 teenustele juurdepääsu kohustused TTJA 2017 hulgituru 1 otsuse alusel. Lähtudes käesoleva otsuse </w:t>
      </w:r>
      <w:r w:rsidR="008C159A">
        <w:rPr>
          <w:rFonts w:cs="Times New Roman"/>
        </w:rPr>
        <w:t>ptk.-</w:t>
      </w:r>
      <w:r w:rsidRPr="00883566">
        <w:rPr>
          <w:rFonts w:cs="Times New Roman"/>
        </w:rPr>
        <w:t xml:space="preserve">st </w:t>
      </w:r>
      <w:r w:rsidR="000978F0">
        <w:rPr>
          <w:rFonts w:cs="Times New Roman"/>
        </w:rPr>
        <w:t>7</w:t>
      </w:r>
      <w:r w:rsidR="00077A2F">
        <w:rPr>
          <w:rFonts w:cs="Times New Roman"/>
        </w:rPr>
        <w:t xml:space="preserve">.1.2 </w:t>
      </w:r>
      <w:r w:rsidRPr="00883566">
        <w:rPr>
          <w:rFonts w:cs="Times New Roman"/>
        </w:rPr>
        <w:t xml:space="preserve"> tunnistatakse TTJA 2017 hulgituru 1 otsus ja selles kehtestatud kohustused kehtetuks. Käesolevas otsuses kehtestatavad kohustused on suunatud Telia </w:t>
      </w:r>
      <w:r w:rsidR="00A3232C">
        <w:rPr>
          <w:rFonts w:cs="Times New Roman"/>
        </w:rPr>
        <w:t>valguskaabelvõrgu</w:t>
      </w:r>
      <w:r w:rsidRPr="00883566">
        <w:rPr>
          <w:rFonts w:cs="Times New Roman"/>
        </w:rPr>
        <w:t>s kliendiliini juurdepääsu osutamisele piirkonnas B. Järgnevalt analüüsitakse ja tuvastatakse konkurentsiprobleemide vältimiseks ja konkurentsi edendamiseks asjakohaste kohustused võttes arvesse TTJA 2017 hulgituru 1 otsuses sätestatud kohustusi, uut EK 2024 kohustuste soovitust ning TTJA 2021 hulgituru 1 otsuse eelnõus ja TTJA 2023 hulgituru 1 otsuse eelnõus kajastatud sideettevõtjate arvamusi võimalike konkurentsiprobleemide osas. TTJA hinnangul on kohustuste järjepidevuse tagamiseks mõistlik ja proportsionaalne lähtuda TTJA 2017 hulgituru 1 otsuses sätestatud kohustustest neid vajadusel muutes ja/või täiendades.</w:t>
      </w:r>
    </w:p>
    <w:p w14:paraId="442DB3D2" w14:textId="4AD7A964" w:rsidR="00F03958" w:rsidRPr="00883566" w:rsidRDefault="00F03958" w:rsidP="00AA241E">
      <w:pPr>
        <w:spacing w:line="259" w:lineRule="auto"/>
        <w:jc w:val="both"/>
        <w:rPr>
          <w:rFonts w:cs="Times New Roman"/>
          <w:lang w:eastAsia="en-US"/>
        </w:rPr>
      </w:pPr>
      <w:r w:rsidRPr="00883566">
        <w:rPr>
          <w:rFonts w:cs="Times New Roman"/>
        </w:rPr>
        <w:t xml:space="preserve">Täpsemalt kehtivad Teliale käesoleva otsuse koostamise ajal TTJA 2017 hulgituru 1 otsuse lisa 1 </w:t>
      </w:r>
      <w:r w:rsidR="008C159A">
        <w:rPr>
          <w:rFonts w:cs="Times New Roman"/>
        </w:rPr>
        <w:t xml:space="preserve">ptk. </w:t>
      </w:r>
      <w:r w:rsidRPr="00883566">
        <w:rPr>
          <w:rFonts w:cs="Times New Roman"/>
        </w:rPr>
        <w:t>6.2.4 alusel valguskaabli kliendiliinile juurdepääsu osas järgmised juurdepääsu kohustused:</w:t>
      </w:r>
    </w:p>
    <w:p w14:paraId="28586A23" w14:textId="77777777" w:rsidR="00F03958" w:rsidRPr="00883566" w:rsidRDefault="00F03958" w:rsidP="00AA241E">
      <w:pPr>
        <w:spacing w:line="259" w:lineRule="auto"/>
        <w:jc w:val="both"/>
        <w:rPr>
          <w:rFonts w:cs="Times New Roman"/>
          <w:lang w:eastAsia="en-US"/>
        </w:rPr>
      </w:pPr>
    </w:p>
    <w:p w14:paraId="62EC9B4D" w14:textId="77777777" w:rsidR="00F03958" w:rsidRPr="00883566" w:rsidRDefault="00F03958" w:rsidP="00AA241E">
      <w:pPr>
        <w:suppressAutoHyphens/>
        <w:autoSpaceDE w:val="0"/>
        <w:autoSpaceDN w:val="0"/>
        <w:adjustRightInd w:val="0"/>
        <w:spacing w:before="240" w:after="120" w:line="240" w:lineRule="auto"/>
        <w:ind w:left="360"/>
        <w:jc w:val="both"/>
        <w:rPr>
          <w:rFonts w:eastAsia="Times New Roman" w:cs="Times New Roman"/>
          <w:i/>
          <w:iCs/>
          <w:lang w:eastAsia="et-EE"/>
        </w:rPr>
      </w:pPr>
      <w:r w:rsidRPr="00883566">
        <w:rPr>
          <w:rFonts w:eastAsia="Times New Roman" w:cs="Times New Roman"/>
          <w:i/>
          <w:iCs/>
          <w:lang w:eastAsia="et-EE"/>
        </w:rPr>
        <w:t>263. Valguskaablile juurdepääsu osas otsustab TJA kohustada Teliat kindlaksmääratud asukohas kohaliku juurdepääsu hulgiturul juurdepääsust keeldumise ja viivitamisega seotud konkurentsiprobleemide vältimiseks, sideteenuste turgudel konkurentsi moonutamise takistamise ärahoidmiseks ning lõppkasutajate huvide kaitseks ESS alusel:</w:t>
      </w:r>
    </w:p>
    <w:p w14:paraId="2A0EC9F7" w14:textId="77777777" w:rsidR="00F03958" w:rsidRPr="00883566" w:rsidRDefault="00F03958" w:rsidP="00AA241E">
      <w:pPr>
        <w:numPr>
          <w:ilvl w:val="0"/>
          <w:numId w:val="51"/>
        </w:numPr>
        <w:suppressAutoHyphens/>
        <w:autoSpaceDE w:val="0"/>
        <w:autoSpaceDN w:val="0"/>
        <w:adjustRightInd w:val="0"/>
        <w:spacing w:before="120" w:after="120" w:line="240" w:lineRule="auto"/>
        <w:jc w:val="both"/>
        <w:rPr>
          <w:rFonts w:eastAsia="Times New Roman" w:cs="Times New Roman"/>
          <w:i/>
          <w:iCs/>
          <w:lang w:eastAsia="et-EE"/>
        </w:rPr>
      </w:pPr>
      <w:r w:rsidRPr="00883566">
        <w:rPr>
          <w:rFonts w:eastAsia="Times New Roman" w:cs="Times New Roman"/>
          <w:i/>
          <w:iCs/>
          <w:lang w:eastAsia="et-EE"/>
        </w:rPr>
        <w:t>pidama heas usus läbirääkimisi teiste sideettevõtjatega, kes taotlevad juurdepääsu valguskaabli fiidersegmendi kiule</w:t>
      </w:r>
      <w:r w:rsidRPr="00883566">
        <w:rPr>
          <w:rFonts w:eastAsia="Times New Roman" w:cs="Times New Roman"/>
          <w:i/>
          <w:iCs/>
          <w:vertAlign w:val="superscript"/>
          <w:lang w:eastAsia="et-EE"/>
        </w:rPr>
        <w:footnoteReference w:id="127"/>
      </w:r>
      <w:r w:rsidRPr="00883566">
        <w:rPr>
          <w:rFonts w:eastAsia="Times New Roman" w:cs="Times New Roman"/>
          <w:i/>
          <w:iCs/>
          <w:lang w:eastAsia="et-EE"/>
        </w:rPr>
        <w:t>;</w:t>
      </w:r>
    </w:p>
    <w:p w14:paraId="1466DF47" w14:textId="77777777" w:rsidR="00F03958" w:rsidRPr="00883566" w:rsidRDefault="00F03958" w:rsidP="00AA241E">
      <w:pPr>
        <w:numPr>
          <w:ilvl w:val="0"/>
          <w:numId w:val="51"/>
        </w:numPr>
        <w:suppressAutoHyphens/>
        <w:autoSpaceDE w:val="0"/>
        <w:autoSpaceDN w:val="0"/>
        <w:adjustRightInd w:val="0"/>
        <w:spacing w:before="120" w:after="120" w:line="240" w:lineRule="auto"/>
        <w:jc w:val="both"/>
        <w:rPr>
          <w:rFonts w:eastAsia="Times New Roman" w:cs="Times New Roman"/>
          <w:i/>
          <w:iCs/>
          <w:lang w:eastAsia="et-EE"/>
        </w:rPr>
      </w:pPr>
      <w:r w:rsidRPr="00883566">
        <w:rPr>
          <w:rFonts w:eastAsia="Times New Roman" w:cs="Times New Roman"/>
          <w:i/>
          <w:iCs/>
          <w:lang w:eastAsia="et-EE"/>
        </w:rPr>
        <w:t>võimaldama juurdepääsu valguskaabli fiidersegmendi vabale</w:t>
      </w:r>
      <w:r w:rsidRPr="00883566">
        <w:rPr>
          <w:rFonts w:eastAsia="Times New Roman" w:cs="Times New Roman"/>
          <w:i/>
          <w:iCs/>
          <w:vertAlign w:val="superscript"/>
          <w:lang w:eastAsia="et-EE"/>
        </w:rPr>
        <w:footnoteReference w:id="128"/>
      </w:r>
      <w:r w:rsidRPr="00883566">
        <w:rPr>
          <w:rFonts w:eastAsia="Times New Roman" w:cs="Times New Roman"/>
          <w:i/>
          <w:iCs/>
          <w:lang w:eastAsia="et-EE"/>
        </w:rPr>
        <w:t xml:space="preserve"> kiule (vt joonist 6)</w:t>
      </w:r>
      <w:r w:rsidRPr="00883566">
        <w:rPr>
          <w:rFonts w:eastAsia="Times New Roman" w:cs="Times New Roman"/>
          <w:i/>
          <w:iCs/>
          <w:vertAlign w:val="superscript"/>
          <w:lang w:eastAsia="et-EE"/>
        </w:rPr>
        <w:footnoteReference w:id="129"/>
      </w:r>
      <w:r w:rsidRPr="00883566">
        <w:rPr>
          <w:rFonts w:eastAsia="Times New Roman" w:cs="Times New Roman"/>
          <w:i/>
          <w:iCs/>
          <w:lang w:eastAsia="et-EE"/>
        </w:rPr>
        <w:t>;</w:t>
      </w:r>
    </w:p>
    <w:p w14:paraId="49905267" w14:textId="77777777" w:rsidR="00F03958" w:rsidRPr="00883566" w:rsidRDefault="00F03958" w:rsidP="00AA241E">
      <w:pPr>
        <w:numPr>
          <w:ilvl w:val="0"/>
          <w:numId w:val="51"/>
        </w:numPr>
        <w:suppressAutoHyphens/>
        <w:autoSpaceDE w:val="0"/>
        <w:autoSpaceDN w:val="0"/>
        <w:adjustRightInd w:val="0"/>
        <w:spacing w:before="120" w:after="120" w:line="240" w:lineRule="auto"/>
        <w:jc w:val="both"/>
        <w:rPr>
          <w:rFonts w:eastAsia="Times New Roman" w:cs="Times New Roman"/>
          <w:i/>
          <w:iCs/>
          <w:lang w:eastAsia="et-EE"/>
        </w:rPr>
      </w:pPr>
      <w:r w:rsidRPr="00883566">
        <w:rPr>
          <w:rFonts w:eastAsia="Times New Roman" w:cs="Times New Roman"/>
          <w:i/>
          <w:iCs/>
          <w:lang w:eastAsia="et-EE"/>
        </w:rPr>
        <w:t>võimaldama jagatud juurdepääsu valguskaabli fiidersegmendi kiu vaba</w:t>
      </w:r>
      <w:r w:rsidRPr="00883566">
        <w:rPr>
          <w:rFonts w:eastAsia="Times New Roman" w:cs="Times New Roman"/>
          <w:i/>
          <w:iCs/>
          <w:vertAlign w:val="superscript"/>
          <w:lang w:eastAsia="et-EE"/>
        </w:rPr>
        <w:footnoteReference w:id="130"/>
      </w:r>
      <w:proofErr w:type="spellStart"/>
      <w:r w:rsidRPr="00883566">
        <w:rPr>
          <w:rFonts w:eastAsia="Times New Roman" w:cs="Times New Roman"/>
          <w:i/>
          <w:iCs/>
          <w:lang w:eastAsia="et-EE"/>
        </w:rPr>
        <w:t>le</w:t>
      </w:r>
      <w:proofErr w:type="spellEnd"/>
      <w:r w:rsidRPr="00883566">
        <w:rPr>
          <w:rFonts w:eastAsia="Times New Roman" w:cs="Times New Roman"/>
          <w:i/>
          <w:iCs/>
          <w:lang w:eastAsia="et-EE"/>
        </w:rPr>
        <w:t xml:space="preserve"> mahule (vt joonist 6)</w:t>
      </w:r>
      <w:r w:rsidRPr="00883566">
        <w:rPr>
          <w:rFonts w:eastAsia="Times New Roman" w:cs="Times New Roman"/>
          <w:i/>
          <w:iCs/>
          <w:vertAlign w:val="superscript"/>
          <w:lang w:eastAsia="et-EE"/>
        </w:rPr>
        <w:footnoteReference w:id="131"/>
      </w:r>
      <w:r w:rsidRPr="00883566">
        <w:rPr>
          <w:rFonts w:eastAsia="Times New Roman" w:cs="Times New Roman"/>
          <w:i/>
          <w:iCs/>
          <w:lang w:eastAsia="et-EE"/>
        </w:rPr>
        <w:t>;</w:t>
      </w:r>
    </w:p>
    <w:p w14:paraId="40B60851" w14:textId="77777777" w:rsidR="00F03958" w:rsidRPr="00883566" w:rsidRDefault="00F03958" w:rsidP="00AA241E">
      <w:pPr>
        <w:numPr>
          <w:ilvl w:val="0"/>
          <w:numId w:val="51"/>
        </w:numPr>
        <w:suppressAutoHyphens/>
        <w:autoSpaceDE w:val="0"/>
        <w:autoSpaceDN w:val="0"/>
        <w:adjustRightInd w:val="0"/>
        <w:spacing w:before="120" w:after="120" w:line="240" w:lineRule="auto"/>
        <w:jc w:val="both"/>
        <w:rPr>
          <w:rFonts w:eastAsia="Times New Roman" w:cs="Times New Roman"/>
          <w:i/>
          <w:iCs/>
          <w:lang w:eastAsia="et-EE"/>
        </w:rPr>
      </w:pPr>
      <w:r w:rsidRPr="00883566">
        <w:rPr>
          <w:rFonts w:eastAsia="Times New Roman" w:cs="Times New Roman"/>
          <w:i/>
          <w:iCs/>
          <w:lang w:eastAsia="et-EE"/>
        </w:rPr>
        <w:t>võimaldama valguskaabli fiidersegmendile juurdepääsuks vajalikku ühispaiknemist või muid ühiskasutuse viise, sealhulgas seadmemajutust</w:t>
      </w:r>
      <w:r w:rsidRPr="00883566">
        <w:rPr>
          <w:rFonts w:eastAsia="Times New Roman" w:cs="Times New Roman"/>
          <w:i/>
          <w:iCs/>
          <w:vertAlign w:val="superscript"/>
          <w:lang w:eastAsia="et-EE"/>
        </w:rPr>
        <w:footnoteReference w:id="132"/>
      </w:r>
      <w:r w:rsidRPr="00883566">
        <w:rPr>
          <w:rFonts w:eastAsia="Times New Roman" w:cs="Times New Roman"/>
          <w:i/>
          <w:iCs/>
          <w:lang w:eastAsia="et-EE"/>
        </w:rPr>
        <w:t>;</w:t>
      </w:r>
    </w:p>
    <w:p w14:paraId="2269EF88" w14:textId="77777777" w:rsidR="00F03958" w:rsidRPr="00883566" w:rsidRDefault="00F03958" w:rsidP="00AA241E">
      <w:pPr>
        <w:numPr>
          <w:ilvl w:val="0"/>
          <w:numId w:val="51"/>
        </w:numPr>
        <w:suppressAutoHyphens/>
        <w:autoSpaceDE w:val="0"/>
        <w:autoSpaceDN w:val="0"/>
        <w:adjustRightInd w:val="0"/>
        <w:spacing w:before="120" w:after="120" w:line="240" w:lineRule="auto"/>
        <w:jc w:val="both"/>
        <w:rPr>
          <w:rFonts w:eastAsia="Times New Roman" w:cs="Times New Roman"/>
          <w:i/>
          <w:iCs/>
          <w:lang w:eastAsia="et-EE"/>
        </w:rPr>
      </w:pPr>
      <w:r w:rsidRPr="00883566">
        <w:rPr>
          <w:rFonts w:eastAsia="Times New Roman" w:cs="Times New Roman"/>
          <w:i/>
          <w:iCs/>
          <w:lang w:eastAsia="et-EE"/>
        </w:rPr>
        <w:t>pakkuma juurdepääsu valguskaabli fiidersegmendi kiule juurdepääsuks vajalikele tugisüsteemidele ja/või tarkvarasüsteemidele, sealhulgas vajalikele tehniliste tingimuste tellimise, teenuse tellimise, tehnilise hoolduse ja remondi teabesüsteemidele</w:t>
      </w:r>
      <w:r w:rsidRPr="00883566">
        <w:rPr>
          <w:rFonts w:eastAsia="Times New Roman" w:cs="Times New Roman"/>
          <w:i/>
          <w:iCs/>
          <w:vertAlign w:val="superscript"/>
          <w:lang w:eastAsia="et-EE"/>
        </w:rPr>
        <w:footnoteReference w:id="133"/>
      </w:r>
      <w:r w:rsidRPr="00883566">
        <w:rPr>
          <w:rFonts w:eastAsia="Times New Roman" w:cs="Times New Roman"/>
          <w:i/>
          <w:iCs/>
          <w:lang w:eastAsia="et-EE"/>
        </w:rPr>
        <w:t>;</w:t>
      </w:r>
    </w:p>
    <w:p w14:paraId="551701A8" w14:textId="77777777" w:rsidR="00F03958" w:rsidRPr="00883566" w:rsidRDefault="00F03958" w:rsidP="00AA241E">
      <w:pPr>
        <w:numPr>
          <w:ilvl w:val="0"/>
          <w:numId w:val="51"/>
        </w:numPr>
        <w:suppressAutoHyphens/>
        <w:autoSpaceDE w:val="0"/>
        <w:autoSpaceDN w:val="0"/>
        <w:adjustRightInd w:val="0"/>
        <w:spacing w:before="120" w:after="120" w:line="240" w:lineRule="auto"/>
        <w:jc w:val="both"/>
        <w:rPr>
          <w:rFonts w:eastAsia="Times New Roman" w:cs="Times New Roman"/>
          <w:i/>
          <w:iCs/>
          <w:lang w:eastAsia="et-EE"/>
        </w:rPr>
      </w:pPr>
      <w:r w:rsidRPr="00883566">
        <w:rPr>
          <w:rFonts w:eastAsia="Times New Roman" w:cs="Times New Roman"/>
          <w:i/>
          <w:iCs/>
          <w:lang w:eastAsia="et-EE"/>
        </w:rPr>
        <w:lastRenderedPageBreak/>
        <w:t>pakkuma juurdepääsu seotud teenustele, mis on vajalikud valguskaabli fiidersegmendi kiu ühendamiseks teise sideettevõtja sidevõrguga</w:t>
      </w:r>
      <w:r w:rsidRPr="00883566">
        <w:rPr>
          <w:rFonts w:eastAsia="Times New Roman" w:cs="Times New Roman"/>
          <w:i/>
          <w:iCs/>
          <w:vertAlign w:val="superscript"/>
          <w:lang w:eastAsia="et-EE"/>
        </w:rPr>
        <w:footnoteReference w:id="134"/>
      </w:r>
      <w:r w:rsidRPr="00883566">
        <w:rPr>
          <w:rFonts w:eastAsia="Times New Roman" w:cs="Times New Roman"/>
          <w:i/>
          <w:iCs/>
          <w:lang w:eastAsia="et-EE"/>
        </w:rPr>
        <w:t>;</w:t>
      </w:r>
    </w:p>
    <w:p w14:paraId="6EA76E48" w14:textId="77777777" w:rsidR="00F03958" w:rsidRPr="00883566" w:rsidRDefault="00F03958" w:rsidP="00AA241E">
      <w:pPr>
        <w:numPr>
          <w:ilvl w:val="0"/>
          <w:numId w:val="51"/>
        </w:numPr>
        <w:suppressAutoHyphens/>
        <w:autoSpaceDE w:val="0"/>
        <w:autoSpaceDN w:val="0"/>
        <w:adjustRightInd w:val="0"/>
        <w:spacing w:before="120" w:after="120" w:line="240" w:lineRule="auto"/>
        <w:jc w:val="both"/>
        <w:rPr>
          <w:rFonts w:eastAsia="Times New Roman" w:cs="Times New Roman"/>
          <w:i/>
          <w:iCs/>
          <w:lang w:eastAsia="et-EE"/>
        </w:rPr>
      </w:pPr>
      <w:r w:rsidRPr="00883566">
        <w:rPr>
          <w:rFonts w:eastAsia="Times New Roman" w:cs="Times New Roman"/>
          <w:i/>
          <w:iCs/>
          <w:lang w:eastAsia="et-EE"/>
        </w:rPr>
        <w:t>võimaldama teistele sideettevõtjatele valguskaabli fiidersegmendi kiule juurdepääs esimese mõistlikult teostatava tähtaja jooksul ja mitte pikema tähtaja jooksul kui Telia võimaldab valguskaabli fiidersegmendi kiule juurdepääsu enda allüksustele, sealhulgas määratlema nimetatud juurdepääsu tähtaeg oma näidispakkumises ja igal kalendri aastal</w:t>
      </w:r>
      <w:r w:rsidRPr="00883566">
        <w:rPr>
          <w:rFonts w:eastAsia="Times New Roman" w:cs="Times New Roman"/>
          <w:i/>
          <w:iCs/>
          <w:vertAlign w:val="superscript"/>
          <w:lang w:eastAsia="et-EE"/>
        </w:rPr>
        <w:t xml:space="preserve"> </w:t>
      </w:r>
      <w:r w:rsidRPr="00883566">
        <w:rPr>
          <w:rFonts w:eastAsia="Times New Roman" w:cs="Times New Roman"/>
          <w:i/>
          <w:iCs/>
          <w:lang w:eastAsia="et-EE"/>
        </w:rPr>
        <w:t>kontrollima selle vastavust enda allüksuse juurdepääsu osutamise ajaga ning vajadusel uuendama näidispakkumist</w:t>
      </w:r>
      <w:r w:rsidRPr="00883566">
        <w:rPr>
          <w:rFonts w:eastAsia="Times New Roman" w:cs="Times New Roman"/>
          <w:i/>
          <w:iCs/>
          <w:vertAlign w:val="superscript"/>
          <w:lang w:eastAsia="et-EE"/>
        </w:rPr>
        <w:footnoteReference w:id="135"/>
      </w:r>
      <w:r w:rsidRPr="00883566">
        <w:rPr>
          <w:rFonts w:eastAsia="Times New Roman" w:cs="Times New Roman"/>
          <w:i/>
          <w:iCs/>
          <w:lang w:eastAsia="et-EE"/>
        </w:rPr>
        <w:t>.</w:t>
      </w:r>
    </w:p>
    <w:p w14:paraId="6D1125DC" w14:textId="15832EE3" w:rsidR="00F03958" w:rsidRPr="00883566" w:rsidRDefault="00F03958" w:rsidP="00AA241E">
      <w:pPr>
        <w:autoSpaceDE w:val="0"/>
        <w:autoSpaceDN w:val="0"/>
        <w:adjustRightInd w:val="0"/>
        <w:spacing w:before="120" w:after="120" w:line="240" w:lineRule="auto"/>
        <w:jc w:val="both"/>
        <w:rPr>
          <w:rFonts w:eastAsia="Times New Roman" w:cs="Times New Roman"/>
          <w:i/>
          <w:iCs/>
          <w:lang w:eastAsia="et-EE"/>
        </w:rPr>
      </w:pPr>
    </w:p>
    <w:p w14:paraId="45E656EB" w14:textId="23A342B2" w:rsidR="00F03958" w:rsidRPr="00883566" w:rsidRDefault="00F03958" w:rsidP="00AA241E">
      <w:pPr>
        <w:autoSpaceDE w:val="0"/>
        <w:autoSpaceDN w:val="0"/>
        <w:adjustRightInd w:val="0"/>
        <w:spacing w:before="120" w:after="120" w:line="240" w:lineRule="auto"/>
        <w:jc w:val="both"/>
        <w:rPr>
          <w:rFonts w:eastAsia="Times New Roman" w:cs="Times New Roman"/>
          <w:i/>
          <w:iCs/>
          <w:lang w:eastAsia="et-EE"/>
        </w:rPr>
      </w:pPr>
    </w:p>
    <w:p w14:paraId="30A141B9" w14:textId="5B5CCE69" w:rsidR="00F03958" w:rsidRPr="00883566" w:rsidRDefault="00F03958" w:rsidP="00AA241E">
      <w:pPr>
        <w:autoSpaceDE w:val="0"/>
        <w:autoSpaceDN w:val="0"/>
        <w:adjustRightInd w:val="0"/>
        <w:spacing w:before="120" w:after="120" w:line="240" w:lineRule="auto"/>
        <w:jc w:val="both"/>
        <w:rPr>
          <w:rFonts w:eastAsia="Times New Roman" w:cs="Times New Roman"/>
          <w:i/>
          <w:iCs/>
          <w:lang w:eastAsia="et-EE"/>
        </w:rPr>
      </w:pPr>
    </w:p>
    <w:p w14:paraId="35633392" w14:textId="08869853" w:rsidR="00F03958" w:rsidRPr="00883566" w:rsidRDefault="00F03958" w:rsidP="00AA241E">
      <w:pPr>
        <w:autoSpaceDE w:val="0"/>
        <w:autoSpaceDN w:val="0"/>
        <w:adjustRightInd w:val="0"/>
        <w:spacing w:before="120" w:after="120" w:line="240" w:lineRule="auto"/>
        <w:jc w:val="both"/>
        <w:rPr>
          <w:rFonts w:eastAsia="Times New Roman" w:cs="Times New Roman"/>
          <w:i/>
          <w:iCs/>
          <w:lang w:eastAsia="et-EE"/>
        </w:rPr>
      </w:pPr>
    </w:p>
    <w:p w14:paraId="39BE27F4" w14:textId="12677B46" w:rsidR="00F03958" w:rsidRPr="00883566" w:rsidRDefault="00E877BB" w:rsidP="00AA241E">
      <w:pPr>
        <w:autoSpaceDE w:val="0"/>
        <w:autoSpaceDN w:val="0"/>
        <w:adjustRightInd w:val="0"/>
        <w:spacing w:before="120" w:after="120" w:line="240" w:lineRule="auto"/>
        <w:jc w:val="both"/>
        <w:rPr>
          <w:rFonts w:eastAsia="Times New Roman" w:cs="Times New Roman"/>
          <w:i/>
          <w:iCs/>
          <w:lang w:eastAsia="et-EE"/>
        </w:rPr>
      </w:pPr>
      <w:r w:rsidRPr="00883566">
        <w:rPr>
          <w:rFonts w:eastAsia="Times New Roman" w:cs="Times New Roman"/>
          <w:i/>
          <w:iCs/>
          <w:noProof/>
          <w:lang w:eastAsia="et-EE"/>
        </w:rPr>
        <mc:AlternateContent>
          <mc:Choice Requires="wpg">
            <w:drawing>
              <wp:anchor distT="0" distB="0" distL="114300" distR="114300" simplePos="0" relativeHeight="251658268" behindDoc="0" locked="0" layoutInCell="1" allowOverlap="1" wp14:anchorId="3387AFAA" wp14:editId="71313DEF">
                <wp:simplePos x="0" y="0"/>
                <wp:positionH relativeFrom="column">
                  <wp:posOffset>-152400</wp:posOffset>
                </wp:positionH>
                <wp:positionV relativeFrom="paragraph">
                  <wp:posOffset>57150</wp:posOffset>
                </wp:positionV>
                <wp:extent cx="5819775" cy="2971800"/>
                <wp:effectExtent l="0" t="0" r="28575" b="19050"/>
                <wp:wrapNone/>
                <wp:docPr id="1" name="Rühm 1"/>
                <wp:cNvGraphicFramePr/>
                <a:graphic xmlns:a="http://schemas.openxmlformats.org/drawingml/2006/main">
                  <a:graphicData uri="http://schemas.microsoft.com/office/word/2010/wordprocessingGroup">
                    <wpg:wgp>
                      <wpg:cNvGrpSpPr/>
                      <wpg:grpSpPr>
                        <a:xfrm>
                          <a:off x="0" y="0"/>
                          <a:ext cx="5819775" cy="2971800"/>
                          <a:chOff x="0" y="0"/>
                          <a:chExt cx="6362286" cy="3860420"/>
                        </a:xfrm>
                      </wpg:grpSpPr>
                      <wps:wsp>
                        <wps:cNvPr id="3" name="TextBox 3"/>
                        <wps:cNvSpPr txBox="1">
                          <a:spLocks noChangeArrowheads="1"/>
                        </wps:cNvSpPr>
                        <wps:spPr bwMode="auto">
                          <a:xfrm>
                            <a:off x="1447138" y="0"/>
                            <a:ext cx="1428750" cy="2571750"/>
                          </a:xfrm>
                          <a:prstGeom prst="rect">
                            <a:avLst/>
                          </a:prstGeom>
                          <a:solidFill>
                            <a:srgbClr val="FFFFFF"/>
                          </a:solidFill>
                          <a:ln w="9525">
                            <a:solidFill>
                              <a:srgbClr val="BCBCBC"/>
                            </a:solidFill>
                            <a:miter lim="800000"/>
                            <a:headEnd/>
                            <a:tailEnd/>
                          </a:ln>
                        </wps:spPr>
                        <wps:txbx>
                          <w:txbxContent>
                            <w:p w14:paraId="2485F3EB" w14:textId="77777777" w:rsidR="00F03958" w:rsidRPr="001A2620" w:rsidRDefault="00F03958" w:rsidP="00F03958">
                              <w:pPr>
                                <w:pStyle w:val="Normaallaadveeb"/>
                                <w:spacing w:beforeAutospacing="0" w:after="0" w:afterAutospacing="0"/>
                                <w:rPr>
                                  <w:lang w:val="et-EE"/>
                                </w:rPr>
                              </w:pPr>
                              <w:r w:rsidRPr="001A2620">
                                <w:rPr>
                                  <w:rFonts w:ascii="Calibri" w:hAnsi="Calibri"/>
                                  <w:b/>
                                  <w:bCs/>
                                  <w:color w:val="000000"/>
                                  <w:sz w:val="16"/>
                                  <w:szCs w:val="16"/>
                                  <w:lang w:val="et-EE"/>
                                </w:rPr>
                                <w:t>Jaotuspunkt</w:t>
                              </w:r>
                              <w:r w:rsidRPr="001A2620">
                                <w:rPr>
                                  <w:rFonts w:ascii="Calibri" w:hAnsi="Calibri"/>
                                  <w:color w:val="000000"/>
                                  <w:sz w:val="16"/>
                                  <w:szCs w:val="16"/>
                                  <w:lang w:val="et-EE"/>
                                </w:rPr>
                                <w:t xml:space="preserve"> (ESS §2lg 70) kohaselt lõpp-</w:t>
                              </w:r>
                              <w:r>
                                <w:rPr>
                                  <w:rFonts w:ascii="Calibri" w:hAnsi="Calibri"/>
                                  <w:color w:val="000000"/>
                                  <w:sz w:val="16"/>
                                  <w:szCs w:val="16"/>
                                  <w:lang w:val="et-EE"/>
                                </w:rPr>
                                <w:t xml:space="preserve"> </w:t>
                              </w:r>
                              <w:r w:rsidRPr="001A2620">
                                <w:rPr>
                                  <w:rFonts w:ascii="Calibri" w:hAnsi="Calibri"/>
                                  <w:color w:val="000000"/>
                                  <w:sz w:val="16"/>
                                  <w:szCs w:val="16"/>
                                  <w:lang w:val="et-EE"/>
                                </w:rPr>
                                <w:t>punkt)</w:t>
                              </w:r>
                              <w:r>
                                <w:rPr>
                                  <w:rFonts w:ascii="Calibri" w:hAnsi="Calibri"/>
                                  <w:color w:val="000000"/>
                                  <w:sz w:val="16"/>
                                  <w:szCs w:val="16"/>
                                  <w:lang w:val="et-EE"/>
                                </w:rPr>
                                <w:t xml:space="preserve"> </w:t>
                              </w:r>
                              <w:r w:rsidRPr="001A2620">
                                <w:rPr>
                                  <w:rFonts w:ascii="Calibri" w:hAnsi="Calibri"/>
                                  <w:color w:val="000000"/>
                                  <w:sz w:val="16"/>
                                  <w:szCs w:val="16"/>
                                  <w:lang w:val="et-EE"/>
                                </w:rPr>
                                <w:t xml:space="preserve">- vahesõlm, milles poolitatakse üks või mitu regionaalsest ühenduspunktist (fiidersegment) saabuvat kiudoptilist kaablit ning jaotatakse need lõppkasutajate asukohtadega ühendamiseks (lõppsegment). Jaotuspunkt on üldjuhul seotud mitme hoone või majaga. See võib asuda kas hoone all (korterelamu korral) või tänaval. Jaotuspunktides paiknevad jaoturid, mis seostavad rippkaablid ja mõnel juhul toiteta seadmed, näiteks optilised jagurid. </w:t>
                              </w:r>
                            </w:p>
                          </w:txbxContent>
                        </wps:txbx>
                        <wps:bodyPr rot="0" vert="horz" wrap="square" lIns="91440" tIns="45720" rIns="91440" bIns="45720" anchor="t" anchorCtr="0" upright="1">
                          <a:noAutofit/>
                        </wps:bodyPr>
                      </wps:wsp>
                      <wps:wsp>
                        <wps:cNvPr id="21" name="TextBox 4"/>
                        <wps:cNvSpPr txBox="1">
                          <a:spLocks noChangeArrowheads="1"/>
                        </wps:cNvSpPr>
                        <wps:spPr bwMode="auto">
                          <a:xfrm>
                            <a:off x="3267986" y="0"/>
                            <a:ext cx="1790700" cy="3000375"/>
                          </a:xfrm>
                          <a:prstGeom prst="rect">
                            <a:avLst/>
                          </a:prstGeom>
                          <a:solidFill>
                            <a:srgbClr val="FFFFFF"/>
                          </a:solidFill>
                          <a:ln w="9525">
                            <a:solidFill>
                              <a:srgbClr val="BCBCBC"/>
                            </a:solidFill>
                            <a:miter lim="800000"/>
                            <a:headEnd/>
                            <a:tailEnd/>
                          </a:ln>
                        </wps:spPr>
                        <wps:txbx>
                          <w:txbxContent>
                            <w:p w14:paraId="7C3C65F1" w14:textId="77777777" w:rsidR="00F03958" w:rsidRPr="001A2620" w:rsidRDefault="00F03958" w:rsidP="00F03958">
                              <w:pPr>
                                <w:pStyle w:val="Normaallaadveeb"/>
                                <w:spacing w:beforeAutospacing="0" w:after="0" w:afterAutospacing="0"/>
                                <w:rPr>
                                  <w:lang w:val="et-EE"/>
                                </w:rPr>
                              </w:pPr>
                              <w:r w:rsidRPr="001A2620">
                                <w:rPr>
                                  <w:rFonts w:ascii="Calibri" w:hAnsi="Calibri"/>
                                  <w:b/>
                                  <w:bCs/>
                                  <w:color w:val="000000"/>
                                  <w:sz w:val="16"/>
                                  <w:szCs w:val="16"/>
                                  <w:lang w:val="et-EE"/>
                                </w:rPr>
                                <w:t xml:space="preserve">Regionaalne ühenduspunkt </w:t>
                              </w:r>
                              <w:r w:rsidRPr="001A2620">
                                <w:rPr>
                                  <w:rFonts w:ascii="Calibri" w:hAnsi="Calibri"/>
                                  <w:color w:val="000000"/>
                                  <w:sz w:val="16"/>
                                  <w:szCs w:val="16"/>
                                  <w:lang w:val="et-EE"/>
                                </w:rPr>
                                <w:t>(</w:t>
                              </w:r>
                              <w:r w:rsidRPr="001A2620">
                                <w:rPr>
                                  <w:rFonts w:ascii="Calibri" w:hAnsi="Calibri"/>
                                  <w:i/>
                                  <w:iCs/>
                                  <w:color w:val="000000"/>
                                  <w:sz w:val="16"/>
                                  <w:szCs w:val="16"/>
                                </w:rPr>
                                <w:t>Metropolitan Point of Presence</w:t>
                              </w:r>
                              <w:r w:rsidRPr="001A2620">
                                <w:rPr>
                                  <w:rFonts w:ascii="Calibri" w:hAnsi="Calibri"/>
                                  <w:color w:val="000000"/>
                                  <w:sz w:val="16"/>
                                  <w:szCs w:val="16"/>
                                </w:rPr>
                                <w:t>, MPoP) (</w:t>
                              </w:r>
                              <w:r w:rsidRPr="001A2620">
                                <w:rPr>
                                  <w:rFonts w:ascii="Calibri" w:hAnsi="Calibri"/>
                                  <w:color w:val="000000"/>
                                  <w:sz w:val="16"/>
                                  <w:szCs w:val="16"/>
                                  <w:lang w:val="et-EE"/>
                                </w:rPr>
                                <w:t xml:space="preserve">ESS kohaselt peajaotuspunkt)– </w:t>
                              </w:r>
                              <w:r w:rsidRPr="001A2620">
                                <w:rPr>
                                  <w:rFonts w:ascii="Calibri" w:hAnsi="Calibri"/>
                                  <w:color w:val="000000"/>
                                  <w:sz w:val="16"/>
                                  <w:szCs w:val="16"/>
                                </w:rPr>
                                <w:t>järgm</w:t>
                              </w:r>
                              <w:r w:rsidRPr="001A2620">
                                <w:rPr>
                                  <w:rFonts w:ascii="Calibri" w:hAnsi="Calibri"/>
                                  <w:color w:val="000000"/>
                                  <w:sz w:val="16"/>
                                  <w:szCs w:val="16"/>
                                  <w:lang w:val="et-EE"/>
                                </w:rPr>
                                <w:t>ise põlvkonna juurdepääsuvõrgu operaatori juurdepääsu- ja magistraalvõrkude ühenduspunkt. See on vasepõhiste juurdepääsuvõrkude peajaoturi vaste. Kõik järgmise põlvkonna juurdepääsuvõrgu abonendi ühendused kindlas piirkonnas (üldjuhul kas linn või linnaosa) on tsentraliseeritud regionaalse ühenduspunkti optilisele jaotusraamile (</w:t>
                              </w:r>
                              <w:r w:rsidRPr="00265E7A">
                                <w:rPr>
                                  <w:rFonts w:ascii="Calibri" w:hAnsi="Calibri"/>
                                  <w:i/>
                                  <w:iCs/>
                                  <w:color w:val="000000"/>
                                  <w:sz w:val="16"/>
                                  <w:szCs w:val="16"/>
                                  <w:lang w:val="et-EE"/>
                                </w:rPr>
                                <w:t>Optical Distribution</w:t>
                              </w:r>
                              <w:r w:rsidRPr="001A2620">
                                <w:rPr>
                                  <w:rFonts w:ascii="Calibri" w:hAnsi="Calibri"/>
                                  <w:i/>
                                  <w:iCs/>
                                  <w:color w:val="000000"/>
                                  <w:sz w:val="16"/>
                                  <w:szCs w:val="16"/>
                                  <w:lang w:val="et-EE"/>
                                </w:rPr>
                                <w:t xml:space="preserve"> </w:t>
                              </w:r>
                              <w:r w:rsidRPr="00265E7A">
                                <w:rPr>
                                  <w:rFonts w:ascii="Calibri" w:hAnsi="Calibri"/>
                                  <w:i/>
                                  <w:iCs/>
                                  <w:color w:val="000000"/>
                                  <w:sz w:val="16"/>
                                  <w:szCs w:val="16"/>
                                  <w:lang w:val="et-EE"/>
                                </w:rPr>
                                <w:t>Frame</w:t>
                              </w:r>
                              <w:r w:rsidRPr="001A2620">
                                <w:rPr>
                                  <w:rFonts w:ascii="Calibri" w:hAnsi="Calibri"/>
                                  <w:color w:val="000000"/>
                                  <w:sz w:val="16"/>
                                  <w:szCs w:val="16"/>
                                  <w:lang w:val="et-EE"/>
                                </w:rPr>
                                <w:t>, ODF). Optilisest jaotusraamist ühendatakse järgmise põlvkonna juurdepääsuvõrgu kontuurid nimetatud juurdepääsuvõrgu operaatori või muude operaatorite magistraalvõrgu seadmetega, näiteks vahepealsete tagasiühenduslülide abil, kui seadmed ei asu ühiselt regionaalses ühenduspunktis.</w:t>
                              </w:r>
                            </w:p>
                          </w:txbxContent>
                        </wps:txbx>
                        <wps:bodyPr rot="0" vert="horz" wrap="square" lIns="91440" tIns="45720" rIns="91440" bIns="45720" anchor="t" anchorCtr="0" upright="1">
                          <a:noAutofit/>
                        </wps:bodyPr>
                      </wps:wsp>
                      <wps:wsp>
                        <wps:cNvPr id="57" name="TextBox 1"/>
                        <wps:cNvSpPr txBox="1">
                          <a:spLocks noChangeArrowheads="1"/>
                        </wps:cNvSpPr>
                        <wps:spPr bwMode="auto">
                          <a:xfrm>
                            <a:off x="0" y="485030"/>
                            <a:ext cx="971550" cy="1076325"/>
                          </a:xfrm>
                          <a:prstGeom prst="rect">
                            <a:avLst/>
                          </a:prstGeom>
                          <a:solidFill>
                            <a:srgbClr val="FFFFFF"/>
                          </a:solidFill>
                          <a:ln w="9525">
                            <a:solidFill>
                              <a:srgbClr val="BCBCBC"/>
                            </a:solidFill>
                            <a:miter lim="800000"/>
                            <a:headEnd/>
                            <a:tailEnd/>
                          </a:ln>
                        </wps:spPr>
                        <wps:txbx>
                          <w:txbxContent>
                            <w:p w14:paraId="4276DD6E" w14:textId="77777777" w:rsidR="00F03958" w:rsidRPr="00884A03" w:rsidRDefault="00F03958" w:rsidP="00F03958">
                              <w:pPr>
                                <w:pStyle w:val="Normaallaadveeb"/>
                                <w:spacing w:beforeAutospacing="0" w:after="0" w:afterAutospacing="0"/>
                                <w:rPr>
                                  <w:sz w:val="16"/>
                                  <w:szCs w:val="16"/>
                                </w:rPr>
                              </w:pPr>
                              <w:r w:rsidRPr="001A2620">
                                <w:rPr>
                                  <w:rFonts w:ascii="Calibri" w:hAnsi="Calibri"/>
                                  <w:b/>
                                  <w:bCs/>
                                  <w:color w:val="000000"/>
                                  <w:sz w:val="22"/>
                                  <w:szCs w:val="22"/>
                                  <w:lang w:val="et-EE"/>
                                </w:rPr>
                                <w:t xml:space="preserve">Lõppkasutaja asukoht </w:t>
                              </w:r>
                              <w:r w:rsidRPr="001A2620">
                                <w:rPr>
                                  <w:rFonts w:ascii="Calibri" w:hAnsi="Calibri"/>
                                  <w:bCs/>
                                  <w:color w:val="000000"/>
                                  <w:sz w:val="16"/>
                                  <w:szCs w:val="16"/>
                                  <w:lang w:val="et-EE"/>
                                </w:rPr>
                                <w:t>ehk ühenduspunkt (ESS §2 lõige 67</w:t>
                              </w:r>
                              <w:r w:rsidRPr="005B5369">
                                <w:rPr>
                                  <w:rFonts w:ascii="Calibri" w:hAnsi="Calibri"/>
                                  <w:bCs/>
                                  <w:color w:val="000000"/>
                                  <w:sz w:val="16"/>
                                  <w:szCs w:val="16"/>
                                </w:rPr>
                                <w:t>)</w:t>
                              </w:r>
                            </w:p>
                          </w:txbxContent>
                        </wps:txbx>
                        <wps:bodyPr rot="0" vert="horz" wrap="square" lIns="91440" tIns="45720" rIns="91440" bIns="45720" anchor="t" anchorCtr="0" upright="1">
                          <a:noAutofit/>
                        </wps:bodyPr>
                      </wps:wsp>
                      <wps:wsp>
                        <wps:cNvPr id="59" name="TextBox 5"/>
                        <wps:cNvSpPr txBox="1">
                          <a:spLocks noChangeArrowheads="1"/>
                        </wps:cNvSpPr>
                        <wps:spPr bwMode="auto">
                          <a:xfrm>
                            <a:off x="5247861" y="1129085"/>
                            <a:ext cx="1114425" cy="762000"/>
                          </a:xfrm>
                          <a:prstGeom prst="rect">
                            <a:avLst/>
                          </a:prstGeom>
                          <a:solidFill>
                            <a:srgbClr val="FFFFFF"/>
                          </a:solidFill>
                          <a:ln w="9525">
                            <a:solidFill>
                              <a:srgbClr val="BCBCBC"/>
                            </a:solidFill>
                            <a:miter lim="800000"/>
                            <a:headEnd/>
                            <a:tailEnd/>
                          </a:ln>
                        </wps:spPr>
                        <wps:txbx>
                          <w:txbxContent>
                            <w:p w14:paraId="239D4842" w14:textId="77777777" w:rsidR="00F03958" w:rsidRPr="001A2620" w:rsidRDefault="00F03958" w:rsidP="00F03958">
                              <w:pPr>
                                <w:pStyle w:val="Normaallaadveeb"/>
                                <w:spacing w:beforeAutospacing="0" w:after="0" w:afterAutospacing="0"/>
                                <w:rPr>
                                  <w:lang w:val="et-EE"/>
                                </w:rPr>
                              </w:pPr>
                              <w:r w:rsidRPr="001A2620">
                                <w:rPr>
                                  <w:rFonts w:ascii="Calibri" w:hAnsi="Calibri"/>
                                  <w:b/>
                                  <w:bCs/>
                                  <w:color w:val="000000"/>
                                  <w:sz w:val="22"/>
                                  <w:szCs w:val="22"/>
                                  <w:lang w:val="et-EE"/>
                                </w:rPr>
                                <w:t>Ülekandevõrk</w:t>
                              </w:r>
                            </w:p>
                          </w:txbxContent>
                        </wps:txbx>
                        <wps:bodyPr rot="0" vert="horz" wrap="square" lIns="91440" tIns="45720" rIns="91440" bIns="45720" anchor="t" anchorCtr="0" upright="1">
                          <a:noAutofit/>
                        </wps:bodyPr>
                      </wps:wsp>
                      <wps:wsp>
                        <wps:cNvPr id="60" name="Sirgkonnektor 131"/>
                        <wps:cNvCnPr>
                          <a:cxnSpLocks noChangeShapeType="1"/>
                        </wps:cNvCnPr>
                        <wps:spPr bwMode="auto">
                          <a:xfrm>
                            <a:off x="970059" y="1288111"/>
                            <a:ext cx="47625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32058441" name="Sirgkonnektor 132"/>
                        <wps:cNvCnPr>
                          <a:cxnSpLocks noChangeShapeType="1"/>
                        </wps:cNvCnPr>
                        <wps:spPr bwMode="auto">
                          <a:xfrm>
                            <a:off x="2878372" y="1288111"/>
                            <a:ext cx="39052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32058444" name="Sirgkonnektor 133"/>
                        <wps:cNvCnPr>
                          <a:cxnSpLocks noChangeShapeType="1"/>
                        </wps:cNvCnPr>
                        <wps:spPr bwMode="auto">
                          <a:xfrm>
                            <a:off x="5057030" y="1288111"/>
                            <a:ext cx="19050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32058445" name="Sirge noolkonnektor 134"/>
                        <wps:cNvCnPr>
                          <a:cxnSpLocks noChangeShapeType="1"/>
                        </wps:cNvCnPr>
                        <wps:spPr bwMode="auto">
                          <a:xfrm flipV="1">
                            <a:off x="1041621" y="1343771"/>
                            <a:ext cx="180975" cy="60960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32058446" name="Sirge noolkonnektor 135"/>
                        <wps:cNvCnPr>
                          <a:cxnSpLocks noChangeShapeType="1"/>
                        </wps:cNvCnPr>
                        <wps:spPr bwMode="auto">
                          <a:xfrm flipV="1">
                            <a:off x="2973788" y="1343771"/>
                            <a:ext cx="133350" cy="130492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32058447" name="TextBox 17"/>
                        <wps:cNvSpPr txBox="1">
                          <a:spLocks noChangeArrowheads="1"/>
                        </wps:cNvSpPr>
                        <wps:spPr bwMode="auto">
                          <a:xfrm>
                            <a:off x="540689" y="1948070"/>
                            <a:ext cx="857250" cy="619125"/>
                          </a:xfrm>
                          <a:prstGeom prst="rect">
                            <a:avLst/>
                          </a:prstGeom>
                          <a:solidFill>
                            <a:srgbClr val="FFFFFF"/>
                          </a:solidFill>
                          <a:ln w="9525">
                            <a:solidFill>
                              <a:srgbClr val="BCBCBC"/>
                            </a:solidFill>
                            <a:prstDash val="sysDash"/>
                            <a:miter lim="800000"/>
                            <a:headEnd/>
                            <a:tailEnd/>
                          </a:ln>
                        </wps:spPr>
                        <wps:txbx>
                          <w:txbxContent>
                            <w:p w14:paraId="1BE399FA" w14:textId="77777777" w:rsidR="00F03958" w:rsidRPr="001A2620" w:rsidRDefault="00F03958" w:rsidP="00F03958">
                              <w:pPr>
                                <w:pStyle w:val="Normaallaadveeb"/>
                                <w:spacing w:beforeAutospacing="0" w:after="0" w:afterAutospacing="0"/>
                                <w:rPr>
                                  <w:lang w:val="et-EE"/>
                                </w:rPr>
                              </w:pPr>
                              <w:r w:rsidRPr="001A2620">
                                <w:rPr>
                                  <w:rFonts w:ascii="Calibri" w:hAnsi="Calibri"/>
                                  <w:color w:val="000000"/>
                                  <w:sz w:val="16"/>
                                  <w:szCs w:val="16"/>
                                  <w:lang w:val="et-EE"/>
                                </w:rPr>
                                <w:t>Vaskpaar ja valguskaab</w:t>
                              </w:r>
                              <w:r>
                                <w:rPr>
                                  <w:rFonts w:ascii="Calibri" w:hAnsi="Calibri"/>
                                  <w:color w:val="000000"/>
                                  <w:sz w:val="16"/>
                                  <w:szCs w:val="16"/>
                                  <w:lang w:val="et-EE"/>
                                </w:rPr>
                                <w:t>e</w:t>
                              </w:r>
                              <w:r w:rsidRPr="001A2620">
                                <w:rPr>
                                  <w:rFonts w:ascii="Calibri" w:hAnsi="Calibri"/>
                                  <w:color w:val="000000"/>
                                  <w:sz w:val="16"/>
                                  <w:szCs w:val="16"/>
                                  <w:lang w:val="et-EE"/>
                                </w:rPr>
                                <w:t>l liin</w:t>
                              </w:r>
                              <w:r>
                                <w:rPr>
                                  <w:rFonts w:ascii="Calibri" w:hAnsi="Calibri"/>
                                  <w:color w:val="000000"/>
                                  <w:sz w:val="16"/>
                                  <w:szCs w:val="16"/>
                                  <w:lang w:val="et-EE"/>
                                </w:rPr>
                                <w:t>id</w:t>
                              </w:r>
                              <w:r w:rsidRPr="001A2620">
                                <w:rPr>
                                  <w:rFonts w:ascii="Calibri" w:hAnsi="Calibri"/>
                                  <w:color w:val="000000"/>
                                  <w:sz w:val="16"/>
                                  <w:szCs w:val="16"/>
                                  <w:lang w:val="et-EE"/>
                                </w:rPr>
                                <w:t xml:space="preserve"> (ESS § 2 lõige 24)</w:t>
                              </w:r>
                            </w:p>
                          </w:txbxContent>
                        </wps:txbx>
                        <wps:bodyPr rot="0" vert="horz" wrap="square" lIns="91440" tIns="45720" rIns="91440" bIns="45720" anchor="t" anchorCtr="0" upright="1">
                          <a:noAutofit/>
                        </wps:bodyPr>
                      </wps:wsp>
                      <wps:wsp>
                        <wps:cNvPr id="432058448" name="TextBox 20"/>
                        <wps:cNvSpPr txBox="1">
                          <a:spLocks noChangeArrowheads="1"/>
                        </wps:cNvSpPr>
                        <wps:spPr bwMode="auto">
                          <a:xfrm>
                            <a:off x="2266122" y="2647785"/>
                            <a:ext cx="762000" cy="604299"/>
                          </a:xfrm>
                          <a:prstGeom prst="rect">
                            <a:avLst/>
                          </a:prstGeom>
                          <a:solidFill>
                            <a:srgbClr val="FFFFFF"/>
                          </a:solidFill>
                          <a:ln w="9525">
                            <a:solidFill>
                              <a:srgbClr val="BCBCBC"/>
                            </a:solidFill>
                            <a:prstDash val="sysDash"/>
                            <a:miter lim="800000"/>
                            <a:headEnd/>
                            <a:tailEnd/>
                          </a:ln>
                        </wps:spPr>
                        <wps:txbx>
                          <w:txbxContent>
                            <w:p w14:paraId="03667616" w14:textId="77777777" w:rsidR="00F03958" w:rsidRDefault="00F03958" w:rsidP="00F03958">
                              <w:pPr>
                                <w:pStyle w:val="Normaallaadveeb"/>
                                <w:spacing w:beforeAutospacing="0" w:after="0" w:afterAutospacing="0"/>
                              </w:pPr>
                              <w:r w:rsidRPr="001A2620">
                                <w:rPr>
                                  <w:rFonts w:ascii="Calibri" w:hAnsi="Calibri"/>
                                  <w:color w:val="000000"/>
                                  <w:sz w:val="16"/>
                                  <w:szCs w:val="16"/>
                                  <w:lang w:val="et-EE"/>
                                </w:rPr>
                                <w:t>V</w:t>
                              </w:r>
                              <w:r>
                                <w:rPr>
                                  <w:rFonts w:ascii="Calibri" w:hAnsi="Calibri"/>
                                  <w:color w:val="000000"/>
                                  <w:sz w:val="16"/>
                                  <w:szCs w:val="16"/>
                                  <w:lang w:val="et-EE"/>
                                </w:rPr>
                                <w:t>alguskaabel kliendiliinid (ESS § 2 lõige 14)</w:t>
                              </w:r>
                            </w:p>
                          </w:txbxContent>
                        </wps:txbx>
                        <wps:bodyPr rot="0" vert="horz" wrap="square" lIns="91440" tIns="45720" rIns="91440" bIns="45720" anchor="t" anchorCtr="0" upright="1">
                          <a:noAutofit/>
                        </wps:bodyPr>
                      </wps:wsp>
                      <wpg:grpSp>
                        <wpg:cNvPr id="432058449" name="Rühm 151"/>
                        <wpg:cNvGrpSpPr>
                          <a:grpSpLocks/>
                        </wpg:cNvGrpSpPr>
                        <wpg:grpSpPr bwMode="auto">
                          <a:xfrm>
                            <a:off x="326004" y="2576223"/>
                            <a:ext cx="1828800" cy="590550"/>
                            <a:chOff x="0" y="0"/>
                            <a:chExt cx="1828800" cy="590550"/>
                          </a:xfrm>
                        </wpg:grpSpPr>
                        <wps:wsp>
                          <wps:cNvPr id="432058450" name="Sirgkonnektor 147"/>
                          <wps:cNvCnPr>
                            <a:cxnSpLocks noChangeShapeType="1"/>
                          </wps:cNvCnPr>
                          <wps:spPr bwMode="auto">
                            <a:xfrm>
                              <a:off x="0" y="447675"/>
                              <a:ext cx="1828800" cy="1905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32058451" name="Sirge noolkonnektor 148"/>
                          <wps:cNvCnPr>
                            <a:cxnSpLocks noChangeShapeType="1"/>
                          </wps:cNvCnPr>
                          <wps:spPr bwMode="auto">
                            <a:xfrm flipV="1">
                              <a:off x="0" y="0"/>
                              <a:ext cx="0" cy="46672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32058452" name="Sirge noolkonnektor 149"/>
                          <wps:cNvCnPr>
                            <a:cxnSpLocks noChangeShapeType="1"/>
                          </wps:cNvCnPr>
                          <wps:spPr bwMode="auto">
                            <a:xfrm flipV="1">
                              <a:off x="1828800" y="266700"/>
                              <a:ext cx="0" cy="20955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32058453" name="TextBox 20"/>
                          <wps:cNvSpPr txBox="1">
                            <a:spLocks noChangeArrowheads="1"/>
                          </wps:cNvSpPr>
                          <wps:spPr bwMode="auto">
                            <a:xfrm>
                              <a:off x="266700" y="190500"/>
                              <a:ext cx="1476375" cy="400050"/>
                            </a:xfrm>
                            <a:prstGeom prst="rect">
                              <a:avLst/>
                            </a:prstGeom>
                            <a:solidFill>
                              <a:srgbClr val="FFFFFF"/>
                            </a:solidFill>
                            <a:ln w="9525">
                              <a:solidFill>
                                <a:srgbClr val="BCBCBC"/>
                              </a:solidFill>
                              <a:prstDash val="sysDash"/>
                              <a:miter lim="800000"/>
                              <a:headEnd/>
                              <a:tailEnd/>
                            </a:ln>
                          </wps:spPr>
                          <wps:txbx>
                            <w:txbxContent>
                              <w:p w14:paraId="2B47AB88" w14:textId="75484CC3" w:rsidR="00F03958" w:rsidRPr="001A2620" w:rsidRDefault="00F03958" w:rsidP="00F03958">
                                <w:pPr>
                                  <w:pStyle w:val="Normaallaadveeb"/>
                                  <w:spacing w:beforeAutospacing="0" w:after="0" w:afterAutospacing="0"/>
                                  <w:rPr>
                                    <w:b/>
                                    <w:lang w:val="et-EE"/>
                                  </w:rPr>
                                </w:pPr>
                                <w:r w:rsidRPr="001A2620">
                                  <w:rPr>
                                    <w:rFonts w:ascii="Calibri" w:hAnsi="Calibri"/>
                                    <w:b/>
                                    <w:color w:val="000000"/>
                                    <w:sz w:val="16"/>
                                    <w:szCs w:val="16"/>
                                    <w:lang w:val="et-EE"/>
                                  </w:rPr>
                                  <w:t xml:space="preserve">Juurdepääs </w:t>
                                </w:r>
                                <w:r w:rsidR="00183BEB">
                                  <w:rPr>
                                    <w:rFonts w:ascii="Calibri" w:hAnsi="Calibri"/>
                                    <w:b/>
                                    <w:color w:val="000000"/>
                                    <w:sz w:val="16"/>
                                    <w:szCs w:val="16"/>
                                    <w:lang w:val="et-EE"/>
                                  </w:rPr>
                                  <w:t>vaskkaabli</w:t>
                                </w:r>
                                <w:r>
                                  <w:rPr>
                                    <w:rFonts w:ascii="Calibri" w:hAnsi="Calibri"/>
                                    <w:b/>
                                    <w:color w:val="000000"/>
                                    <w:sz w:val="16"/>
                                    <w:szCs w:val="16"/>
                                    <w:lang w:val="et-EE"/>
                                  </w:rPr>
                                  <w:t xml:space="preserve">- ja valguskaabli </w:t>
                                </w:r>
                                <w:r w:rsidRPr="001A2620">
                                  <w:rPr>
                                    <w:rFonts w:ascii="Calibri" w:hAnsi="Calibri"/>
                                    <w:b/>
                                    <w:color w:val="000000"/>
                                    <w:sz w:val="16"/>
                                    <w:szCs w:val="16"/>
                                    <w:lang w:val="et-EE"/>
                                  </w:rPr>
                                  <w:t>lõppsegmendile</w:t>
                                </w:r>
                              </w:p>
                            </w:txbxContent>
                          </wps:txbx>
                          <wps:bodyPr rot="0" vert="horz" wrap="square" lIns="91440" tIns="45720" rIns="91440" bIns="45720" anchor="t" anchorCtr="0" upright="1">
                            <a:noAutofit/>
                          </wps:bodyPr>
                        </wps:wsp>
                      </wpg:grpSp>
                      <wpg:grpSp>
                        <wpg:cNvPr id="432058454" name="Rühm 152"/>
                        <wpg:cNvGrpSpPr>
                          <a:grpSpLocks/>
                        </wpg:cNvGrpSpPr>
                        <wpg:grpSpPr bwMode="auto">
                          <a:xfrm>
                            <a:off x="1868492" y="2976231"/>
                            <a:ext cx="2162240" cy="884189"/>
                            <a:chOff x="-65" y="-354186"/>
                            <a:chExt cx="2162240" cy="747459"/>
                          </a:xfrm>
                        </wpg:grpSpPr>
                        <wps:wsp>
                          <wps:cNvPr id="432058455" name="Sirgkonnektor 139"/>
                          <wps:cNvCnPr>
                            <a:cxnSpLocks noChangeShapeType="1"/>
                          </wps:cNvCnPr>
                          <wps:spPr bwMode="auto">
                            <a:xfrm>
                              <a:off x="9525" y="233215"/>
                              <a:ext cx="2152650" cy="952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32058456" name="Sirge noolkonnektor 140"/>
                          <wps:cNvCnPr>
                            <a:cxnSpLocks noChangeShapeType="1"/>
                          </wps:cNvCnPr>
                          <wps:spPr bwMode="auto">
                            <a:xfrm flipV="1">
                              <a:off x="-65" y="-155155"/>
                              <a:ext cx="9525" cy="39789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32058457" name="Sirge noolkonnektor 141"/>
                          <wps:cNvCnPr>
                            <a:cxnSpLocks noChangeShapeType="1"/>
                          </wps:cNvCnPr>
                          <wps:spPr bwMode="auto">
                            <a:xfrm flipV="1">
                              <a:off x="2144362" y="-354186"/>
                              <a:ext cx="0" cy="59695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32058458" name="TextBox 20"/>
                          <wps:cNvSpPr txBox="1">
                            <a:spLocks noChangeArrowheads="1"/>
                          </wps:cNvSpPr>
                          <wps:spPr bwMode="auto">
                            <a:xfrm>
                              <a:off x="304800" y="15"/>
                              <a:ext cx="1476375" cy="393258"/>
                            </a:xfrm>
                            <a:prstGeom prst="rect">
                              <a:avLst/>
                            </a:prstGeom>
                            <a:solidFill>
                              <a:srgbClr val="FFFFFF"/>
                            </a:solidFill>
                            <a:ln w="9525">
                              <a:solidFill>
                                <a:srgbClr val="BCBCBC"/>
                              </a:solidFill>
                              <a:prstDash val="sysDash"/>
                              <a:miter lim="800000"/>
                              <a:headEnd/>
                              <a:tailEnd/>
                            </a:ln>
                          </wps:spPr>
                          <wps:txbx>
                            <w:txbxContent>
                              <w:p w14:paraId="5ED94FC6" w14:textId="77777777" w:rsidR="00F03958" w:rsidRPr="00B05260" w:rsidRDefault="00F03958" w:rsidP="00F03958">
                                <w:pPr>
                                  <w:pStyle w:val="Normaallaadveeb"/>
                                  <w:spacing w:beforeAutospacing="0" w:after="0" w:afterAutospacing="0"/>
                                  <w:rPr>
                                    <w:b/>
                                  </w:rPr>
                                </w:pPr>
                                <w:r w:rsidRPr="001A2620">
                                  <w:rPr>
                                    <w:rFonts w:ascii="Calibri" w:hAnsi="Calibri"/>
                                    <w:b/>
                                    <w:color w:val="000000"/>
                                    <w:sz w:val="16"/>
                                    <w:szCs w:val="16"/>
                                    <w:lang w:val="et-EE"/>
                                  </w:rPr>
                                  <w:t>Juurdepääs (k.a. jagatud juurdepää</w:t>
                                </w:r>
                                <w:r>
                                  <w:rPr>
                                    <w:rFonts w:ascii="Calibri" w:hAnsi="Calibri"/>
                                    <w:b/>
                                    <w:color w:val="000000"/>
                                    <w:sz w:val="16"/>
                                    <w:szCs w:val="16"/>
                                    <w:lang w:val="et-EE"/>
                                  </w:rPr>
                                  <w:t>s) valguskaabli fiidersegmendi kiule</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387AFAA" id="Rühm 1" o:spid="_x0000_s1070" style="position:absolute;left:0;text-align:left;margin-left:-12pt;margin-top:4.5pt;width:458.25pt;height:234pt;z-index:251658268;mso-position-horizontal-relative:text;mso-position-vertical-relative:text;mso-width-relative:margin;mso-height-relative:margin" coordsize="63622,38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">
                <v:shape id="TextBox 3" o:spid="_x0000_s1071" type="#_x0000_t202" style="position:absolute;left:14471;width:14287;height:2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" strokecolor="#bcbcbc">
                  <v:textbox>
                    <w:txbxContent>
                      <w:p w14:paraId="2485F3EB" w14:textId="77777777" w:rsidR="00F03958" w:rsidRPr="001A2620" w:rsidRDefault="00F03958" w:rsidP="00F03958">
                        <w:pPr>
                          <w:pStyle w:val="Normaallaadveeb"/>
                          <w:spacing w:beforeAutospacing="0" w:after="0" w:afterAutospacing="0"/>
                          <w:rPr>
                            <w:lang w:val="et-EE"/>
                          </w:rPr>
                        </w:pPr>
                        <w:r w:rsidRPr="001A2620">
                          <w:rPr>
                            <w:rFonts w:ascii="Calibri" w:hAnsi="Calibri"/>
                            <w:b/>
                            <w:bCs/>
                            <w:color w:val="000000"/>
                            <w:sz w:val="16"/>
                            <w:szCs w:val="16"/>
                            <w:lang w:val="et-EE"/>
                          </w:rPr>
                          <w:t>Jaotuspunkt</w:t>
                        </w:r>
                        <w:r w:rsidRPr="001A2620">
                          <w:rPr>
                            <w:rFonts w:ascii="Calibri" w:hAnsi="Calibri"/>
                            <w:color w:val="000000"/>
                            <w:sz w:val="16"/>
                            <w:szCs w:val="16"/>
                            <w:lang w:val="et-EE"/>
                          </w:rPr>
                          <w:t xml:space="preserve"> (ESS §2lg 70) kohaselt lõpp-</w:t>
                        </w:r>
                        <w:r>
                          <w:rPr>
                            <w:rFonts w:ascii="Calibri" w:hAnsi="Calibri"/>
                            <w:color w:val="000000"/>
                            <w:sz w:val="16"/>
                            <w:szCs w:val="16"/>
                            <w:lang w:val="et-EE"/>
                          </w:rPr>
                          <w:t xml:space="preserve"> </w:t>
                        </w:r>
                        <w:r w:rsidRPr="001A2620">
                          <w:rPr>
                            <w:rFonts w:ascii="Calibri" w:hAnsi="Calibri"/>
                            <w:color w:val="000000"/>
                            <w:sz w:val="16"/>
                            <w:szCs w:val="16"/>
                            <w:lang w:val="et-EE"/>
                          </w:rPr>
                          <w:t>punkt)</w:t>
                        </w:r>
                        <w:r>
                          <w:rPr>
                            <w:rFonts w:ascii="Calibri" w:hAnsi="Calibri"/>
                            <w:color w:val="000000"/>
                            <w:sz w:val="16"/>
                            <w:szCs w:val="16"/>
                            <w:lang w:val="et-EE"/>
                          </w:rPr>
                          <w:t xml:space="preserve"> </w:t>
                        </w:r>
                        <w:r w:rsidRPr="001A2620">
                          <w:rPr>
                            <w:rFonts w:ascii="Calibri" w:hAnsi="Calibri"/>
                            <w:color w:val="000000"/>
                            <w:sz w:val="16"/>
                            <w:szCs w:val="16"/>
                            <w:lang w:val="et-EE"/>
                          </w:rPr>
                          <w:t xml:space="preserve">- vahesõlm, milles poolitatakse üks või mitu regionaalsest ühenduspunktist (fiidersegment) saabuvat kiudoptilist kaablit ning jaotatakse need lõppkasutajate asukohtadega ühendamiseks (lõppsegment). Jaotuspunkt on üldjuhul seotud mitme hoone või majaga. See võib asuda kas hoone all (korterelamu korral) või tänaval. Jaotuspunktides paiknevad jaoturid, mis seostavad rippkaablid ja mõnel juhul toiteta seadmed, näiteks optilised jagurid. </w:t>
                        </w:r>
                      </w:p>
                    </w:txbxContent>
                  </v:textbox>
                </v:shape>
                <v:shape id="TextBox 4" o:spid="_x0000_s1072" type="#_x0000_t202" style="position:absolute;left:32679;width:17907;height:30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" strokecolor="#bcbcbc">
                  <v:textbox>
                    <w:txbxContent>
                      <w:p w14:paraId="7C3C65F1" w14:textId="77777777" w:rsidR="00F03958" w:rsidRPr="001A2620" w:rsidRDefault="00F03958" w:rsidP="00F03958">
                        <w:pPr>
                          <w:pStyle w:val="Normaallaadveeb"/>
                          <w:spacing w:beforeAutospacing="0" w:after="0" w:afterAutospacing="0"/>
                          <w:rPr>
                            <w:lang w:val="et-EE"/>
                          </w:rPr>
                        </w:pPr>
                        <w:r w:rsidRPr="001A2620">
                          <w:rPr>
                            <w:rFonts w:ascii="Calibri" w:hAnsi="Calibri"/>
                            <w:b/>
                            <w:bCs/>
                            <w:color w:val="000000"/>
                            <w:sz w:val="16"/>
                            <w:szCs w:val="16"/>
                            <w:lang w:val="et-EE"/>
                          </w:rPr>
                          <w:t xml:space="preserve">Regionaalne ühenduspunkt </w:t>
                        </w:r>
                        <w:r w:rsidRPr="001A2620">
                          <w:rPr>
                            <w:rFonts w:ascii="Calibri" w:hAnsi="Calibri"/>
                            <w:color w:val="000000"/>
                            <w:sz w:val="16"/>
                            <w:szCs w:val="16"/>
                            <w:lang w:val="et-EE"/>
                          </w:rPr>
                          <w:t>(</w:t>
                        </w:r>
                        <w:r w:rsidRPr="001A2620">
                          <w:rPr>
                            <w:rFonts w:ascii="Calibri" w:hAnsi="Calibri"/>
                            <w:i/>
                            <w:iCs/>
                            <w:color w:val="000000"/>
                            <w:sz w:val="16"/>
                            <w:szCs w:val="16"/>
                          </w:rPr>
                          <w:t>Metropolitan Point of Presence</w:t>
                        </w:r>
                        <w:r w:rsidRPr="001A2620">
                          <w:rPr>
                            <w:rFonts w:ascii="Calibri" w:hAnsi="Calibri"/>
                            <w:color w:val="000000"/>
                            <w:sz w:val="16"/>
                            <w:szCs w:val="16"/>
                          </w:rPr>
                          <w:t>, MPoP) (</w:t>
                        </w:r>
                        <w:r w:rsidRPr="001A2620">
                          <w:rPr>
                            <w:rFonts w:ascii="Calibri" w:hAnsi="Calibri"/>
                            <w:color w:val="000000"/>
                            <w:sz w:val="16"/>
                            <w:szCs w:val="16"/>
                            <w:lang w:val="et-EE"/>
                          </w:rPr>
                          <w:t xml:space="preserve">ESS kohaselt peajaotuspunkt)– </w:t>
                        </w:r>
                        <w:r w:rsidRPr="001A2620">
                          <w:rPr>
                            <w:rFonts w:ascii="Calibri" w:hAnsi="Calibri"/>
                            <w:color w:val="000000"/>
                            <w:sz w:val="16"/>
                            <w:szCs w:val="16"/>
                          </w:rPr>
                          <w:t>järgm</w:t>
                        </w:r>
                        <w:r w:rsidRPr="001A2620">
                          <w:rPr>
                            <w:rFonts w:ascii="Calibri" w:hAnsi="Calibri"/>
                            <w:color w:val="000000"/>
                            <w:sz w:val="16"/>
                            <w:szCs w:val="16"/>
                            <w:lang w:val="et-EE"/>
                          </w:rPr>
                          <w:t>ise põlvkonna juurdepääsuvõrgu operaatori juurdepääsu- ja magistraalvõrkude ühenduspunkt. See on vasepõhiste juurdepääsuvõrkude peajaoturi vaste. Kõik järgmise põlvkonna juurdepääsuvõrgu abonendi ühendused kindlas piirkonnas (üldjuhul kas linn või linnaosa) on tsentraliseeritud regionaalse ühenduspunkti optilisele jaotusraamile (</w:t>
                        </w:r>
                        <w:r w:rsidRPr="00265E7A">
                          <w:rPr>
                            <w:rFonts w:ascii="Calibri" w:hAnsi="Calibri"/>
                            <w:i/>
                            <w:iCs/>
                            <w:color w:val="000000"/>
                            <w:sz w:val="16"/>
                            <w:szCs w:val="16"/>
                            <w:lang w:val="et-EE"/>
                          </w:rPr>
                          <w:t>Optical Distribution</w:t>
                        </w:r>
                        <w:r w:rsidRPr="001A2620">
                          <w:rPr>
                            <w:rFonts w:ascii="Calibri" w:hAnsi="Calibri"/>
                            <w:i/>
                            <w:iCs/>
                            <w:color w:val="000000"/>
                            <w:sz w:val="16"/>
                            <w:szCs w:val="16"/>
                            <w:lang w:val="et-EE"/>
                          </w:rPr>
                          <w:t xml:space="preserve"> </w:t>
                        </w:r>
                        <w:r w:rsidRPr="00265E7A">
                          <w:rPr>
                            <w:rFonts w:ascii="Calibri" w:hAnsi="Calibri"/>
                            <w:i/>
                            <w:iCs/>
                            <w:color w:val="000000"/>
                            <w:sz w:val="16"/>
                            <w:szCs w:val="16"/>
                            <w:lang w:val="et-EE"/>
                          </w:rPr>
                          <w:t>Frame</w:t>
                        </w:r>
                        <w:r w:rsidRPr="001A2620">
                          <w:rPr>
                            <w:rFonts w:ascii="Calibri" w:hAnsi="Calibri"/>
                            <w:color w:val="000000"/>
                            <w:sz w:val="16"/>
                            <w:szCs w:val="16"/>
                            <w:lang w:val="et-EE"/>
                          </w:rPr>
                          <w:t>, ODF). Optilisest jaotusraamist ühendatakse järgmise põlvkonna juurdepääsuvõrgu kontuurid nimetatud juurdepääsuvõrgu operaatori või muude operaatorite magistraalvõrgu seadmetega, näiteks vahepealsete tagasiühenduslülide abil, kui seadmed ei asu ühiselt regionaalses ühenduspunktis.</w:t>
                        </w:r>
                      </w:p>
                    </w:txbxContent>
                  </v:textbox>
                </v:shape>
                <v:shape id="TextBox 1" o:spid="_x0000_s1073" type="#_x0000_t202" style="position:absolute;top:4850;width:9715;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" strokecolor="#bcbcbc">
                  <v:textbox>
                    <w:txbxContent>
                      <w:p w14:paraId="4276DD6E" w14:textId="77777777" w:rsidR="00F03958" w:rsidRPr="00884A03" w:rsidRDefault="00F03958" w:rsidP="00F03958">
                        <w:pPr>
                          <w:pStyle w:val="Normaallaadveeb"/>
                          <w:spacing w:beforeAutospacing="0" w:after="0" w:afterAutospacing="0"/>
                          <w:rPr>
                            <w:sz w:val="16"/>
                            <w:szCs w:val="16"/>
                          </w:rPr>
                        </w:pPr>
                        <w:r w:rsidRPr="001A2620">
                          <w:rPr>
                            <w:rFonts w:ascii="Calibri" w:hAnsi="Calibri"/>
                            <w:b/>
                            <w:bCs/>
                            <w:color w:val="000000"/>
                            <w:sz w:val="22"/>
                            <w:szCs w:val="22"/>
                            <w:lang w:val="et-EE"/>
                          </w:rPr>
                          <w:t xml:space="preserve">Lõppkasutaja asukoht </w:t>
                        </w:r>
                        <w:r w:rsidRPr="001A2620">
                          <w:rPr>
                            <w:rFonts w:ascii="Calibri" w:hAnsi="Calibri"/>
                            <w:bCs/>
                            <w:color w:val="000000"/>
                            <w:sz w:val="16"/>
                            <w:szCs w:val="16"/>
                            <w:lang w:val="et-EE"/>
                          </w:rPr>
                          <w:t>ehk ühenduspunkt (ESS §2 lõige 67</w:t>
                        </w:r>
                        <w:r w:rsidRPr="005B5369">
                          <w:rPr>
                            <w:rFonts w:ascii="Calibri" w:hAnsi="Calibri"/>
                            <w:bCs/>
                            <w:color w:val="000000"/>
                            <w:sz w:val="16"/>
                            <w:szCs w:val="16"/>
                          </w:rPr>
                          <w:t>)</w:t>
                        </w:r>
                      </w:p>
                    </w:txbxContent>
                  </v:textbox>
                </v:shape>
                <v:shape id="TextBox 5" o:spid="_x0000_s1074" type="#_x0000_t202" style="position:absolute;left:52478;top:11290;width:11144;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" strokecolor="#bcbcbc">
                  <v:textbox>
                    <w:txbxContent>
                      <w:p w14:paraId="239D4842" w14:textId="77777777" w:rsidR="00F03958" w:rsidRPr="001A2620" w:rsidRDefault="00F03958" w:rsidP="00F03958">
                        <w:pPr>
                          <w:pStyle w:val="Normaallaadveeb"/>
                          <w:spacing w:beforeAutospacing="0" w:after="0" w:afterAutospacing="0"/>
                          <w:rPr>
                            <w:lang w:val="et-EE"/>
                          </w:rPr>
                        </w:pPr>
                        <w:r w:rsidRPr="001A2620">
                          <w:rPr>
                            <w:rFonts w:ascii="Calibri" w:hAnsi="Calibri"/>
                            <w:b/>
                            <w:bCs/>
                            <w:color w:val="000000"/>
                            <w:sz w:val="22"/>
                            <w:szCs w:val="22"/>
                            <w:lang w:val="et-EE"/>
                          </w:rPr>
                          <w:t>Ülekandevõrk</w:t>
                        </w:r>
                      </w:p>
                    </w:txbxContent>
                  </v:textbox>
                </v:shape>
                <v:line id="Sirgkonnektor 131" o:spid="_x0000_s1075" style="position:absolute;visibility:visible;mso-wrap-style:square" from="9700,12881" to="14463,1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" strokecolor="#4a7ebb"/>
                <v:line id="Sirgkonnektor 132" o:spid="_x0000_s1076" style="position:absolute;visibility:visible;mso-wrap-style:square" from="28783,12881" to="32688,1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" strokecolor="#4a7ebb"/>
                <v:line id="Sirgkonnektor 133" o:spid="_x0000_s1077" style="position:absolute;visibility:visible;mso-wrap-style:square" from="50570,12881" to="52475,1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" strokecolor="#4a7ebb"/>
                <v:shape id="Sirge noolkonnektor 134" o:spid="_x0000_s1078" type="#_x0000_t32" style="position:absolute;left:10416;top:13437;width:1809;height:6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" strokecolor="#4a7ebb">
                  <v:stroke endarrow="open"/>
                </v:shape>
                <v:shape id="Sirge noolkonnektor 135" o:spid="_x0000_s1079" type="#_x0000_t32" style="position:absolute;left:29737;top:13437;width:1334;height:13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" strokecolor="#4a7ebb">
                  <v:stroke endarrow="open"/>
                </v:shape>
                <v:shape id="TextBox 17" o:spid="_x0000_s1080" type="#_x0000_t202" style="position:absolute;left:5406;top:19480;width:857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" strokecolor="#bcbcbc">
                  <v:stroke dashstyle="3 1"/>
                  <v:textbox>
                    <w:txbxContent>
                      <w:p w14:paraId="1BE399FA" w14:textId="77777777" w:rsidR="00F03958" w:rsidRPr="001A2620" w:rsidRDefault="00F03958" w:rsidP="00F03958">
                        <w:pPr>
                          <w:pStyle w:val="Normaallaadveeb"/>
                          <w:spacing w:beforeAutospacing="0" w:after="0" w:afterAutospacing="0"/>
                          <w:rPr>
                            <w:lang w:val="et-EE"/>
                          </w:rPr>
                        </w:pPr>
                        <w:r w:rsidRPr="001A2620">
                          <w:rPr>
                            <w:rFonts w:ascii="Calibri" w:hAnsi="Calibri"/>
                            <w:color w:val="000000"/>
                            <w:sz w:val="16"/>
                            <w:szCs w:val="16"/>
                            <w:lang w:val="et-EE"/>
                          </w:rPr>
                          <w:t>Vaskpaar ja valguskaab</w:t>
                        </w:r>
                        <w:r>
                          <w:rPr>
                            <w:rFonts w:ascii="Calibri" w:hAnsi="Calibri"/>
                            <w:color w:val="000000"/>
                            <w:sz w:val="16"/>
                            <w:szCs w:val="16"/>
                            <w:lang w:val="et-EE"/>
                          </w:rPr>
                          <w:t>e</w:t>
                        </w:r>
                        <w:r w:rsidRPr="001A2620">
                          <w:rPr>
                            <w:rFonts w:ascii="Calibri" w:hAnsi="Calibri"/>
                            <w:color w:val="000000"/>
                            <w:sz w:val="16"/>
                            <w:szCs w:val="16"/>
                            <w:lang w:val="et-EE"/>
                          </w:rPr>
                          <w:t>l liin</w:t>
                        </w:r>
                        <w:r>
                          <w:rPr>
                            <w:rFonts w:ascii="Calibri" w:hAnsi="Calibri"/>
                            <w:color w:val="000000"/>
                            <w:sz w:val="16"/>
                            <w:szCs w:val="16"/>
                            <w:lang w:val="et-EE"/>
                          </w:rPr>
                          <w:t>id</w:t>
                        </w:r>
                        <w:r w:rsidRPr="001A2620">
                          <w:rPr>
                            <w:rFonts w:ascii="Calibri" w:hAnsi="Calibri"/>
                            <w:color w:val="000000"/>
                            <w:sz w:val="16"/>
                            <w:szCs w:val="16"/>
                            <w:lang w:val="et-EE"/>
                          </w:rPr>
                          <w:t xml:space="preserve"> (ESS § 2 lõige 24)</w:t>
                        </w:r>
                      </w:p>
                    </w:txbxContent>
                  </v:textbox>
                </v:shape>
                <v:shape id="TextBox 20" o:spid="_x0000_s1081" type="#_x0000_t202" style="position:absolute;left:22661;top:26477;width:7620;height:6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" strokecolor="#bcbcbc">
                  <v:stroke dashstyle="3 1"/>
                  <v:textbox>
                    <w:txbxContent>
                      <w:p w14:paraId="03667616" w14:textId="77777777" w:rsidR="00F03958" w:rsidRDefault="00F03958" w:rsidP="00F03958">
                        <w:pPr>
                          <w:pStyle w:val="Normaallaadveeb"/>
                          <w:spacing w:beforeAutospacing="0" w:after="0" w:afterAutospacing="0"/>
                        </w:pPr>
                        <w:r w:rsidRPr="001A2620">
                          <w:rPr>
                            <w:rFonts w:ascii="Calibri" w:hAnsi="Calibri"/>
                            <w:color w:val="000000"/>
                            <w:sz w:val="16"/>
                            <w:szCs w:val="16"/>
                            <w:lang w:val="et-EE"/>
                          </w:rPr>
                          <w:t>V</w:t>
                        </w:r>
                        <w:r>
                          <w:rPr>
                            <w:rFonts w:ascii="Calibri" w:hAnsi="Calibri"/>
                            <w:color w:val="000000"/>
                            <w:sz w:val="16"/>
                            <w:szCs w:val="16"/>
                            <w:lang w:val="et-EE"/>
                          </w:rPr>
                          <w:t>alguskaabel kliendiliinid (ESS § 2 lõige 14)</w:t>
                        </w:r>
                      </w:p>
                    </w:txbxContent>
                  </v:textbox>
                </v:shape>
                <v:group id="Rühm 151" o:spid="_x0000_s1082" style="position:absolute;left:3260;top:25762;width:18288;height:5905" coordsize="18288,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">
                  <v:line id="Sirgkonnektor 147" o:spid="_x0000_s1083" style="position:absolute;visibility:visible;mso-wrap-style:square" from="0,4476" to="1828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" strokecolor="#4a7ebb"/>
                  <v:shape id="Sirge noolkonnektor 148" o:spid="_x0000_s1084" type="#_x0000_t32" style="position:absolute;width:0;height:4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" strokecolor="#4a7ebb">
                    <v:stroke endarrow="open"/>
                  </v:shape>
                  <v:shape id="Sirge noolkonnektor 149" o:spid="_x0000_s1085" type="#_x0000_t32" style="position:absolute;left:18288;top:2667;width:0;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" strokecolor="#4a7ebb">
                    <v:stroke endarrow="open"/>
                  </v:shape>
                  <v:shape id="TextBox 20" o:spid="_x0000_s1086" type="#_x0000_t202" style="position:absolute;left:2667;top:1905;width:1476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" strokecolor="#bcbcbc">
                    <v:stroke dashstyle="3 1"/>
                    <v:textbox>
                      <w:txbxContent>
                        <w:p w14:paraId="2B47AB88" w14:textId="75484CC3" w:rsidR="00F03958" w:rsidRPr="001A2620" w:rsidRDefault="00F03958" w:rsidP="00F03958">
                          <w:pPr>
                            <w:pStyle w:val="Normaallaadveeb"/>
                            <w:spacing w:beforeAutospacing="0" w:after="0" w:afterAutospacing="0"/>
                            <w:rPr>
                              <w:b/>
                              <w:lang w:val="et-EE"/>
                            </w:rPr>
                          </w:pPr>
                          <w:r w:rsidRPr="001A2620">
                            <w:rPr>
                              <w:rFonts w:ascii="Calibri" w:hAnsi="Calibri"/>
                              <w:b/>
                              <w:color w:val="000000"/>
                              <w:sz w:val="16"/>
                              <w:szCs w:val="16"/>
                              <w:lang w:val="et-EE"/>
                            </w:rPr>
                            <w:t xml:space="preserve">Juurdepääs </w:t>
                          </w:r>
                          <w:r w:rsidR="00183BEB">
                            <w:rPr>
                              <w:rFonts w:ascii="Calibri" w:hAnsi="Calibri"/>
                              <w:b/>
                              <w:color w:val="000000"/>
                              <w:sz w:val="16"/>
                              <w:szCs w:val="16"/>
                              <w:lang w:val="et-EE"/>
                            </w:rPr>
                            <w:t>vaskkaabli</w:t>
                          </w:r>
                          <w:r>
                            <w:rPr>
                              <w:rFonts w:ascii="Calibri" w:hAnsi="Calibri"/>
                              <w:b/>
                              <w:color w:val="000000"/>
                              <w:sz w:val="16"/>
                              <w:szCs w:val="16"/>
                              <w:lang w:val="et-EE"/>
                            </w:rPr>
                            <w:t xml:space="preserve">- ja valguskaabli </w:t>
                          </w:r>
                          <w:r w:rsidRPr="001A2620">
                            <w:rPr>
                              <w:rFonts w:ascii="Calibri" w:hAnsi="Calibri"/>
                              <w:b/>
                              <w:color w:val="000000"/>
                              <w:sz w:val="16"/>
                              <w:szCs w:val="16"/>
                              <w:lang w:val="et-EE"/>
                            </w:rPr>
                            <w:t>lõppsegmendile</w:t>
                          </w:r>
                        </w:p>
                      </w:txbxContent>
                    </v:textbox>
                  </v:shape>
                </v:group>
                <v:group id="Rühm 152" o:spid="_x0000_s1087" style="position:absolute;left:18684;top:29762;width:21623;height:8842" coordorigin=",-3541" coordsize="21622,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">
                  <v:line id="Sirgkonnektor 139" o:spid="_x0000_s1088" style="position:absolute;visibility:visible;mso-wrap-style:square" from="95,2332" to="21621,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" strokecolor="#4a7ebb"/>
                  <v:shape id="Sirge noolkonnektor 140" o:spid="_x0000_s1089" type="#_x0000_t32" style="position:absolute;top:-1551;width:94;height:39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" strokecolor="#4a7ebb">
                    <v:stroke endarrow="open"/>
                  </v:shape>
                  <v:shape id="Sirge noolkonnektor 141" o:spid="_x0000_s1090" type="#_x0000_t32" style="position:absolute;left:21443;top:-3541;width:0;height:59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" strokecolor="#4a7ebb">
                    <v:stroke endarrow="open"/>
                  </v:shape>
                  <v:shape id="TextBox 20" o:spid="_x0000_s1091" type="#_x0000_t202" style="position:absolute;left:3048;width:14763;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" strokecolor="#bcbcbc">
                    <v:stroke dashstyle="3 1"/>
                    <v:textbox>
                      <w:txbxContent>
                        <w:p w14:paraId="5ED94FC6" w14:textId="77777777" w:rsidR="00F03958" w:rsidRPr="00B05260" w:rsidRDefault="00F03958" w:rsidP="00F03958">
                          <w:pPr>
                            <w:pStyle w:val="Normaallaadveeb"/>
                            <w:spacing w:beforeAutospacing="0" w:after="0" w:afterAutospacing="0"/>
                            <w:rPr>
                              <w:b/>
                            </w:rPr>
                          </w:pPr>
                          <w:r w:rsidRPr="001A2620">
                            <w:rPr>
                              <w:rFonts w:ascii="Calibri" w:hAnsi="Calibri"/>
                              <w:b/>
                              <w:color w:val="000000"/>
                              <w:sz w:val="16"/>
                              <w:szCs w:val="16"/>
                              <w:lang w:val="et-EE"/>
                            </w:rPr>
                            <w:t>Juurdepääs (k.a. jagatud juurdepää</w:t>
                          </w:r>
                          <w:r>
                            <w:rPr>
                              <w:rFonts w:ascii="Calibri" w:hAnsi="Calibri"/>
                              <w:b/>
                              <w:color w:val="000000"/>
                              <w:sz w:val="16"/>
                              <w:szCs w:val="16"/>
                              <w:lang w:val="et-EE"/>
                            </w:rPr>
                            <w:t>s) valguskaabli fiidersegmendi kiule</w:t>
                          </w:r>
                        </w:p>
                      </w:txbxContent>
                    </v:textbox>
                  </v:shape>
                </v:group>
              </v:group>
            </w:pict>
          </mc:Fallback>
        </mc:AlternateContent>
      </w:r>
    </w:p>
    <w:p w14:paraId="4F0F9328" w14:textId="77777777" w:rsidR="00F03958" w:rsidRPr="00883566" w:rsidRDefault="00F03958" w:rsidP="00AA241E">
      <w:pPr>
        <w:autoSpaceDE w:val="0"/>
        <w:autoSpaceDN w:val="0"/>
        <w:adjustRightInd w:val="0"/>
        <w:spacing w:before="120" w:after="120" w:line="240" w:lineRule="auto"/>
        <w:jc w:val="both"/>
        <w:rPr>
          <w:rFonts w:eastAsia="Times New Roman" w:cs="Times New Roman"/>
          <w:i/>
          <w:iCs/>
          <w:lang w:eastAsia="et-EE"/>
        </w:rPr>
      </w:pPr>
    </w:p>
    <w:p w14:paraId="238D455E" w14:textId="77777777" w:rsidR="00F03958" w:rsidRPr="00883566" w:rsidRDefault="00F03958" w:rsidP="00AA241E">
      <w:pPr>
        <w:autoSpaceDE w:val="0"/>
        <w:autoSpaceDN w:val="0"/>
        <w:adjustRightInd w:val="0"/>
        <w:spacing w:before="120" w:after="120" w:line="240" w:lineRule="auto"/>
        <w:jc w:val="both"/>
        <w:rPr>
          <w:rFonts w:eastAsia="Times New Roman" w:cs="Times New Roman"/>
          <w:i/>
          <w:iCs/>
          <w:lang w:eastAsia="et-EE"/>
        </w:rPr>
      </w:pPr>
    </w:p>
    <w:p w14:paraId="7DAAE6D6" w14:textId="77777777" w:rsidR="00F03958" w:rsidRPr="00883566" w:rsidRDefault="00F03958" w:rsidP="00AA241E">
      <w:pPr>
        <w:autoSpaceDE w:val="0"/>
        <w:autoSpaceDN w:val="0"/>
        <w:adjustRightInd w:val="0"/>
        <w:spacing w:before="120" w:after="120" w:line="240" w:lineRule="auto"/>
        <w:jc w:val="both"/>
        <w:rPr>
          <w:rFonts w:eastAsia="Times New Roman" w:cs="Times New Roman"/>
          <w:i/>
          <w:iCs/>
          <w:lang w:eastAsia="et-EE"/>
        </w:rPr>
      </w:pPr>
    </w:p>
    <w:p w14:paraId="206688B8" w14:textId="77777777" w:rsidR="00F03958" w:rsidRPr="00883566" w:rsidRDefault="00F03958" w:rsidP="00AA241E">
      <w:pPr>
        <w:autoSpaceDE w:val="0"/>
        <w:autoSpaceDN w:val="0"/>
        <w:adjustRightInd w:val="0"/>
        <w:spacing w:before="120" w:after="120" w:line="240" w:lineRule="auto"/>
        <w:jc w:val="both"/>
        <w:rPr>
          <w:rFonts w:eastAsia="Times New Roman" w:cs="Times New Roman"/>
          <w:i/>
          <w:iCs/>
          <w:lang w:eastAsia="et-EE"/>
        </w:rPr>
      </w:pPr>
    </w:p>
    <w:p w14:paraId="1897C0C1" w14:textId="77777777" w:rsidR="00F03958" w:rsidRPr="00883566" w:rsidRDefault="00F03958" w:rsidP="00AA241E">
      <w:pPr>
        <w:autoSpaceDE w:val="0"/>
        <w:autoSpaceDN w:val="0"/>
        <w:adjustRightInd w:val="0"/>
        <w:spacing w:before="120" w:after="120" w:line="240" w:lineRule="auto"/>
        <w:jc w:val="both"/>
        <w:rPr>
          <w:rFonts w:eastAsia="Times New Roman" w:cs="Times New Roman"/>
          <w:i/>
          <w:iCs/>
          <w:lang w:eastAsia="et-EE"/>
        </w:rPr>
      </w:pPr>
    </w:p>
    <w:p w14:paraId="10CA71A6" w14:textId="77777777" w:rsidR="00F03958" w:rsidRPr="00883566" w:rsidRDefault="00F03958" w:rsidP="00AA241E">
      <w:pPr>
        <w:autoSpaceDE w:val="0"/>
        <w:autoSpaceDN w:val="0"/>
        <w:adjustRightInd w:val="0"/>
        <w:spacing w:before="120" w:after="120" w:line="240" w:lineRule="auto"/>
        <w:jc w:val="both"/>
        <w:rPr>
          <w:rFonts w:eastAsia="Times New Roman" w:cs="Times New Roman"/>
          <w:i/>
          <w:iCs/>
          <w:lang w:eastAsia="et-EE"/>
        </w:rPr>
      </w:pPr>
    </w:p>
    <w:p w14:paraId="4176B65C" w14:textId="77777777" w:rsidR="00F03958" w:rsidRPr="00883566" w:rsidRDefault="00F03958" w:rsidP="00AA241E">
      <w:pPr>
        <w:autoSpaceDE w:val="0"/>
        <w:autoSpaceDN w:val="0"/>
        <w:adjustRightInd w:val="0"/>
        <w:spacing w:before="120" w:after="120" w:line="240" w:lineRule="auto"/>
        <w:jc w:val="both"/>
        <w:rPr>
          <w:rFonts w:eastAsia="Times New Roman" w:cs="Times New Roman"/>
          <w:i/>
          <w:iCs/>
          <w:lang w:eastAsia="et-EE"/>
        </w:rPr>
      </w:pPr>
    </w:p>
    <w:p w14:paraId="023EC516" w14:textId="77777777" w:rsidR="00F03958" w:rsidRPr="00883566" w:rsidRDefault="00F03958" w:rsidP="00AA241E">
      <w:pPr>
        <w:autoSpaceDE w:val="0"/>
        <w:autoSpaceDN w:val="0"/>
        <w:adjustRightInd w:val="0"/>
        <w:spacing w:before="120" w:after="120" w:line="240" w:lineRule="auto"/>
        <w:jc w:val="both"/>
        <w:rPr>
          <w:rFonts w:eastAsia="Times New Roman" w:cs="Times New Roman"/>
          <w:i/>
          <w:iCs/>
          <w:lang w:eastAsia="et-EE"/>
        </w:rPr>
      </w:pPr>
    </w:p>
    <w:p w14:paraId="3D1B926B" w14:textId="77777777" w:rsidR="00F03958" w:rsidRPr="00883566" w:rsidRDefault="00F03958" w:rsidP="00AA241E">
      <w:pPr>
        <w:autoSpaceDE w:val="0"/>
        <w:autoSpaceDN w:val="0"/>
        <w:adjustRightInd w:val="0"/>
        <w:spacing w:before="120" w:after="120" w:line="240" w:lineRule="auto"/>
        <w:jc w:val="both"/>
        <w:rPr>
          <w:rFonts w:eastAsia="Times New Roman" w:cs="Times New Roman"/>
          <w:i/>
          <w:iCs/>
          <w:lang w:eastAsia="et-EE"/>
        </w:rPr>
      </w:pPr>
    </w:p>
    <w:p w14:paraId="65CCD9E7" w14:textId="77777777" w:rsidR="00F03958" w:rsidRPr="00883566" w:rsidRDefault="00F03958" w:rsidP="00AA241E">
      <w:pPr>
        <w:autoSpaceDE w:val="0"/>
        <w:autoSpaceDN w:val="0"/>
        <w:adjustRightInd w:val="0"/>
        <w:spacing w:before="120" w:after="120" w:line="240" w:lineRule="auto"/>
        <w:jc w:val="both"/>
        <w:rPr>
          <w:rFonts w:eastAsia="Times New Roman" w:cs="Times New Roman"/>
          <w:i/>
          <w:iCs/>
          <w:lang w:eastAsia="et-EE"/>
        </w:rPr>
      </w:pPr>
    </w:p>
    <w:p w14:paraId="7ED06B40" w14:textId="77777777" w:rsidR="00F03958" w:rsidRPr="00883566" w:rsidRDefault="00F03958" w:rsidP="00AA241E">
      <w:pPr>
        <w:autoSpaceDE w:val="0"/>
        <w:autoSpaceDN w:val="0"/>
        <w:adjustRightInd w:val="0"/>
        <w:spacing w:before="120" w:after="120" w:line="240" w:lineRule="auto"/>
        <w:jc w:val="both"/>
        <w:rPr>
          <w:rFonts w:eastAsia="Times New Roman" w:cs="Times New Roman"/>
          <w:i/>
          <w:iCs/>
          <w:lang w:eastAsia="et-EE"/>
        </w:rPr>
      </w:pPr>
    </w:p>
    <w:p w14:paraId="1CAF6B84" w14:textId="77777777" w:rsidR="00F03958" w:rsidRPr="00883566" w:rsidRDefault="00F03958" w:rsidP="00AA241E">
      <w:pPr>
        <w:autoSpaceDE w:val="0"/>
        <w:autoSpaceDN w:val="0"/>
        <w:adjustRightInd w:val="0"/>
        <w:spacing w:before="120" w:after="120" w:line="240" w:lineRule="auto"/>
        <w:jc w:val="both"/>
        <w:rPr>
          <w:rFonts w:eastAsia="Times New Roman" w:cs="Times New Roman"/>
          <w:i/>
          <w:iCs/>
          <w:lang w:eastAsia="et-EE"/>
        </w:rPr>
      </w:pPr>
    </w:p>
    <w:p w14:paraId="10BC64C6" w14:textId="0039B5DD" w:rsidR="00F03958" w:rsidRPr="00883566" w:rsidRDefault="00F03958" w:rsidP="00AA241E">
      <w:pPr>
        <w:suppressAutoHyphens/>
        <w:spacing w:before="120" w:after="120" w:line="240" w:lineRule="auto"/>
        <w:jc w:val="both"/>
        <w:rPr>
          <w:rFonts w:eastAsia="Times New Roman" w:cs="Times New Roman"/>
          <w:bCs/>
          <w:i/>
          <w:iCs/>
          <w:sz w:val="20"/>
          <w:szCs w:val="20"/>
          <w:lang w:eastAsia="et-EE"/>
        </w:rPr>
      </w:pPr>
      <w:r w:rsidRPr="00883566">
        <w:rPr>
          <w:rFonts w:eastAsia="Times New Roman" w:cs="Times New Roman"/>
          <w:b/>
          <w:bCs/>
          <w:i/>
          <w:iCs/>
          <w:sz w:val="20"/>
          <w:szCs w:val="20"/>
          <w:lang w:eastAsia="ar-SA"/>
        </w:rPr>
        <w:t xml:space="preserve">Joonis </w:t>
      </w:r>
      <w:r w:rsidRPr="00883566">
        <w:rPr>
          <w:rFonts w:eastAsia="Times New Roman" w:cs="Times New Roman"/>
          <w:b/>
          <w:bCs/>
          <w:i/>
          <w:iCs/>
          <w:sz w:val="20"/>
          <w:szCs w:val="20"/>
          <w:lang w:eastAsia="ar-SA"/>
        </w:rPr>
        <w:fldChar w:fldCharType="begin"/>
      </w:r>
      <w:r w:rsidRPr="00883566">
        <w:rPr>
          <w:rFonts w:eastAsia="Times New Roman" w:cs="Times New Roman"/>
          <w:b/>
          <w:bCs/>
          <w:i/>
          <w:iCs/>
          <w:sz w:val="20"/>
          <w:szCs w:val="20"/>
          <w:lang w:eastAsia="ar-SA"/>
        </w:rPr>
        <w:instrText xml:space="preserve"> SEQ Joonis \* ARABIC </w:instrText>
      </w:r>
      <w:r w:rsidRPr="00883566">
        <w:rPr>
          <w:rFonts w:eastAsia="Times New Roman" w:cs="Times New Roman"/>
          <w:b/>
          <w:bCs/>
          <w:i/>
          <w:iCs/>
          <w:sz w:val="20"/>
          <w:szCs w:val="20"/>
          <w:lang w:eastAsia="ar-SA"/>
        </w:rPr>
        <w:fldChar w:fldCharType="separate"/>
      </w:r>
      <w:r w:rsidR="00E5522B">
        <w:rPr>
          <w:rFonts w:eastAsia="Times New Roman" w:cs="Times New Roman"/>
          <w:b/>
          <w:bCs/>
          <w:i/>
          <w:iCs/>
          <w:noProof/>
          <w:sz w:val="20"/>
          <w:szCs w:val="20"/>
          <w:lang w:eastAsia="ar-SA"/>
        </w:rPr>
        <w:t>23</w:t>
      </w:r>
      <w:r w:rsidRPr="00883566">
        <w:rPr>
          <w:rFonts w:eastAsia="Times New Roman" w:cs="Times New Roman"/>
          <w:b/>
          <w:bCs/>
          <w:i/>
          <w:iCs/>
          <w:noProof/>
          <w:sz w:val="20"/>
          <w:szCs w:val="20"/>
          <w:lang w:eastAsia="ar-SA"/>
        </w:rPr>
        <w:fldChar w:fldCharType="end"/>
      </w:r>
      <w:r w:rsidRPr="00883566">
        <w:rPr>
          <w:rFonts w:eastAsia="Times New Roman" w:cs="Times New Roman"/>
          <w:b/>
          <w:bCs/>
          <w:i/>
          <w:iCs/>
          <w:sz w:val="20"/>
          <w:szCs w:val="20"/>
          <w:lang w:eastAsia="et-EE"/>
        </w:rPr>
        <w:t xml:space="preserve">. </w:t>
      </w:r>
      <w:r w:rsidRPr="00883566">
        <w:rPr>
          <w:rFonts w:eastAsia="Times New Roman" w:cs="Times New Roman"/>
          <w:bCs/>
          <w:i/>
          <w:iCs/>
          <w:sz w:val="20"/>
          <w:szCs w:val="20"/>
          <w:lang w:eastAsia="et-EE"/>
        </w:rPr>
        <w:t>Valguskaabli fiidersegmendi kiule juurdepääsu kirjeldus.</w:t>
      </w:r>
    </w:p>
    <w:p w14:paraId="2672ADCA" w14:textId="77777777" w:rsidR="00F03958" w:rsidRPr="00883566" w:rsidRDefault="00F03958" w:rsidP="00AA241E">
      <w:pPr>
        <w:autoSpaceDE w:val="0"/>
        <w:autoSpaceDN w:val="0"/>
        <w:adjustRightInd w:val="0"/>
        <w:spacing w:before="120" w:after="120" w:line="240" w:lineRule="auto"/>
        <w:jc w:val="both"/>
        <w:rPr>
          <w:rFonts w:eastAsia="Times New Roman" w:cs="Times New Roman"/>
          <w:i/>
          <w:iCs/>
          <w:lang w:eastAsia="et-EE"/>
        </w:rPr>
      </w:pPr>
    </w:p>
    <w:p w14:paraId="1881D828" w14:textId="77777777" w:rsidR="00F03958" w:rsidRPr="00883566" w:rsidRDefault="00F03958" w:rsidP="00AA241E">
      <w:pPr>
        <w:suppressAutoHyphens/>
        <w:autoSpaceDE w:val="0"/>
        <w:autoSpaceDN w:val="0"/>
        <w:adjustRightInd w:val="0"/>
        <w:spacing w:before="240" w:after="120" w:line="240" w:lineRule="auto"/>
        <w:ind w:left="708"/>
        <w:jc w:val="both"/>
        <w:rPr>
          <w:rFonts w:eastAsia="Times New Roman" w:cs="Times New Roman"/>
          <w:i/>
          <w:iCs/>
          <w:lang w:eastAsia="et-EE"/>
        </w:rPr>
      </w:pPr>
      <w:r w:rsidRPr="00883566">
        <w:rPr>
          <w:rFonts w:eastAsia="Times New Roman" w:cs="Times New Roman"/>
          <w:i/>
          <w:iCs/>
          <w:lang w:eastAsia="et-EE"/>
        </w:rPr>
        <w:t>265. Tulenevalt ESS § 64 lg 2 on sideettevõtja, kelle suhtes on TJA kehtestanud juurdepääsu kohustuse, kohustatud juurdepääsu kohustuse täitmisel vastavalt kohustuse iseloomule täitma järgmisi nõudeid:</w:t>
      </w:r>
    </w:p>
    <w:p w14:paraId="484E2BBB" w14:textId="77777777" w:rsidR="00F03958" w:rsidRPr="00883566" w:rsidRDefault="00F03958" w:rsidP="00AA241E">
      <w:pPr>
        <w:numPr>
          <w:ilvl w:val="0"/>
          <w:numId w:val="17"/>
        </w:numPr>
        <w:tabs>
          <w:tab w:val="num" w:pos="1440"/>
        </w:tabs>
        <w:suppressAutoHyphens/>
        <w:autoSpaceDE w:val="0"/>
        <w:autoSpaceDN w:val="0"/>
        <w:adjustRightInd w:val="0"/>
        <w:spacing w:before="120" w:after="120" w:line="240" w:lineRule="auto"/>
        <w:ind w:left="1440"/>
        <w:jc w:val="both"/>
        <w:rPr>
          <w:rFonts w:eastAsia="Times New Roman" w:cs="Times New Roman"/>
          <w:i/>
          <w:iCs/>
          <w:lang w:eastAsia="et-EE"/>
        </w:rPr>
      </w:pPr>
      <w:r w:rsidRPr="00883566">
        <w:rPr>
          <w:rFonts w:eastAsia="Times New Roman" w:cs="Times New Roman"/>
          <w:i/>
          <w:iCs/>
          <w:lang w:eastAsia="et-EE"/>
        </w:rPr>
        <w:t>võimaldama kasutada võrgu seadmeid, ehitisi ning liinirajatisi võrdsetel tingimustel ja kvaliteediga, millega ta seda osutab oma ema- ja tütarettevõtjale, klientidele või äripartneritele;</w:t>
      </w:r>
    </w:p>
    <w:p w14:paraId="79F07D6C" w14:textId="77777777" w:rsidR="00F03958" w:rsidRPr="00883566" w:rsidRDefault="00F03958" w:rsidP="00AA241E">
      <w:pPr>
        <w:numPr>
          <w:ilvl w:val="0"/>
          <w:numId w:val="17"/>
        </w:numPr>
        <w:tabs>
          <w:tab w:val="num" w:pos="1440"/>
        </w:tabs>
        <w:suppressAutoHyphens/>
        <w:autoSpaceDE w:val="0"/>
        <w:autoSpaceDN w:val="0"/>
        <w:adjustRightInd w:val="0"/>
        <w:spacing w:before="120" w:after="120" w:line="240" w:lineRule="auto"/>
        <w:ind w:left="1440"/>
        <w:jc w:val="both"/>
        <w:rPr>
          <w:rFonts w:eastAsia="Times New Roman" w:cs="Times New Roman"/>
          <w:i/>
          <w:iCs/>
          <w:lang w:eastAsia="et-EE"/>
        </w:rPr>
      </w:pPr>
      <w:r w:rsidRPr="00883566">
        <w:rPr>
          <w:rFonts w:eastAsia="Times New Roman" w:cs="Times New Roman"/>
          <w:i/>
          <w:iCs/>
          <w:lang w:eastAsia="et-EE"/>
        </w:rPr>
        <w:lastRenderedPageBreak/>
        <w:t>võimaldama juurdepääsuks taotluse esitanud ettevõtjal saada juurdepääsuks vajalikku teavet;</w:t>
      </w:r>
    </w:p>
    <w:p w14:paraId="1A0885EF" w14:textId="77777777" w:rsidR="00F03958" w:rsidRPr="00883566" w:rsidRDefault="00F03958" w:rsidP="00AA241E">
      <w:pPr>
        <w:numPr>
          <w:ilvl w:val="0"/>
          <w:numId w:val="17"/>
        </w:numPr>
        <w:tabs>
          <w:tab w:val="num" w:pos="1440"/>
        </w:tabs>
        <w:suppressAutoHyphens/>
        <w:autoSpaceDE w:val="0"/>
        <w:autoSpaceDN w:val="0"/>
        <w:adjustRightInd w:val="0"/>
        <w:spacing w:before="120" w:after="120" w:line="240" w:lineRule="auto"/>
        <w:ind w:left="1440"/>
        <w:jc w:val="both"/>
        <w:rPr>
          <w:rFonts w:eastAsia="Times New Roman" w:cs="Times New Roman"/>
          <w:i/>
          <w:iCs/>
          <w:lang w:eastAsia="et-EE"/>
        </w:rPr>
      </w:pPr>
      <w:r w:rsidRPr="00883566">
        <w:rPr>
          <w:rFonts w:eastAsia="Times New Roman" w:cs="Times New Roman"/>
          <w:i/>
          <w:iCs/>
          <w:lang w:eastAsia="et-EE"/>
        </w:rPr>
        <w:t>kasutama juurdepääsuga seoses saadud teavet üksnes vastava teenuse osutamiseks ning mitte avaldama seda kolmandatele isikutele, kaasa arvatud oma koostööpartneritele ja tütarettevõtjatele, kui seaduses ei ole sätestatud teisiti;</w:t>
      </w:r>
    </w:p>
    <w:p w14:paraId="5406D24D" w14:textId="77777777" w:rsidR="00F03958" w:rsidRPr="00883566" w:rsidRDefault="00F03958" w:rsidP="00AA241E">
      <w:pPr>
        <w:numPr>
          <w:ilvl w:val="0"/>
          <w:numId w:val="17"/>
        </w:numPr>
        <w:tabs>
          <w:tab w:val="num" w:pos="1440"/>
        </w:tabs>
        <w:suppressAutoHyphens/>
        <w:autoSpaceDE w:val="0"/>
        <w:autoSpaceDN w:val="0"/>
        <w:adjustRightInd w:val="0"/>
        <w:spacing w:before="120" w:after="120" w:line="240" w:lineRule="auto"/>
        <w:ind w:left="1440"/>
        <w:jc w:val="both"/>
        <w:rPr>
          <w:rFonts w:eastAsia="Times New Roman" w:cs="Times New Roman"/>
          <w:i/>
          <w:iCs/>
          <w:lang w:eastAsia="et-EE"/>
        </w:rPr>
      </w:pPr>
      <w:r w:rsidRPr="00883566">
        <w:rPr>
          <w:rFonts w:eastAsia="Times New Roman" w:cs="Times New Roman"/>
          <w:i/>
          <w:iCs/>
          <w:lang w:eastAsia="et-EE"/>
        </w:rPr>
        <w:t>mitte piirama oma klientide juurdepääsu teise sideettevõtja poolt osutatavatele teenustele.</w:t>
      </w:r>
    </w:p>
    <w:p w14:paraId="24BEC1D2" w14:textId="77777777" w:rsidR="00F03958" w:rsidRPr="00883566" w:rsidRDefault="00F03958" w:rsidP="00AA241E">
      <w:pPr>
        <w:jc w:val="both"/>
      </w:pPr>
    </w:p>
    <w:p w14:paraId="1B9B8A9A" w14:textId="77777777" w:rsidR="008E0996" w:rsidRPr="008E0996" w:rsidRDefault="008E0996"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947" w:name="_Toc174094614"/>
      <w:bookmarkStart w:id="948" w:name="_Toc174094881"/>
      <w:bookmarkStart w:id="949" w:name="_Toc174095147"/>
      <w:bookmarkStart w:id="950" w:name="_Toc174095412"/>
      <w:bookmarkStart w:id="951" w:name="_Toc174095950"/>
      <w:bookmarkStart w:id="952" w:name="_Toc174096216"/>
      <w:bookmarkStart w:id="953" w:name="_Toc174536107"/>
      <w:bookmarkStart w:id="954" w:name="_Toc174617208"/>
      <w:bookmarkStart w:id="955" w:name="_Toc174618565"/>
      <w:bookmarkStart w:id="956" w:name="_Toc174627627"/>
      <w:bookmarkStart w:id="957" w:name="_Toc174705051"/>
      <w:bookmarkStart w:id="958" w:name="_Toc174709595"/>
      <w:bookmarkStart w:id="959" w:name="_Toc174710824"/>
      <w:bookmarkEnd w:id="947"/>
      <w:bookmarkEnd w:id="948"/>
      <w:bookmarkEnd w:id="949"/>
      <w:bookmarkEnd w:id="950"/>
      <w:bookmarkEnd w:id="951"/>
      <w:bookmarkEnd w:id="952"/>
      <w:bookmarkEnd w:id="953"/>
      <w:bookmarkEnd w:id="954"/>
      <w:bookmarkEnd w:id="955"/>
      <w:bookmarkEnd w:id="956"/>
      <w:bookmarkEnd w:id="957"/>
      <w:bookmarkEnd w:id="958"/>
      <w:bookmarkEnd w:id="959"/>
    </w:p>
    <w:p w14:paraId="451E53B4" w14:textId="622409DF" w:rsidR="00F03958" w:rsidRPr="00276C12" w:rsidRDefault="00F03958" w:rsidP="009805E1">
      <w:pPr>
        <w:pStyle w:val="Pealkiri3"/>
      </w:pPr>
      <w:r w:rsidRPr="00276C12">
        <w:t xml:space="preserve"> </w:t>
      </w:r>
      <w:bookmarkStart w:id="960" w:name="_Toc174710825"/>
      <w:r w:rsidRPr="00276C12">
        <w:t>Juurdepääsu kohustuste eesmärk ja alused</w:t>
      </w:r>
      <w:bookmarkEnd w:id="960"/>
    </w:p>
    <w:p w14:paraId="78B8C6CC" w14:textId="623686FB" w:rsidR="00F03958" w:rsidRPr="00883566" w:rsidRDefault="00F03958" w:rsidP="00AA241E">
      <w:pPr>
        <w:spacing w:line="259" w:lineRule="auto"/>
        <w:jc w:val="both"/>
        <w:rPr>
          <w:rFonts w:cs="Times New Roman"/>
          <w:lang w:eastAsia="en-US"/>
        </w:rPr>
      </w:pPr>
      <w:r w:rsidRPr="00883566">
        <w:rPr>
          <w:rFonts w:cs="Times New Roman"/>
          <w:lang w:eastAsia="en-US"/>
        </w:rPr>
        <w:t xml:space="preserve">Juurdepääsu kohustus on suunatud alltoodud peatükis </w:t>
      </w:r>
      <w:r w:rsidR="00EF66BA">
        <w:rPr>
          <w:rFonts w:cs="Times New Roman"/>
          <w:lang w:eastAsia="en-US"/>
        </w:rPr>
        <w:t>7</w:t>
      </w:r>
      <w:r w:rsidR="00F536D2">
        <w:rPr>
          <w:rFonts w:cs="Times New Roman"/>
          <w:lang w:eastAsia="en-US"/>
        </w:rPr>
        <w:t>.3.2</w:t>
      </w:r>
      <w:r w:rsidRPr="00883566">
        <w:rPr>
          <w:rFonts w:cs="Times New Roman"/>
          <w:lang w:eastAsia="en-US"/>
        </w:rPr>
        <w:t xml:space="preserve"> kirjeldatud </w:t>
      </w:r>
      <w:r w:rsidRPr="00883566">
        <w:rPr>
          <w:rFonts w:cs="Times New Roman"/>
        </w:rPr>
        <w:t xml:space="preserve">sidevõrgule </w:t>
      </w:r>
      <w:r w:rsidRPr="00883566">
        <w:rPr>
          <w:rFonts w:cs="Times New Roman"/>
          <w:lang w:eastAsia="en-US"/>
        </w:rPr>
        <w:t>juurdepääsust keeldumise ja viivitamisega seotud konkurentsiprobleemide vältimisele. Juurdepääsu kohustuste eesmärk on edendada konkurentsi elektroonilise side ja sellega seotud teenuste osutamisel, tõkestades sideteenuste turgudel konkurentsi moonutamine või takistamine ning kaitstes kliente eelkõige teenuste valiku osas</w:t>
      </w:r>
      <w:r w:rsidRPr="00883566">
        <w:rPr>
          <w:rFonts w:cs="Times New Roman"/>
          <w:vertAlign w:val="superscript"/>
          <w:lang w:eastAsia="en-US"/>
        </w:rPr>
        <w:footnoteReference w:id="136"/>
      </w:r>
      <w:r w:rsidRPr="00883566">
        <w:rPr>
          <w:rFonts w:cs="Times New Roman"/>
          <w:lang w:eastAsia="en-US"/>
        </w:rPr>
        <w:t>. Juurdepääsu kohustused tagavad alternatiivsetele sideettevõtjatele juurdepääsu MTE sidevõrgu</w:t>
      </w:r>
      <w:r w:rsidRPr="00883566">
        <w:rPr>
          <w:rFonts w:cs="Times New Roman"/>
        </w:rPr>
        <w:t>le</w:t>
      </w:r>
      <w:r w:rsidRPr="00883566">
        <w:rPr>
          <w:rFonts w:cs="Times New Roman"/>
          <w:lang w:eastAsia="en-US"/>
        </w:rPr>
        <w:t xml:space="preserve"> eesmärgiga pakkuda konkurentsi sideteenuste jaeturgudel. </w:t>
      </w:r>
    </w:p>
    <w:p w14:paraId="63AF8508" w14:textId="77777777" w:rsidR="00F03958" w:rsidRPr="00883566" w:rsidRDefault="00F03958" w:rsidP="00AA241E">
      <w:pPr>
        <w:spacing w:line="259" w:lineRule="auto"/>
        <w:jc w:val="both"/>
        <w:rPr>
          <w:rFonts w:cs="Times New Roman"/>
          <w:lang w:eastAsia="en-US"/>
        </w:rPr>
      </w:pPr>
      <w:r w:rsidRPr="00883566">
        <w:rPr>
          <w:rFonts w:cs="Times New Roman"/>
          <w:lang w:eastAsia="en-US"/>
        </w:rPr>
        <w:t>TTJA võib MTE-</w:t>
      </w:r>
      <w:proofErr w:type="spellStart"/>
      <w:r w:rsidRPr="00883566">
        <w:rPr>
          <w:rFonts w:cs="Times New Roman"/>
          <w:lang w:eastAsia="en-US"/>
        </w:rPr>
        <w:t>le</w:t>
      </w:r>
      <w:proofErr w:type="spellEnd"/>
      <w:r w:rsidRPr="00883566">
        <w:rPr>
          <w:rFonts w:cs="Times New Roman"/>
          <w:lang w:eastAsia="en-US"/>
        </w:rPr>
        <w:t xml:space="preserve"> kehtestada kohustuse rahuldada alternatiivse sideettevõtja mõistlik taotlus juurdepääsuks konkreetsetele võrguelementidele ja võrguga seotud vahenditele ja võimaldada nende kasutamine vastavalt ESS §-le 51, kui juurdepääsust keeldumine või juurdepääs ebamõistlikel tingimustel takistab konkurentsi arengut jaemüügi tasandil või on lõppkasutajate huve kahjustav</w:t>
      </w:r>
      <w:r w:rsidRPr="00883566">
        <w:rPr>
          <w:rFonts w:cs="Times New Roman"/>
          <w:vertAlign w:val="superscript"/>
          <w:lang w:eastAsia="en-US"/>
        </w:rPr>
        <w:footnoteReference w:id="137"/>
      </w:r>
      <w:r w:rsidRPr="00883566">
        <w:rPr>
          <w:rFonts w:cs="Times New Roman"/>
          <w:lang w:eastAsia="en-US"/>
        </w:rPr>
        <w:t>.</w:t>
      </w:r>
    </w:p>
    <w:p w14:paraId="5F8F66BC" w14:textId="77777777" w:rsidR="00F03958" w:rsidRPr="00883566" w:rsidRDefault="00F03958" w:rsidP="00AA241E">
      <w:pPr>
        <w:spacing w:line="259" w:lineRule="auto"/>
        <w:jc w:val="both"/>
        <w:rPr>
          <w:rFonts w:cs="Times New Roman"/>
          <w:lang w:eastAsia="en-US"/>
        </w:rPr>
      </w:pPr>
      <w:r w:rsidRPr="00883566">
        <w:rPr>
          <w:rFonts w:cs="Times New Roman"/>
        </w:rPr>
        <w:t xml:space="preserve">ESS § 51 kohustuse raames võib TTJA </w:t>
      </w:r>
      <w:proofErr w:type="spellStart"/>
      <w:r w:rsidRPr="00883566">
        <w:rPr>
          <w:rFonts w:cs="Times New Roman"/>
        </w:rPr>
        <w:t>MTE-lt</w:t>
      </w:r>
      <w:proofErr w:type="spellEnd"/>
      <w:r w:rsidRPr="00883566">
        <w:rPr>
          <w:rFonts w:cs="Times New Roman"/>
        </w:rPr>
        <w:t xml:space="preserve"> muu hulgas nõuda:</w:t>
      </w:r>
    </w:p>
    <w:p w14:paraId="1B652A8B"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sideettevõtjatele juurdepääsu võimaldamist konkreetsetele võrguelementidele või -vahenditele, sealhulgas täielikku või jagatud juurdepääsu kliendiliinile ja alamkliendiliinile;</w:t>
      </w:r>
    </w:p>
    <w:p w14:paraId="131DCDB9"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teisele sideettevõtjale juurdepääsu võimaldamist aktiivse või virtuaalse sidevõrgu elementidele ja teenustele;</w:t>
      </w:r>
    </w:p>
    <w:p w14:paraId="7969E0A9"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F73FAF">
        <w:rPr>
          <w:rFonts w:cs="Times New Roman"/>
        </w:rPr>
        <w:t>teisele sideettevõtjale kohustusliku juurdepääsu võimaldamist ehitistele, olenemata sellest, kas kohustuse poolt mõjutatavad varad on turuanalüüsi kohaselt asjaomase turu osa, tingimusel et kohustus on vajalik ja proportsionaalne käesoleva seaduse §-s 134 sätestatud eesmärkide saavutamiseks</w:t>
      </w:r>
      <w:r w:rsidRPr="00883566">
        <w:rPr>
          <w:rFonts w:cs="Times New Roman"/>
        </w:rPr>
        <w:t>;</w:t>
      </w:r>
    </w:p>
    <w:p w14:paraId="6DDCA4E9"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heas usus läbirääkimist sideettevõtjatega, kes nõuavad juurdepääsu;</w:t>
      </w:r>
    </w:p>
    <w:p w14:paraId="44AF5FAD"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lubatud juurdepääsu jätkuvat võimaldamist;</w:t>
      </w:r>
    </w:p>
    <w:p w14:paraId="16F65262"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teatud teenuste osutamist hulgimüügi korras sideettevõtjatele nende teenuste edasimüümise eesmärgil;</w:t>
      </w:r>
    </w:p>
    <w:p w14:paraId="02C3279D"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 xml:space="preserve">teenuste või </w:t>
      </w:r>
      <w:proofErr w:type="spellStart"/>
      <w:r w:rsidRPr="00883566">
        <w:rPr>
          <w:rFonts w:cs="Times New Roman"/>
        </w:rPr>
        <w:t>virtuaalvõrguteenuste</w:t>
      </w:r>
      <w:proofErr w:type="spellEnd"/>
      <w:r w:rsidRPr="00883566">
        <w:rPr>
          <w:rFonts w:cs="Times New Roman"/>
        </w:rPr>
        <w:t xml:space="preserve"> koostalitluseks hädavajalikele tehnilistele liidestele, protokollidele ja muudele võtmetehnoloogiatele avatud juurdepääsu võimaldamist;</w:t>
      </w:r>
    </w:p>
    <w:p w14:paraId="13D35362"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lastRenderedPageBreak/>
        <w:t>ühispaiknemise või muude ühiskasutuse viiside pakkumist, sealhulgas kaablikanalisatsiooni, hoonete ja mastide ühiskasutuse võimaldamist;</w:t>
      </w:r>
    </w:p>
    <w:p w14:paraId="2D328390" w14:textId="7D95EFAF"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 xml:space="preserve">lõppkasutajatele </w:t>
      </w:r>
      <w:proofErr w:type="spellStart"/>
      <w:r w:rsidRPr="00883566">
        <w:rPr>
          <w:rFonts w:cs="Times New Roman"/>
        </w:rPr>
        <w:t>läbivühendatavusel</w:t>
      </w:r>
      <w:proofErr w:type="spellEnd"/>
      <w:r w:rsidRPr="00883566">
        <w:rPr>
          <w:rFonts w:cs="Times New Roman"/>
        </w:rPr>
        <w:t xml:space="preserve"> põhinevate teenuste koostalitlusvõime tagamiseks vajalike teenuste, sealhulgas taipvõrguteenuseks ja mobiil</w:t>
      </w:r>
      <w:r w:rsidR="0066691A">
        <w:rPr>
          <w:rFonts w:cs="Times New Roman"/>
        </w:rPr>
        <w:t>side</w:t>
      </w:r>
      <w:r w:rsidRPr="00883566">
        <w:rPr>
          <w:rFonts w:cs="Times New Roman"/>
        </w:rPr>
        <w:t>võrkude rändlusteenuseks vajalike vahendite pakkumist;</w:t>
      </w:r>
    </w:p>
    <w:p w14:paraId="05EDF532"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teenuste osutamisel õiglase konkurentsi tagamiseks vajalikele tugisüsteemidele või samalaadsetele tarkvarasüsteemidele juurdepääsu pakkumist;</w:t>
      </w:r>
    </w:p>
    <w:p w14:paraId="14E43664"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võrkude või võrguvahendite sidumist;</w:t>
      </w:r>
    </w:p>
    <w:p w14:paraId="120748C9"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juurdepääsu seotud teenusele.</w:t>
      </w:r>
    </w:p>
    <w:p w14:paraId="3C80122C" w14:textId="77777777" w:rsidR="00F03958" w:rsidRPr="00883566" w:rsidRDefault="00F03958" w:rsidP="00AA241E">
      <w:pPr>
        <w:spacing w:line="259" w:lineRule="auto"/>
        <w:ind w:left="641"/>
        <w:contextualSpacing/>
        <w:jc w:val="both"/>
        <w:rPr>
          <w:rFonts w:cs="Times New Roman"/>
          <w:lang w:eastAsia="en-US"/>
        </w:rPr>
      </w:pPr>
    </w:p>
    <w:p w14:paraId="184602F2" w14:textId="77777777" w:rsidR="00F03958" w:rsidRPr="00883566" w:rsidRDefault="00F03958" w:rsidP="00AA241E">
      <w:pPr>
        <w:spacing w:line="259" w:lineRule="auto"/>
        <w:jc w:val="both"/>
        <w:rPr>
          <w:rFonts w:cs="Times New Roman"/>
          <w:lang w:eastAsia="en-US"/>
        </w:rPr>
      </w:pPr>
      <w:r w:rsidRPr="00883566">
        <w:rPr>
          <w:rFonts w:cs="Times New Roman"/>
          <w:lang w:eastAsia="en-US"/>
        </w:rPr>
        <w:t>TTJA võib eelnimetatud kohustuse kehtestamisel täpsustada kohustuse täitmise viisi</w:t>
      </w:r>
      <w:r w:rsidRPr="00883566">
        <w:rPr>
          <w:rFonts w:cs="Times New Roman"/>
          <w:vertAlign w:val="superscript"/>
          <w:lang w:eastAsia="en-US"/>
        </w:rPr>
        <w:footnoteReference w:id="138"/>
      </w:r>
      <w:r w:rsidRPr="00883566">
        <w:rPr>
          <w:rFonts w:cs="Times New Roman"/>
          <w:lang w:eastAsia="en-US"/>
        </w:rPr>
        <w:t>.</w:t>
      </w:r>
    </w:p>
    <w:p w14:paraId="50EBB30A" w14:textId="77777777" w:rsidR="00F03958" w:rsidRPr="00883566" w:rsidRDefault="00F03958" w:rsidP="00AA241E">
      <w:pPr>
        <w:spacing w:line="259" w:lineRule="auto"/>
        <w:jc w:val="both"/>
        <w:rPr>
          <w:rFonts w:cs="Times New Roman"/>
          <w:lang w:eastAsia="en-US"/>
        </w:rPr>
      </w:pPr>
      <w:r w:rsidRPr="00883566">
        <w:rPr>
          <w:rFonts w:cs="Times New Roman"/>
        </w:rPr>
        <w:t>Kaaludes, kas eeltoodud ESS § 51 lõikes 1 sätestatud juurdepääsu kohustuste kehtestamine on vajalik ja proportsionaalne seoses ESS §-s 134 sätestatud eesmärkidega, analüüsib TTJA, kas lõppkasutaja huvides tegutsedes piisab tuvastatud probleemi lahendamiseks muul viisil juurdepääsust hulgimüügiteenustele kas samal või seonduval hulgiturul</w:t>
      </w:r>
      <w:r w:rsidRPr="00883566">
        <w:rPr>
          <w:rStyle w:val="Allmrkuseviide"/>
          <w:rFonts w:eastAsiaTheme="minorHAnsi" w:cs="Times New Roman"/>
          <w:lang w:eastAsia="en-US"/>
        </w:rPr>
        <w:footnoteReference w:id="139"/>
      </w:r>
      <w:r w:rsidRPr="00883566">
        <w:rPr>
          <w:rFonts w:cs="Times New Roman"/>
        </w:rPr>
        <w:t>. Nimetatud analüüs hõlmab ärilisi juurdepääsu pakkumisi, ESS-i 6. peatükis sätestatud juurdepääsu või kehtivat või kavandatavat juurdepääsu muudele hulgimüügisisenditele. Sellise analüüsi teostamisel hindab TTJA eelkõige järgmisi asjaolusid</w:t>
      </w:r>
      <w:r w:rsidRPr="00883566">
        <w:rPr>
          <w:rStyle w:val="Allmrkuseviide"/>
          <w:rFonts w:eastAsiaTheme="minorHAnsi" w:cs="Times New Roman"/>
          <w:lang w:eastAsia="en-US"/>
        </w:rPr>
        <w:footnoteReference w:id="140"/>
      </w:r>
      <w:r w:rsidRPr="00883566">
        <w:rPr>
          <w:rFonts w:cs="Times New Roman"/>
        </w:rPr>
        <w:t>:</w:t>
      </w:r>
    </w:p>
    <w:p w14:paraId="7D405827" w14:textId="77777777" w:rsidR="00F03958" w:rsidRPr="00883566" w:rsidRDefault="00F03958" w:rsidP="00AA241E">
      <w:pPr>
        <w:spacing w:line="259" w:lineRule="auto"/>
        <w:ind w:left="720"/>
        <w:jc w:val="both"/>
        <w:rPr>
          <w:rFonts w:cs="Times New Roman"/>
          <w:lang w:eastAsia="en-US"/>
        </w:rPr>
      </w:pPr>
      <w:r w:rsidRPr="00883566">
        <w:rPr>
          <w:rFonts w:cs="Times New Roman"/>
        </w:rPr>
        <w:t>1) konkureerivate vahendite kasutamise või paigaldamise tehniline ja majanduslik teostatavus, pidades silmas turu arengu tempot ja võttes arvesse asjasse puutuva sidumise või juurdepääsu laadi ja liiki, sealhulgas kaablikanalisatsioonile juurdepääsu teostatavust;</w:t>
      </w:r>
    </w:p>
    <w:p w14:paraId="2882C1FC" w14:textId="77777777" w:rsidR="00F03958" w:rsidRPr="00883566" w:rsidRDefault="00F03958" w:rsidP="00AA241E">
      <w:pPr>
        <w:spacing w:line="259" w:lineRule="auto"/>
        <w:ind w:left="720"/>
        <w:jc w:val="both"/>
        <w:rPr>
          <w:rFonts w:cs="Times New Roman"/>
          <w:lang w:eastAsia="en-US"/>
        </w:rPr>
      </w:pPr>
      <w:r w:rsidRPr="00883566">
        <w:rPr>
          <w:rFonts w:cs="Times New Roman"/>
        </w:rPr>
        <w:t>2) eeldatav tehnoloogiline areng, mis mõjutab sidevõrkude projekteerimist ja haldamist;</w:t>
      </w:r>
    </w:p>
    <w:p w14:paraId="3B58B717" w14:textId="77777777" w:rsidR="00F03958" w:rsidRPr="00883566" w:rsidRDefault="00F03958" w:rsidP="00AA241E">
      <w:pPr>
        <w:spacing w:line="259" w:lineRule="auto"/>
        <w:ind w:left="720"/>
        <w:jc w:val="both"/>
        <w:rPr>
          <w:rFonts w:cs="Times New Roman"/>
          <w:lang w:eastAsia="en-US"/>
        </w:rPr>
      </w:pPr>
      <w:r w:rsidRPr="00883566">
        <w:rPr>
          <w:rFonts w:cs="Times New Roman"/>
        </w:rPr>
        <w:t>3) vajadus tagada tehnoloogiline neutraalsus, mis võimaldab sideettevõtjal oma sidevõrku ise projekteerida ja hallata;</w:t>
      </w:r>
    </w:p>
    <w:p w14:paraId="5574BF53" w14:textId="77777777" w:rsidR="00F03958" w:rsidRPr="00883566" w:rsidRDefault="00F03958" w:rsidP="00AA241E">
      <w:pPr>
        <w:spacing w:line="259" w:lineRule="auto"/>
        <w:ind w:left="720"/>
        <w:jc w:val="both"/>
        <w:rPr>
          <w:rFonts w:cs="Times New Roman"/>
          <w:lang w:eastAsia="en-US"/>
        </w:rPr>
      </w:pPr>
      <w:r w:rsidRPr="00883566">
        <w:rPr>
          <w:rFonts w:cs="Times New Roman"/>
        </w:rPr>
        <w:t>4) kavandatava juurdepääsu pakkumise teostatavus, võrreldes kasutatavate mahtudega;</w:t>
      </w:r>
      <w:r w:rsidRPr="00883566">
        <w:br/>
      </w:r>
      <w:r w:rsidRPr="00883566">
        <w:rPr>
          <w:rFonts w:cs="Times New Roman"/>
        </w:rPr>
        <w:t>5) vahendi omaniku esialgse investeeringu suurus, võttes arvesse tehtud riiklikke investeeringuid, sealhulgas investeeringuid väga suure läbilaskevõimega sidevõrkudesse, ja investeerimisega kaasnevaid riske;</w:t>
      </w:r>
      <w:r w:rsidRPr="00883566">
        <w:br/>
      </w:r>
      <w:r w:rsidRPr="00883566">
        <w:rPr>
          <w:rFonts w:cs="Times New Roman"/>
        </w:rPr>
        <w:t>6) vajadus kaitsta konkurentsi pikema aja jooksul, pöörates eelkõige tähelepanu majanduslikult tõhusal taristul põhinevale konkurentsile ja seda toetavatele uutele ärimudelitele;</w:t>
      </w:r>
      <w:r w:rsidRPr="00883566">
        <w:br/>
      </w:r>
      <w:r w:rsidRPr="00883566">
        <w:rPr>
          <w:rFonts w:cs="Times New Roman"/>
        </w:rPr>
        <w:t>7) vajadus luua toimiv konkurents jaemüügi tasandil ja lõppkasutajate õiguste kaitse tagamine;</w:t>
      </w:r>
      <w:r w:rsidRPr="00883566">
        <w:br/>
      </w:r>
      <w:r w:rsidRPr="00883566">
        <w:rPr>
          <w:rFonts w:cs="Times New Roman"/>
        </w:rPr>
        <w:t>8) asjasse puutuvad intellektuaalse omandi õigused;</w:t>
      </w:r>
      <w:r w:rsidRPr="00883566">
        <w:br/>
      </w:r>
      <w:r w:rsidRPr="00883566">
        <w:rPr>
          <w:rFonts w:cs="Times New Roman"/>
        </w:rPr>
        <w:t>9) üleeuroopaliste teenuste osutamise võimalikkus.</w:t>
      </w:r>
    </w:p>
    <w:p w14:paraId="7ADCC869" w14:textId="77777777" w:rsidR="00F03958" w:rsidRPr="00883566" w:rsidRDefault="00F03958" w:rsidP="00AA241E">
      <w:pPr>
        <w:spacing w:line="259" w:lineRule="auto"/>
        <w:jc w:val="both"/>
        <w:rPr>
          <w:rFonts w:cs="Times New Roman"/>
          <w:lang w:eastAsia="en-US"/>
        </w:rPr>
      </w:pPr>
    </w:p>
    <w:p w14:paraId="03016E9E" w14:textId="77777777" w:rsidR="00F03958" w:rsidRPr="00883566" w:rsidRDefault="00F03958" w:rsidP="00AA241E">
      <w:pPr>
        <w:spacing w:line="259" w:lineRule="auto"/>
        <w:jc w:val="both"/>
        <w:rPr>
          <w:rFonts w:cs="Times New Roman"/>
          <w:lang w:eastAsia="en-US"/>
        </w:rPr>
      </w:pPr>
      <w:r w:rsidRPr="00F73FAF">
        <w:rPr>
          <w:rFonts w:cs="Times New Roman"/>
        </w:rPr>
        <w:lastRenderedPageBreak/>
        <w:t xml:space="preserve">Kui </w:t>
      </w:r>
      <w:r w:rsidRPr="00883566">
        <w:rPr>
          <w:rFonts w:cs="Times New Roman"/>
        </w:rPr>
        <w:t>TTJA</w:t>
      </w:r>
      <w:r w:rsidRPr="00F73FAF">
        <w:rPr>
          <w:rFonts w:cs="Times New Roman"/>
        </w:rPr>
        <w:t xml:space="preserve"> kaalub </w:t>
      </w:r>
      <w:r w:rsidRPr="00883566">
        <w:rPr>
          <w:rFonts w:cs="Times New Roman"/>
        </w:rPr>
        <w:t>MTE-</w:t>
      </w:r>
      <w:proofErr w:type="spellStart"/>
      <w:r w:rsidRPr="00883566">
        <w:rPr>
          <w:rFonts w:cs="Times New Roman"/>
        </w:rPr>
        <w:t>le</w:t>
      </w:r>
      <w:proofErr w:type="spellEnd"/>
      <w:r w:rsidRPr="00F73FAF">
        <w:rPr>
          <w:rFonts w:cs="Times New Roman"/>
        </w:rPr>
        <w:t xml:space="preserve"> kohustuste kehtestamist, hindab ta esmalt, kas üksnes </w:t>
      </w:r>
      <w:r w:rsidRPr="00883566">
        <w:rPr>
          <w:rFonts w:cs="Times New Roman"/>
        </w:rPr>
        <w:t>ESS</w:t>
      </w:r>
      <w:r w:rsidRPr="00F73FAF">
        <w:rPr>
          <w:rFonts w:cs="Times New Roman"/>
        </w:rPr>
        <w:t xml:space="preserve"> § 50 lõike 1 punktis 5 nimetatud kohustuse kehtestamine on proportsionaalne vahend konkurentsi soodustamiseks ja lõppkasutajate huvide kaitseks.</w:t>
      </w:r>
    </w:p>
    <w:p w14:paraId="68FD4A49" w14:textId="77777777" w:rsidR="00F03958" w:rsidRPr="00883566" w:rsidRDefault="00F03958" w:rsidP="00AA241E">
      <w:pPr>
        <w:spacing w:line="259" w:lineRule="auto"/>
        <w:jc w:val="both"/>
        <w:rPr>
          <w:rFonts w:cs="Times New Roman"/>
          <w:lang w:eastAsia="en-US"/>
        </w:rPr>
      </w:pPr>
      <w:r w:rsidRPr="00883566">
        <w:rPr>
          <w:rFonts w:cs="Times New Roman"/>
          <w:lang w:eastAsia="en-US"/>
        </w:rPr>
        <w:t>Kui TTJA on kehtestanud sideettevõtjale juurdepääsu kohustuse on vastav sideettevõtja kohustatud sõlmima juurdepääsulepingu ja võimaldama juurdepääsu võrkudele, seadmetele või teenustele TTJA poolt antud mõistliku tähtaja jooksul, arvestades, et juurdepääsuks kohustatud sideettevõtjal võib olla vaja luua juurdepääsuks tehnilised tingimused, sealhulgas paigaldada seadmed</w:t>
      </w:r>
      <w:r w:rsidRPr="00883566">
        <w:rPr>
          <w:rFonts w:cs="Times New Roman"/>
          <w:vertAlign w:val="superscript"/>
          <w:lang w:eastAsia="en-US"/>
        </w:rPr>
        <w:footnoteReference w:id="141"/>
      </w:r>
      <w:r w:rsidRPr="00883566">
        <w:rPr>
          <w:rFonts w:cs="Times New Roman"/>
          <w:lang w:eastAsia="en-US"/>
        </w:rPr>
        <w:t>.</w:t>
      </w:r>
    </w:p>
    <w:p w14:paraId="5817B6C6" w14:textId="77777777" w:rsidR="00F03958" w:rsidRPr="00883566" w:rsidRDefault="00F03958" w:rsidP="00AA241E">
      <w:pPr>
        <w:spacing w:line="259" w:lineRule="auto"/>
        <w:jc w:val="both"/>
        <w:rPr>
          <w:rFonts w:cs="Times New Roman"/>
          <w:lang w:eastAsia="en-US"/>
        </w:rPr>
      </w:pPr>
      <w:r w:rsidRPr="00883566">
        <w:rPr>
          <w:rFonts w:cs="Times New Roman"/>
          <w:lang w:eastAsia="en-US"/>
        </w:rPr>
        <w:t>Sideettevõtja, kelle suhtes on TTJA kehtestanud juurdepääsu kohustuse, on kohustatud juurdepääsu kohustuse täitmisel vastavalt kohustuse iseloomule täitma järgmisi nõudeid</w:t>
      </w:r>
      <w:r w:rsidRPr="00883566">
        <w:rPr>
          <w:rFonts w:cs="Times New Roman"/>
          <w:vertAlign w:val="superscript"/>
          <w:lang w:eastAsia="en-US"/>
        </w:rPr>
        <w:footnoteReference w:id="142"/>
      </w:r>
      <w:r w:rsidRPr="00883566">
        <w:rPr>
          <w:rFonts w:cs="Times New Roman"/>
          <w:lang w:eastAsia="en-US"/>
        </w:rPr>
        <w:t xml:space="preserve"> :</w:t>
      </w:r>
    </w:p>
    <w:p w14:paraId="20CBBC1F" w14:textId="77777777" w:rsidR="00F03958" w:rsidRPr="00883566" w:rsidRDefault="00F03958" w:rsidP="00AA241E">
      <w:pPr>
        <w:numPr>
          <w:ilvl w:val="0"/>
          <w:numId w:val="13"/>
        </w:numPr>
        <w:spacing w:line="259" w:lineRule="auto"/>
        <w:contextualSpacing/>
        <w:jc w:val="both"/>
        <w:rPr>
          <w:rFonts w:cs="Times New Roman"/>
          <w:lang w:eastAsia="en-US"/>
        </w:rPr>
      </w:pPr>
      <w:r w:rsidRPr="00883566">
        <w:rPr>
          <w:rFonts w:cs="Times New Roman"/>
        </w:rPr>
        <w:t>võimaldama kasutada võrgu seadmeid, ehitisi ning liinirajatisi võrdsetel tingimustel ja kvaliteediga, millega ta seda ise osutab oma ema- ja tütarettevõtjale, klientidele või äripartneritele;</w:t>
      </w:r>
    </w:p>
    <w:p w14:paraId="42FCC435" w14:textId="77777777" w:rsidR="00F03958" w:rsidRPr="00883566" w:rsidRDefault="00F03958" w:rsidP="00AA241E">
      <w:pPr>
        <w:numPr>
          <w:ilvl w:val="0"/>
          <w:numId w:val="13"/>
        </w:numPr>
        <w:spacing w:line="259" w:lineRule="auto"/>
        <w:contextualSpacing/>
        <w:jc w:val="both"/>
        <w:rPr>
          <w:rFonts w:cs="Times New Roman"/>
          <w:lang w:eastAsia="en-US"/>
        </w:rPr>
      </w:pPr>
      <w:r w:rsidRPr="00883566">
        <w:rPr>
          <w:rFonts w:cs="Times New Roman"/>
        </w:rPr>
        <w:t>võimaldama juurdepääsuks või sidumiseks taotluse esitanud ettevõtjal saada juurdepääsuks ja sidumiseks vajalikku teavet;</w:t>
      </w:r>
    </w:p>
    <w:p w14:paraId="76000203" w14:textId="77777777" w:rsidR="00F03958" w:rsidRPr="00883566" w:rsidRDefault="00F03958" w:rsidP="00AA241E">
      <w:pPr>
        <w:numPr>
          <w:ilvl w:val="0"/>
          <w:numId w:val="13"/>
        </w:numPr>
        <w:spacing w:line="259" w:lineRule="auto"/>
        <w:contextualSpacing/>
        <w:jc w:val="both"/>
        <w:rPr>
          <w:rFonts w:cs="Times New Roman"/>
          <w:lang w:eastAsia="en-US"/>
        </w:rPr>
      </w:pPr>
      <w:r w:rsidRPr="00883566">
        <w:rPr>
          <w:rFonts w:cs="Times New Roman"/>
        </w:rPr>
        <w:t>kasutama juurdepääsu või sidumisega seoses saadud teavet üksnes vastava teenuse osutamiseks ning mitte avaldama seda kolmandale isikule, eelkõige teisele struktuuriüksusele, tütarettevõtjale ega partnerile, kellele selline teave võiks anda konkurentsieeliseid, kui seaduses ei ole sätestatud teisiti;</w:t>
      </w:r>
    </w:p>
    <w:p w14:paraId="795A2858" w14:textId="77777777" w:rsidR="00F03958" w:rsidRPr="00883566" w:rsidRDefault="00F03958" w:rsidP="00AA241E">
      <w:pPr>
        <w:numPr>
          <w:ilvl w:val="0"/>
          <w:numId w:val="13"/>
        </w:numPr>
        <w:spacing w:line="259" w:lineRule="auto"/>
        <w:contextualSpacing/>
        <w:jc w:val="both"/>
        <w:rPr>
          <w:rFonts w:cs="Times New Roman"/>
          <w:lang w:eastAsia="en-US"/>
        </w:rPr>
      </w:pPr>
      <w:r w:rsidRPr="00883566">
        <w:rPr>
          <w:rFonts w:cs="Times New Roman"/>
        </w:rPr>
        <w:t>mitte piirama oma klientide juurdepääsu teise sideettevõtja poolt osutatavatele teenustele.</w:t>
      </w:r>
    </w:p>
    <w:p w14:paraId="12CAB088" w14:textId="77777777" w:rsidR="00F03958" w:rsidRPr="00883566" w:rsidRDefault="00F03958" w:rsidP="00AA241E">
      <w:pPr>
        <w:jc w:val="both"/>
      </w:pPr>
    </w:p>
    <w:p w14:paraId="04E30EED" w14:textId="2A568988" w:rsidR="00F03958" w:rsidRPr="00883566" w:rsidRDefault="00F03958" w:rsidP="009805E1">
      <w:pPr>
        <w:pStyle w:val="Pealkiri3"/>
      </w:pPr>
      <w:r w:rsidRPr="00883566">
        <w:t xml:space="preserve"> </w:t>
      </w:r>
      <w:bookmarkStart w:id="961" w:name="_Toc174710826"/>
      <w:r w:rsidRPr="00883566">
        <w:t>Juurdepääsuga seotud konkurentsiprobleemid</w:t>
      </w:r>
      <w:bookmarkEnd w:id="961"/>
    </w:p>
    <w:p w14:paraId="15C05272" w14:textId="77777777" w:rsidR="00F03958" w:rsidRPr="00883566" w:rsidRDefault="00F03958" w:rsidP="00AA241E">
      <w:pPr>
        <w:jc w:val="both"/>
        <w:rPr>
          <w:lang w:eastAsia="en-US"/>
        </w:rPr>
      </w:pPr>
    </w:p>
    <w:p w14:paraId="0E27A9AC" w14:textId="77777777" w:rsidR="00F03958" w:rsidRPr="00883566" w:rsidRDefault="00F03958" w:rsidP="00AA241E">
      <w:pPr>
        <w:spacing w:before="120" w:after="120"/>
        <w:jc w:val="both"/>
        <w:rPr>
          <w:rFonts w:cs="Times New Roman"/>
          <w:lang w:eastAsia="et-EE"/>
        </w:rPr>
      </w:pPr>
      <w:r w:rsidRPr="00883566">
        <w:rPr>
          <w:rFonts w:cs="Times New Roman"/>
        </w:rPr>
        <w:t xml:space="preserve">Hulgituru 1 teenused on olulised sisendid nimetatud turule järgnevatele hulgi- ja jaeturgudele siseneja jaoks, kes soovib rajada oma sidevõrku (käesolevas otsuses ka </w:t>
      </w:r>
      <w:r w:rsidRPr="00883566">
        <w:rPr>
          <w:rFonts w:cs="Times New Roman"/>
          <w:i/>
        </w:rPr>
        <w:t>alternatiivne või teine sideettevõtja</w:t>
      </w:r>
      <w:r w:rsidRPr="00883566">
        <w:rPr>
          <w:rFonts w:cs="Times New Roman"/>
        </w:rPr>
        <w:t>). Oluline on märkida, et sidevõrkude rajamine on seotud suurte pöördumatute kuludega ja vajavad märkimisväärset mastaabi-, mitmekülgsus- ja tihedussäästu ning on see tõttu eriti raskesti dubleeritavad. Telia vertikaalselt integreeritud ettevõtjana ei ole huvitatud hulgiteenuste osutamisest alternatiivsetele sideettevõtjatele, kuna see suurendab konkurentsi jaeturul. Sellest tuleneb ka vertikaalselt integreeritud MTE huvi piirata oma sidevõrgule  juurdepääsu hulgiteenuste osutamist. Nimetatud hulgiteenuste osutamisest keeldumisega piiratakse alternatiivsete sideettevõtjate võimalusi siseneda nimetatud hulgiturule järgnevatele hulgi- ja jaeturgudele.</w:t>
      </w:r>
    </w:p>
    <w:p w14:paraId="22A4DF30" w14:textId="77777777" w:rsidR="00F03958" w:rsidRPr="00883566" w:rsidRDefault="00F03958" w:rsidP="00AA241E">
      <w:pPr>
        <w:spacing w:before="120" w:after="120"/>
        <w:jc w:val="both"/>
        <w:rPr>
          <w:rFonts w:cs="Times New Roman"/>
          <w:lang w:eastAsia="et-EE"/>
        </w:rPr>
      </w:pPr>
    </w:p>
    <w:p w14:paraId="2A12F4A7" w14:textId="71A287D1" w:rsidR="00F03958" w:rsidRPr="00883566" w:rsidRDefault="00F03958" w:rsidP="00AA241E">
      <w:pPr>
        <w:spacing w:before="120" w:after="120"/>
        <w:jc w:val="both"/>
        <w:rPr>
          <w:rFonts w:cs="Times New Roman"/>
          <w:lang w:eastAsia="et-EE"/>
        </w:rPr>
      </w:pPr>
      <w:r w:rsidRPr="00883566">
        <w:rPr>
          <w:rFonts w:cs="Times New Roman"/>
          <w:lang w:eastAsia="et-EE"/>
        </w:rPr>
        <w:lastRenderedPageBreak/>
        <w:t>BEREC on avaldanud seisukoha, mis käsitleb hulgituru 1 toodete osas MTE-</w:t>
      </w:r>
      <w:proofErr w:type="spellStart"/>
      <w:r w:rsidRPr="00883566">
        <w:rPr>
          <w:rFonts w:cs="Times New Roman"/>
          <w:lang w:eastAsia="et-EE"/>
        </w:rPr>
        <w:t>le</w:t>
      </w:r>
      <w:proofErr w:type="spellEnd"/>
      <w:r w:rsidRPr="00883566">
        <w:rPr>
          <w:rFonts w:cs="Times New Roman"/>
          <w:lang w:eastAsia="et-EE"/>
        </w:rPr>
        <w:t xml:space="preserve"> kohustuste kehtestamise parimaid tavasid</w:t>
      </w:r>
      <w:r w:rsidRPr="00883566">
        <w:rPr>
          <w:rFonts w:cs="Times New Roman"/>
          <w:vertAlign w:val="superscript"/>
          <w:lang w:eastAsia="et-EE"/>
        </w:rPr>
        <w:footnoteReference w:id="143"/>
      </w:r>
      <w:r w:rsidRPr="00883566">
        <w:rPr>
          <w:rFonts w:cs="Times New Roman"/>
          <w:lang w:eastAsia="et-EE"/>
        </w:rPr>
        <w:t xml:space="preserve">. Selles tuuakse välja hulgiturul 1 sagedamini esineda võivad konkurentsitõkked, mis takistavad alternatiivsetel sideettevõtjatel tõhusalt konkureerida </w:t>
      </w:r>
      <w:r w:rsidR="00BE68C5">
        <w:rPr>
          <w:rFonts w:cs="Times New Roman"/>
          <w:lang w:eastAsia="et-EE"/>
        </w:rPr>
        <w:t>jaetur</w:t>
      </w:r>
      <w:r w:rsidRPr="00883566">
        <w:rPr>
          <w:rFonts w:cs="Times New Roman"/>
          <w:lang w:eastAsia="et-EE"/>
        </w:rPr>
        <w:t>ul:</w:t>
      </w:r>
    </w:p>
    <w:p w14:paraId="344077B2" w14:textId="77777777" w:rsidR="00F03958" w:rsidRPr="00883566" w:rsidRDefault="00F03958" w:rsidP="00AA241E">
      <w:pPr>
        <w:pStyle w:val="Loendilik"/>
        <w:numPr>
          <w:ilvl w:val="1"/>
          <w:numId w:val="5"/>
        </w:numPr>
        <w:spacing w:before="120" w:after="120" w:line="240" w:lineRule="auto"/>
        <w:ind w:left="0" w:firstLine="0"/>
        <w:jc w:val="both"/>
        <w:rPr>
          <w:rFonts w:cs="Times New Roman"/>
          <w:lang w:eastAsia="et-EE"/>
        </w:rPr>
      </w:pPr>
      <w:r w:rsidRPr="00883566">
        <w:rPr>
          <w:rFonts w:cs="Times New Roman"/>
        </w:rPr>
        <w:t>MTE võib keelduda või viivitada juurdepääsu osutamisega oma sidevõrgule või teatud sidevõrgu tasandile või teatud sidevõrgu geograafilisele piirkonnale;</w:t>
      </w:r>
    </w:p>
    <w:p w14:paraId="283CB704" w14:textId="77777777" w:rsidR="00F03958" w:rsidRPr="00883566" w:rsidRDefault="00F03958" w:rsidP="00AA241E">
      <w:pPr>
        <w:pStyle w:val="Loendilik"/>
        <w:numPr>
          <w:ilvl w:val="1"/>
          <w:numId w:val="5"/>
        </w:numPr>
        <w:spacing w:before="120" w:after="120" w:line="240" w:lineRule="auto"/>
        <w:ind w:left="0" w:firstLine="0"/>
        <w:jc w:val="both"/>
        <w:rPr>
          <w:rFonts w:cs="Times New Roman"/>
          <w:lang w:eastAsia="et-EE"/>
        </w:rPr>
      </w:pPr>
      <w:r w:rsidRPr="00883566">
        <w:rPr>
          <w:rFonts w:cs="Times New Roman"/>
        </w:rPr>
        <w:t xml:space="preserve">MTE võib keelduda või viivitada alternatiivse sideettevõtja taotlusel uute otstarbekate ja mõistlike juurdepääsuteenuste välja arendamisest; </w:t>
      </w:r>
    </w:p>
    <w:p w14:paraId="3C45D5A4" w14:textId="77777777" w:rsidR="00F03958" w:rsidRPr="00883566" w:rsidRDefault="00F03958" w:rsidP="00AA241E">
      <w:pPr>
        <w:pStyle w:val="Loendilik"/>
        <w:numPr>
          <w:ilvl w:val="1"/>
          <w:numId w:val="5"/>
        </w:numPr>
        <w:spacing w:before="120" w:after="120" w:line="240" w:lineRule="auto"/>
        <w:ind w:left="0" w:firstLine="0"/>
        <w:jc w:val="both"/>
        <w:rPr>
          <w:rFonts w:cs="Times New Roman"/>
          <w:lang w:eastAsia="et-EE"/>
        </w:rPr>
      </w:pPr>
      <w:r w:rsidRPr="00883566">
        <w:rPr>
          <w:rFonts w:cs="Times New Roman"/>
        </w:rPr>
        <w:t>MTE võib keelduda või viivitada piisava tehnilise kvaliteediga juurdepääsutoodete osutamisest, mis võimaldaks pakkuda MTE jaeteenustega samaväärset kvaliteediga jaeteenuseid;</w:t>
      </w:r>
    </w:p>
    <w:p w14:paraId="5E21CF77" w14:textId="77777777" w:rsidR="00F03958" w:rsidRPr="00883566" w:rsidRDefault="00F03958" w:rsidP="00AA241E">
      <w:pPr>
        <w:pStyle w:val="Loendilik"/>
        <w:numPr>
          <w:ilvl w:val="1"/>
          <w:numId w:val="5"/>
        </w:numPr>
        <w:spacing w:before="120" w:after="120" w:line="240" w:lineRule="auto"/>
        <w:ind w:left="0" w:firstLine="0"/>
        <w:jc w:val="both"/>
        <w:rPr>
          <w:rFonts w:cs="Times New Roman"/>
          <w:lang w:eastAsia="et-EE"/>
        </w:rPr>
      </w:pPr>
      <w:r w:rsidRPr="00883566">
        <w:rPr>
          <w:rFonts w:cs="Times New Roman"/>
        </w:rPr>
        <w:t>MTE võib keelduda või viivitada juurdepääsuteenusega seotud piisava kvaliteediga tegevuste pakkumisest, mis võimaldaks pakkuda MTE jaeteenustega samaväärset kvaliteetiga jaeteenuseid, sellisteks tegevusteks võivad olla näiteks teenuse tellimise protseduur, remondi- ja hooldustööde tegemine ning rikete kõrvaldamine;</w:t>
      </w:r>
    </w:p>
    <w:p w14:paraId="5220EEBB" w14:textId="77777777" w:rsidR="00F03958" w:rsidRPr="00883566" w:rsidRDefault="00F03958" w:rsidP="00AA241E">
      <w:pPr>
        <w:pStyle w:val="Loendilik"/>
        <w:numPr>
          <w:ilvl w:val="1"/>
          <w:numId w:val="5"/>
        </w:numPr>
        <w:spacing w:before="120" w:after="120" w:line="240" w:lineRule="auto"/>
        <w:ind w:left="0" w:firstLine="0"/>
        <w:jc w:val="both"/>
        <w:rPr>
          <w:rFonts w:cs="Times New Roman"/>
          <w:lang w:eastAsia="et-EE"/>
        </w:rPr>
      </w:pPr>
      <w:r w:rsidRPr="00883566">
        <w:rPr>
          <w:rFonts w:cs="Times New Roman"/>
        </w:rPr>
        <w:t>MTE  võib keelduda või viivitada sobivate hulgitasandi toodete (nt internetiühenduse virtuaalse eraldamine, valguskaabli kiu eraldamine, kaablikanalisatsiooni rent) pakkumisega, mis võimaldaksid alternatiivse sideettevõtja ja MTE sidevõrkude ühendamist sobiva tasandi (kohalik, piirkondlik, riiklik) pääsupunktis;</w:t>
      </w:r>
    </w:p>
    <w:p w14:paraId="5473685B" w14:textId="7D28B21C" w:rsidR="00F03958" w:rsidRPr="00883566" w:rsidRDefault="00F03958" w:rsidP="00AA241E">
      <w:pPr>
        <w:pStyle w:val="Loendilik"/>
        <w:numPr>
          <w:ilvl w:val="1"/>
          <w:numId w:val="5"/>
        </w:numPr>
        <w:spacing w:before="120" w:after="120" w:line="240" w:lineRule="auto"/>
        <w:ind w:left="0" w:firstLine="0"/>
        <w:jc w:val="both"/>
        <w:rPr>
          <w:rFonts w:cs="Times New Roman"/>
          <w:lang w:eastAsia="et-EE"/>
        </w:rPr>
      </w:pPr>
      <w:r w:rsidRPr="00883566">
        <w:rPr>
          <w:rFonts w:cs="Times New Roman"/>
        </w:rPr>
        <w:t xml:space="preserve">MTE võib keelduda või viivitada alternatiivsete sideettevõtja ning enda sidevõrgu seadmete ühispaiknemise võimaldamisest ja muudele seotud seadmetele juurdepääsust (nt energiavarustuse seadmed, jahutuse seadmed), mis on vajalikud alternatiivsele operaatorile tõhusaks konkureerimiseks </w:t>
      </w:r>
      <w:r w:rsidR="00BE68C5">
        <w:rPr>
          <w:rFonts w:cs="Times New Roman"/>
        </w:rPr>
        <w:t>jaetur</w:t>
      </w:r>
      <w:r w:rsidRPr="00883566">
        <w:rPr>
          <w:rFonts w:cs="Times New Roman"/>
        </w:rPr>
        <w:t>ul lairiba juurdepääsu hulgiteenuse alusel;</w:t>
      </w:r>
    </w:p>
    <w:p w14:paraId="6A773E87" w14:textId="1ABCE7CB" w:rsidR="00F03958" w:rsidRPr="00883566" w:rsidRDefault="00F03958" w:rsidP="00AA241E">
      <w:pPr>
        <w:pStyle w:val="Loendilik"/>
        <w:numPr>
          <w:ilvl w:val="1"/>
          <w:numId w:val="5"/>
        </w:numPr>
        <w:suppressAutoHyphens/>
        <w:spacing w:after="0" w:line="240" w:lineRule="auto"/>
        <w:ind w:left="0" w:firstLine="0"/>
        <w:jc w:val="both"/>
        <w:rPr>
          <w:rFonts w:cs="Times New Roman"/>
          <w:lang w:eastAsia="et-EE"/>
        </w:rPr>
      </w:pPr>
      <w:r w:rsidRPr="00883566">
        <w:rPr>
          <w:rFonts w:cs="Times New Roman"/>
        </w:rPr>
        <w:t xml:space="preserve">MTE võib keelduda või viivitada kavandatava hulgiteenuse sulgemise või muutmise tingimuste teavitamisega ja sobivate alternatiivsete reguleeritud hulgiteenuste ning alternatiivsetele reguleeritud hulgiteenustele vajalike ülemineku protseduuride pakkumisega, mis on vajalikud alternatiivsele operaatorile jätkuvaks tõhusaks konkureerimiseks </w:t>
      </w:r>
      <w:r w:rsidR="00BE68C5">
        <w:rPr>
          <w:rFonts w:cs="Times New Roman"/>
        </w:rPr>
        <w:t>jaetur</w:t>
      </w:r>
      <w:r w:rsidRPr="00883566">
        <w:rPr>
          <w:rFonts w:cs="Times New Roman"/>
        </w:rPr>
        <w:t>ul lairiba juurdepääsu hulgiteenuse vahendusel.</w:t>
      </w:r>
    </w:p>
    <w:p w14:paraId="7BA6A837" w14:textId="77777777" w:rsidR="00F03958" w:rsidRPr="00883566" w:rsidRDefault="00F03958" w:rsidP="00AA241E">
      <w:pPr>
        <w:pStyle w:val="Loendilik"/>
        <w:spacing w:before="120" w:after="120"/>
        <w:ind w:left="0"/>
        <w:jc w:val="both"/>
        <w:rPr>
          <w:rFonts w:cs="Times New Roman"/>
          <w:lang w:eastAsia="et-EE"/>
        </w:rPr>
      </w:pPr>
    </w:p>
    <w:p w14:paraId="43904AC1" w14:textId="7DDC37DE" w:rsidR="00F03958" w:rsidRPr="00883566" w:rsidRDefault="00F03958" w:rsidP="00AA241E">
      <w:pPr>
        <w:spacing w:line="259" w:lineRule="auto"/>
        <w:jc w:val="both"/>
        <w:rPr>
          <w:rFonts w:cs="Times New Roman"/>
          <w:lang w:eastAsia="en-US"/>
        </w:rPr>
      </w:pPr>
      <w:r w:rsidRPr="00883566">
        <w:rPr>
          <w:rFonts w:cs="Times New Roman"/>
        </w:rPr>
        <w:t xml:space="preserve">TTJA hinnangul on </w:t>
      </w:r>
      <w:r w:rsidR="00A3232C">
        <w:rPr>
          <w:rFonts w:cs="Times New Roman"/>
        </w:rPr>
        <w:t>valguskaabelvõrgu</w:t>
      </w:r>
      <w:r w:rsidRPr="00883566">
        <w:rPr>
          <w:rFonts w:cs="Times New Roman"/>
        </w:rPr>
        <w:t xml:space="preserve"> B piirkonna hulgituru 1 teenuste osas juurdepääsust keeldumise ja/või viivitamisega seotud konkurentsiprobleemide esinemine järgmise turuanalüüsini kestva perioodi jooksul tõenäoline, kuna puuduvad alused eeldada, et Telia vertikaalne integreeritus ja turujõud vastaval hulgiturul nimetatud perioodil märkimisväärselt väheneks. See annab Teliale võime keelduda ja/või viivitada juurdepääsu osutamisega vastava hulgituru teenustele takistades teiste sideettevõtjate järgnevatele hulgi- ja jaeturgudele sisenemist ning kahjustades seeläbi konkurentsi järgnevatel hulgi- ja jaemüügi tasanditel ning seeläbi lõppkasutajate huve.</w:t>
      </w:r>
    </w:p>
    <w:p w14:paraId="1190A2DC" w14:textId="77777777" w:rsidR="00F03958" w:rsidRPr="00883566" w:rsidRDefault="00F03958" w:rsidP="00AA241E">
      <w:pPr>
        <w:spacing w:line="259" w:lineRule="auto"/>
        <w:jc w:val="both"/>
        <w:rPr>
          <w:rFonts w:cs="Times New Roman"/>
          <w:lang w:eastAsia="en-US"/>
        </w:rPr>
      </w:pPr>
      <w:r w:rsidRPr="00883566">
        <w:rPr>
          <w:rFonts w:cs="Times New Roman"/>
          <w:lang w:eastAsia="en-US"/>
        </w:rPr>
        <w:t>TTJA 2021 hulgituru 1 otsuse eelnõu ja TTJA 2023 hulgituru 1 otsuse eelnõu koostamise käigus</w:t>
      </w:r>
      <w:r w:rsidRPr="00883566">
        <w:rPr>
          <w:rFonts w:cs="Times New Roman"/>
          <w:vertAlign w:val="superscript"/>
          <w:lang w:eastAsia="en-US"/>
        </w:rPr>
        <w:footnoteReference w:id="144"/>
      </w:r>
      <w:r w:rsidRPr="00883566">
        <w:rPr>
          <w:rFonts w:cs="Times New Roman"/>
          <w:lang w:eastAsia="en-US"/>
        </w:rPr>
        <w:t xml:space="preserve"> tõid alternatiivsed sideettevõtjad esile konkurentsiprobleeme ja -tõkkeid seoses Telia ostutavate hulgituru 1 teenustega. </w:t>
      </w:r>
    </w:p>
    <w:p w14:paraId="74C4961B" w14:textId="77777777" w:rsidR="00F03958" w:rsidRPr="00883566" w:rsidRDefault="00F03958" w:rsidP="00AA241E">
      <w:pPr>
        <w:jc w:val="both"/>
      </w:pPr>
    </w:p>
    <w:p w14:paraId="34BF6EE3" w14:textId="1F35FE4C" w:rsidR="00F03958" w:rsidRPr="00883566" w:rsidRDefault="00F03958" w:rsidP="009805E1">
      <w:pPr>
        <w:pStyle w:val="Pealkiri3"/>
      </w:pPr>
      <w:r w:rsidRPr="00883566">
        <w:t xml:space="preserve"> </w:t>
      </w:r>
      <w:bookmarkStart w:id="962" w:name="_Toc174710827"/>
      <w:r w:rsidRPr="00883566">
        <w:t>Juurdepääsu kohustuse asendamine läbipaistvuse-, mittediskrimineerimisekohuste või hinnakohustusega</w:t>
      </w:r>
      <w:bookmarkEnd w:id="962"/>
    </w:p>
    <w:p w14:paraId="2F0DD5A7" w14:textId="77777777" w:rsidR="00F03958" w:rsidRPr="00883566" w:rsidRDefault="00F03958" w:rsidP="00AA241E">
      <w:pPr>
        <w:spacing w:before="120" w:after="120"/>
        <w:jc w:val="both"/>
        <w:rPr>
          <w:rFonts w:cs="Times New Roman"/>
          <w:lang w:eastAsia="et-EE"/>
        </w:rPr>
      </w:pPr>
    </w:p>
    <w:p w14:paraId="40CA43AE" w14:textId="77777777" w:rsidR="00F03958" w:rsidRPr="00883566" w:rsidRDefault="00F03958" w:rsidP="00AA241E">
      <w:pPr>
        <w:spacing w:before="120" w:after="120"/>
        <w:jc w:val="both"/>
        <w:rPr>
          <w:rFonts w:cs="Times New Roman"/>
          <w:lang w:eastAsia="et-EE"/>
        </w:rPr>
      </w:pPr>
      <w:r w:rsidRPr="00883566">
        <w:rPr>
          <w:rFonts w:cs="Times New Roman"/>
        </w:rPr>
        <w:t>Alljärgnevalt hinnatakse, kas MTE-</w:t>
      </w:r>
      <w:proofErr w:type="spellStart"/>
      <w:r w:rsidRPr="00883566">
        <w:rPr>
          <w:rFonts w:cs="Times New Roman"/>
        </w:rPr>
        <w:t>le</w:t>
      </w:r>
      <w:proofErr w:type="spellEnd"/>
      <w:r w:rsidRPr="00883566">
        <w:rPr>
          <w:rFonts w:cs="Times New Roman"/>
        </w:rPr>
        <w:t xml:space="preserve"> rakendatavat juurdepääsu kohustust on võimalik ja otstarbekas asendada mõne muu ESS-is sätestatud kohustusega nagu läbipaistvuse-, mittediskrimineerimisekohustusega või hinnakohustusega.</w:t>
      </w:r>
    </w:p>
    <w:p w14:paraId="2A934626" w14:textId="77777777" w:rsidR="00F03958" w:rsidRPr="00883566" w:rsidRDefault="00F03958" w:rsidP="00AA241E">
      <w:pPr>
        <w:spacing w:before="120" w:after="120"/>
        <w:jc w:val="both"/>
        <w:rPr>
          <w:rFonts w:cs="Times New Roman"/>
          <w:lang w:eastAsia="et-EE"/>
        </w:rPr>
      </w:pPr>
      <w:r w:rsidRPr="00883566">
        <w:rPr>
          <w:rFonts w:cs="Times New Roman"/>
        </w:rPr>
        <w:t>TTJA kaalus erinevaid ESS § 50 sätestatud meetmeid (läbipaistvuskohustus, mittediskrimineerimise kohustus ja hinnaga seotud kohustused) hindamaks, kas need võiksid asendada ESS § 51 sätestatud juurdepääsu kohustusi ja leidis, et:</w:t>
      </w:r>
    </w:p>
    <w:p w14:paraId="6EF6F4C5"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läbipaistvuskohustus</w:t>
      </w:r>
      <w:r w:rsidRPr="00883566">
        <w:rPr>
          <w:rFonts w:cs="Times New Roman"/>
          <w:vertAlign w:val="superscript"/>
          <w:lang w:eastAsia="et-EE"/>
        </w:rPr>
        <w:footnoteReference w:id="145"/>
      </w:r>
      <w:r w:rsidRPr="00883566">
        <w:rPr>
          <w:rFonts w:cs="Times New Roman"/>
          <w:lang w:eastAsia="et-EE"/>
        </w:rPr>
        <w:t xml:space="preserve"> üksi ei ole juurdepääsust keeldumise ja viivitamise konkurentsiprobleemi vältimiseks piisav, kuna nimetatud kohustus sätestab ainult kohustuse avaldada kõigile võrdsetel tingimustel hulgituru 1 teenuste kasutamiseks vajalikku informatsiooni, kuid ei kohusta osutama vastavaid teenuseid õigeaegselt;</w:t>
      </w:r>
    </w:p>
    <w:p w14:paraId="13192906"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mittediskrimineerimise</w:t>
      </w:r>
      <w:r w:rsidRPr="00883566">
        <w:rPr>
          <w:rFonts w:cs="Times New Roman"/>
          <w:vertAlign w:val="superscript"/>
          <w:lang w:eastAsia="et-EE"/>
        </w:rPr>
        <w:footnoteReference w:id="146"/>
      </w:r>
      <w:r w:rsidRPr="00883566">
        <w:rPr>
          <w:rFonts w:cs="Times New Roman"/>
          <w:lang w:eastAsia="et-EE"/>
        </w:rPr>
        <w:t xml:space="preserve"> kohustus ei ole juurdepääsust keeldumise ja viivitamise konkurentsiprobleemi vältimiseks kohane, kuna nimetatud kohustus on suunatud üksnes sideettevõtjate võrdse kohtlemise tagamisele, kuid ei taga hulgituru 1 teenuste osutamist õigeaegselt;</w:t>
      </w:r>
    </w:p>
    <w:p w14:paraId="47477D9B"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hinnaga seotud kohustused</w:t>
      </w:r>
      <w:r w:rsidRPr="00883566">
        <w:rPr>
          <w:rFonts w:cs="Times New Roman"/>
          <w:vertAlign w:val="superscript"/>
          <w:lang w:eastAsia="et-EE"/>
        </w:rPr>
        <w:footnoteReference w:id="147"/>
      </w:r>
      <w:r w:rsidRPr="00883566">
        <w:rPr>
          <w:rFonts w:cs="Times New Roman"/>
          <w:lang w:eastAsia="et-EE"/>
        </w:rPr>
        <w:t xml:space="preserve"> ei ole samuti juurdepääsust keeldumise ja viivitamise konkurentsiprobleemi vältimiseks piisavad ega kohased, kuna need on suunatud juurdepääsu hinna reguleerimisele, kuid ei taga hulgituru 1 teenuste osutamist õigeaegselt.</w:t>
      </w:r>
    </w:p>
    <w:p w14:paraId="1CAA8684" w14:textId="77777777" w:rsidR="00F03958" w:rsidRPr="00883566" w:rsidRDefault="00F03958" w:rsidP="00AA241E">
      <w:pPr>
        <w:spacing w:before="120" w:after="120" w:line="240" w:lineRule="auto"/>
        <w:ind w:left="567"/>
        <w:jc w:val="both"/>
        <w:rPr>
          <w:rFonts w:cs="Times New Roman"/>
          <w:lang w:eastAsia="et-EE"/>
        </w:rPr>
      </w:pPr>
    </w:p>
    <w:p w14:paraId="54F73C4F" w14:textId="7A19FB70" w:rsidR="00F03958" w:rsidRPr="00883566" w:rsidRDefault="00F03958" w:rsidP="009805E1">
      <w:pPr>
        <w:pStyle w:val="Pealkiri3"/>
      </w:pPr>
      <w:r w:rsidRPr="00883566">
        <w:t xml:space="preserve"> </w:t>
      </w:r>
      <w:bookmarkStart w:id="963" w:name="_Toc174710828"/>
      <w:r w:rsidRPr="00883566">
        <w:t>Juurdepääsu kohustuste vajalikkus ja proportsionaalsus ESS §-s 134 seatud eesmärkidega</w:t>
      </w:r>
      <w:bookmarkEnd w:id="963"/>
    </w:p>
    <w:p w14:paraId="2BD1920B" w14:textId="77777777" w:rsidR="00F03958" w:rsidRPr="00883566" w:rsidRDefault="00F03958" w:rsidP="00AA241E">
      <w:pPr>
        <w:pStyle w:val="Loendilik"/>
        <w:spacing w:before="120" w:after="120"/>
        <w:ind w:left="0"/>
        <w:jc w:val="both"/>
        <w:rPr>
          <w:rFonts w:cs="Times New Roman"/>
          <w:lang w:eastAsia="et-EE"/>
        </w:rPr>
      </w:pPr>
    </w:p>
    <w:p w14:paraId="21DC86B1" w14:textId="77777777" w:rsidR="00F03958" w:rsidRPr="00883566" w:rsidRDefault="00F03958" w:rsidP="00AA241E">
      <w:pPr>
        <w:pStyle w:val="Loendilik"/>
        <w:spacing w:before="120" w:after="120"/>
        <w:ind w:left="0"/>
        <w:jc w:val="both"/>
        <w:rPr>
          <w:rFonts w:cs="Times New Roman"/>
          <w:lang w:eastAsia="et-EE"/>
        </w:rPr>
      </w:pPr>
      <w:r w:rsidRPr="00883566">
        <w:rPr>
          <w:rFonts w:cs="Times New Roman"/>
        </w:rPr>
        <w:t>Tulenevalt ESS § 51 lõikest 1</w:t>
      </w:r>
      <w:r w:rsidRPr="00883566">
        <w:rPr>
          <w:rFonts w:cs="Times New Roman"/>
          <w:vertAlign w:val="superscript"/>
        </w:rPr>
        <w:t>1</w:t>
      </w:r>
      <w:r w:rsidRPr="00883566">
        <w:rPr>
          <w:rFonts w:cs="Times New Roman"/>
        </w:rPr>
        <w:t xml:space="preserve"> kaaludes, kas juurdepääsu kohustatuste kehtestamine on vajalik ja proportsionaalne käesoleva seaduse §-s 134 sätestatud eesmärkidega,  analüüsib TTJA, kas lõppkasutaja huvides tegutsedes piisab tuvastatud probleemi lahendamiseks muul viisil juurdepääsust hulgimüügiteenustele kas samal või seonduval hulgiturul. Nimetatud analüüs hõlmab ärilisi juurdepääsu pakkumisi, ESS 6. peatükis sätestatud juurdepääsu või kehtivat või kavandatavat juurdepääsu muudele hulgimüügisisenditele vastavalt ESS §-le 51.</w:t>
      </w:r>
    </w:p>
    <w:p w14:paraId="2427EDD9" w14:textId="77777777" w:rsidR="00F03958" w:rsidRPr="00883566" w:rsidRDefault="00F03958" w:rsidP="00AA241E">
      <w:pPr>
        <w:pStyle w:val="Loendilik"/>
        <w:spacing w:before="120" w:after="120"/>
        <w:ind w:left="0"/>
        <w:jc w:val="both"/>
        <w:rPr>
          <w:rFonts w:cs="Times New Roman"/>
          <w:lang w:eastAsia="et-EE"/>
        </w:rPr>
      </w:pPr>
    </w:p>
    <w:p w14:paraId="2ADC647E" w14:textId="48965FF1" w:rsidR="00F03958" w:rsidRPr="00883566" w:rsidRDefault="00F03958" w:rsidP="00AA241E">
      <w:pPr>
        <w:pStyle w:val="Loendilik"/>
        <w:spacing w:before="120" w:after="120"/>
        <w:ind w:left="0"/>
        <w:jc w:val="both"/>
        <w:rPr>
          <w:rFonts w:cs="Times New Roman"/>
          <w:lang w:eastAsia="et-EE"/>
        </w:rPr>
      </w:pPr>
      <w:r w:rsidRPr="00883566">
        <w:rPr>
          <w:rFonts w:cs="Times New Roman"/>
        </w:rPr>
        <w:lastRenderedPageBreak/>
        <w:t>TTJA-</w:t>
      </w:r>
      <w:proofErr w:type="spellStart"/>
      <w:r w:rsidRPr="00883566">
        <w:rPr>
          <w:rFonts w:cs="Times New Roman"/>
        </w:rPr>
        <w:t>le</w:t>
      </w:r>
      <w:proofErr w:type="spellEnd"/>
      <w:r w:rsidRPr="00883566">
        <w:rPr>
          <w:rFonts w:cs="Times New Roman"/>
        </w:rPr>
        <w:t xml:space="preserve"> hinnangul ei piisa Telia hulgituru 1 teenustega seotud konkurentsiprobleemide lahendamiseks muud juurdepääsud hulgiteenustele, kas samal või seonduval hulgiturul, kuna ühelgi teisele sideettevõtjal ei ole B piirkonnas niivõrd ulatuslikku  valguskaablivõrku, mis pakuks sama tõhusat juurdepääsu Telia </w:t>
      </w:r>
      <w:r w:rsidR="00A3232C">
        <w:rPr>
          <w:rFonts w:cs="Times New Roman"/>
        </w:rPr>
        <w:t>valguskaabelvõrgu</w:t>
      </w:r>
      <w:r w:rsidRPr="00883566">
        <w:rPr>
          <w:rFonts w:cs="Times New Roman"/>
        </w:rPr>
        <w:t xml:space="preserve">ga kaetud elu- ja mitteeluruumidele. Lisaks ei asenda eelnevatel hulgiturgudel (ST hulgiturul) Teliale kehtestatavad MTE kohustused Telia hulgituru 1 teenustele juurdepääs kohustust, kuna teiste hulgiturgude teenuste baasil jaeteenuste osutamine eeldab alternatiivsetelt sideettevõtjatelt oluliselt suuremaid investeeringuid oma sidevõrgu arengusse, kui hulgituru 1 teenuse alusel ning teistel sideettevõtjatel on madala elanike arvu ja tihedusega B piirkonnas keeruline saavutada Teliaga samaväärset mastaabisäästu, et vastavaid investeeringuid mõistliku aja jooksul tagasi teenida. ESS  kuuendas (6) peatükis sätestatud juurdepääsu kohustused ei ole piisavad juurdepääsuga seotud konkurentsiprobleemide lahendamiseks, kuna need on juhtumi põhised ja </w:t>
      </w:r>
      <w:proofErr w:type="spellStart"/>
      <w:r w:rsidRPr="00883566">
        <w:rPr>
          <w:rFonts w:cs="Times New Roman"/>
          <w:i/>
        </w:rPr>
        <w:t>ex-post</w:t>
      </w:r>
      <w:proofErr w:type="spellEnd"/>
      <w:r w:rsidRPr="00883566">
        <w:rPr>
          <w:rFonts w:cs="Times New Roman"/>
        </w:rPr>
        <w:t xml:space="preserve"> kohustused ehk need rakenduvad alles pärast seda kui mõni teine sideettevõtja esitab TTJA-</w:t>
      </w:r>
      <w:proofErr w:type="spellStart"/>
      <w:r w:rsidRPr="00883566">
        <w:rPr>
          <w:rFonts w:cs="Times New Roman"/>
        </w:rPr>
        <w:t>le</w:t>
      </w:r>
      <w:proofErr w:type="spellEnd"/>
      <w:r w:rsidRPr="00883566">
        <w:rPr>
          <w:rFonts w:cs="Times New Roman"/>
        </w:rPr>
        <w:t xml:space="preserve"> vastava avalduse ning TTJA analüüsib juhtumit ja kehtestab vajalikud kohustused. Seetõttu on ESS peatükk 6 alusel kehtestatavad kohustused ebatõhusad arvestades Telia märkimisväärset turujõudu nii internetiühenduste jaeteenuste kui ka hulgituru 1 teenuste osutamisel.</w:t>
      </w:r>
    </w:p>
    <w:p w14:paraId="6407F443" w14:textId="77777777" w:rsidR="00F03958" w:rsidRPr="00883566" w:rsidRDefault="00F03958" w:rsidP="00AA241E">
      <w:pPr>
        <w:pStyle w:val="Loendilik"/>
        <w:spacing w:before="120" w:after="120"/>
        <w:ind w:left="0"/>
        <w:jc w:val="both"/>
        <w:rPr>
          <w:rFonts w:cs="Times New Roman"/>
          <w:lang w:eastAsia="et-EE"/>
        </w:rPr>
      </w:pPr>
    </w:p>
    <w:p w14:paraId="20329AEA" w14:textId="77777777" w:rsidR="00F03958" w:rsidRPr="00883566" w:rsidRDefault="00F03958" w:rsidP="00AA241E">
      <w:pPr>
        <w:pStyle w:val="Loendilik"/>
        <w:spacing w:before="120" w:after="120"/>
        <w:ind w:left="0"/>
        <w:jc w:val="both"/>
        <w:rPr>
          <w:rFonts w:cs="Times New Roman"/>
          <w:lang w:eastAsia="et-EE"/>
        </w:rPr>
      </w:pPr>
      <w:r w:rsidRPr="00883566">
        <w:rPr>
          <w:rFonts w:cs="Times New Roman"/>
        </w:rPr>
        <w:t>Vastavalt ESS § 51 lõikele 1</w:t>
      </w:r>
      <w:r w:rsidRPr="00883566">
        <w:rPr>
          <w:rFonts w:cs="Times New Roman"/>
          <w:vertAlign w:val="superscript"/>
        </w:rPr>
        <w:t>1</w:t>
      </w:r>
      <w:r w:rsidRPr="00883566">
        <w:rPr>
          <w:rFonts w:cs="Times New Roman"/>
        </w:rPr>
        <w:t> hindab TTJA juurdepääsu kohustuse vajalikkuse ja proportsionaalsuse analüüsi teostamisel eelkõige järgmisi asjaolusid:</w:t>
      </w:r>
      <w:r w:rsidRPr="00883566">
        <w:br/>
      </w:r>
      <w:r w:rsidRPr="00883566">
        <w:br/>
      </w:r>
      <w:r w:rsidRPr="00883566">
        <w:rPr>
          <w:rFonts w:cs="Times New Roman"/>
        </w:rPr>
        <w:t xml:space="preserve">  1) konkureerivate vahendite kasutamise või paigaldamise tehniline ja majanduslik teostatavus, pidades silmas turu arengu tempot ja võttes arvesse asjasse puutuva sidumise või juurdepääsu laadi ja liiki, sealhulgas kaablikanalisatsioonile juurdepääsu teostatavust; </w:t>
      </w:r>
    </w:p>
    <w:p w14:paraId="506DBE0D" w14:textId="77777777" w:rsidR="00F03958" w:rsidRPr="00883566" w:rsidRDefault="00F03958" w:rsidP="00AA241E">
      <w:pPr>
        <w:pStyle w:val="Loendilik"/>
        <w:jc w:val="both"/>
        <w:rPr>
          <w:rFonts w:cs="Times New Roman"/>
          <w:lang w:eastAsia="et-EE"/>
        </w:rPr>
      </w:pPr>
    </w:p>
    <w:p w14:paraId="1D20D7A9" w14:textId="77777777" w:rsidR="00F03958" w:rsidRPr="00883566" w:rsidRDefault="00F03958" w:rsidP="00AA241E">
      <w:pPr>
        <w:spacing w:before="120" w:after="120"/>
        <w:ind w:left="708"/>
        <w:jc w:val="both"/>
        <w:rPr>
          <w:rFonts w:cs="Times New Roman"/>
          <w:lang w:eastAsia="et-EE"/>
        </w:rPr>
      </w:pPr>
      <w:r w:rsidRPr="00883566">
        <w:rPr>
          <w:rFonts w:cs="Times New Roman"/>
        </w:rPr>
        <w:t>TTJA hinnangul ei ole hulgituru 1 toodetele juurdepääsuga seotud konkurentsiprobleemide tõhusaks lahendamiseks konkureerivate vahendite kasutamine ja paigaldamine majanduslikult teostatav, kuna ühelgi teisel sideettevõtja ei ole B piirkonnas Teliaga sama ulatuslikku valguskaablivõrku. Eelneval sidekaablitaristule hulgiturul Teliale ette nähtud juurdepääsu kohustused ei asenda Telia hulgituru 1 teenustele juurdepääsu, kuna selle alusel jaetasandi sideteenuste osutamine eeldab teistelt sideettevõtjatelt oluliselt suuremaid investeeringuid oma sidevõrgu arengusse, kui hulgituru 1 teenuse alusel ning teistel sideettevõtjatel on B piirkonnas keeruline saavutada Teliaga samaväärset mastaabisäästu, et vastavaid investeeringuid mõistliku aja jooksul tagasi teenida. Järgneval hulgiturul 3b Teliale kehtestatavad kohustused, aga ei taga teistele sideettevõtjatele piisavat valiku vabadust oma teenuste osutamisel Teliast erinevate tehnoloogiate rakendamise osas, mistõttu saab kahjustatud lõppkasutajate valiku vabadus teenuste valikul;</w:t>
      </w:r>
    </w:p>
    <w:p w14:paraId="0FFE2732" w14:textId="77777777" w:rsidR="00F03958" w:rsidRPr="00883566" w:rsidRDefault="00F03958" w:rsidP="00AA241E">
      <w:pPr>
        <w:spacing w:before="120" w:after="120"/>
        <w:ind w:firstLine="708"/>
        <w:jc w:val="both"/>
        <w:rPr>
          <w:rFonts w:cs="Times New Roman"/>
          <w:lang w:eastAsia="et-EE"/>
        </w:rPr>
      </w:pPr>
      <w:r w:rsidRPr="00883566">
        <w:br/>
      </w:r>
      <w:r w:rsidRPr="00883566">
        <w:rPr>
          <w:rFonts w:cs="Times New Roman"/>
        </w:rPr>
        <w:t>  1</w:t>
      </w:r>
      <w:r w:rsidRPr="00883566">
        <w:rPr>
          <w:rFonts w:cs="Times New Roman"/>
          <w:vertAlign w:val="superscript"/>
        </w:rPr>
        <w:t>1</w:t>
      </w:r>
      <w:r w:rsidRPr="00883566">
        <w:rPr>
          <w:rFonts w:cs="Times New Roman"/>
        </w:rPr>
        <w:t>) eeldatav tehnoloogiline areng, mis mõjutab sidevõrkude projekteerimist ja haldamist;</w:t>
      </w:r>
    </w:p>
    <w:p w14:paraId="24325081" w14:textId="77777777" w:rsidR="00F03958" w:rsidRPr="00883566" w:rsidRDefault="00F03958" w:rsidP="00AA241E">
      <w:pPr>
        <w:spacing w:before="120" w:after="120"/>
        <w:jc w:val="both"/>
        <w:rPr>
          <w:rFonts w:cs="Times New Roman"/>
          <w:lang w:eastAsia="et-EE"/>
        </w:rPr>
      </w:pPr>
    </w:p>
    <w:p w14:paraId="39472634" w14:textId="77777777" w:rsidR="00F03958" w:rsidRPr="00883566" w:rsidRDefault="00F03958" w:rsidP="00AA241E">
      <w:pPr>
        <w:spacing w:before="120" w:after="120"/>
        <w:ind w:left="708"/>
        <w:jc w:val="both"/>
        <w:rPr>
          <w:rFonts w:cs="Times New Roman"/>
          <w:lang w:eastAsia="et-EE"/>
        </w:rPr>
      </w:pPr>
      <w:r w:rsidRPr="00883566">
        <w:rPr>
          <w:rFonts w:cs="Times New Roman"/>
        </w:rPr>
        <w:lastRenderedPageBreak/>
        <w:t>TTJA hinnangul ei paku eeldatava tehnoloogiline areng kuni järgmise turuanalüüsi läbiviimiseni tõhusaid lahendusi hulgiturul 1 eksisteerivate konkurentsiprobleemide lahenduseks;</w:t>
      </w:r>
    </w:p>
    <w:p w14:paraId="79915B59" w14:textId="77777777" w:rsidR="00F03958" w:rsidRPr="00883566" w:rsidRDefault="00F03958" w:rsidP="00AA241E">
      <w:pPr>
        <w:spacing w:before="120" w:after="120"/>
        <w:ind w:left="708"/>
        <w:jc w:val="both"/>
        <w:rPr>
          <w:rFonts w:cs="Times New Roman"/>
          <w:lang w:eastAsia="et-EE"/>
        </w:rPr>
      </w:pPr>
    </w:p>
    <w:p w14:paraId="586A69F4" w14:textId="77777777" w:rsidR="00F03958" w:rsidRPr="00883566" w:rsidRDefault="00F03958" w:rsidP="00AA241E">
      <w:pPr>
        <w:spacing w:before="120" w:after="120"/>
        <w:jc w:val="both"/>
        <w:rPr>
          <w:rFonts w:cs="Times New Roman"/>
          <w:lang w:eastAsia="et-EE"/>
        </w:rPr>
      </w:pPr>
      <w:r w:rsidRPr="00883566">
        <w:rPr>
          <w:rFonts w:cs="Times New Roman"/>
        </w:rPr>
        <w:t>1</w:t>
      </w:r>
      <w:r w:rsidRPr="00883566">
        <w:rPr>
          <w:rFonts w:cs="Times New Roman"/>
          <w:vertAlign w:val="superscript"/>
        </w:rPr>
        <w:t>2</w:t>
      </w:r>
      <w:r w:rsidRPr="00883566">
        <w:rPr>
          <w:rFonts w:cs="Times New Roman"/>
        </w:rPr>
        <w:t>) vajadus tagada tehnoloogiline neutraalsus, mis võimaldab sideettevõtjal oma sidevõrku ise projekteerida ja hallata;</w:t>
      </w:r>
    </w:p>
    <w:p w14:paraId="056FA2F7" w14:textId="77777777" w:rsidR="00F03958" w:rsidRPr="00883566" w:rsidRDefault="00F03958" w:rsidP="00AA241E">
      <w:pPr>
        <w:spacing w:before="120" w:after="120"/>
        <w:ind w:firstLine="708"/>
        <w:jc w:val="both"/>
        <w:rPr>
          <w:rFonts w:cs="Times New Roman"/>
          <w:lang w:eastAsia="et-EE"/>
        </w:rPr>
      </w:pPr>
    </w:p>
    <w:p w14:paraId="26CB91BC" w14:textId="77777777" w:rsidR="00F03958" w:rsidRPr="00883566" w:rsidRDefault="00F03958" w:rsidP="00AA241E">
      <w:pPr>
        <w:spacing w:before="120" w:after="120"/>
        <w:ind w:left="708"/>
        <w:jc w:val="both"/>
        <w:rPr>
          <w:rFonts w:cs="Times New Roman"/>
          <w:lang w:eastAsia="et-EE"/>
        </w:rPr>
      </w:pPr>
      <w:r w:rsidRPr="00883566">
        <w:rPr>
          <w:rFonts w:cs="Times New Roman"/>
        </w:rPr>
        <w:t>TTJA hinnangul tagavad Telia hulgituru 1 teenustele kehtestatavad juurdepääsu kohustused hulgitasandil tehnoloogilise neutraalsuse, kuna ei sätesta täpsed viisi kuidas Telia peab oma sidevõrku projekteerima ja haldama;</w:t>
      </w:r>
    </w:p>
    <w:p w14:paraId="6AA28F05" w14:textId="77777777" w:rsidR="00F03958" w:rsidRPr="00883566" w:rsidRDefault="00F03958" w:rsidP="00AA241E">
      <w:pPr>
        <w:spacing w:before="120" w:after="120"/>
        <w:jc w:val="both"/>
        <w:rPr>
          <w:rFonts w:cs="Times New Roman"/>
          <w:lang w:eastAsia="et-EE"/>
        </w:rPr>
      </w:pPr>
      <w:r w:rsidRPr="00883566">
        <w:rPr>
          <w:rFonts w:cs="Times New Roman"/>
        </w:rPr>
        <w:t>2) kavandatava juurdepääsu pakkumise teostatavus, võrreldes kasutatavate mahtudega;</w:t>
      </w:r>
    </w:p>
    <w:p w14:paraId="795595B8" w14:textId="77777777" w:rsidR="00F03958" w:rsidRPr="00883566" w:rsidRDefault="00F03958" w:rsidP="00AA241E">
      <w:pPr>
        <w:spacing w:before="120" w:after="120"/>
        <w:ind w:left="708"/>
        <w:jc w:val="both"/>
        <w:rPr>
          <w:rFonts w:cs="Times New Roman"/>
          <w:lang w:eastAsia="et-EE"/>
        </w:rPr>
      </w:pPr>
      <w:r w:rsidRPr="00883566">
        <w:rPr>
          <w:rFonts w:cs="Times New Roman"/>
        </w:rPr>
        <w:t>TTJA hinnangul on Telia sidevõrgus hulgituru 1 teenuste pakkumine mõistliku taotluse korral teostatav võrreldes kasutatavate mahtudega, kuna vastava teenuse pakkumisest saadavad tulud aitavad kaasa investeeringute tegemisele sidevõrgu arendamiseks;</w:t>
      </w:r>
    </w:p>
    <w:p w14:paraId="635DAB0E" w14:textId="77777777" w:rsidR="00F03958" w:rsidRPr="00883566" w:rsidRDefault="00F03958" w:rsidP="00AA241E">
      <w:pPr>
        <w:pStyle w:val="Loendilik"/>
        <w:spacing w:before="120" w:after="120"/>
        <w:ind w:left="0"/>
        <w:jc w:val="both"/>
        <w:rPr>
          <w:rFonts w:cs="Times New Roman"/>
          <w:lang w:eastAsia="et-EE"/>
        </w:rPr>
      </w:pPr>
      <w:r w:rsidRPr="00883566">
        <w:rPr>
          <w:rFonts w:cs="Times New Roman"/>
        </w:rPr>
        <w:t>3) vahendi omaniku esialgse investeeringu suurus, võttes arvesse tehtud riiklikke investeeringuid, sealhulgas investeeringuid väga suure läbilaskevõimega sidevõrkudesse, ja investeerimisega kaasnevaid riske;</w:t>
      </w:r>
    </w:p>
    <w:p w14:paraId="1B7811A1" w14:textId="77777777" w:rsidR="00F03958" w:rsidRPr="00883566" w:rsidRDefault="00F03958" w:rsidP="00AA241E">
      <w:pPr>
        <w:pStyle w:val="Loendilik"/>
        <w:spacing w:before="120" w:after="120"/>
        <w:ind w:left="0"/>
        <w:jc w:val="both"/>
        <w:rPr>
          <w:rFonts w:cs="Times New Roman"/>
          <w:lang w:eastAsia="et-EE"/>
        </w:rPr>
      </w:pPr>
    </w:p>
    <w:p w14:paraId="68490349" w14:textId="77777777" w:rsidR="00F03958" w:rsidRPr="00883566" w:rsidRDefault="00F03958" w:rsidP="00AA241E">
      <w:pPr>
        <w:pStyle w:val="Loendilik"/>
        <w:spacing w:before="120" w:after="120"/>
        <w:ind w:left="708"/>
        <w:jc w:val="both"/>
        <w:rPr>
          <w:rFonts w:cs="Times New Roman"/>
          <w:lang w:eastAsia="et-EE"/>
        </w:rPr>
      </w:pPr>
      <w:r w:rsidRPr="00883566">
        <w:rPr>
          <w:rFonts w:cs="Times New Roman"/>
        </w:rPr>
        <w:t>TTJA hinnangul ei ole hulgituru 1 teenuste osutamine mõistliku taotluse alusel Telial ülemäära koormav ega sea ohtu Telia esialgseid investeeringuid, võttes seejuures arvesse ka riiklikke investeeringuid ja investeerimisega kaasnevaid riske, kuna vastava teenuse osutamisest saadavad tulud tagavad esialgsete investeeringute tasuvuse;</w:t>
      </w:r>
    </w:p>
    <w:p w14:paraId="540FF164" w14:textId="77777777" w:rsidR="00F03958" w:rsidRPr="00883566" w:rsidRDefault="00F03958" w:rsidP="00AA241E">
      <w:pPr>
        <w:pStyle w:val="Loendilik"/>
        <w:spacing w:before="120" w:after="120"/>
        <w:ind w:left="708"/>
        <w:jc w:val="both"/>
        <w:rPr>
          <w:rFonts w:cs="Times New Roman"/>
          <w:lang w:eastAsia="et-EE"/>
        </w:rPr>
      </w:pPr>
    </w:p>
    <w:p w14:paraId="02AC7C6C" w14:textId="77777777" w:rsidR="00F03958" w:rsidRPr="00883566" w:rsidRDefault="00F03958" w:rsidP="00AA241E">
      <w:pPr>
        <w:spacing w:before="120" w:after="120"/>
        <w:jc w:val="both"/>
        <w:rPr>
          <w:rFonts w:cs="Times New Roman"/>
          <w:lang w:eastAsia="et-EE"/>
        </w:rPr>
      </w:pPr>
      <w:r w:rsidRPr="00883566">
        <w:rPr>
          <w:rFonts w:cs="Times New Roman"/>
        </w:rPr>
        <w:t>4) vajadus kaitsta konkurentsi pikema aja jooksul, pöörates eelkõige tähelepanu majanduslikult tõhusal taristul põhinevale konkurentsile ja seda toetavatele uutele ärimudelitele;</w:t>
      </w:r>
    </w:p>
    <w:p w14:paraId="2E2DEEB6" w14:textId="77777777" w:rsidR="00F03958" w:rsidRPr="00883566" w:rsidRDefault="00F03958" w:rsidP="00AA241E">
      <w:pPr>
        <w:ind w:left="708"/>
        <w:jc w:val="both"/>
        <w:rPr>
          <w:rFonts w:cs="Times New Roman"/>
          <w:lang w:eastAsia="et-EE"/>
        </w:rPr>
      </w:pPr>
      <w:r w:rsidRPr="00883566">
        <w:rPr>
          <w:rFonts w:cs="Times New Roman"/>
        </w:rPr>
        <w:t>TTJA hinnangul kaitseb Telia hulgituru 1 teenustele juurdepääsu kohustuse kehtestamine konkurentsi jaeturgudel pikema aja jooksul, eelkõige majanduslikul tõhusal infrastruktuuril põhinevat konkurentsi, kuna vastav kohustus tagab sideettevõtjatele sisenemise hulgituruga 1 lähedalt seotud jaeturgudele, mis omakorda suurendab konkureerivate jaeteenuste pakkumist majanduslikult tõhusal viisil;</w:t>
      </w:r>
    </w:p>
    <w:p w14:paraId="332B8DCB" w14:textId="77777777" w:rsidR="00F03958" w:rsidRPr="00883566" w:rsidRDefault="00F03958" w:rsidP="00AA241E">
      <w:pPr>
        <w:pStyle w:val="Loendilik"/>
        <w:jc w:val="both"/>
        <w:rPr>
          <w:rFonts w:cs="Times New Roman"/>
          <w:lang w:eastAsia="et-EE"/>
        </w:rPr>
      </w:pPr>
    </w:p>
    <w:p w14:paraId="28EB6EC7" w14:textId="77777777" w:rsidR="00F03958" w:rsidRPr="00883566" w:rsidRDefault="00F03958" w:rsidP="00AA241E">
      <w:pPr>
        <w:pStyle w:val="Loendilik"/>
        <w:spacing w:before="120" w:after="120"/>
        <w:ind w:left="0"/>
        <w:jc w:val="both"/>
        <w:rPr>
          <w:rFonts w:cs="Times New Roman"/>
          <w:lang w:eastAsia="et-EE"/>
        </w:rPr>
      </w:pPr>
      <w:r w:rsidRPr="00883566">
        <w:rPr>
          <w:rFonts w:cs="Times New Roman"/>
        </w:rPr>
        <w:t>  5) vajadus luua toimiv konkurents jaemüügi tasandil ja lõppkasutajate õiguste kaitse tagamine;</w:t>
      </w:r>
    </w:p>
    <w:p w14:paraId="6B058D73" w14:textId="77777777" w:rsidR="00F03958" w:rsidRPr="00883566" w:rsidRDefault="00F03958" w:rsidP="00AA241E">
      <w:pPr>
        <w:pStyle w:val="Loendilik"/>
        <w:spacing w:before="120" w:after="120"/>
        <w:ind w:left="0"/>
        <w:jc w:val="both"/>
        <w:rPr>
          <w:rFonts w:cs="Times New Roman"/>
          <w:lang w:eastAsia="et-EE"/>
        </w:rPr>
      </w:pPr>
    </w:p>
    <w:p w14:paraId="4F1067B7" w14:textId="77777777" w:rsidR="00F03958" w:rsidRPr="00883566" w:rsidRDefault="00F03958" w:rsidP="00AA241E">
      <w:pPr>
        <w:spacing w:before="120" w:after="120"/>
        <w:ind w:left="708"/>
        <w:jc w:val="both"/>
        <w:rPr>
          <w:rFonts w:cs="Times New Roman"/>
          <w:lang w:eastAsia="et-EE"/>
        </w:rPr>
      </w:pPr>
      <w:r w:rsidRPr="00883566">
        <w:rPr>
          <w:rFonts w:cs="Times New Roman"/>
        </w:rPr>
        <w:t xml:space="preserve">TTJA hinnangul loob Telia hulgituru 1 teenustele juurdepääsu kohustuse kehtestamine toimiva konkurentsi jaetasandil kui ka kaitseb lõppkasutajate õigusi. Hulgituru 1 teenuste </w:t>
      </w:r>
      <w:r w:rsidRPr="00883566">
        <w:rPr>
          <w:rFonts w:cs="Times New Roman"/>
        </w:rPr>
        <w:lastRenderedPageBreak/>
        <w:t>osutamine soodustab konkurentide sisenemist nimetatud turuga lähedalt seotud jaeturgudele, mis omakorda edendab konkurentsi jaetasandil;</w:t>
      </w:r>
    </w:p>
    <w:p w14:paraId="4367C9E5" w14:textId="77777777" w:rsidR="00F03958" w:rsidRPr="00883566" w:rsidRDefault="00F03958" w:rsidP="00AA241E">
      <w:pPr>
        <w:pStyle w:val="Loendilik"/>
        <w:spacing w:before="120" w:after="120"/>
        <w:ind w:left="0"/>
        <w:jc w:val="both"/>
        <w:rPr>
          <w:rFonts w:cs="Times New Roman"/>
          <w:lang w:eastAsia="et-EE"/>
        </w:rPr>
      </w:pPr>
      <w:r w:rsidRPr="00883566">
        <w:br/>
      </w:r>
      <w:r w:rsidRPr="00883566">
        <w:rPr>
          <w:rFonts w:cs="Times New Roman"/>
        </w:rPr>
        <w:t>  6) asjasse puutuvad intellektuaalse omandi õigused;</w:t>
      </w:r>
    </w:p>
    <w:p w14:paraId="7FB93E0A" w14:textId="77777777" w:rsidR="00F03958" w:rsidRPr="00883566" w:rsidRDefault="00F03958" w:rsidP="00AA241E">
      <w:pPr>
        <w:pStyle w:val="Loendilik"/>
        <w:spacing w:before="120" w:after="120"/>
        <w:ind w:left="0"/>
        <w:jc w:val="both"/>
        <w:rPr>
          <w:rFonts w:cs="Times New Roman"/>
          <w:lang w:eastAsia="et-EE"/>
        </w:rPr>
      </w:pPr>
    </w:p>
    <w:p w14:paraId="008DFC66" w14:textId="77777777" w:rsidR="00F03958" w:rsidRPr="00883566" w:rsidRDefault="00F03958" w:rsidP="00AA241E">
      <w:pPr>
        <w:spacing w:before="120" w:after="120"/>
        <w:ind w:left="708"/>
        <w:jc w:val="both"/>
        <w:rPr>
          <w:rFonts w:cs="Times New Roman"/>
          <w:lang w:eastAsia="et-EE"/>
        </w:rPr>
      </w:pPr>
      <w:r w:rsidRPr="00883566">
        <w:rPr>
          <w:rFonts w:cs="Times New Roman"/>
        </w:rPr>
        <w:t>TTJA hinnangul ei kahjusta Telia hulgituru 1 teenustele juurdepääsu kohustuste kehtestamine asjasse puutuvaid intellektuaalse omandi õigusi;</w:t>
      </w:r>
    </w:p>
    <w:p w14:paraId="621884C8" w14:textId="77777777" w:rsidR="00F03958" w:rsidRPr="00883566" w:rsidRDefault="00F03958" w:rsidP="00AA241E">
      <w:pPr>
        <w:pStyle w:val="Loendilik"/>
        <w:spacing w:before="120" w:after="120"/>
        <w:ind w:left="0"/>
        <w:jc w:val="both"/>
        <w:rPr>
          <w:rFonts w:cs="Times New Roman"/>
          <w:lang w:eastAsia="et-EE"/>
        </w:rPr>
      </w:pPr>
      <w:r w:rsidRPr="00883566">
        <w:br/>
      </w:r>
      <w:r w:rsidRPr="00883566">
        <w:rPr>
          <w:rFonts w:cs="Times New Roman"/>
        </w:rPr>
        <w:t>  7) üleeuroopaliste teenuste osutamise võimalikkus;</w:t>
      </w:r>
    </w:p>
    <w:p w14:paraId="61AAE18B" w14:textId="77777777" w:rsidR="00F03958" w:rsidRPr="00883566" w:rsidRDefault="00F03958" w:rsidP="00AA241E">
      <w:pPr>
        <w:pStyle w:val="Loendilik"/>
        <w:spacing w:before="120" w:after="120"/>
        <w:ind w:left="0"/>
        <w:jc w:val="both"/>
        <w:rPr>
          <w:rFonts w:cs="Times New Roman"/>
          <w:lang w:eastAsia="et-EE"/>
        </w:rPr>
      </w:pPr>
    </w:p>
    <w:p w14:paraId="739B8495" w14:textId="77777777" w:rsidR="00F03958" w:rsidRPr="00883566" w:rsidRDefault="00F03958" w:rsidP="00AA241E">
      <w:pPr>
        <w:pStyle w:val="Loendilik"/>
        <w:spacing w:before="120" w:after="120"/>
        <w:ind w:left="708"/>
        <w:jc w:val="both"/>
        <w:rPr>
          <w:rFonts w:cs="Times New Roman"/>
          <w:lang w:eastAsia="et-EE"/>
        </w:rPr>
      </w:pPr>
      <w:r w:rsidRPr="00883566">
        <w:rPr>
          <w:rFonts w:cs="Times New Roman"/>
        </w:rPr>
        <w:t>TTJA hinnangul Telia hulgituru 1 teenustele juurdepääsu kohustuste kehtestamine edendab üleeuroopaliste teenuste osutamise võimalikkust, kuna nimetatud teenuste osutamine soodustab teistest euroopa riikidest pärit konkurentide sisenemist nimetatud hulgituruga lähedalt seotud jaeturgudele Eestis, mis omakorda edendab üleeuroopaliste teenuste konkurentsi arengut.</w:t>
      </w:r>
    </w:p>
    <w:p w14:paraId="303A4855" w14:textId="77777777" w:rsidR="00F03958" w:rsidRPr="00883566" w:rsidRDefault="00F03958" w:rsidP="00AA241E">
      <w:pPr>
        <w:pStyle w:val="Loendilik"/>
        <w:spacing w:before="120" w:after="120"/>
        <w:ind w:left="0"/>
        <w:jc w:val="both"/>
        <w:rPr>
          <w:rFonts w:cs="Times New Roman"/>
          <w:lang w:eastAsia="et-EE"/>
        </w:rPr>
      </w:pPr>
    </w:p>
    <w:p w14:paraId="46F5B6A0" w14:textId="77777777" w:rsidR="00F03958" w:rsidRPr="00883566" w:rsidRDefault="00F03958" w:rsidP="00AA241E">
      <w:pPr>
        <w:spacing w:before="120" w:after="120"/>
        <w:jc w:val="both"/>
        <w:rPr>
          <w:rFonts w:cs="Times New Roman"/>
          <w:lang w:eastAsia="et-EE"/>
        </w:rPr>
      </w:pPr>
      <w:r w:rsidRPr="00883566">
        <w:rPr>
          <w:rFonts w:cs="Times New Roman"/>
        </w:rPr>
        <w:t>ESS § 135 lõike 1 kohaselt on tagatud, et Telia hulgituru 1 teenustele juurdepääsu kohustuste kehtestamine on:</w:t>
      </w:r>
    </w:p>
    <w:p w14:paraId="5B6BF87B"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rPr>
        <w:t xml:space="preserve">mõistlik ja otstarbekas, kuna sellega tagatakse teistele sideettevõtjatele juurdepääs olulisele ja raskesti dubleeritavale sidevõrgule jaeteenuste osutamiseks; </w:t>
      </w:r>
    </w:p>
    <w:p w14:paraId="58287726" w14:textId="77777777" w:rsidR="00F03958" w:rsidRPr="00883566" w:rsidRDefault="00F03958" w:rsidP="00AA241E">
      <w:pPr>
        <w:numPr>
          <w:ilvl w:val="0"/>
          <w:numId w:val="8"/>
        </w:numPr>
        <w:tabs>
          <w:tab w:val="num" w:pos="720"/>
        </w:tabs>
        <w:spacing w:before="120" w:after="120" w:line="240" w:lineRule="auto"/>
        <w:ind w:left="567" w:firstLine="0"/>
        <w:jc w:val="both"/>
        <w:rPr>
          <w:rFonts w:cs="Times New Roman"/>
          <w:lang w:eastAsia="et-EE"/>
        </w:rPr>
      </w:pPr>
      <w:r w:rsidRPr="00883566">
        <w:rPr>
          <w:rFonts w:cs="Times New Roman"/>
        </w:rPr>
        <w:t>mittediskrimineeriv, kuna Telia hulgituru 1 teenused mõjutavad konkurentsi jaeturgudel Telia ulatusliku sidevõrgu tõttu oluliselt suuremal määral kui teiste sideettevõtjate poolt osutatavad vastavad hulgituru teenused. Telia on suuteline kasutama oma märkimisväärset turujõudu konkurentsi takistamiseks, seega on Teliale juurdepääsu kohustuste kehtestamine asjakohasel hulgiturul õigustatud;</w:t>
      </w:r>
    </w:p>
    <w:p w14:paraId="236FDF4C"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rPr>
        <w:t xml:space="preserve">läbipaistev, kuna kohustus kehtestatakse selliselt, et Teliale on üheselt arusaadav, mida TTJA tema suhtes on otsustanud ning millised õigused ja kohustused sellest temale tulenevad; </w:t>
      </w:r>
    </w:p>
    <w:p w14:paraId="15D62F11"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 xml:space="preserve">suunatud käesoleva seaduse §-s 134 lõikes 1 sätestatud konkreetse eesmärgi, edendada konkurentsi elektroonilise side ja sellega seotud teenuste osutamisel, saavutamisele ning on seda eesmärki arvestades TTJA hinnangul proportsionaalne. </w:t>
      </w:r>
    </w:p>
    <w:p w14:paraId="54D86B74" w14:textId="77777777" w:rsidR="00F03958" w:rsidRPr="00883566" w:rsidRDefault="00F03958" w:rsidP="00AA241E">
      <w:pPr>
        <w:spacing w:before="120" w:after="120" w:line="240" w:lineRule="auto"/>
        <w:ind w:left="567"/>
        <w:jc w:val="both"/>
        <w:rPr>
          <w:rFonts w:cs="Times New Roman"/>
          <w:lang w:eastAsia="et-EE"/>
        </w:rPr>
      </w:pPr>
    </w:p>
    <w:p w14:paraId="0D9F1789" w14:textId="38002675" w:rsidR="00F03958" w:rsidRPr="00883566" w:rsidRDefault="00F03958" w:rsidP="009805E1">
      <w:pPr>
        <w:pStyle w:val="Pealkiri3"/>
      </w:pPr>
      <w:bookmarkStart w:id="964" w:name="_Toc174710829"/>
      <w:r w:rsidRPr="00883566">
        <w:t>Juurdepääsu kohustuste kehtestamine</w:t>
      </w:r>
      <w:bookmarkEnd w:id="964"/>
    </w:p>
    <w:p w14:paraId="2B56A6CE" w14:textId="77777777" w:rsidR="00F03958" w:rsidRPr="00883566" w:rsidRDefault="00F03958" w:rsidP="00AA241E">
      <w:pPr>
        <w:spacing w:before="120" w:after="120"/>
        <w:jc w:val="both"/>
        <w:rPr>
          <w:rFonts w:cs="Times New Roman"/>
          <w:lang w:eastAsia="et-EE"/>
        </w:rPr>
      </w:pPr>
    </w:p>
    <w:p w14:paraId="364A03FA" w14:textId="13AF5E4C" w:rsidR="00F03958" w:rsidRPr="00883566" w:rsidRDefault="00F03958" w:rsidP="00AA241E">
      <w:pPr>
        <w:spacing w:line="259" w:lineRule="auto"/>
        <w:jc w:val="both"/>
        <w:rPr>
          <w:rFonts w:cs="Times New Roman"/>
          <w:lang w:eastAsia="en-US"/>
        </w:rPr>
      </w:pPr>
      <w:r w:rsidRPr="00883566">
        <w:rPr>
          <w:rFonts w:cs="Times New Roman"/>
        </w:rPr>
        <w:t xml:space="preserve">Käesoleva otsuse koostamise ajal kehtivad üleriigiliselt Telia </w:t>
      </w:r>
      <w:r w:rsidR="00532579">
        <w:rPr>
          <w:rFonts w:cs="Times New Roman"/>
        </w:rPr>
        <w:t>vaskpaar</w:t>
      </w:r>
      <w:r w:rsidRPr="00883566">
        <w:rPr>
          <w:rFonts w:cs="Times New Roman"/>
        </w:rPr>
        <w:t xml:space="preserve">- ja valguskaabelvõrgus Telia hulgituru 1 teenustele juurdepääsu kohustused TTJA 2017 hulgituru 1 otsuse lisa 1 </w:t>
      </w:r>
      <w:r w:rsidR="008C159A">
        <w:rPr>
          <w:rFonts w:cs="Times New Roman"/>
        </w:rPr>
        <w:t xml:space="preserve">ptk. </w:t>
      </w:r>
      <w:r w:rsidRPr="00883566">
        <w:rPr>
          <w:rFonts w:cs="Times New Roman"/>
        </w:rPr>
        <w:t xml:space="preserve">6.2.4 </w:t>
      </w:r>
      <w:r w:rsidRPr="00883566">
        <w:rPr>
          <w:rFonts w:cs="Times New Roman"/>
        </w:rPr>
        <w:lastRenderedPageBreak/>
        <w:t xml:space="preserve">alusel. Lähtudes käesoleva otsuse </w:t>
      </w:r>
      <w:r w:rsidR="008C159A">
        <w:rPr>
          <w:rFonts w:cs="Times New Roman"/>
        </w:rPr>
        <w:t>ptk.-</w:t>
      </w:r>
      <w:r w:rsidRPr="00883566">
        <w:rPr>
          <w:rFonts w:cs="Times New Roman"/>
        </w:rPr>
        <w:t xml:space="preserve">st </w:t>
      </w:r>
      <w:r w:rsidR="00EF66BA">
        <w:rPr>
          <w:rFonts w:cs="Times New Roman"/>
        </w:rPr>
        <w:t>7</w:t>
      </w:r>
      <w:r w:rsidR="00B166EC">
        <w:rPr>
          <w:rFonts w:cs="Times New Roman"/>
        </w:rPr>
        <w:t>.1.2</w:t>
      </w:r>
      <w:r w:rsidRPr="00883566">
        <w:rPr>
          <w:rFonts w:cs="Times New Roman"/>
        </w:rPr>
        <w:t xml:space="preserve"> tunnistatakse TTJA 2017 hulgituru 1 otsus ja selles kehtestatud </w:t>
      </w:r>
      <w:r w:rsidR="00204ACC" w:rsidRPr="00883566">
        <w:rPr>
          <w:rFonts w:cs="Times New Roman"/>
        </w:rPr>
        <w:t xml:space="preserve">Telia </w:t>
      </w:r>
      <w:r w:rsidRPr="00883566">
        <w:rPr>
          <w:rFonts w:cs="Times New Roman"/>
        </w:rPr>
        <w:t xml:space="preserve">kohustused kehtetuks. Käesolevas </w:t>
      </w:r>
      <w:r w:rsidR="00DA4093">
        <w:rPr>
          <w:rFonts w:cs="Times New Roman"/>
        </w:rPr>
        <w:t>peatükis</w:t>
      </w:r>
      <w:r w:rsidR="00834AEA">
        <w:rPr>
          <w:rFonts w:cs="Times New Roman"/>
        </w:rPr>
        <w:t xml:space="preserve"> kehtestatakse </w:t>
      </w:r>
      <w:r w:rsidR="00572C53">
        <w:rPr>
          <w:rFonts w:cs="Times New Roman"/>
        </w:rPr>
        <w:t>Teliale</w:t>
      </w:r>
      <w:r w:rsidRPr="00883566">
        <w:rPr>
          <w:rFonts w:cs="Times New Roman"/>
        </w:rPr>
        <w:t xml:space="preserve"> </w:t>
      </w:r>
      <w:r w:rsidR="00C510FC">
        <w:rPr>
          <w:rFonts w:cs="Times New Roman"/>
        </w:rPr>
        <w:t xml:space="preserve">kohustused </w:t>
      </w:r>
      <w:r w:rsidRPr="00883566">
        <w:rPr>
          <w:rFonts w:cs="Times New Roman"/>
        </w:rPr>
        <w:t>valguskaabli kliendiliinile juurdepääsu osutamisele piirkonnas B ning selleks vajalikele tugiteenustele</w:t>
      </w:r>
      <w:r w:rsidR="00BE4BBE">
        <w:rPr>
          <w:rFonts w:cs="Times New Roman"/>
        </w:rPr>
        <w:t xml:space="preserve"> juurdepääsule</w:t>
      </w:r>
      <w:r w:rsidRPr="00883566">
        <w:rPr>
          <w:rFonts w:cs="Times New Roman"/>
        </w:rPr>
        <w:t xml:space="preserve">. </w:t>
      </w:r>
      <w:r w:rsidR="004F05CE" w:rsidRPr="00883566">
        <w:rPr>
          <w:rFonts w:cs="Times New Roman"/>
        </w:rPr>
        <w:t>TTJA on kohustuste järjepidevuse tagamiseks lähtunud käesoleva otsuse koostamise ajal kehtiva</w:t>
      </w:r>
      <w:r w:rsidR="00CF3223">
        <w:rPr>
          <w:rFonts w:cs="Times New Roman"/>
        </w:rPr>
        <w:t>s</w:t>
      </w:r>
      <w:r w:rsidR="004F05CE" w:rsidRPr="00883566">
        <w:rPr>
          <w:rFonts w:cs="Times New Roman"/>
        </w:rPr>
        <w:t xml:space="preserve"> TTJA 2017 hulgituru 1 otsuses sätestatud kohustustest neid vajadusel muutes ja/või täiendades</w:t>
      </w:r>
      <w:r w:rsidR="00D70169">
        <w:rPr>
          <w:rFonts w:cs="Times New Roman"/>
        </w:rPr>
        <w:t xml:space="preserve"> ja/või </w:t>
      </w:r>
      <w:r w:rsidR="00CF3223">
        <w:rPr>
          <w:rFonts w:cs="Times New Roman"/>
        </w:rPr>
        <w:t>tühistades</w:t>
      </w:r>
      <w:r w:rsidR="004F05CE" w:rsidRPr="00883566">
        <w:rPr>
          <w:rFonts w:cs="Times New Roman"/>
        </w:rPr>
        <w:t>.</w:t>
      </w:r>
    </w:p>
    <w:p w14:paraId="5087712D" w14:textId="068164E8" w:rsidR="00F03958" w:rsidRPr="00883566" w:rsidRDefault="00F03958" w:rsidP="00AA241E">
      <w:pPr>
        <w:jc w:val="both"/>
        <w:rPr>
          <w:rFonts w:cs="Times New Roman"/>
          <w:b/>
          <w:bCs/>
        </w:rPr>
      </w:pPr>
      <w:r w:rsidRPr="00883566">
        <w:rPr>
          <w:rFonts w:cs="Times New Roman"/>
        </w:rPr>
        <w:t>Võttes arvesse TTJA 2017</w:t>
      </w:r>
      <w:r w:rsidR="0049197A">
        <w:rPr>
          <w:rFonts w:cs="Times New Roman"/>
        </w:rPr>
        <w:t>.</w:t>
      </w:r>
      <w:r w:rsidRPr="00883566">
        <w:rPr>
          <w:rFonts w:cs="Times New Roman"/>
        </w:rPr>
        <w:t xml:space="preserve"> hulgituru 1 otsuses sätestatud kohustusi ja tutvunud uu</w:t>
      </w:r>
      <w:r w:rsidR="00204ACC">
        <w:rPr>
          <w:rFonts w:cs="Times New Roman"/>
        </w:rPr>
        <w:t>e</w:t>
      </w:r>
      <w:r w:rsidRPr="00883566">
        <w:rPr>
          <w:rFonts w:cs="Times New Roman"/>
        </w:rPr>
        <w:t xml:space="preserve"> EK 2024 kohustuste soovitusega ning TTJA 2021</w:t>
      </w:r>
      <w:r w:rsidR="0049197A">
        <w:rPr>
          <w:rFonts w:cs="Times New Roman"/>
        </w:rPr>
        <w:t>.</w:t>
      </w:r>
      <w:r w:rsidRPr="00883566">
        <w:rPr>
          <w:rFonts w:cs="Times New Roman"/>
        </w:rPr>
        <w:t xml:space="preserve"> hulgituru 1 otsuse eelnõus ja TTJA 2023</w:t>
      </w:r>
      <w:r w:rsidR="0049197A">
        <w:rPr>
          <w:rFonts w:cs="Times New Roman"/>
        </w:rPr>
        <w:t>.</w:t>
      </w:r>
      <w:r w:rsidRPr="00883566">
        <w:rPr>
          <w:rFonts w:cs="Times New Roman"/>
        </w:rPr>
        <w:t xml:space="preserve"> hulgituru 1 otsuse eelnõus kajastatud sideettevõtjate arvamustega võimalike konkurentsiprobleemide osas ning Komisjoni seisukohta</w:t>
      </w:r>
      <w:r w:rsidRPr="00883566">
        <w:rPr>
          <w:rStyle w:val="Allmrkuseviide"/>
          <w:rFonts w:cs="Times New Roman"/>
        </w:rPr>
        <w:footnoteReference w:id="148"/>
      </w:r>
      <w:r w:rsidRPr="00883566">
        <w:rPr>
          <w:rFonts w:cs="Times New Roman"/>
        </w:rPr>
        <w:t xml:space="preserve"> TTJA 2023 hulgituru 1 otsuse eelnõu läbivaatamisel </w:t>
      </w:r>
      <w:r w:rsidRPr="00883566">
        <w:rPr>
          <w:rFonts w:cs="Times New Roman"/>
          <w:b/>
          <w:bCs/>
        </w:rPr>
        <w:t xml:space="preserve">leiab TTJA, et on otstarbekas ja proportsionaalne kehtestada </w:t>
      </w:r>
      <w:r w:rsidR="00A3232C">
        <w:rPr>
          <w:rFonts w:cs="Times New Roman"/>
          <w:b/>
          <w:bCs/>
        </w:rPr>
        <w:t>valguskaabelvõrgu</w:t>
      </w:r>
      <w:r w:rsidRPr="00883566">
        <w:rPr>
          <w:rFonts w:cs="Times New Roman"/>
          <w:b/>
          <w:bCs/>
        </w:rPr>
        <w:t xml:space="preserve"> B piirkonna</w:t>
      </w:r>
      <w:r w:rsidR="00E67B40">
        <w:rPr>
          <w:rFonts w:cs="Times New Roman"/>
          <w:b/>
          <w:bCs/>
        </w:rPr>
        <w:t xml:space="preserve"> hulgiturul</w:t>
      </w:r>
      <w:r w:rsidRPr="00883566">
        <w:rPr>
          <w:rFonts w:cs="Times New Roman"/>
          <w:b/>
          <w:bCs/>
        </w:rPr>
        <w:t xml:space="preserve"> Telia</w:t>
      </w:r>
      <w:r w:rsidR="001407E8">
        <w:rPr>
          <w:rFonts w:cs="Times New Roman"/>
          <w:b/>
          <w:bCs/>
        </w:rPr>
        <w:t>le</w:t>
      </w:r>
      <w:r w:rsidRPr="00883566">
        <w:rPr>
          <w:rFonts w:cs="Times New Roman"/>
          <w:b/>
          <w:bCs/>
        </w:rPr>
        <w:t xml:space="preserve"> </w:t>
      </w:r>
      <w:r w:rsidR="007E3F0B">
        <w:rPr>
          <w:rFonts w:cs="Times New Roman"/>
          <w:b/>
          <w:bCs/>
        </w:rPr>
        <w:t xml:space="preserve">nii </w:t>
      </w:r>
      <w:r w:rsidR="00123874">
        <w:rPr>
          <w:rFonts w:cs="Times New Roman"/>
          <w:b/>
          <w:bCs/>
        </w:rPr>
        <w:t xml:space="preserve">füüsiliselt eraldatud </w:t>
      </w:r>
      <w:r w:rsidR="0030389A">
        <w:rPr>
          <w:rFonts w:cs="Times New Roman"/>
          <w:b/>
          <w:bCs/>
        </w:rPr>
        <w:t xml:space="preserve">valguskaabel </w:t>
      </w:r>
      <w:r w:rsidR="00123874">
        <w:rPr>
          <w:rFonts w:cs="Times New Roman"/>
          <w:b/>
          <w:bCs/>
        </w:rPr>
        <w:t xml:space="preserve">kliendiliinile </w:t>
      </w:r>
      <w:r w:rsidRPr="00883566">
        <w:rPr>
          <w:rFonts w:cs="Times New Roman"/>
          <w:b/>
          <w:bCs/>
        </w:rPr>
        <w:t>juurdepääsu kohustus</w:t>
      </w:r>
      <w:r w:rsidR="007E3F0B">
        <w:rPr>
          <w:rFonts w:cs="Times New Roman"/>
          <w:b/>
          <w:bCs/>
        </w:rPr>
        <w:t xml:space="preserve"> kui</w:t>
      </w:r>
      <w:r w:rsidRPr="00883566">
        <w:rPr>
          <w:rFonts w:cs="Times New Roman"/>
          <w:b/>
          <w:bCs/>
        </w:rPr>
        <w:t xml:space="preserve"> ka kohustus pakkuda virtuaalselt eraldatud </w:t>
      </w:r>
      <w:r w:rsidR="0030389A">
        <w:rPr>
          <w:rFonts w:cs="Times New Roman"/>
          <w:b/>
          <w:bCs/>
        </w:rPr>
        <w:t xml:space="preserve">valguskaabel </w:t>
      </w:r>
      <w:r w:rsidRPr="00883566">
        <w:rPr>
          <w:rFonts w:cs="Times New Roman"/>
          <w:b/>
          <w:bCs/>
        </w:rPr>
        <w:t>kliendiliinile juurdepääsu (</w:t>
      </w:r>
      <w:r w:rsidRPr="00883566">
        <w:rPr>
          <w:rFonts w:cs="Times New Roman"/>
          <w:b/>
          <w:bCs/>
          <w:i/>
          <w:iCs/>
        </w:rPr>
        <w:t xml:space="preserve">VULA – </w:t>
      </w:r>
      <w:proofErr w:type="spellStart"/>
      <w:r w:rsidRPr="00883566">
        <w:rPr>
          <w:rFonts w:cs="Times New Roman"/>
          <w:b/>
          <w:bCs/>
          <w:i/>
          <w:iCs/>
        </w:rPr>
        <w:t>virtually</w:t>
      </w:r>
      <w:proofErr w:type="spellEnd"/>
      <w:r w:rsidRPr="00883566">
        <w:rPr>
          <w:rFonts w:cs="Times New Roman"/>
          <w:b/>
          <w:bCs/>
          <w:i/>
          <w:iCs/>
        </w:rPr>
        <w:t xml:space="preserve"> </w:t>
      </w:r>
      <w:proofErr w:type="spellStart"/>
      <w:r w:rsidRPr="00883566">
        <w:rPr>
          <w:rFonts w:cs="Times New Roman"/>
          <w:b/>
          <w:bCs/>
          <w:i/>
          <w:iCs/>
        </w:rPr>
        <w:t>unbundled</w:t>
      </w:r>
      <w:proofErr w:type="spellEnd"/>
      <w:r w:rsidRPr="00883566">
        <w:rPr>
          <w:rFonts w:cs="Times New Roman"/>
          <w:b/>
          <w:bCs/>
          <w:i/>
          <w:iCs/>
        </w:rPr>
        <w:t xml:space="preserve"> </w:t>
      </w:r>
      <w:proofErr w:type="spellStart"/>
      <w:r w:rsidRPr="00883566">
        <w:rPr>
          <w:rFonts w:cs="Times New Roman"/>
          <w:b/>
          <w:bCs/>
          <w:i/>
          <w:iCs/>
        </w:rPr>
        <w:t>local</w:t>
      </w:r>
      <w:proofErr w:type="spellEnd"/>
      <w:r w:rsidRPr="00883566">
        <w:rPr>
          <w:rFonts w:cs="Times New Roman"/>
          <w:b/>
          <w:bCs/>
          <w:i/>
          <w:iCs/>
        </w:rPr>
        <w:t xml:space="preserve"> </w:t>
      </w:r>
      <w:proofErr w:type="spellStart"/>
      <w:r w:rsidRPr="00883566">
        <w:rPr>
          <w:rFonts w:cs="Times New Roman"/>
          <w:b/>
          <w:bCs/>
          <w:i/>
          <w:iCs/>
        </w:rPr>
        <w:t>access</w:t>
      </w:r>
      <w:proofErr w:type="spellEnd"/>
      <w:r w:rsidRPr="00883566">
        <w:rPr>
          <w:rFonts w:cs="Times New Roman"/>
          <w:b/>
          <w:bCs/>
        </w:rPr>
        <w:t xml:space="preserve">), kuna Telia on </w:t>
      </w:r>
      <w:r w:rsidR="00CF3223">
        <w:rPr>
          <w:rFonts w:cs="Times New Roman"/>
          <w:b/>
          <w:bCs/>
        </w:rPr>
        <w:t>suures osas</w:t>
      </w:r>
      <w:r w:rsidR="00CF3223" w:rsidRPr="00883566">
        <w:rPr>
          <w:rFonts w:cs="Times New Roman"/>
          <w:b/>
          <w:bCs/>
        </w:rPr>
        <w:t xml:space="preserve"> </w:t>
      </w:r>
      <w:r w:rsidRPr="00883566">
        <w:rPr>
          <w:rFonts w:cs="Times New Roman"/>
          <w:b/>
          <w:bCs/>
        </w:rPr>
        <w:t xml:space="preserve">oma </w:t>
      </w:r>
      <w:r w:rsidR="00532579">
        <w:rPr>
          <w:rFonts w:cs="Times New Roman"/>
          <w:b/>
          <w:bCs/>
        </w:rPr>
        <w:t>vaskpaar</w:t>
      </w:r>
      <w:r w:rsidRPr="00883566">
        <w:rPr>
          <w:rFonts w:cs="Times New Roman"/>
          <w:b/>
          <w:bCs/>
        </w:rPr>
        <w:t>võr</w:t>
      </w:r>
      <w:r w:rsidR="00123874">
        <w:rPr>
          <w:rFonts w:cs="Times New Roman"/>
          <w:b/>
          <w:bCs/>
        </w:rPr>
        <w:t>k</w:t>
      </w:r>
      <w:r w:rsidR="00521A67">
        <w:rPr>
          <w:rFonts w:cs="Times New Roman"/>
          <w:b/>
          <w:bCs/>
        </w:rPr>
        <w:t>e</w:t>
      </w:r>
      <w:r w:rsidRPr="00883566">
        <w:rPr>
          <w:rFonts w:cs="Times New Roman"/>
          <w:b/>
          <w:bCs/>
        </w:rPr>
        <w:t xml:space="preserve"> asendanud </w:t>
      </w:r>
      <w:r w:rsidR="00A3232C">
        <w:rPr>
          <w:rFonts w:cs="Times New Roman"/>
          <w:b/>
          <w:bCs/>
        </w:rPr>
        <w:t>valguskaabelvõrgu</w:t>
      </w:r>
      <w:r w:rsidRPr="00883566">
        <w:rPr>
          <w:rFonts w:cs="Times New Roman"/>
          <w:b/>
          <w:bCs/>
        </w:rPr>
        <w:t xml:space="preserve"> PON tehnoloogiatega, mis </w:t>
      </w:r>
      <w:r w:rsidR="005031AF">
        <w:rPr>
          <w:rFonts w:cs="Times New Roman"/>
          <w:b/>
          <w:bCs/>
        </w:rPr>
        <w:t xml:space="preserve">üldjuhul </w:t>
      </w:r>
      <w:r w:rsidRPr="00883566">
        <w:rPr>
          <w:rFonts w:cs="Times New Roman"/>
          <w:b/>
          <w:bCs/>
        </w:rPr>
        <w:t xml:space="preserve">ei võimalda füüsiliselt eraldatud juurdepääsu </w:t>
      </w:r>
      <w:r w:rsidR="005031AF">
        <w:rPr>
          <w:rFonts w:cs="Times New Roman"/>
          <w:b/>
          <w:bCs/>
        </w:rPr>
        <w:t xml:space="preserve">kliendiliini kogu pikkuses </w:t>
      </w:r>
      <w:r w:rsidRPr="00883566">
        <w:rPr>
          <w:rFonts w:cs="Times New Roman"/>
          <w:b/>
          <w:bCs/>
        </w:rPr>
        <w:t xml:space="preserve">ning misläbi </w:t>
      </w:r>
      <w:r w:rsidR="007E3F0B">
        <w:rPr>
          <w:rFonts w:cs="Times New Roman"/>
          <w:b/>
          <w:bCs/>
        </w:rPr>
        <w:t>ainult füüsiliselt eraldatud kliendiliinile juurdepääsu</w:t>
      </w:r>
      <w:r w:rsidR="003275D3">
        <w:rPr>
          <w:rFonts w:cs="Times New Roman"/>
          <w:b/>
          <w:bCs/>
        </w:rPr>
        <w:t xml:space="preserve"> kohustuse kehtestamise</w:t>
      </w:r>
      <w:r w:rsidR="007E3F0B">
        <w:rPr>
          <w:rFonts w:cs="Times New Roman"/>
          <w:b/>
          <w:bCs/>
        </w:rPr>
        <w:t xml:space="preserve"> korral </w:t>
      </w:r>
      <w:r w:rsidRPr="00883566">
        <w:rPr>
          <w:rFonts w:cs="Times New Roman"/>
          <w:b/>
          <w:bCs/>
        </w:rPr>
        <w:t xml:space="preserve">kaoks teistel sideettevõtjatel juurdepääsu võimalus suurele osale Telia </w:t>
      </w:r>
      <w:r w:rsidR="00A3232C">
        <w:rPr>
          <w:rFonts w:cs="Times New Roman"/>
          <w:b/>
          <w:bCs/>
        </w:rPr>
        <w:t>valguskaabelvõrgu</w:t>
      </w:r>
      <w:r w:rsidR="005031AF">
        <w:rPr>
          <w:rFonts w:cs="Times New Roman"/>
          <w:b/>
          <w:bCs/>
        </w:rPr>
        <w:t xml:space="preserve"> kliendiliinide</w:t>
      </w:r>
      <w:r w:rsidRPr="00883566">
        <w:rPr>
          <w:rFonts w:cs="Times New Roman"/>
          <w:b/>
          <w:bCs/>
        </w:rPr>
        <w:t>le B piirkonnas.</w:t>
      </w:r>
    </w:p>
    <w:p w14:paraId="770D9FA4" w14:textId="0DD77CCC" w:rsidR="00F03958" w:rsidRPr="00883566" w:rsidRDefault="00F03958" w:rsidP="00AA241E">
      <w:pPr>
        <w:jc w:val="both"/>
        <w:rPr>
          <w:rFonts w:cs="Times New Roman"/>
        </w:rPr>
      </w:pPr>
      <w:r w:rsidRPr="00883566">
        <w:rPr>
          <w:rFonts w:cs="Times New Roman"/>
        </w:rPr>
        <w:t>TTJA hinnangul on Telial olemas pii</w:t>
      </w:r>
      <w:r w:rsidR="005031AF">
        <w:rPr>
          <w:rFonts w:cs="Times New Roman"/>
        </w:rPr>
        <w:t>s</w:t>
      </w:r>
      <w:r w:rsidRPr="00883566">
        <w:rPr>
          <w:rFonts w:cs="Times New Roman"/>
        </w:rPr>
        <w:t xml:space="preserve">av ressurss ja varasem juurdepääsu kohustuste täitmise kogemus, mistõttu ei ole  käesoleva otsusega </w:t>
      </w:r>
      <w:r w:rsidR="003669D4">
        <w:rPr>
          <w:rFonts w:cs="Times New Roman"/>
        </w:rPr>
        <w:t>kehtestatavad</w:t>
      </w:r>
      <w:r w:rsidR="003669D4" w:rsidRPr="00883566">
        <w:rPr>
          <w:rFonts w:cs="Times New Roman"/>
        </w:rPr>
        <w:t xml:space="preserve"> </w:t>
      </w:r>
      <w:r w:rsidRPr="00883566">
        <w:rPr>
          <w:rFonts w:cs="Times New Roman"/>
        </w:rPr>
        <w:t>juurdepääsu kohustused Telial liigselt koormavad.</w:t>
      </w:r>
    </w:p>
    <w:p w14:paraId="44FFC688" w14:textId="13F095C0" w:rsidR="00F03958" w:rsidRPr="001F21F1" w:rsidRDefault="00A3232C" w:rsidP="00AA241E">
      <w:pPr>
        <w:suppressAutoHyphens/>
        <w:autoSpaceDE w:val="0"/>
        <w:autoSpaceDN w:val="0"/>
        <w:adjustRightInd w:val="0"/>
        <w:spacing w:before="240" w:after="120" w:line="240" w:lineRule="auto"/>
        <w:jc w:val="both"/>
        <w:rPr>
          <w:rFonts w:eastAsia="Times New Roman" w:cs="Times New Roman"/>
          <w:b/>
          <w:bCs/>
          <w:lang w:eastAsia="et-EE"/>
        </w:rPr>
      </w:pPr>
      <w:r w:rsidRPr="001F21F1">
        <w:rPr>
          <w:rFonts w:eastAsia="Times New Roman" w:cs="Times New Roman"/>
          <w:b/>
          <w:bCs/>
          <w:lang w:eastAsia="et-EE"/>
        </w:rPr>
        <w:t>Valguskaabelvõrgu</w:t>
      </w:r>
      <w:r w:rsidR="00F03958" w:rsidRPr="001F21F1">
        <w:rPr>
          <w:rFonts w:eastAsia="Times New Roman" w:cs="Times New Roman"/>
          <w:b/>
          <w:bCs/>
          <w:lang w:eastAsia="et-EE"/>
        </w:rPr>
        <w:t>s B piirkonna hulgituru 1 teenuste</w:t>
      </w:r>
      <w:r w:rsidR="00137F15" w:rsidRPr="001F21F1">
        <w:rPr>
          <w:rFonts w:eastAsia="Times New Roman" w:cs="Times New Roman"/>
          <w:b/>
          <w:bCs/>
          <w:lang w:eastAsia="et-EE"/>
        </w:rPr>
        <w:t xml:space="preserve"> (vt </w:t>
      </w:r>
      <w:r w:rsidR="008C159A">
        <w:rPr>
          <w:rFonts w:eastAsia="Times New Roman" w:cs="Times New Roman"/>
          <w:b/>
          <w:bCs/>
          <w:lang w:eastAsia="et-EE"/>
        </w:rPr>
        <w:t xml:space="preserve">ptk. </w:t>
      </w:r>
      <w:r w:rsidR="00137F15" w:rsidRPr="001F21F1">
        <w:rPr>
          <w:rFonts w:eastAsia="Times New Roman" w:cs="Times New Roman"/>
          <w:b/>
          <w:bCs/>
          <w:lang w:eastAsia="et-EE"/>
        </w:rPr>
        <w:t>7.1.</w:t>
      </w:r>
      <w:r w:rsidR="001F21F1" w:rsidRPr="001F21F1">
        <w:rPr>
          <w:rFonts w:eastAsia="Times New Roman" w:cs="Times New Roman"/>
          <w:b/>
          <w:bCs/>
          <w:lang w:eastAsia="et-EE"/>
        </w:rPr>
        <w:t>1</w:t>
      </w:r>
      <w:r w:rsidR="00137F15" w:rsidRPr="001F21F1">
        <w:rPr>
          <w:rFonts w:eastAsia="Times New Roman" w:cs="Times New Roman"/>
          <w:b/>
          <w:bCs/>
          <w:lang w:eastAsia="et-EE"/>
        </w:rPr>
        <w:t>)</w:t>
      </w:r>
      <w:r w:rsidR="00F03958" w:rsidRPr="001F21F1">
        <w:rPr>
          <w:rFonts w:eastAsia="Times New Roman" w:cs="Times New Roman"/>
          <w:b/>
          <w:bCs/>
          <w:lang w:eastAsia="et-EE"/>
        </w:rPr>
        <w:t xml:space="preserve"> osas </w:t>
      </w:r>
      <w:r w:rsidR="005031AF">
        <w:rPr>
          <w:rFonts w:eastAsia="Times New Roman" w:cs="Times New Roman"/>
          <w:b/>
          <w:bCs/>
          <w:lang w:eastAsia="et-EE"/>
        </w:rPr>
        <w:t>kohustab</w:t>
      </w:r>
      <w:r w:rsidR="005031AF" w:rsidRPr="001F21F1">
        <w:rPr>
          <w:rFonts w:eastAsia="Times New Roman" w:cs="Times New Roman"/>
          <w:b/>
          <w:bCs/>
          <w:lang w:eastAsia="et-EE"/>
        </w:rPr>
        <w:t xml:space="preserve"> </w:t>
      </w:r>
      <w:r w:rsidR="00F03958" w:rsidRPr="001F21F1">
        <w:rPr>
          <w:rFonts w:eastAsia="Times New Roman" w:cs="Times New Roman"/>
          <w:b/>
          <w:bCs/>
          <w:lang w:eastAsia="et-EE"/>
        </w:rPr>
        <w:t>TTJA Teliat nimetatud hulgiturul juurdepääsust keeldumise ja viivitamisega seotud konkurentsiprobleemide vältimiseks, sideteenuste turgudel konkurentsi moonutamise takistamise ärahoidmiseks ning lõppkasutajate huvide kaitseks ESS alusel:</w:t>
      </w:r>
    </w:p>
    <w:p w14:paraId="23703995" w14:textId="72F87013" w:rsidR="00F03958" w:rsidRPr="001F21F1" w:rsidRDefault="00F03958" w:rsidP="00AA241E">
      <w:pPr>
        <w:numPr>
          <w:ilvl w:val="0"/>
          <w:numId w:val="52"/>
        </w:numPr>
        <w:suppressAutoHyphens/>
        <w:autoSpaceDE w:val="0"/>
        <w:autoSpaceDN w:val="0"/>
        <w:adjustRightInd w:val="0"/>
        <w:spacing w:before="120" w:after="120" w:line="240" w:lineRule="auto"/>
        <w:jc w:val="both"/>
        <w:rPr>
          <w:rFonts w:eastAsia="Times New Roman" w:cs="Times New Roman"/>
          <w:b/>
          <w:bCs/>
          <w:lang w:eastAsia="et-EE"/>
        </w:rPr>
      </w:pPr>
      <w:r w:rsidRPr="001F21F1">
        <w:rPr>
          <w:rFonts w:eastAsia="Times New Roman" w:cs="Times New Roman"/>
          <w:b/>
          <w:bCs/>
          <w:lang w:eastAsia="et-EE"/>
        </w:rPr>
        <w:t>pidama heas usus läbirääkimisi teiste sideettevõtjatega, kes taotlevad juurdepääsu hulgituru 1 teenustele</w:t>
      </w:r>
      <w:r w:rsidRPr="001F21F1">
        <w:rPr>
          <w:rFonts w:eastAsia="Times New Roman" w:cs="Times New Roman"/>
          <w:b/>
          <w:bCs/>
          <w:vertAlign w:val="superscript"/>
          <w:lang w:eastAsia="et-EE"/>
        </w:rPr>
        <w:footnoteReference w:id="149"/>
      </w:r>
      <w:r w:rsidRPr="001F21F1">
        <w:rPr>
          <w:rFonts w:eastAsia="Times New Roman" w:cs="Times New Roman"/>
          <w:b/>
          <w:bCs/>
          <w:lang w:eastAsia="et-EE"/>
        </w:rPr>
        <w:t>;</w:t>
      </w:r>
    </w:p>
    <w:p w14:paraId="235DCB5E" w14:textId="714FE9A7" w:rsidR="00F03958" w:rsidRPr="001F21F1" w:rsidRDefault="00F03958" w:rsidP="00AA241E">
      <w:pPr>
        <w:numPr>
          <w:ilvl w:val="0"/>
          <w:numId w:val="52"/>
        </w:numPr>
        <w:suppressAutoHyphens/>
        <w:autoSpaceDE w:val="0"/>
        <w:autoSpaceDN w:val="0"/>
        <w:adjustRightInd w:val="0"/>
        <w:spacing w:before="120" w:after="120" w:line="240" w:lineRule="auto"/>
        <w:jc w:val="both"/>
        <w:rPr>
          <w:rFonts w:eastAsia="Times New Roman" w:cs="Times New Roman"/>
          <w:b/>
          <w:bCs/>
          <w:lang w:eastAsia="et-EE"/>
        </w:rPr>
      </w:pPr>
      <w:r w:rsidRPr="001F21F1">
        <w:rPr>
          <w:rFonts w:eastAsia="Times New Roman" w:cs="Times New Roman"/>
          <w:b/>
          <w:bCs/>
          <w:lang w:eastAsia="et-EE"/>
        </w:rPr>
        <w:t xml:space="preserve">pakkuma ja võimaldama juurdepääsu füüsiliselt eraldatud </w:t>
      </w:r>
      <w:r w:rsidR="00A329A4" w:rsidRPr="001F21F1">
        <w:rPr>
          <w:rFonts w:eastAsia="Times New Roman" w:cs="Times New Roman"/>
          <w:b/>
          <w:bCs/>
          <w:lang w:eastAsia="et-EE"/>
        </w:rPr>
        <w:t xml:space="preserve">valguskaabli </w:t>
      </w:r>
      <w:r w:rsidRPr="001F21F1">
        <w:rPr>
          <w:rFonts w:eastAsia="Times New Roman" w:cs="Times New Roman"/>
          <w:b/>
          <w:bCs/>
          <w:lang w:eastAsia="et-EE"/>
        </w:rPr>
        <w:t>kliendiliini</w:t>
      </w:r>
      <w:r w:rsidR="00DD48C2" w:rsidRPr="001F21F1">
        <w:rPr>
          <w:rFonts w:eastAsia="Times New Roman" w:cs="Times New Roman"/>
          <w:b/>
          <w:bCs/>
          <w:lang w:eastAsia="et-EE"/>
        </w:rPr>
        <w:t xml:space="preserve"> ja alamkliendiliini</w:t>
      </w:r>
      <w:r w:rsidRPr="001F21F1">
        <w:rPr>
          <w:rFonts w:eastAsia="Times New Roman" w:cs="Times New Roman"/>
          <w:b/>
          <w:bCs/>
          <w:lang w:eastAsia="et-EE"/>
        </w:rPr>
        <w:t xml:space="preserve"> vabale mahule</w:t>
      </w:r>
      <w:r w:rsidR="007B490B" w:rsidRPr="001F21F1">
        <w:rPr>
          <w:rFonts w:eastAsia="Times New Roman" w:cs="Times New Roman"/>
          <w:b/>
          <w:bCs/>
          <w:vertAlign w:val="superscript"/>
          <w:lang w:eastAsia="et-EE"/>
        </w:rPr>
        <w:footnoteReference w:id="150"/>
      </w:r>
      <w:r w:rsidR="007B490B" w:rsidRPr="001F21F1">
        <w:rPr>
          <w:rFonts w:eastAsia="Times New Roman" w:cs="Times New Roman"/>
          <w:b/>
          <w:bCs/>
          <w:lang w:eastAsia="et-EE"/>
        </w:rPr>
        <w:t xml:space="preserve"> </w:t>
      </w:r>
      <w:r w:rsidRPr="001F21F1">
        <w:rPr>
          <w:rFonts w:eastAsia="Times New Roman" w:cs="Times New Roman"/>
          <w:b/>
          <w:bCs/>
          <w:lang w:eastAsia="et-EE"/>
        </w:rPr>
        <w:t xml:space="preserve"> </w:t>
      </w:r>
      <w:r w:rsidR="00DD48C2" w:rsidRPr="001F21F1">
        <w:rPr>
          <w:rFonts w:eastAsia="Times New Roman" w:cs="Times New Roman"/>
          <w:b/>
          <w:bCs/>
          <w:lang w:eastAsia="et-EE"/>
        </w:rPr>
        <w:t>ning</w:t>
      </w:r>
      <w:r w:rsidRPr="001F21F1">
        <w:rPr>
          <w:rFonts w:eastAsia="Times New Roman" w:cs="Times New Roman"/>
          <w:b/>
          <w:bCs/>
          <w:lang w:eastAsia="et-EE"/>
        </w:rPr>
        <w:t xml:space="preserve"> virtuaalselt eraldatud </w:t>
      </w:r>
      <w:r w:rsidR="00831153" w:rsidRPr="001F21F1">
        <w:rPr>
          <w:rFonts w:eastAsia="Times New Roman" w:cs="Times New Roman"/>
          <w:b/>
          <w:bCs/>
          <w:lang w:eastAsia="et-EE"/>
        </w:rPr>
        <w:t xml:space="preserve">valguskaabli </w:t>
      </w:r>
      <w:r w:rsidRPr="001F21F1">
        <w:rPr>
          <w:rFonts w:eastAsia="Times New Roman" w:cs="Times New Roman"/>
          <w:b/>
          <w:bCs/>
          <w:lang w:eastAsia="et-EE"/>
        </w:rPr>
        <w:t>kliendiliini</w:t>
      </w:r>
      <w:r w:rsidR="007B490B">
        <w:rPr>
          <w:rFonts w:eastAsia="Times New Roman" w:cs="Times New Roman"/>
          <w:b/>
          <w:bCs/>
          <w:lang w:eastAsia="et-EE"/>
        </w:rPr>
        <w:t>le</w:t>
      </w:r>
      <w:r w:rsidRPr="001F21F1">
        <w:rPr>
          <w:rFonts w:eastAsia="Times New Roman" w:cs="Times New Roman"/>
          <w:b/>
          <w:bCs/>
          <w:lang w:eastAsia="et-EE"/>
        </w:rPr>
        <w:t xml:space="preserve"> lähtudes</w:t>
      </w:r>
      <w:r w:rsidR="00831153" w:rsidRPr="001F21F1">
        <w:rPr>
          <w:rFonts w:eastAsia="Times New Roman" w:cs="Times New Roman"/>
          <w:b/>
          <w:bCs/>
          <w:lang w:eastAsia="et-EE"/>
        </w:rPr>
        <w:t xml:space="preserve"> </w:t>
      </w:r>
      <w:r w:rsidR="003D630C" w:rsidRPr="001F21F1">
        <w:rPr>
          <w:rFonts w:eastAsia="Times New Roman" w:cs="Times New Roman"/>
          <w:b/>
          <w:bCs/>
          <w:lang w:eastAsia="et-EE"/>
        </w:rPr>
        <w:t xml:space="preserve">BEREC-i </w:t>
      </w:r>
      <w:r w:rsidR="00B143B2" w:rsidRPr="001F21F1">
        <w:rPr>
          <w:rFonts w:eastAsia="Times New Roman" w:cs="Times New Roman"/>
          <w:b/>
          <w:bCs/>
          <w:lang w:eastAsia="et-EE"/>
        </w:rPr>
        <w:t xml:space="preserve">2016 seiskohtades </w:t>
      </w:r>
      <w:r w:rsidR="001978BE" w:rsidRPr="001F21F1">
        <w:rPr>
          <w:rFonts w:eastAsia="Times New Roman" w:cs="Times New Roman"/>
          <w:b/>
          <w:bCs/>
          <w:lang w:eastAsia="et-EE"/>
        </w:rPr>
        <w:t>(</w:t>
      </w:r>
      <w:proofErr w:type="spellStart"/>
      <w:r w:rsidR="002252B8" w:rsidRPr="001F21F1">
        <w:rPr>
          <w:rFonts w:eastAsia="Times New Roman" w:cs="Times New Roman"/>
          <w:b/>
          <w:bCs/>
          <w:lang w:eastAsia="et-EE"/>
        </w:rPr>
        <w:t>Bo</w:t>
      </w:r>
      <w:r w:rsidR="00FF380A" w:rsidRPr="001F21F1">
        <w:rPr>
          <w:rFonts w:eastAsia="Times New Roman" w:cs="Times New Roman"/>
          <w:b/>
          <w:bCs/>
          <w:lang w:eastAsia="et-EE"/>
        </w:rPr>
        <w:t>R</w:t>
      </w:r>
      <w:proofErr w:type="spellEnd"/>
      <w:r w:rsidR="0014542D" w:rsidRPr="001F21F1">
        <w:rPr>
          <w:rFonts w:eastAsia="Times New Roman" w:cs="Times New Roman"/>
          <w:b/>
          <w:bCs/>
          <w:lang w:eastAsia="et-EE"/>
        </w:rPr>
        <w:t xml:space="preserve"> </w:t>
      </w:r>
      <w:r w:rsidR="00520F76" w:rsidRPr="001F21F1">
        <w:rPr>
          <w:rFonts w:eastAsia="Times New Roman" w:cs="Times New Roman"/>
          <w:b/>
          <w:bCs/>
          <w:lang w:eastAsia="et-EE"/>
        </w:rPr>
        <w:t xml:space="preserve">(16) </w:t>
      </w:r>
      <w:r w:rsidR="0014542D" w:rsidRPr="001F21F1">
        <w:rPr>
          <w:rFonts w:eastAsia="Times New Roman" w:cs="Times New Roman"/>
          <w:b/>
          <w:bCs/>
          <w:lang w:eastAsia="et-EE"/>
        </w:rPr>
        <w:t>162)</w:t>
      </w:r>
      <w:r w:rsidRPr="001F21F1">
        <w:rPr>
          <w:rStyle w:val="Allmrkuseviide"/>
          <w:rFonts w:eastAsia="Times New Roman" w:cs="Times New Roman"/>
          <w:b/>
          <w:bCs/>
          <w:lang w:eastAsia="et-EE"/>
        </w:rPr>
        <w:footnoteReference w:id="151"/>
      </w:r>
      <w:r w:rsidRPr="001F21F1">
        <w:rPr>
          <w:rFonts w:eastAsia="Times New Roman" w:cs="Times New Roman"/>
          <w:b/>
          <w:bCs/>
          <w:lang w:eastAsia="et-EE"/>
        </w:rPr>
        <w:t xml:space="preserve"> kirjeldatud vastava toote üldistest omadustest (vt </w:t>
      </w:r>
      <w:r w:rsidR="005C17F8" w:rsidRPr="001F21F1">
        <w:rPr>
          <w:rFonts w:eastAsia="Times New Roman" w:cs="Times New Roman"/>
          <w:b/>
          <w:bCs/>
          <w:lang w:eastAsia="et-EE"/>
        </w:rPr>
        <w:t>J</w:t>
      </w:r>
      <w:r w:rsidRPr="001F21F1">
        <w:rPr>
          <w:rFonts w:eastAsia="Times New Roman" w:cs="Times New Roman"/>
          <w:b/>
          <w:bCs/>
          <w:lang w:eastAsia="et-EE"/>
        </w:rPr>
        <w:t xml:space="preserve">oonis </w:t>
      </w:r>
      <w:r w:rsidR="009504DD" w:rsidRPr="001F21F1">
        <w:rPr>
          <w:rFonts w:eastAsia="Times New Roman" w:cs="Times New Roman"/>
          <w:b/>
          <w:bCs/>
          <w:lang w:eastAsia="et-EE"/>
        </w:rPr>
        <w:t>24</w:t>
      </w:r>
      <w:r w:rsidRPr="001F21F1">
        <w:rPr>
          <w:rFonts w:eastAsia="Times New Roman" w:cs="Times New Roman"/>
          <w:b/>
          <w:bCs/>
          <w:lang w:eastAsia="et-EE"/>
        </w:rPr>
        <w:t>)</w:t>
      </w:r>
      <w:r w:rsidRPr="001F21F1">
        <w:rPr>
          <w:rFonts w:eastAsia="Times New Roman" w:cs="Times New Roman"/>
          <w:b/>
          <w:bCs/>
          <w:vertAlign w:val="superscript"/>
          <w:lang w:eastAsia="et-EE"/>
        </w:rPr>
        <w:footnoteReference w:id="152"/>
      </w:r>
      <w:r w:rsidR="00E44B1C" w:rsidRPr="001F21F1">
        <w:rPr>
          <w:rFonts w:eastAsia="Times New Roman" w:cs="Times New Roman"/>
          <w:b/>
          <w:bCs/>
          <w:lang w:eastAsia="et-EE"/>
        </w:rPr>
        <w:t xml:space="preserve">, </w:t>
      </w:r>
      <w:r w:rsidR="000C77D5">
        <w:rPr>
          <w:rFonts w:eastAsia="Times New Roman" w:cs="Times New Roman"/>
          <w:b/>
          <w:bCs/>
          <w:lang w:eastAsia="et-EE"/>
        </w:rPr>
        <w:t xml:space="preserve">nimetatud </w:t>
      </w:r>
      <w:r w:rsidR="00E44B1C" w:rsidRPr="001F21F1">
        <w:rPr>
          <w:rFonts w:eastAsia="Times New Roman" w:cs="Times New Roman"/>
          <w:b/>
          <w:bCs/>
          <w:lang w:eastAsia="et-EE"/>
        </w:rPr>
        <w:t>juurdepääsu</w:t>
      </w:r>
      <w:r w:rsidR="00DE5953">
        <w:rPr>
          <w:rFonts w:eastAsia="Times New Roman" w:cs="Times New Roman"/>
          <w:b/>
          <w:bCs/>
          <w:lang w:eastAsia="et-EE"/>
        </w:rPr>
        <w:t xml:space="preserve"> pakkumist ja võimaldamist</w:t>
      </w:r>
      <w:r w:rsidR="00E44B1C" w:rsidRPr="001F21F1">
        <w:rPr>
          <w:rFonts w:eastAsia="Times New Roman" w:cs="Times New Roman"/>
          <w:b/>
          <w:bCs/>
          <w:lang w:eastAsia="et-EE"/>
        </w:rPr>
        <w:t xml:space="preserve"> </w:t>
      </w:r>
      <w:r w:rsidR="00DE5953" w:rsidRPr="001F21F1">
        <w:rPr>
          <w:rFonts w:eastAsia="Times New Roman" w:cs="Times New Roman"/>
          <w:b/>
          <w:bCs/>
          <w:lang w:eastAsia="et-EE"/>
        </w:rPr>
        <w:t>virtuaalse</w:t>
      </w:r>
      <w:r w:rsidR="00DE5953">
        <w:rPr>
          <w:rFonts w:eastAsia="Times New Roman" w:cs="Times New Roman"/>
          <w:b/>
          <w:bCs/>
          <w:lang w:eastAsia="et-EE"/>
        </w:rPr>
        <w:t>lt eraldatud kliendiliinile peab</w:t>
      </w:r>
      <w:r w:rsidR="00DE5953" w:rsidRPr="001F21F1">
        <w:rPr>
          <w:rFonts w:eastAsia="Times New Roman" w:cs="Times New Roman"/>
          <w:b/>
          <w:bCs/>
          <w:lang w:eastAsia="et-EE"/>
        </w:rPr>
        <w:t xml:space="preserve"> </w:t>
      </w:r>
      <w:r w:rsidR="009141C5" w:rsidRPr="001F21F1">
        <w:rPr>
          <w:rFonts w:eastAsia="Times New Roman" w:cs="Times New Roman"/>
          <w:b/>
          <w:bCs/>
          <w:lang w:eastAsia="et-EE"/>
        </w:rPr>
        <w:t xml:space="preserve">Telia alustama hiljemalt </w:t>
      </w:r>
      <w:r w:rsidR="003D3F8F" w:rsidRPr="001F21F1">
        <w:rPr>
          <w:rFonts w:eastAsia="Times New Roman" w:cs="Times New Roman"/>
          <w:b/>
          <w:bCs/>
          <w:lang w:eastAsia="et-EE"/>
        </w:rPr>
        <w:t>9 kuud peale otsuse kehtestamist</w:t>
      </w:r>
      <w:r w:rsidRPr="001F21F1">
        <w:rPr>
          <w:rFonts w:eastAsia="Times New Roman" w:cs="Times New Roman"/>
          <w:b/>
          <w:bCs/>
          <w:lang w:eastAsia="et-EE"/>
        </w:rPr>
        <w:t>;</w:t>
      </w:r>
    </w:p>
    <w:p w14:paraId="69808E08" w14:textId="55A3A752" w:rsidR="00F03958" w:rsidRPr="001F21F1" w:rsidRDefault="00F03958" w:rsidP="00AA241E">
      <w:pPr>
        <w:numPr>
          <w:ilvl w:val="0"/>
          <w:numId w:val="52"/>
        </w:numPr>
        <w:suppressAutoHyphens/>
        <w:autoSpaceDE w:val="0"/>
        <w:autoSpaceDN w:val="0"/>
        <w:adjustRightInd w:val="0"/>
        <w:spacing w:before="120" w:after="120" w:line="240" w:lineRule="auto"/>
        <w:jc w:val="both"/>
        <w:rPr>
          <w:rFonts w:eastAsia="Times New Roman" w:cs="Times New Roman"/>
          <w:b/>
          <w:bCs/>
          <w:lang w:eastAsia="et-EE"/>
        </w:rPr>
      </w:pPr>
      <w:bookmarkStart w:id="965" w:name="_Hlk184721219"/>
      <w:r w:rsidRPr="001F21F1">
        <w:rPr>
          <w:rFonts w:eastAsia="Times New Roman" w:cs="Times New Roman"/>
          <w:b/>
          <w:bCs/>
          <w:lang w:eastAsia="et-EE"/>
        </w:rPr>
        <w:lastRenderedPageBreak/>
        <w:t xml:space="preserve">pakkuma ja võimaldama hulgituru 1 teenustele juurdepääsuks vajalikku </w:t>
      </w:r>
      <w:r w:rsidR="00AB247C">
        <w:rPr>
          <w:rFonts w:eastAsia="Times New Roman" w:cs="Times New Roman"/>
          <w:b/>
          <w:bCs/>
          <w:lang w:eastAsia="et-EE"/>
        </w:rPr>
        <w:t xml:space="preserve">seadmete </w:t>
      </w:r>
      <w:r w:rsidRPr="001F21F1">
        <w:rPr>
          <w:rFonts w:eastAsia="Times New Roman" w:cs="Times New Roman"/>
          <w:b/>
          <w:bCs/>
          <w:lang w:eastAsia="et-EE"/>
        </w:rPr>
        <w:t xml:space="preserve">ühispaiknemist </w:t>
      </w:r>
      <w:r w:rsidR="00116D8D">
        <w:rPr>
          <w:rFonts w:eastAsia="Times New Roman" w:cs="Times New Roman"/>
          <w:b/>
          <w:bCs/>
          <w:lang w:eastAsia="et-EE"/>
        </w:rPr>
        <w:t>ja</w:t>
      </w:r>
      <w:r w:rsidR="00116D8D" w:rsidRPr="001F21F1">
        <w:rPr>
          <w:rFonts w:eastAsia="Times New Roman" w:cs="Times New Roman"/>
          <w:b/>
          <w:bCs/>
          <w:lang w:eastAsia="et-EE"/>
        </w:rPr>
        <w:t xml:space="preserve"> </w:t>
      </w:r>
      <w:r w:rsidRPr="001F21F1">
        <w:rPr>
          <w:rFonts w:eastAsia="Times New Roman" w:cs="Times New Roman"/>
          <w:b/>
          <w:bCs/>
          <w:lang w:eastAsia="et-EE"/>
        </w:rPr>
        <w:t xml:space="preserve">muid ühiskasutuse viise, sealhulgas </w:t>
      </w:r>
      <w:r w:rsidR="004A47AC">
        <w:rPr>
          <w:rFonts w:eastAsia="Times New Roman" w:cs="Times New Roman"/>
          <w:b/>
          <w:bCs/>
          <w:lang w:eastAsia="et-EE"/>
        </w:rPr>
        <w:t>sidetoru</w:t>
      </w:r>
      <w:r w:rsidR="00116D8D">
        <w:rPr>
          <w:rFonts w:eastAsia="Times New Roman" w:cs="Times New Roman"/>
          <w:b/>
          <w:bCs/>
          <w:lang w:eastAsia="et-EE"/>
        </w:rPr>
        <w:t xml:space="preserve">, hoonete ja </w:t>
      </w:r>
      <w:r w:rsidRPr="001F21F1">
        <w:rPr>
          <w:rFonts w:eastAsia="Times New Roman" w:cs="Times New Roman"/>
          <w:b/>
          <w:bCs/>
          <w:lang w:eastAsia="et-EE"/>
        </w:rPr>
        <w:t>seadmemajutus</w:t>
      </w:r>
      <w:r w:rsidR="00116D8D">
        <w:rPr>
          <w:rFonts w:eastAsia="Times New Roman" w:cs="Times New Roman"/>
          <w:b/>
          <w:bCs/>
          <w:lang w:eastAsia="et-EE"/>
        </w:rPr>
        <w:t>e ühiskasutust</w:t>
      </w:r>
      <w:r w:rsidRPr="001F21F1">
        <w:rPr>
          <w:rFonts w:eastAsia="Times New Roman" w:cs="Times New Roman"/>
          <w:b/>
          <w:bCs/>
          <w:vertAlign w:val="superscript"/>
          <w:lang w:eastAsia="et-EE"/>
        </w:rPr>
        <w:footnoteReference w:id="153"/>
      </w:r>
      <w:r w:rsidRPr="001F21F1">
        <w:rPr>
          <w:rFonts w:eastAsia="Times New Roman" w:cs="Times New Roman"/>
          <w:b/>
          <w:bCs/>
          <w:lang w:eastAsia="et-EE"/>
        </w:rPr>
        <w:t>;</w:t>
      </w:r>
    </w:p>
    <w:p w14:paraId="03D5BA94" w14:textId="335DA386" w:rsidR="00F03958" w:rsidRPr="001F21F1" w:rsidRDefault="00F03958" w:rsidP="00AA241E">
      <w:pPr>
        <w:numPr>
          <w:ilvl w:val="0"/>
          <w:numId w:val="52"/>
        </w:numPr>
        <w:suppressAutoHyphens/>
        <w:autoSpaceDE w:val="0"/>
        <w:autoSpaceDN w:val="0"/>
        <w:adjustRightInd w:val="0"/>
        <w:spacing w:before="120" w:after="120" w:line="240" w:lineRule="auto"/>
        <w:jc w:val="both"/>
        <w:rPr>
          <w:rFonts w:eastAsia="Times New Roman" w:cs="Times New Roman"/>
          <w:b/>
          <w:bCs/>
          <w:lang w:eastAsia="et-EE"/>
        </w:rPr>
      </w:pPr>
      <w:bookmarkStart w:id="966" w:name="_Hlk184721857"/>
      <w:bookmarkEnd w:id="965"/>
      <w:r w:rsidRPr="001F21F1">
        <w:rPr>
          <w:rFonts w:eastAsia="Times New Roman" w:cs="Times New Roman"/>
          <w:b/>
          <w:bCs/>
          <w:lang w:eastAsia="et-EE"/>
        </w:rPr>
        <w:t>pakkuma ja võimaldama juurdepääsu hulgituru 1 teenuste kasutuseks vajalikele tugisüsteemidele ja/või tarkvarasüsteemidele, sealhulgas</w:t>
      </w:r>
      <w:r w:rsidR="008B71B9">
        <w:rPr>
          <w:rFonts w:eastAsia="Times New Roman" w:cs="Times New Roman"/>
          <w:b/>
          <w:bCs/>
          <w:lang w:eastAsia="et-EE"/>
        </w:rPr>
        <w:t xml:space="preserve"> nendele,</w:t>
      </w:r>
      <w:r w:rsidRPr="001F21F1">
        <w:rPr>
          <w:rFonts w:eastAsia="Times New Roman" w:cs="Times New Roman"/>
          <w:b/>
          <w:bCs/>
          <w:lang w:eastAsia="et-EE"/>
        </w:rPr>
        <w:t xml:space="preserve"> </w:t>
      </w:r>
      <w:r w:rsidR="007B490B">
        <w:rPr>
          <w:rFonts w:eastAsia="Times New Roman" w:cs="Times New Roman"/>
          <w:b/>
          <w:bCs/>
          <w:lang w:eastAsia="et-EE"/>
        </w:rPr>
        <w:t xml:space="preserve">mis on </w:t>
      </w:r>
      <w:r w:rsidRPr="001F21F1">
        <w:rPr>
          <w:rFonts w:eastAsia="Times New Roman" w:cs="Times New Roman"/>
          <w:b/>
          <w:bCs/>
          <w:lang w:eastAsia="et-EE"/>
        </w:rPr>
        <w:t>vajalik</w:t>
      </w:r>
      <w:r w:rsidR="007B490B">
        <w:rPr>
          <w:rFonts w:eastAsia="Times New Roman" w:cs="Times New Roman"/>
          <w:b/>
          <w:bCs/>
          <w:lang w:eastAsia="et-EE"/>
        </w:rPr>
        <w:t>ud</w:t>
      </w:r>
      <w:r w:rsidRPr="001F21F1">
        <w:rPr>
          <w:rFonts w:eastAsia="Times New Roman" w:cs="Times New Roman"/>
          <w:b/>
          <w:bCs/>
          <w:lang w:eastAsia="et-EE"/>
        </w:rPr>
        <w:t xml:space="preserve"> tehniliste tingimuste tellimise, teenuse tellimise, tehnilise hoolduse ja remondi</w:t>
      </w:r>
      <w:r w:rsidR="004313CD" w:rsidRPr="001F21F1">
        <w:rPr>
          <w:rFonts w:cs="Times New Roman"/>
          <w:b/>
          <w:bCs/>
        </w:rPr>
        <w:t xml:space="preserve"> jaoks</w:t>
      </w:r>
      <w:r w:rsidRPr="001F21F1">
        <w:rPr>
          <w:rFonts w:eastAsia="Times New Roman" w:cs="Times New Roman"/>
          <w:b/>
          <w:bCs/>
          <w:vertAlign w:val="superscript"/>
          <w:lang w:eastAsia="et-EE"/>
        </w:rPr>
        <w:footnoteReference w:id="154"/>
      </w:r>
      <w:r w:rsidRPr="001F21F1">
        <w:rPr>
          <w:rFonts w:eastAsia="Times New Roman" w:cs="Times New Roman"/>
          <w:b/>
          <w:bCs/>
          <w:lang w:eastAsia="et-EE"/>
        </w:rPr>
        <w:t>;</w:t>
      </w:r>
    </w:p>
    <w:bookmarkEnd w:id="966"/>
    <w:p w14:paraId="396361EF" w14:textId="7600D8E7" w:rsidR="00F03958" w:rsidRPr="001F21F1" w:rsidRDefault="00F03958" w:rsidP="00AA241E">
      <w:pPr>
        <w:numPr>
          <w:ilvl w:val="0"/>
          <w:numId w:val="52"/>
        </w:numPr>
        <w:suppressAutoHyphens/>
        <w:autoSpaceDE w:val="0"/>
        <w:autoSpaceDN w:val="0"/>
        <w:adjustRightInd w:val="0"/>
        <w:spacing w:before="120" w:after="120" w:line="240" w:lineRule="auto"/>
        <w:jc w:val="both"/>
        <w:rPr>
          <w:rFonts w:eastAsia="Times New Roman" w:cs="Times New Roman"/>
          <w:b/>
          <w:bCs/>
          <w:lang w:eastAsia="et-EE"/>
        </w:rPr>
      </w:pPr>
      <w:r w:rsidRPr="001F21F1">
        <w:rPr>
          <w:rFonts w:eastAsia="Times New Roman" w:cs="Times New Roman"/>
          <w:b/>
          <w:bCs/>
          <w:lang w:eastAsia="et-EE"/>
        </w:rPr>
        <w:t>pakkuma ja võimaldama juurdepääsu seotud teenustele, mis on vajalikud valguskaabli füüsiliselt või virtuaalselt eraldatud kliendiliini ühendamiseks teise sideettevõtja sidevõrguga</w:t>
      </w:r>
      <w:r w:rsidRPr="001F21F1">
        <w:rPr>
          <w:rFonts w:eastAsia="Times New Roman" w:cs="Times New Roman"/>
          <w:b/>
          <w:bCs/>
          <w:vertAlign w:val="superscript"/>
          <w:lang w:eastAsia="et-EE"/>
        </w:rPr>
        <w:footnoteReference w:id="155"/>
      </w:r>
      <w:r w:rsidRPr="001F21F1">
        <w:rPr>
          <w:rFonts w:eastAsia="Times New Roman" w:cs="Times New Roman"/>
          <w:b/>
          <w:bCs/>
          <w:lang w:eastAsia="et-EE"/>
        </w:rPr>
        <w:t>;</w:t>
      </w:r>
    </w:p>
    <w:p w14:paraId="34B0E112" w14:textId="426D2A5D" w:rsidR="00F03958" w:rsidRPr="001F21F1" w:rsidRDefault="00F03958" w:rsidP="00AA241E">
      <w:pPr>
        <w:numPr>
          <w:ilvl w:val="0"/>
          <w:numId w:val="52"/>
        </w:numPr>
        <w:suppressAutoHyphens/>
        <w:autoSpaceDE w:val="0"/>
        <w:autoSpaceDN w:val="0"/>
        <w:adjustRightInd w:val="0"/>
        <w:spacing w:before="120" w:after="120" w:line="240" w:lineRule="auto"/>
        <w:jc w:val="both"/>
        <w:rPr>
          <w:rFonts w:eastAsia="Times New Roman" w:cs="Times New Roman"/>
          <w:b/>
          <w:bCs/>
          <w:lang w:eastAsia="et-EE"/>
        </w:rPr>
      </w:pPr>
      <w:r w:rsidRPr="001F21F1">
        <w:rPr>
          <w:rFonts w:eastAsia="Times New Roman" w:cs="Times New Roman"/>
          <w:b/>
          <w:bCs/>
          <w:lang w:eastAsia="et-EE"/>
        </w:rPr>
        <w:t>võimaldama teiste sideettevõtjate vastava taotluse korral hulgituru 1 teenustele juurdepääsu esimese mõistlikult teostatava tähtaja jooksul ja mitte pikema tähtaja jooksul kui Telia võimaldab hulgituru 1 teenustele juurdepääsu enda allüksustele, sealhulgas määratlema nimetatud juurdepääsu taotluste täitmise tähtajad oma näidispakkumises ja igal kalendri aastal</w:t>
      </w:r>
      <w:r w:rsidRPr="001F21F1">
        <w:rPr>
          <w:rFonts w:eastAsia="Times New Roman" w:cs="Times New Roman"/>
          <w:b/>
          <w:bCs/>
          <w:vertAlign w:val="superscript"/>
          <w:lang w:eastAsia="et-EE"/>
        </w:rPr>
        <w:t xml:space="preserve"> </w:t>
      </w:r>
      <w:r w:rsidRPr="001F21F1">
        <w:rPr>
          <w:rFonts w:eastAsia="Times New Roman" w:cs="Times New Roman"/>
          <w:b/>
          <w:bCs/>
          <w:lang w:eastAsia="et-EE"/>
        </w:rPr>
        <w:t>kontrollima selle vastavust enda allüksusele vastava juurdepääsu osutamise ajaga ning vajadusel uuendama näidispakkumist</w:t>
      </w:r>
      <w:r w:rsidR="0072623A">
        <w:rPr>
          <w:rFonts w:eastAsia="Times New Roman" w:cs="Times New Roman"/>
          <w:b/>
          <w:bCs/>
          <w:lang w:eastAsia="et-EE"/>
        </w:rPr>
        <w:t xml:space="preserve"> (vt</w:t>
      </w:r>
      <w:r w:rsidR="00B64F6F">
        <w:rPr>
          <w:rFonts w:eastAsia="Times New Roman" w:cs="Times New Roman"/>
          <w:b/>
          <w:bCs/>
          <w:lang w:eastAsia="et-EE"/>
        </w:rPr>
        <w:t>.</w:t>
      </w:r>
      <w:r w:rsidR="0072623A">
        <w:rPr>
          <w:rFonts w:eastAsia="Times New Roman" w:cs="Times New Roman"/>
          <w:b/>
          <w:bCs/>
          <w:lang w:eastAsia="et-EE"/>
        </w:rPr>
        <w:t xml:space="preserve"> ka ptk</w:t>
      </w:r>
      <w:r w:rsidR="00B64F6F">
        <w:rPr>
          <w:rFonts w:eastAsia="Times New Roman" w:cs="Times New Roman"/>
          <w:b/>
          <w:bCs/>
          <w:lang w:eastAsia="et-EE"/>
        </w:rPr>
        <w:t>.</w:t>
      </w:r>
      <w:r w:rsidR="0072623A">
        <w:rPr>
          <w:rFonts w:eastAsia="Times New Roman" w:cs="Times New Roman"/>
          <w:b/>
          <w:bCs/>
          <w:lang w:eastAsia="et-EE"/>
        </w:rPr>
        <w:t xml:space="preserve"> 7.4.10</w:t>
      </w:r>
      <w:r w:rsidR="00B64F6F">
        <w:rPr>
          <w:rFonts w:eastAsia="Times New Roman" w:cs="Times New Roman"/>
          <w:b/>
          <w:bCs/>
          <w:lang w:eastAsia="et-EE"/>
        </w:rPr>
        <w:t>.3</w:t>
      </w:r>
      <w:r w:rsidR="0072623A">
        <w:rPr>
          <w:rFonts w:eastAsia="Times New Roman" w:cs="Times New Roman"/>
          <w:b/>
          <w:bCs/>
          <w:lang w:eastAsia="et-EE"/>
        </w:rPr>
        <w:t xml:space="preserve"> „</w:t>
      </w:r>
      <w:r w:rsidR="0072623A" w:rsidRPr="0072623A">
        <w:rPr>
          <w:rFonts w:eastAsia="Times New Roman" w:cs="Times New Roman"/>
          <w:b/>
          <w:bCs/>
          <w:lang w:eastAsia="et-EE"/>
        </w:rPr>
        <w:t>Tulemusnäitajad, teenustaseme kokkulepped ja garantiid</w:t>
      </w:r>
      <w:r w:rsidR="0072623A">
        <w:rPr>
          <w:rFonts w:eastAsia="Times New Roman" w:cs="Times New Roman"/>
          <w:b/>
          <w:bCs/>
          <w:lang w:eastAsia="et-EE"/>
        </w:rPr>
        <w:t>“)</w:t>
      </w:r>
      <w:r w:rsidRPr="001F21F1">
        <w:rPr>
          <w:rFonts w:eastAsia="Times New Roman" w:cs="Times New Roman"/>
          <w:b/>
          <w:bCs/>
          <w:vertAlign w:val="superscript"/>
          <w:lang w:eastAsia="et-EE"/>
        </w:rPr>
        <w:footnoteReference w:id="156"/>
      </w:r>
      <w:r w:rsidRPr="001F21F1">
        <w:rPr>
          <w:rFonts w:eastAsia="Times New Roman" w:cs="Times New Roman"/>
          <w:b/>
          <w:bCs/>
          <w:lang w:eastAsia="et-EE"/>
        </w:rPr>
        <w:t>.</w:t>
      </w:r>
    </w:p>
    <w:p w14:paraId="49B818C6" w14:textId="77777777" w:rsidR="00486E23" w:rsidRDefault="00486E23" w:rsidP="00AA241E">
      <w:pPr>
        <w:suppressAutoHyphens/>
        <w:autoSpaceDE w:val="0"/>
        <w:autoSpaceDN w:val="0"/>
        <w:adjustRightInd w:val="0"/>
        <w:spacing w:before="120" w:after="120" w:line="240" w:lineRule="auto"/>
        <w:jc w:val="both"/>
        <w:rPr>
          <w:noProof/>
        </w:rPr>
      </w:pPr>
    </w:p>
    <w:p w14:paraId="00B741D1" w14:textId="20D178FF" w:rsidR="00F03958" w:rsidRPr="00883566" w:rsidRDefault="00271A89" w:rsidP="00AA241E">
      <w:pPr>
        <w:suppressAutoHyphens/>
        <w:autoSpaceDE w:val="0"/>
        <w:autoSpaceDN w:val="0"/>
        <w:adjustRightInd w:val="0"/>
        <w:spacing w:before="120" w:after="120" w:line="240" w:lineRule="auto"/>
        <w:jc w:val="both"/>
        <w:rPr>
          <w:rFonts w:eastAsia="Times New Roman" w:cs="Times New Roman"/>
          <w:b/>
          <w:bCs/>
          <w:lang w:eastAsia="et-EE"/>
        </w:rPr>
      </w:pPr>
      <w:r w:rsidRPr="00271A89">
        <w:rPr>
          <w:rFonts w:eastAsia="Times New Roman" w:cs="Times New Roman"/>
          <w:b/>
          <w:bCs/>
          <w:noProof/>
          <w:lang w:eastAsia="et-EE"/>
        </w:rPr>
        <w:lastRenderedPageBreak/>
        <w:drawing>
          <wp:inline distT="0" distB="0" distL="0" distR="0" wp14:anchorId="1F1B88DC" wp14:editId="3E1905C5">
            <wp:extent cx="5943600" cy="3726180"/>
            <wp:effectExtent l="19050" t="19050" r="19050" b="26670"/>
            <wp:docPr id="1097092321" name="Pilt 1" descr="Pilt, millel on kujutatud tekst, Font, kuvatõmmi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92321" name="Pilt 1" descr="Pilt, millel on kujutatud tekst, Font, kuvatõmmis, diagramm&#10;&#10;Kirjeldus on genereeritud automaatselt"/>
                    <pic:cNvPicPr/>
                  </pic:nvPicPr>
                  <pic:blipFill>
                    <a:blip r:embed="rId44"/>
                    <a:stretch>
                      <a:fillRect/>
                    </a:stretch>
                  </pic:blipFill>
                  <pic:spPr>
                    <a:xfrm>
                      <a:off x="0" y="0"/>
                      <a:ext cx="5943600" cy="3726180"/>
                    </a:xfrm>
                    <a:prstGeom prst="rect">
                      <a:avLst/>
                    </a:prstGeom>
                    <a:ln>
                      <a:solidFill>
                        <a:schemeClr val="tx1"/>
                      </a:solidFill>
                    </a:ln>
                  </pic:spPr>
                </pic:pic>
              </a:graphicData>
            </a:graphic>
          </wp:inline>
        </w:drawing>
      </w:r>
    </w:p>
    <w:p w14:paraId="11648CFA" w14:textId="77777777" w:rsidR="00F03958" w:rsidRPr="00883566" w:rsidRDefault="00F03958" w:rsidP="00AA241E">
      <w:pPr>
        <w:suppressAutoHyphens/>
        <w:autoSpaceDE w:val="0"/>
        <w:autoSpaceDN w:val="0"/>
        <w:adjustRightInd w:val="0"/>
        <w:spacing w:before="120" w:after="120" w:line="240" w:lineRule="auto"/>
        <w:jc w:val="both"/>
        <w:rPr>
          <w:rFonts w:eastAsia="Times New Roman" w:cs="Times New Roman"/>
          <w:b/>
          <w:bCs/>
          <w:lang w:eastAsia="et-EE"/>
        </w:rPr>
      </w:pPr>
    </w:p>
    <w:p w14:paraId="49FB4262" w14:textId="313324F6" w:rsidR="00F03958" w:rsidRPr="00883566" w:rsidRDefault="00F03958" w:rsidP="00AA241E">
      <w:pPr>
        <w:suppressAutoHyphens/>
        <w:spacing w:before="120" w:after="120" w:line="240" w:lineRule="auto"/>
        <w:jc w:val="both"/>
        <w:rPr>
          <w:rFonts w:eastAsia="Times New Roman" w:cs="Times New Roman"/>
          <w:b/>
          <w:bCs/>
          <w:sz w:val="20"/>
          <w:szCs w:val="20"/>
          <w:lang w:eastAsia="et-EE"/>
        </w:rPr>
      </w:pPr>
      <w:r w:rsidRPr="00883566">
        <w:rPr>
          <w:rFonts w:eastAsia="Times New Roman" w:cs="Times New Roman"/>
          <w:b/>
          <w:bCs/>
          <w:sz w:val="20"/>
          <w:szCs w:val="20"/>
          <w:lang w:eastAsia="ar-SA"/>
        </w:rPr>
        <w:t xml:space="preserve">Joonis </w:t>
      </w:r>
      <w:r w:rsidRPr="00883566">
        <w:rPr>
          <w:rFonts w:eastAsia="Times New Roman" w:cs="Times New Roman"/>
          <w:b/>
          <w:bCs/>
          <w:sz w:val="20"/>
          <w:szCs w:val="20"/>
          <w:lang w:eastAsia="ar-SA"/>
        </w:rPr>
        <w:fldChar w:fldCharType="begin"/>
      </w:r>
      <w:r w:rsidRPr="00883566">
        <w:rPr>
          <w:rFonts w:eastAsia="Times New Roman" w:cs="Times New Roman"/>
          <w:b/>
          <w:bCs/>
          <w:sz w:val="20"/>
          <w:szCs w:val="20"/>
          <w:lang w:eastAsia="ar-SA"/>
        </w:rPr>
        <w:instrText xml:space="preserve"> SEQ Joonis \* ARABIC </w:instrText>
      </w:r>
      <w:r w:rsidRPr="00883566">
        <w:rPr>
          <w:rFonts w:eastAsia="Times New Roman" w:cs="Times New Roman"/>
          <w:b/>
          <w:bCs/>
          <w:sz w:val="20"/>
          <w:szCs w:val="20"/>
          <w:lang w:eastAsia="ar-SA"/>
        </w:rPr>
        <w:fldChar w:fldCharType="separate"/>
      </w:r>
      <w:r w:rsidR="00E5522B">
        <w:rPr>
          <w:rFonts w:eastAsia="Times New Roman" w:cs="Times New Roman"/>
          <w:b/>
          <w:bCs/>
          <w:noProof/>
          <w:sz w:val="20"/>
          <w:szCs w:val="20"/>
          <w:lang w:eastAsia="ar-SA"/>
        </w:rPr>
        <w:t>24</w:t>
      </w:r>
      <w:r w:rsidRPr="00883566">
        <w:rPr>
          <w:rFonts w:eastAsia="Times New Roman" w:cs="Times New Roman"/>
          <w:b/>
          <w:bCs/>
          <w:noProof/>
          <w:sz w:val="20"/>
          <w:szCs w:val="20"/>
          <w:lang w:eastAsia="ar-SA"/>
        </w:rPr>
        <w:fldChar w:fldCharType="end"/>
      </w:r>
      <w:r w:rsidRPr="00883566">
        <w:rPr>
          <w:rFonts w:eastAsia="Times New Roman" w:cs="Times New Roman"/>
          <w:b/>
          <w:bCs/>
          <w:sz w:val="20"/>
          <w:szCs w:val="20"/>
          <w:lang w:eastAsia="et-EE"/>
        </w:rPr>
        <w:t>. Hulgituru 1 teenustele juurdepääsu kirjeldus.</w:t>
      </w:r>
    </w:p>
    <w:p w14:paraId="472E8803" w14:textId="77777777" w:rsidR="00F03958" w:rsidRPr="00883566" w:rsidRDefault="00F03958" w:rsidP="00AA241E">
      <w:pPr>
        <w:autoSpaceDE w:val="0"/>
        <w:autoSpaceDN w:val="0"/>
        <w:adjustRightInd w:val="0"/>
        <w:spacing w:before="120" w:after="120" w:line="240" w:lineRule="auto"/>
        <w:jc w:val="both"/>
        <w:rPr>
          <w:rFonts w:eastAsia="Times New Roman" w:cs="Times New Roman"/>
          <w:b/>
          <w:bCs/>
          <w:lang w:eastAsia="et-EE"/>
        </w:rPr>
      </w:pPr>
    </w:p>
    <w:p w14:paraId="5F24AFD5" w14:textId="77777777" w:rsidR="00F03958" w:rsidRPr="001F21F1" w:rsidRDefault="00F03958" w:rsidP="00AA241E">
      <w:pPr>
        <w:suppressAutoHyphens/>
        <w:autoSpaceDE w:val="0"/>
        <w:autoSpaceDN w:val="0"/>
        <w:adjustRightInd w:val="0"/>
        <w:spacing w:before="240" w:after="120" w:line="240" w:lineRule="auto"/>
        <w:jc w:val="both"/>
        <w:rPr>
          <w:rFonts w:eastAsia="Times New Roman" w:cs="Times New Roman"/>
          <w:b/>
          <w:bCs/>
          <w:lang w:eastAsia="et-EE"/>
        </w:rPr>
      </w:pPr>
      <w:r w:rsidRPr="001F21F1">
        <w:rPr>
          <w:rFonts w:eastAsia="Times New Roman" w:cs="Times New Roman"/>
          <w:b/>
          <w:bCs/>
          <w:lang w:eastAsia="et-EE"/>
        </w:rPr>
        <w:t>Tulenevalt ESS § 64 lg 2 on sideettevõtja, kelle suhtes on TTJA kehtestanud juurdepääsu kohustuse, kohustatud juurdepääsu kohustuse täitmisel vastavalt kohustuse iseloomule täitma järgmisi nõudeid:</w:t>
      </w:r>
    </w:p>
    <w:p w14:paraId="1D7A68EE" w14:textId="77777777" w:rsidR="00F03958" w:rsidRPr="001F21F1" w:rsidRDefault="00F03958" w:rsidP="00AA241E">
      <w:pPr>
        <w:numPr>
          <w:ilvl w:val="0"/>
          <w:numId w:val="53"/>
        </w:numPr>
        <w:suppressAutoHyphens/>
        <w:autoSpaceDE w:val="0"/>
        <w:autoSpaceDN w:val="0"/>
        <w:adjustRightInd w:val="0"/>
        <w:spacing w:before="120" w:after="120" w:line="240" w:lineRule="auto"/>
        <w:jc w:val="both"/>
        <w:rPr>
          <w:rFonts w:eastAsia="Times New Roman" w:cs="Times New Roman"/>
          <w:b/>
          <w:bCs/>
          <w:lang w:eastAsia="et-EE"/>
        </w:rPr>
      </w:pPr>
      <w:r w:rsidRPr="001F21F1">
        <w:rPr>
          <w:rFonts w:eastAsia="Times New Roman" w:cs="Times New Roman"/>
          <w:b/>
          <w:bCs/>
          <w:lang w:eastAsia="et-EE"/>
        </w:rPr>
        <w:t>võimaldama kasutada võrgu seadmeid, ehitisi ning liinirajatisi võrdsetel tingimustel ja kvaliteediga, millega ta seda osutab oma ema- ja tütarettevõtjale, klientidele või äripartneritele;</w:t>
      </w:r>
    </w:p>
    <w:p w14:paraId="7C18312C" w14:textId="77777777" w:rsidR="00F03958" w:rsidRPr="001F21F1" w:rsidRDefault="00F03958" w:rsidP="00AA241E">
      <w:pPr>
        <w:numPr>
          <w:ilvl w:val="0"/>
          <w:numId w:val="53"/>
        </w:numPr>
        <w:suppressAutoHyphens/>
        <w:autoSpaceDE w:val="0"/>
        <w:autoSpaceDN w:val="0"/>
        <w:adjustRightInd w:val="0"/>
        <w:spacing w:before="120" w:after="120" w:line="240" w:lineRule="auto"/>
        <w:jc w:val="both"/>
        <w:rPr>
          <w:rFonts w:eastAsia="Times New Roman" w:cs="Times New Roman"/>
          <w:b/>
          <w:bCs/>
          <w:lang w:eastAsia="et-EE"/>
        </w:rPr>
      </w:pPr>
      <w:r w:rsidRPr="001F21F1">
        <w:rPr>
          <w:rFonts w:eastAsia="Times New Roman" w:cs="Times New Roman"/>
          <w:b/>
          <w:bCs/>
          <w:lang w:eastAsia="et-EE"/>
        </w:rPr>
        <w:t>võimaldama juurdepääsuks taotluse esitanud ettevõtjal saada juurdepääsuks vajalikku teavet;</w:t>
      </w:r>
    </w:p>
    <w:p w14:paraId="47236676" w14:textId="454D44A1" w:rsidR="00F03958" w:rsidRPr="001F21F1" w:rsidRDefault="00F03958" w:rsidP="00AA241E">
      <w:pPr>
        <w:numPr>
          <w:ilvl w:val="0"/>
          <w:numId w:val="53"/>
        </w:numPr>
        <w:suppressAutoHyphens/>
        <w:autoSpaceDE w:val="0"/>
        <w:autoSpaceDN w:val="0"/>
        <w:adjustRightInd w:val="0"/>
        <w:spacing w:before="120" w:after="120" w:line="240" w:lineRule="auto"/>
        <w:jc w:val="both"/>
        <w:rPr>
          <w:rFonts w:eastAsia="Times New Roman" w:cs="Times New Roman"/>
          <w:b/>
          <w:bCs/>
          <w:lang w:eastAsia="et-EE"/>
        </w:rPr>
      </w:pPr>
      <w:r w:rsidRPr="001F21F1">
        <w:rPr>
          <w:rFonts w:eastAsia="Times New Roman" w:cs="Times New Roman"/>
          <w:b/>
          <w:bCs/>
          <w:lang w:eastAsia="et-EE"/>
        </w:rPr>
        <w:t>kasutama juurdepääsuga seoses saadud teavet üksnes vastava teenuse osutamiseks ning mitte avaldama seda kolmandatele isikutele, eelkõige teisele struktuuriüksusele, tütarettevõtjale ega partnerile, kellele selline teave võiks anda konkurentsieeliseid, kui seaduses ei ole sätestatud teisiti;</w:t>
      </w:r>
    </w:p>
    <w:p w14:paraId="341E91E9" w14:textId="77777777" w:rsidR="00F03958" w:rsidRPr="001F21F1" w:rsidRDefault="00F03958" w:rsidP="00AA241E">
      <w:pPr>
        <w:numPr>
          <w:ilvl w:val="0"/>
          <w:numId w:val="53"/>
        </w:numPr>
        <w:suppressAutoHyphens/>
        <w:autoSpaceDE w:val="0"/>
        <w:autoSpaceDN w:val="0"/>
        <w:adjustRightInd w:val="0"/>
        <w:spacing w:before="120" w:after="120" w:line="240" w:lineRule="auto"/>
        <w:jc w:val="both"/>
        <w:rPr>
          <w:rFonts w:eastAsia="Times New Roman" w:cs="Times New Roman"/>
          <w:b/>
          <w:bCs/>
          <w:lang w:eastAsia="et-EE"/>
        </w:rPr>
      </w:pPr>
      <w:r w:rsidRPr="001F21F1">
        <w:rPr>
          <w:rFonts w:eastAsia="Times New Roman" w:cs="Times New Roman"/>
          <w:b/>
          <w:bCs/>
          <w:lang w:eastAsia="et-EE"/>
        </w:rPr>
        <w:t>mitte piirama oma klientide juurdepääsu teise sideettevõtja poolt osutatavatele teenustele.</w:t>
      </w:r>
    </w:p>
    <w:p w14:paraId="13D077B5" w14:textId="77777777" w:rsidR="00F03958" w:rsidRDefault="00F03958" w:rsidP="00AA241E">
      <w:pPr>
        <w:jc w:val="both"/>
      </w:pPr>
    </w:p>
    <w:p w14:paraId="2D3452DE" w14:textId="77777777" w:rsidR="006E04FA" w:rsidRPr="00883566" w:rsidRDefault="006E04FA" w:rsidP="00AA241E">
      <w:pPr>
        <w:jc w:val="both"/>
      </w:pPr>
    </w:p>
    <w:p w14:paraId="3F8D08FC" w14:textId="6B1B3F9A" w:rsidR="00F03958" w:rsidRPr="00883566" w:rsidRDefault="00F03958" w:rsidP="00AA241E">
      <w:pPr>
        <w:pStyle w:val="Pealkiri2"/>
        <w:jc w:val="both"/>
      </w:pPr>
      <w:r w:rsidRPr="00883566">
        <w:lastRenderedPageBreak/>
        <w:t xml:space="preserve"> </w:t>
      </w:r>
      <w:bookmarkStart w:id="967" w:name="_Toc174710830"/>
      <w:r w:rsidRPr="00883566">
        <w:t>Mittediskrimineerimise kohustused</w:t>
      </w:r>
      <w:bookmarkEnd w:id="967"/>
    </w:p>
    <w:p w14:paraId="209E8829" w14:textId="77777777" w:rsidR="00F03958" w:rsidRPr="00883566" w:rsidRDefault="00F03958" w:rsidP="00AA241E">
      <w:pPr>
        <w:jc w:val="both"/>
        <w:rPr>
          <w:lang w:eastAsia="en-US"/>
        </w:rPr>
      </w:pPr>
    </w:p>
    <w:p w14:paraId="7CDA53D9" w14:textId="4E40F057" w:rsidR="00F03958" w:rsidRPr="00883566" w:rsidRDefault="00F03958" w:rsidP="00AA241E">
      <w:pPr>
        <w:spacing w:line="259" w:lineRule="auto"/>
        <w:jc w:val="both"/>
        <w:rPr>
          <w:rFonts w:cs="Times New Roman"/>
          <w:lang w:eastAsia="en-US"/>
        </w:rPr>
      </w:pPr>
      <w:r w:rsidRPr="00883566">
        <w:rPr>
          <w:rFonts w:cs="Times New Roman"/>
        </w:rPr>
        <w:t xml:space="preserve">Käesoleva otsuse koostamise ajal kehtivad Telia hulgituru 1 teenustele mittediskrimineerimise kohustused TTJA 2017 hulgituru 1 otsuse alusel. Lähtudes käesoleva otsuse </w:t>
      </w:r>
      <w:r w:rsidR="008C159A">
        <w:rPr>
          <w:rFonts w:cs="Times New Roman"/>
        </w:rPr>
        <w:t>ptk.-</w:t>
      </w:r>
      <w:r w:rsidRPr="00883566">
        <w:rPr>
          <w:rFonts w:cs="Times New Roman"/>
        </w:rPr>
        <w:t xml:space="preserve">st </w:t>
      </w:r>
      <w:r w:rsidR="005C17F8">
        <w:rPr>
          <w:rFonts w:cs="Times New Roman"/>
        </w:rPr>
        <w:t>7</w:t>
      </w:r>
      <w:r w:rsidR="003F597B">
        <w:rPr>
          <w:rFonts w:cs="Times New Roman"/>
        </w:rPr>
        <w:t>.1.2</w:t>
      </w:r>
      <w:r w:rsidRPr="00883566">
        <w:rPr>
          <w:rFonts w:cs="Times New Roman"/>
        </w:rPr>
        <w:t xml:space="preserve"> tunnistatakse TTJA 2017 hulgituru 1 otsus ja selles kehtestatud kohustused kehtetuks. Käesolevas otsuses kehtestatavad kohustused on suunatud Telia </w:t>
      </w:r>
      <w:r w:rsidR="00A3232C">
        <w:rPr>
          <w:rFonts w:cs="Times New Roman"/>
        </w:rPr>
        <w:t>valguskaabelvõrgu</w:t>
      </w:r>
      <w:r w:rsidRPr="00883566">
        <w:rPr>
          <w:rFonts w:cs="Times New Roman"/>
        </w:rPr>
        <w:t xml:space="preserve">s kliendiliinile juurdepääsu </w:t>
      </w:r>
      <w:r w:rsidR="004006B4">
        <w:rPr>
          <w:rFonts w:cs="Times New Roman"/>
        </w:rPr>
        <w:t>hulgi</w:t>
      </w:r>
      <w:r w:rsidR="004A518B">
        <w:rPr>
          <w:rFonts w:cs="Times New Roman"/>
        </w:rPr>
        <w:t>teenustele</w:t>
      </w:r>
      <w:r w:rsidRPr="00883566">
        <w:rPr>
          <w:rFonts w:cs="Times New Roman"/>
        </w:rPr>
        <w:t xml:space="preserve"> piirkonnas B. Järgnevalt analüüsitakse ja tuvastatakse konkurentsiprobleemide vältimiseks ja konkurentsi edendamiseks asjakohaste kohustused võttes arvesse TTJA 2017 hulgituru 1 otsuses sätestatud kohustusi, uut EK 2024 kohustuste soovitust ning TTJA 2021 hulgituru 1 otsuse eelnõus ja TTJA 2023 hulgituru 1 otsuse eelnõus kajastatud sideettevõtjate arvamusi võimalike konkurentsiprobleemide osas. TTJA hinnangul on kohustuste järjepidevuse tagamiseks mõistlik ja proportsionaalne lähtuda TTJA 2017 hulgituru 1 otsuses sätestatud kohustustest neid vajadusel muutes ja/või täiendades.</w:t>
      </w:r>
    </w:p>
    <w:p w14:paraId="5ECFAC8F" w14:textId="1C38E409" w:rsidR="00F03958" w:rsidRPr="00883566" w:rsidRDefault="00F03958" w:rsidP="00AA241E">
      <w:pPr>
        <w:spacing w:line="259" w:lineRule="auto"/>
        <w:jc w:val="both"/>
        <w:rPr>
          <w:rFonts w:cs="Times New Roman"/>
        </w:rPr>
      </w:pPr>
      <w:r w:rsidRPr="00883566">
        <w:rPr>
          <w:rFonts w:cs="Times New Roman"/>
        </w:rPr>
        <w:t xml:space="preserve">Täpsemalt kehtivad Teliale käesoleva otsuse koostamise ajal TTJA 2017 hulgituru 1 otsuse lisa 1 </w:t>
      </w:r>
      <w:r w:rsidR="008C159A">
        <w:rPr>
          <w:rFonts w:cs="Times New Roman"/>
        </w:rPr>
        <w:t xml:space="preserve">ptk. </w:t>
      </w:r>
      <w:r w:rsidRPr="00883566">
        <w:rPr>
          <w:rFonts w:cs="Times New Roman"/>
        </w:rPr>
        <w:t>6.3.4 alusel järgmised mittediskrimineerimise kohustused:</w:t>
      </w:r>
    </w:p>
    <w:p w14:paraId="601BC62F" w14:textId="4F046937" w:rsidR="00F03958" w:rsidRPr="00883566" w:rsidRDefault="00F03958" w:rsidP="00AA241E">
      <w:pPr>
        <w:autoSpaceDE w:val="0"/>
        <w:autoSpaceDN w:val="0"/>
        <w:adjustRightInd w:val="0"/>
        <w:spacing w:before="120" w:after="120" w:line="240" w:lineRule="auto"/>
        <w:ind w:left="360"/>
        <w:jc w:val="both"/>
        <w:rPr>
          <w:i/>
          <w:iCs/>
          <w:lang w:eastAsia="et-EE"/>
        </w:rPr>
      </w:pPr>
      <w:r w:rsidRPr="00883566">
        <w:rPr>
          <w:i/>
          <w:iCs/>
          <w:lang w:eastAsia="et-EE"/>
        </w:rPr>
        <w:t xml:space="preserve">276. TJA otsustab kehtestada Teliale kindlaksmääratud asukohas kohaliku juurdepääsu hulgiturul otsuse peatükis </w:t>
      </w:r>
      <w:r w:rsidRPr="00883566">
        <w:rPr>
          <w:i/>
          <w:iCs/>
          <w:lang w:eastAsia="et-EE"/>
        </w:rPr>
        <w:fldChar w:fldCharType="begin"/>
      </w:r>
      <w:r w:rsidRPr="00883566">
        <w:rPr>
          <w:i/>
          <w:iCs/>
          <w:lang w:eastAsia="et-EE"/>
        </w:rPr>
        <w:instrText xml:space="preserve"> REF _Ref465421195 \h  \* MERGEFORMAT </w:instrText>
      </w:r>
      <w:r w:rsidRPr="00883566">
        <w:rPr>
          <w:i/>
          <w:iCs/>
          <w:lang w:eastAsia="et-EE"/>
        </w:rPr>
      </w:r>
      <w:r w:rsidRPr="00883566">
        <w:rPr>
          <w:i/>
          <w:iCs/>
          <w:lang w:eastAsia="et-EE"/>
        </w:rPr>
        <w:fldChar w:fldCharType="separate"/>
      </w:r>
      <w:r w:rsidRPr="00883566">
        <w:rPr>
          <w:i/>
          <w:iCs/>
        </w:rPr>
        <w:t>6.3.2. Diskrimineerimisega seotud konkurentsiprobleemid</w:t>
      </w:r>
      <w:r w:rsidRPr="00883566">
        <w:rPr>
          <w:i/>
          <w:iCs/>
          <w:lang w:eastAsia="et-EE"/>
        </w:rPr>
        <w:fldChar w:fldCharType="end"/>
      </w:r>
      <w:r w:rsidRPr="00883566">
        <w:rPr>
          <w:i/>
          <w:iCs/>
          <w:lang w:eastAsia="et-EE"/>
        </w:rPr>
        <w:t>“ nimetatud konkurentsiprobleemide lahendamiseks ning konkurentsi moonutamise ja takistamise tõkestamiseks ning sideettevõtjate võrdse ja mittediskrimineeriva kohtlemise tagamiseks ESS § 50 lg 1 punktis 3 sätestatud mittediskrimineerimise kohustuse.</w:t>
      </w:r>
    </w:p>
    <w:p w14:paraId="248EE9EB" w14:textId="793A8C34" w:rsidR="00F03958" w:rsidRPr="00883566" w:rsidRDefault="00F03958" w:rsidP="00AA241E">
      <w:pPr>
        <w:autoSpaceDE w:val="0"/>
        <w:autoSpaceDN w:val="0"/>
        <w:adjustRightInd w:val="0"/>
        <w:spacing w:before="120" w:after="120" w:line="240" w:lineRule="auto"/>
        <w:ind w:left="360"/>
        <w:jc w:val="both"/>
        <w:rPr>
          <w:i/>
          <w:iCs/>
          <w:lang w:eastAsia="et-EE"/>
        </w:rPr>
      </w:pPr>
      <w:r w:rsidRPr="00883566">
        <w:rPr>
          <w:i/>
          <w:iCs/>
          <w:lang w:eastAsia="et-EE"/>
        </w:rPr>
        <w:t xml:space="preserve">277. Selle kohustuse raames peab Telia otsuse peatükis </w:t>
      </w:r>
      <w:r w:rsidRPr="00883566">
        <w:rPr>
          <w:i/>
          <w:iCs/>
          <w:lang w:eastAsia="et-EE"/>
        </w:rPr>
        <w:fldChar w:fldCharType="begin"/>
      </w:r>
      <w:r w:rsidRPr="00883566">
        <w:rPr>
          <w:i/>
          <w:iCs/>
          <w:lang w:eastAsia="et-EE"/>
        </w:rPr>
        <w:instrText xml:space="preserve"> REF _Ref465421258 \h  \* MERGEFORMAT </w:instrText>
      </w:r>
      <w:r w:rsidRPr="00883566">
        <w:rPr>
          <w:i/>
          <w:iCs/>
          <w:lang w:eastAsia="et-EE"/>
        </w:rPr>
      </w:r>
      <w:r w:rsidRPr="00883566">
        <w:rPr>
          <w:i/>
          <w:iCs/>
          <w:lang w:eastAsia="et-EE"/>
        </w:rPr>
        <w:fldChar w:fldCharType="separate"/>
      </w:r>
      <w:r w:rsidRPr="00883566">
        <w:rPr>
          <w:i/>
          <w:iCs/>
        </w:rPr>
        <w:t>6.2.4. Juurdepääsu kohustuste kehtestamine</w:t>
      </w:r>
      <w:r w:rsidRPr="00883566">
        <w:rPr>
          <w:i/>
          <w:iCs/>
          <w:lang w:eastAsia="et-EE"/>
        </w:rPr>
        <w:fldChar w:fldCharType="end"/>
      </w:r>
      <w:r w:rsidRPr="00883566">
        <w:rPr>
          <w:i/>
          <w:iCs/>
          <w:lang w:eastAsia="et-EE"/>
        </w:rPr>
        <w:t>“ kirjeldatud hulgiteenuste puhul rakendama sideettevõtjatele samadel asjaoludel samaväärseid tingimusi ning osutama teenuseid ja avaldama informatsiooni sideettevõtjatele samadel tingimustel ja samasuguse kvaliteediga nagu enda või oma tütarettevõtjate või partnerite puhul ning muu hulgas rakendama sideettevõtjatele samasuguseid hindasid nagu enda või oma tütarettevõtjate või partnerite puhul.</w:t>
      </w:r>
    </w:p>
    <w:p w14:paraId="19B0A4FB" w14:textId="77777777" w:rsidR="00F03958" w:rsidRPr="00883566" w:rsidRDefault="00F03958" w:rsidP="00AA241E">
      <w:pPr>
        <w:spacing w:line="259" w:lineRule="auto"/>
        <w:jc w:val="both"/>
        <w:rPr>
          <w:rFonts w:cs="Times New Roman"/>
        </w:rPr>
      </w:pPr>
    </w:p>
    <w:p w14:paraId="21BDE0C7" w14:textId="77777777" w:rsidR="008E0996" w:rsidRPr="008E0996" w:rsidRDefault="008E0996"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968" w:name="_Toc174094621"/>
      <w:bookmarkStart w:id="969" w:name="_Toc174094888"/>
      <w:bookmarkStart w:id="970" w:name="_Toc174095154"/>
      <w:bookmarkStart w:id="971" w:name="_Toc174095419"/>
      <w:bookmarkStart w:id="972" w:name="_Toc174095957"/>
      <w:bookmarkStart w:id="973" w:name="_Toc174096223"/>
      <w:bookmarkStart w:id="974" w:name="_Toc174536114"/>
      <w:bookmarkStart w:id="975" w:name="_Toc174617215"/>
      <w:bookmarkStart w:id="976" w:name="_Toc174618572"/>
      <w:bookmarkStart w:id="977" w:name="_Toc174627634"/>
      <w:bookmarkStart w:id="978" w:name="_Toc174705058"/>
      <w:bookmarkStart w:id="979" w:name="_Toc174709602"/>
      <w:bookmarkStart w:id="980" w:name="_Toc174710831"/>
      <w:bookmarkEnd w:id="968"/>
      <w:bookmarkEnd w:id="969"/>
      <w:bookmarkEnd w:id="970"/>
      <w:bookmarkEnd w:id="971"/>
      <w:bookmarkEnd w:id="972"/>
      <w:bookmarkEnd w:id="973"/>
      <w:bookmarkEnd w:id="974"/>
      <w:bookmarkEnd w:id="975"/>
      <w:bookmarkEnd w:id="976"/>
      <w:bookmarkEnd w:id="977"/>
      <w:bookmarkEnd w:id="978"/>
      <w:bookmarkEnd w:id="979"/>
      <w:bookmarkEnd w:id="980"/>
    </w:p>
    <w:p w14:paraId="28B5E509" w14:textId="47C91928" w:rsidR="00F03958" w:rsidRPr="00883566" w:rsidRDefault="00F03958" w:rsidP="009805E1">
      <w:pPr>
        <w:pStyle w:val="Pealkiri3"/>
      </w:pPr>
      <w:bookmarkStart w:id="981" w:name="_Toc174710832"/>
      <w:r w:rsidRPr="00883566">
        <w:t>Mittediskrimineerimise kohustuse eesmärk ja alused</w:t>
      </w:r>
      <w:bookmarkEnd w:id="981"/>
    </w:p>
    <w:p w14:paraId="6520586B" w14:textId="77777777" w:rsidR="00F03958" w:rsidRPr="00883566" w:rsidRDefault="00F03958" w:rsidP="00AA241E">
      <w:pPr>
        <w:jc w:val="both"/>
        <w:rPr>
          <w:rFonts w:cs="Times New Roman"/>
        </w:rPr>
      </w:pPr>
    </w:p>
    <w:p w14:paraId="24ECEC05" w14:textId="2A681710" w:rsidR="00F03958" w:rsidRPr="00883566" w:rsidRDefault="00F03958" w:rsidP="00AA241E">
      <w:pPr>
        <w:jc w:val="both"/>
        <w:rPr>
          <w:rFonts w:cs="Times New Roman"/>
        </w:rPr>
      </w:pPr>
      <w:r w:rsidRPr="00883566">
        <w:rPr>
          <w:rFonts w:cs="Times New Roman"/>
        </w:rPr>
        <w:t xml:space="preserve">Mittediskrimineerimise kohustus on suunatud alltoodud peatükis </w:t>
      </w:r>
      <w:r w:rsidR="005C17F8">
        <w:rPr>
          <w:rFonts w:cs="Times New Roman"/>
        </w:rPr>
        <w:t>7.4.2</w:t>
      </w:r>
      <w:r w:rsidRPr="00883566">
        <w:rPr>
          <w:rFonts w:cs="Times New Roman"/>
        </w:rPr>
        <w:fldChar w:fldCharType="begin"/>
      </w:r>
      <w:r w:rsidRPr="00883566">
        <w:rPr>
          <w:rFonts w:cs="Times New Roman"/>
        </w:rPr>
        <w:instrText xml:space="preserve"> REF  \h  \* MERGEFORMAT </w:instrText>
      </w:r>
      <w:r w:rsidRPr="00883566">
        <w:rPr>
          <w:rFonts w:cs="Times New Roman"/>
        </w:rPr>
      </w:r>
      <w:r w:rsidRPr="00883566">
        <w:rPr>
          <w:rFonts w:cs="Times New Roman"/>
        </w:rPr>
        <w:fldChar w:fldCharType="separate"/>
      </w:r>
      <w:r w:rsidRPr="00883566">
        <w:rPr>
          <w:rFonts w:cs="Times New Roman"/>
        </w:rPr>
        <w:fldChar w:fldCharType="end"/>
      </w:r>
      <w:r w:rsidRPr="00883566">
        <w:rPr>
          <w:rFonts w:cs="Times New Roman"/>
        </w:rPr>
        <w:t xml:space="preserve"> kirjeldatud kvaliteedi- ja hinnadiskrimineerimisega seotud konkurentsiprobleemide vältimisele. Mittediskrimineerimise kohustuse eesmärgiks</w:t>
      </w:r>
      <w:r w:rsidRPr="00883566">
        <w:rPr>
          <w:rFonts w:cs="Times New Roman"/>
          <w:vertAlign w:val="superscript"/>
        </w:rPr>
        <w:footnoteReference w:id="157"/>
      </w:r>
      <w:r w:rsidRPr="00883566">
        <w:rPr>
          <w:rFonts w:cs="Times New Roman"/>
        </w:rPr>
        <w:t xml:space="preserve"> on tagada, et märkimisväärse turujõuga ettevõtja ei moonutaks konkurentsi ja tagaks sideettevõtjate võrdse kohtlemise eelkõige juhul, kui tegemist on vertikaalselt integreeritud ettevõtjaga, kes pakub teenuseid ettevõtjatele, kellega ta konkureerib allapoole seotud turgudel.</w:t>
      </w:r>
    </w:p>
    <w:p w14:paraId="30274BEB" w14:textId="77777777" w:rsidR="00F03958" w:rsidRPr="00883566" w:rsidRDefault="00F03958" w:rsidP="00AA241E">
      <w:pPr>
        <w:jc w:val="both"/>
        <w:rPr>
          <w:rFonts w:cs="Times New Roman"/>
        </w:rPr>
      </w:pPr>
    </w:p>
    <w:p w14:paraId="6E983083" w14:textId="77777777" w:rsidR="00F03958" w:rsidRPr="00883566" w:rsidRDefault="00F03958" w:rsidP="00AA241E">
      <w:pPr>
        <w:jc w:val="both"/>
        <w:rPr>
          <w:rFonts w:cs="Times New Roman"/>
        </w:rPr>
      </w:pPr>
      <w:r w:rsidRPr="00883566">
        <w:rPr>
          <w:rFonts w:cs="Times New Roman"/>
        </w:rPr>
        <w:t>TTJA võib</w:t>
      </w:r>
      <w:r w:rsidRPr="00883566">
        <w:rPr>
          <w:rFonts w:cs="Times New Roman"/>
          <w:vertAlign w:val="superscript"/>
        </w:rPr>
        <w:footnoteReference w:id="158"/>
      </w:r>
      <w:r w:rsidRPr="00883566">
        <w:rPr>
          <w:rFonts w:cs="Times New Roman"/>
        </w:rPr>
        <w:t xml:space="preserve"> märkimisväärse turujõuga ettevõtjale kehtestada mittediskrimineerimise kohustuse, mis peab tagama, et märkimisväärse turujõuga ettevõtja ning eriti vertikaalselt integreeritud märkimisväärse turujõuga ettevõtja, kes pakub teenuseid teistele ettevõtjatele, kellega ta konkureerib jaemüügi tasandil, rakendab teiste ettevõtjate suhtes, kes osutavad sarnaseid teenuseid, samadel asjaoludel samaväärseid tingimusi ning et märkimisväärse turujõuga ettevõtja osutab teenuseid ja avaldab informatsiooni nendele ettevõtjatele samadel tingimustel ja samasuguse kvaliteediga nagu enda või oma tütarettevõtjate või partnerite puhul.</w:t>
      </w:r>
    </w:p>
    <w:p w14:paraId="5F8A0FFE" w14:textId="77777777" w:rsidR="00F03958" w:rsidRPr="00883566" w:rsidRDefault="00F03958" w:rsidP="00AA241E">
      <w:pPr>
        <w:jc w:val="both"/>
      </w:pPr>
    </w:p>
    <w:p w14:paraId="4E946D99" w14:textId="77777777" w:rsidR="00F03958" w:rsidRPr="00883566" w:rsidRDefault="00F03958" w:rsidP="00AA241E">
      <w:pPr>
        <w:jc w:val="both"/>
        <w:rPr>
          <w:rFonts w:cs="Times New Roman"/>
        </w:rPr>
      </w:pPr>
    </w:p>
    <w:p w14:paraId="2F3D56C2" w14:textId="08D6E37C" w:rsidR="00F03958" w:rsidRPr="00883566" w:rsidRDefault="00F03958" w:rsidP="009805E1">
      <w:pPr>
        <w:pStyle w:val="Pealkiri3"/>
      </w:pPr>
      <w:bookmarkStart w:id="982" w:name="_Toc174710833"/>
      <w:r w:rsidRPr="00883566">
        <w:t>Diskrimineerimisega seotud konkurentsiprobleemid</w:t>
      </w:r>
      <w:bookmarkEnd w:id="982"/>
    </w:p>
    <w:p w14:paraId="5F361196" w14:textId="77777777" w:rsidR="00F03958" w:rsidRPr="00883566" w:rsidRDefault="00F03958" w:rsidP="00AA241E">
      <w:pPr>
        <w:jc w:val="both"/>
        <w:rPr>
          <w:rFonts w:cs="Times New Roman"/>
        </w:rPr>
      </w:pPr>
    </w:p>
    <w:p w14:paraId="384DA1C7" w14:textId="77777777" w:rsidR="00F03958" w:rsidRPr="00883566" w:rsidRDefault="00F03958" w:rsidP="00AA241E">
      <w:pPr>
        <w:jc w:val="both"/>
        <w:rPr>
          <w:rFonts w:cs="Times New Roman"/>
        </w:rPr>
      </w:pPr>
      <w:r w:rsidRPr="00883566">
        <w:rPr>
          <w:rFonts w:cs="Times New Roman"/>
        </w:rPr>
        <w:t xml:space="preserve">Diskrimineerimisega seotud konkurentsiprobleemid jagunevad kvaliteediga ja hinnaga seotud konkurentsiprobleemideks. Seejuures võib diskrimineerimine esineda sideettevõtjatele pakutavate teenuste vahel (erinevatele sideettevõtjatele pakutakse erinevaid tingimusi) ja/või MTE enda üksustele ja teistele sideettevõtjatele pakutavate teenuste vahel (enda üksustele pakutakse erinevaid tingimusi kui teistele sideettevõtjatele) ehk sisemise ja välimise varustamise vahel. </w:t>
      </w:r>
    </w:p>
    <w:p w14:paraId="1544138E" w14:textId="77777777" w:rsidR="00F03958" w:rsidRPr="00883566" w:rsidRDefault="00F03958" w:rsidP="00AA241E">
      <w:pPr>
        <w:jc w:val="both"/>
        <w:rPr>
          <w:rFonts w:cs="Times New Roman"/>
        </w:rPr>
      </w:pPr>
      <w:r w:rsidRPr="00883566">
        <w:rPr>
          <w:rFonts w:cs="Times New Roman"/>
        </w:rPr>
        <w:t>Kvaliteedidiskrimineerimine seisneb erinevatele sideettevõtjatele erineva kvaliteediga teenuste osutamises. Samuti konkureerivatele sideettevõtjatele madalama kvaliteediga teenuste osutamises võrreldes enda üksustele ja klientidele osutatavate teenustega. Kvaliteedidiskrimineerimise läbi saab MTE kas tõsta konkurentide kulusid või piirata konkurentide poolt osutatavate teenuste väljamüüki.</w:t>
      </w:r>
    </w:p>
    <w:p w14:paraId="6FAEF444" w14:textId="77777777" w:rsidR="00F03958" w:rsidRPr="00883566" w:rsidRDefault="00F03958" w:rsidP="00AA241E">
      <w:pPr>
        <w:jc w:val="both"/>
        <w:rPr>
          <w:rFonts w:cs="Times New Roman"/>
        </w:rPr>
      </w:pPr>
      <w:r w:rsidRPr="00883566">
        <w:rPr>
          <w:rFonts w:cs="Times New Roman"/>
        </w:rPr>
        <w:t>Hinnadiskrimineerimisega sisemise ja välimise varustamise vahel on tegemist juhul, kui vertikaalselt integreeritud sideettevõtja pakub teisele sideettevõtjale ebavõrdseid ja konkurentsi kahjustavaid sidevõrgule juurdepääsu hinna tingimusi võrreldes oma jaeteenuse üksusele pakutavaga. Näiteks nõuab teiselt sideettevõtjalt sidevõrgule juurdepääsu eest kõrgemat hinda (sageli ka ülemäärast hinda), kui oma jaeteenuse üksuselt. Ehk teisisõnu toimub diskrimineerimine sisemise ja välimise varustamise vahel. Sidevõrgule juurdepääsu hulgiteenuste turul võib märkimisväärse turujõuga vertikaalselt integreeritud sideettevõtja hinnadiskrimineerimise tagajärjel tõsta oma konkurentide kulusid sideteenuste jaeturul läbi ülemäärase hulgihinna, mis võib viia konkurentide jaemüügi piiramiseni ning seeläbi üleüldise konkurentsiolukorra kahjustamiseni.</w:t>
      </w:r>
    </w:p>
    <w:p w14:paraId="25DDD20F" w14:textId="3049C674" w:rsidR="00F03958" w:rsidRPr="00883566" w:rsidRDefault="00F03958" w:rsidP="00AA241E">
      <w:pPr>
        <w:jc w:val="both"/>
        <w:rPr>
          <w:rFonts w:cs="Times New Roman"/>
        </w:rPr>
      </w:pPr>
      <w:r w:rsidRPr="00883566">
        <w:rPr>
          <w:rFonts w:cs="Times New Roman"/>
        </w:rPr>
        <w:lastRenderedPageBreak/>
        <w:t>BEREC (Euroopa Sideamet) on avaldanud seisukoha, mis käsitleb hulgituru 1 toodete osas MTE-</w:t>
      </w:r>
      <w:proofErr w:type="spellStart"/>
      <w:r w:rsidRPr="00883566">
        <w:rPr>
          <w:rFonts w:cs="Times New Roman"/>
        </w:rPr>
        <w:t>le</w:t>
      </w:r>
      <w:proofErr w:type="spellEnd"/>
      <w:r w:rsidRPr="00883566">
        <w:rPr>
          <w:rFonts w:cs="Times New Roman"/>
        </w:rPr>
        <w:t xml:space="preserve"> kohustuste kehtestamise parimaid tavasid</w:t>
      </w:r>
      <w:r w:rsidRPr="00883566">
        <w:rPr>
          <w:rFonts w:cs="Times New Roman"/>
          <w:vertAlign w:val="superscript"/>
        </w:rPr>
        <w:footnoteReference w:id="159"/>
      </w:r>
      <w:r w:rsidRPr="00883566">
        <w:rPr>
          <w:rFonts w:cs="Times New Roman"/>
        </w:rPr>
        <w:t xml:space="preserve">. Selles tuuakse välja sagedamini esineda võivad diskrimineerimisega seotud konkurentsiprobleemid vastava hulgituru teenuste osas, mis takistavad alternatiivsetel sideettevõtjatel tõhusalt konkureerida </w:t>
      </w:r>
      <w:r w:rsidR="00BE68C5">
        <w:rPr>
          <w:rFonts w:cs="Times New Roman"/>
        </w:rPr>
        <w:t>jaetur</w:t>
      </w:r>
      <w:r w:rsidRPr="00883566">
        <w:rPr>
          <w:rFonts w:cs="Times New Roman"/>
        </w:rPr>
        <w:t>ul:</w:t>
      </w:r>
    </w:p>
    <w:p w14:paraId="49D05EF1" w14:textId="77777777" w:rsidR="00F03958" w:rsidRPr="00883566" w:rsidRDefault="00F03958" w:rsidP="00AA241E">
      <w:pPr>
        <w:jc w:val="both"/>
        <w:rPr>
          <w:rFonts w:cs="Times New Roman"/>
        </w:rPr>
      </w:pPr>
    </w:p>
    <w:p w14:paraId="59D7270E" w14:textId="77777777" w:rsidR="00F03958" w:rsidRPr="00883566" w:rsidRDefault="00F03958" w:rsidP="00AA241E">
      <w:pPr>
        <w:numPr>
          <w:ilvl w:val="0"/>
          <w:numId w:val="9"/>
        </w:numPr>
        <w:spacing w:line="259" w:lineRule="auto"/>
        <w:jc w:val="both"/>
        <w:rPr>
          <w:rFonts w:cs="Times New Roman"/>
        </w:rPr>
      </w:pPr>
      <w:r w:rsidRPr="00883566">
        <w:rPr>
          <w:rFonts w:cs="Times New Roman"/>
        </w:rPr>
        <w:t>MTE omab ebaõiglaseid eelised võrreldes alternatiivsete operaatoritega;</w:t>
      </w:r>
    </w:p>
    <w:p w14:paraId="2E022651" w14:textId="77777777" w:rsidR="00F03958" w:rsidRPr="00883566" w:rsidRDefault="00F03958" w:rsidP="00AA241E">
      <w:pPr>
        <w:numPr>
          <w:ilvl w:val="0"/>
          <w:numId w:val="9"/>
        </w:numPr>
        <w:spacing w:line="259" w:lineRule="auto"/>
        <w:jc w:val="both"/>
        <w:rPr>
          <w:rFonts w:cs="Times New Roman"/>
        </w:rPr>
      </w:pPr>
      <w:r w:rsidRPr="00883566">
        <w:rPr>
          <w:rFonts w:cs="Times New Roman"/>
        </w:rPr>
        <w:t>MTE kasutab diskrimineerivalt oma mastaabisäästu võimest tulenevat eeliseid võrreldes alternatiivsete operaatoritega, eriti kui see võime tuleneb turgu valitsevast positsioonist;</w:t>
      </w:r>
    </w:p>
    <w:p w14:paraId="2384D049" w14:textId="77777777" w:rsidR="00F03958" w:rsidRPr="00883566" w:rsidRDefault="00F03958" w:rsidP="00AA241E">
      <w:pPr>
        <w:numPr>
          <w:ilvl w:val="0"/>
          <w:numId w:val="9"/>
        </w:numPr>
        <w:spacing w:line="259" w:lineRule="auto"/>
        <w:jc w:val="both"/>
        <w:rPr>
          <w:rFonts w:cs="Times New Roman"/>
        </w:rPr>
      </w:pPr>
      <w:r w:rsidRPr="00883566">
        <w:rPr>
          <w:rFonts w:cs="Times New Roman"/>
        </w:rPr>
        <w:t>MTE diskrimineerib alternatiivseid operaatoreid võrreldes nende oma jaetasandi äritegevusega kas hinna või muudes juurdepääsu tingimustes;</w:t>
      </w:r>
    </w:p>
    <w:p w14:paraId="393758B6" w14:textId="77777777" w:rsidR="00F03958" w:rsidRPr="00883566" w:rsidRDefault="00F03958" w:rsidP="00AA241E">
      <w:pPr>
        <w:numPr>
          <w:ilvl w:val="0"/>
          <w:numId w:val="9"/>
        </w:numPr>
        <w:spacing w:line="259" w:lineRule="auto"/>
        <w:jc w:val="both"/>
        <w:rPr>
          <w:rFonts w:cs="Times New Roman"/>
        </w:rPr>
      </w:pPr>
      <w:r w:rsidRPr="00883566">
        <w:rPr>
          <w:rFonts w:cs="Times New Roman"/>
        </w:rPr>
        <w:t>MTE rakendab takistavat ja venitavat käitumist alternatiivsetel operaatoritele hulgiteenuste osutamisel.</w:t>
      </w:r>
    </w:p>
    <w:p w14:paraId="1B530FF1" w14:textId="71107AEA" w:rsidR="00F03958" w:rsidRPr="00883566" w:rsidRDefault="00F03958" w:rsidP="00AA241E">
      <w:pPr>
        <w:jc w:val="both"/>
        <w:rPr>
          <w:rFonts w:cs="Times New Roman"/>
        </w:rPr>
      </w:pPr>
      <w:r w:rsidRPr="00883566">
        <w:rPr>
          <w:rFonts w:cs="Times New Roman"/>
        </w:rPr>
        <w:t xml:space="preserve">TTJA hinnangul on eelkirjeldatud diskrimineerimisega seotud konkurentsiprobleemide esinemine järgmise turuanalüüsini kestval perioodil </w:t>
      </w:r>
      <w:r w:rsidR="00A3232C">
        <w:rPr>
          <w:rFonts w:cs="Times New Roman"/>
        </w:rPr>
        <w:t>valguskaabelvõrgu</w:t>
      </w:r>
      <w:r w:rsidRPr="00883566">
        <w:rPr>
          <w:rFonts w:cs="Times New Roman"/>
        </w:rPr>
        <w:t xml:space="preserve"> B piirkonna hulgiturul 1 tõenäoline, kuna puuduvad alused eeldada, et Telia vertikaalne integreeritus ja turujõud nimetatud hulgiturul nimetatud perioodil märkimisväärselt väheneks. See annab Teliale võime rakendada diskrimineerivaid tingimusi nimetatud hulgituru teenustele takistades teiste sideettevõtjate jaeturule sisenemist ning kahjustades seeläbi konkurentsi jaemüügi tasandil ning lõppkasutajate huve.</w:t>
      </w:r>
    </w:p>
    <w:p w14:paraId="5C975183" w14:textId="77777777" w:rsidR="00F03958" w:rsidRDefault="00F03958" w:rsidP="00AA241E">
      <w:pPr>
        <w:jc w:val="both"/>
        <w:rPr>
          <w:rFonts w:cs="Times New Roman"/>
        </w:rPr>
      </w:pPr>
    </w:p>
    <w:p w14:paraId="7F0BBAA9" w14:textId="77777777" w:rsidR="00596D9D" w:rsidRDefault="00596D9D" w:rsidP="00AA241E">
      <w:pPr>
        <w:jc w:val="both"/>
        <w:rPr>
          <w:rFonts w:cs="Times New Roman"/>
        </w:rPr>
      </w:pPr>
    </w:p>
    <w:p w14:paraId="558FFFD9" w14:textId="77777777" w:rsidR="00596D9D" w:rsidRDefault="00596D9D" w:rsidP="00AA241E">
      <w:pPr>
        <w:jc w:val="both"/>
        <w:rPr>
          <w:rFonts w:cs="Times New Roman"/>
        </w:rPr>
      </w:pPr>
    </w:p>
    <w:p w14:paraId="2912E018" w14:textId="77777777" w:rsidR="00596D9D" w:rsidRPr="00883566" w:rsidRDefault="00596D9D" w:rsidP="00AA241E">
      <w:pPr>
        <w:jc w:val="both"/>
        <w:rPr>
          <w:rFonts w:cs="Times New Roman"/>
        </w:rPr>
      </w:pPr>
    </w:p>
    <w:p w14:paraId="341EFAF0" w14:textId="36E1B841" w:rsidR="00F03958" w:rsidRPr="00883566" w:rsidRDefault="00F03958" w:rsidP="009805E1">
      <w:pPr>
        <w:pStyle w:val="Pealkiri3"/>
      </w:pPr>
      <w:bookmarkStart w:id="983" w:name="_Toc174710834"/>
      <w:r w:rsidRPr="00883566">
        <w:t>Mittediskrimineerimise kohustuse asendamine juurdepääsu-, läbipaistvuse-, või hinnakohustusega</w:t>
      </w:r>
      <w:bookmarkEnd w:id="983"/>
    </w:p>
    <w:p w14:paraId="238D95B1" w14:textId="77777777" w:rsidR="00F03958" w:rsidRPr="00883566" w:rsidRDefault="00F03958" w:rsidP="00AA241E">
      <w:pPr>
        <w:jc w:val="both"/>
        <w:rPr>
          <w:rFonts w:cs="Times New Roman"/>
        </w:rPr>
      </w:pPr>
    </w:p>
    <w:p w14:paraId="09B46C3D" w14:textId="77777777" w:rsidR="00F03958" w:rsidRPr="00883566" w:rsidRDefault="00F03958" w:rsidP="00AA241E">
      <w:pPr>
        <w:spacing w:before="120" w:after="120"/>
        <w:jc w:val="both"/>
        <w:rPr>
          <w:rFonts w:cs="Times New Roman"/>
          <w:lang w:eastAsia="et-EE"/>
        </w:rPr>
      </w:pPr>
      <w:r w:rsidRPr="00883566">
        <w:rPr>
          <w:rFonts w:cs="Times New Roman"/>
        </w:rPr>
        <w:t xml:space="preserve">TTJA kaalus erinevate ESS § 50 lõigetes 1, 2, 4, 5, 7 sätestatud meetmete rakendamist ja leidis, et:  </w:t>
      </w:r>
    </w:p>
    <w:p w14:paraId="69A917D4"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lastRenderedPageBreak/>
        <w:t>Juurdepääsukohustused</w:t>
      </w:r>
      <w:r w:rsidRPr="00883566">
        <w:rPr>
          <w:rFonts w:cs="Times New Roman"/>
          <w:vertAlign w:val="superscript"/>
          <w:lang w:eastAsia="et-EE"/>
        </w:rPr>
        <w:footnoteReference w:id="160"/>
      </w:r>
      <w:r w:rsidRPr="00883566">
        <w:rPr>
          <w:rFonts w:cs="Times New Roman"/>
          <w:lang w:eastAsia="et-EE"/>
        </w:rPr>
        <w:t xml:space="preserve"> ei ole diskrimineerimisega seonduvate konkurentsi-probleemide ärahoidmiseks piisavad, kuna juurdepääsukohustused tagavad küll juurdepääsu teenuste osutamise teistele huvitatud sideettevõtjatele, kuid ei taga neile võrdseid tingimusi. </w:t>
      </w:r>
    </w:p>
    <w:p w14:paraId="17041EA6"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Läbipaistvuskohustused</w:t>
      </w:r>
      <w:r w:rsidRPr="00883566">
        <w:rPr>
          <w:rFonts w:cs="Times New Roman"/>
          <w:vertAlign w:val="superscript"/>
          <w:lang w:eastAsia="et-EE"/>
        </w:rPr>
        <w:footnoteReference w:id="161"/>
      </w:r>
      <w:r w:rsidRPr="00883566">
        <w:rPr>
          <w:rFonts w:cs="Times New Roman"/>
          <w:lang w:eastAsia="et-EE"/>
        </w:rPr>
        <w:t xml:space="preserve"> ei ole diskrimineerimisega seonduvate konkurentsi-probleemide ärahoidmiseks piisavad, kuna need kohustused sätestavad üksnes kohustuse avaldada kõigile võrdsetel tingimustel juurdepääsu teenuste kasutamiseks vajalikku informatsiooni, kuid ei kohusta osutama juurdepääsu teenuseid kõigile võrdsetel (sh võrdse kvaliteedi, informatsiooni kättesaadavuse, teenuse osutamise tähtaja, nõuete ja toote omadustega) tingimustel. </w:t>
      </w:r>
    </w:p>
    <w:p w14:paraId="141878BC" w14:textId="77777777" w:rsidR="00F03958"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Hinnakohustus</w:t>
      </w:r>
      <w:r w:rsidRPr="00883566">
        <w:rPr>
          <w:rFonts w:cs="Times New Roman"/>
          <w:vertAlign w:val="superscript"/>
          <w:lang w:eastAsia="et-EE"/>
        </w:rPr>
        <w:footnoteReference w:id="162"/>
      </w:r>
      <w:r w:rsidRPr="00883566">
        <w:rPr>
          <w:rFonts w:cs="Times New Roman"/>
          <w:lang w:eastAsia="et-EE"/>
        </w:rPr>
        <w:t xml:space="preserve"> lahendab küll hinnadiskrimineerimisega seotud probleemid, kuid ei lahenda kvaliteedidiskrimineerimisega seotud konkurentsiprobleeme. </w:t>
      </w:r>
    </w:p>
    <w:p w14:paraId="3DF7F172" w14:textId="77777777" w:rsidR="00596D9D" w:rsidRPr="00883566" w:rsidRDefault="00596D9D" w:rsidP="00AA241E">
      <w:pPr>
        <w:spacing w:before="120" w:after="120" w:line="240" w:lineRule="auto"/>
        <w:ind w:left="567"/>
        <w:jc w:val="both"/>
        <w:rPr>
          <w:rFonts w:cs="Times New Roman"/>
          <w:lang w:eastAsia="et-EE"/>
        </w:rPr>
      </w:pPr>
    </w:p>
    <w:p w14:paraId="09DC8124" w14:textId="0C6675E6" w:rsidR="00F03958" w:rsidRPr="00883566" w:rsidRDefault="00F03958" w:rsidP="009805E1">
      <w:pPr>
        <w:pStyle w:val="Pealkiri3"/>
      </w:pPr>
      <w:bookmarkStart w:id="984" w:name="_Toc174710835"/>
      <w:r w:rsidRPr="00883566">
        <w:t>Sisendite või väljundite võrdväärsus</w:t>
      </w:r>
      <w:bookmarkEnd w:id="984"/>
    </w:p>
    <w:p w14:paraId="6B53086F" w14:textId="77777777" w:rsidR="00F03958" w:rsidRPr="00883566" w:rsidRDefault="00F03958" w:rsidP="00AA241E">
      <w:pPr>
        <w:jc w:val="both"/>
        <w:rPr>
          <w:rFonts w:cs="Times New Roman"/>
        </w:rPr>
      </w:pPr>
    </w:p>
    <w:p w14:paraId="6B7779AA" w14:textId="77777777" w:rsidR="00F03958" w:rsidRPr="00883566" w:rsidRDefault="00F03958" w:rsidP="00AA241E">
      <w:pPr>
        <w:jc w:val="both"/>
        <w:rPr>
          <w:rFonts w:cs="Times New Roman"/>
        </w:rPr>
      </w:pPr>
      <w:r w:rsidRPr="00883566">
        <w:rPr>
          <w:rFonts w:cs="Times New Roman"/>
        </w:rPr>
        <w:t>EK 2024 kohustuste soovituse kohaselt:</w:t>
      </w:r>
    </w:p>
    <w:p w14:paraId="61836BF6" w14:textId="2371E4C8" w:rsidR="00F03958" w:rsidRPr="00883566" w:rsidRDefault="00F03958" w:rsidP="00AA241E">
      <w:pPr>
        <w:ind w:left="720"/>
        <w:jc w:val="both"/>
        <w:rPr>
          <w:rFonts w:cs="Times New Roman"/>
          <w:b/>
          <w:bCs/>
        </w:rPr>
      </w:pPr>
      <w:r w:rsidRPr="00883566">
        <w:rPr>
          <w:rFonts w:cs="Times New Roman"/>
        </w:rPr>
        <w:t>Mittediskrimineerimist on võimalik tagada sise</w:t>
      </w:r>
      <w:r w:rsidR="005C0A47">
        <w:rPr>
          <w:rFonts w:cs="Times New Roman"/>
        </w:rPr>
        <w:t>ndite</w:t>
      </w:r>
      <w:r w:rsidRPr="00883566">
        <w:rPr>
          <w:rFonts w:cs="Times New Roman"/>
        </w:rPr>
        <w:t xml:space="preserve"> võrdväärsuse (inglise keeles ka </w:t>
      </w:r>
      <w:proofErr w:type="spellStart"/>
      <w:r w:rsidRPr="00883566">
        <w:rPr>
          <w:rFonts w:cs="Times New Roman"/>
          <w:i/>
          <w:iCs/>
        </w:rPr>
        <w:t>EoI</w:t>
      </w:r>
      <w:proofErr w:type="spellEnd"/>
      <w:r w:rsidRPr="00883566">
        <w:rPr>
          <w:rFonts w:cs="Times New Roman"/>
          <w:i/>
          <w:iCs/>
        </w:rPr>
        <w:t xml:space="preserve"> -</w:t>
      </w:r>
      <w:r w:rsidRPr="00883566">
        <w:rPr>
          <w:i/>
          <w:iCs/>
        </w:rPr>
        <w:t xml:space="preserve"> </w:t>
      </w:r>
      <w:proofErr w:type="spellStart"/>
      <w:r w:rsidRPr="00883566">
        <w:rPr>
          <w:i/>
          <w:iCs/>
        </w:rPr>
        <w:t>e</w:t>
      </w:r>
      <w:r w:rsidRPr="00883566">
        <w:rPr>
          <w:rFonts w:cs="Times New Roman"/>
          <w:i/>
          <w:iCs/>
        </w:rPr>
        <w:t>quivalence</w:t>
      </w:r>
      <w:proofErr w:type="spellEnd"/>
      <w:r w:rsidRPr="00883566">
        <w:rPr>
          <w:rFonts w:cs="Times New Roman"/>
          <w:i/>
          <w:iCs/>
        </w:rPr>
        <w:t xml:space="preserve"> of </w:t>
      </w:r>
      <w:proofErr w:type="spellStart"/>
      <w:r w:rsidRPr="00883566">
        <w:rPr>
          <w:rFonts w:cs="Times New Roman"/>
          <w:i/>
          <w:iCs/>
        </w:rPr>
        <w:t>inputs</w:t>
      </w:r>
      <w:proofErr w:type="spellEnd"/>
      <w:r w:rsidRPr="00883566">
        <w:rPr>
          <w:rFonts w:cs="Times New Roman"/>
        </w:rPr>
        <w:t xml:space="preserve">)  või </w:t>
      </w:r>
      <w:proofErr w:type="spellStart"/>
      <w:r w:rsidRPr="00883566">
        <w:rPr>
          <w:rFonts w:cs="Times New Roman"/>
        </w:rPr>
        <w:t>vä</w:t>
      </w:r>
      <w:r w:rsidR="005C0A47">
        <w:rPr>
          <w:rFonts w:cs="Times New Roman"/>
        </w:rPr>
        <w:t>jundite</w:t>
      </w:r>
      <w:proofErr w:type="spellEnd"/>
      <w:r w:rsidRPr="00883566">
        <w:rPr>
          <w:rFonts w:cs="Times New Roman"/>
        </w:rPr>
        <w:t xml:space="preserve"> võrdväärsuse (inglise keeles ka </w:t>
      </w:r>
      <w:proofErr w:type="spellStart"/>
      <w:r w:rsidRPr="00883566">
        <w:rPr>
          <w:rFonts w:cs="Times New Roman"/>
          <w:i/>
          <w:iCs/>
        </w:rPr>
        <w:t>EoO</w:t>
      </w:r>
      <w:proofErr w:type="spellEnd"/>
      <w:r w:rsidRPr="00883566">
        <w:rPr>
          <w:rFonts w:cs="Times New Roman"/>
          <w:i/>
          <w:iCs/>
        </w:rPr>
        <w:t xml:space="preserve"> -</w:t>
      </w:r>
      <w:r w:rsidRPr="00883566">
        <w:rPr>
          <w:i/>
          <w:iCs/>
        </w:rPr>
        <w:t xml:space="preserve"> </w:t>
      </w:r>
      <w:proofErr w:type="spellStart"/>
      <w:r w:rsidRPr="00883566">
        <w:rPr>
          <w:i/>
          <w:iCs/>
        </w:rPr>
        <w:t>e</w:t>
      </w:r>
      <w:r w:rsidRPr="00883566">
        <w:rPr>
          <w:rFonts w:cs="Times New Roman"/>
          <w:i/>
          <w:iCs/>
        </w:rPr>
        <w:t>quivalence</w:t>
      </w:r>
      <w:proofErr w:type="spellEnd"/>
      <w:r w:rsidRPr="00883566">
        <w:rPr>
          <w:rFonts w:cs="Times New Roman"/>
          <w:i/>
          <w:iCs/>
        </w:rPr>
        <w:t xml:space="preserve"> of </w:t>
      </w:r>
      <w:proofErr w:type="spellStart"/>
      <w:r w:rsidRPr="00883566">
        <w:rPr>
          <w:rFonts w:cs="Times New Roman"/>
          <w:i/>
          <w:iCs/>
        </w:rPr>
        <w:t>outputs</w:t>
      </w:r>
      <w:proofErr w:type="spellEnd"/>
      <w:r w:rsidRPr="00883566">
        <w:rPr>
          <w:rFonts w:cs="Times New Roman"/>
        </w:rPr>
        <w:t>)  kaudu. Sise</w:t>
      </w:r>
      <w:r w:rsidR="005C0A47">
        <w:rPr>
          <w:rFonts w:cs="Times New Roman"/>
        </w:rPr>
        <w:t>ndite</w:t>
      </w:r>
      <w:r w:rsidRPr="00883566">
        <w:rPr>
          <w:rFonts w:cs="Times New Roman"/>
        </w:rPr>
        <w:t xml:space="preserve"> võrdväärsuse korral kohustatakse MTE</w:t>
      </w:r>
      <w:r w:rsidRPr="00883566">
        <w:rPr>
          <w:rFonts w:cs="Times New Roman"/>
        </w:rPr>
        <w:noBreakHyphen/>
        <w:t>t pakkuma valdkonnaspetsiifiliselt reguleeritava turu toodetele juurdepääsu ning selleks vajalike vahendeid ja teavet ettevõttesisestele üksustele ja teistele sideettevõtjatele samadel tingimustel, sealhulgas sama hinna ja kvaliteediga, sama ajaskaala raames, kasutades samu süsteeme ja protsesse. Väl</w:t>
      </w:r>
      <w:r w:rsidR="005C0A47">
        <w:rPr>
          <w:rFonts w:cs="Times New Roman"/>
        </w:rPr>
        <w:t>jundite</w:t>
      </w:r>
      <w:r w:rsidRPr="00883566">
        <w:rPr>
          <w:rFonts w:cs="Times New Roman"/>
        </w:rPr>
        <w:t xml:space="preserve"> võrdväärsuse korral kohustatakse MTE-t pakkuma teistele sideettevõtjatele valdkonnaspetsiifiliselt reguleeritava turu toodetele juurdepääsu ning selleks vajalikke vahendeid ja teavet selliselt, et need on funktsionaalsuse ja hinna poolest võrreldavad vastavate toodete, vahendite ja teabega mida MTE pakub ettevõttesisestele üksustele, kuid selleks võib vajadusel kasutada erinevaid süsteeme ja protsesse. </w:t>
      </w:r>
      <w:r w:rsidRPr="00883566">
        <w:rPr>
          <w:rFonts w:cs="Times New Roman"/>
          <w:b/>
          <w:bCs/>
        </w:rPr>
        <w:t>Seega põhineb sise</w:t>
      </w:r>
      <w:r w:rsidR="005C0A47">
        <w:rPr>
          <w:rFonts w:cs="Times New Roman"/>
          <w:b/>
          <w:bCs/>
        </w:rPr>
        <w:t>ndite</w:t>
      </w:r>
      <w:r w:rsidRPr="00883566">
        <w:rPr>
          <w:rFonts w:cs="Times New Roman"/>
          <w:b/>
          <w:bCs/>
        </w:rPr>
        <w:t xml:space="preserve"> ja väl</w:t>
      </w:r>
      <w:r w:rsidR="005C0A47">
        <w:rPr>
          <w:rFonts w:cs="Times New Roman"/>
          <w:b/>
          <w:bCs/>
        </w:rPr>
        <w:t>jundite</w:t>
      </w:r>
      <w:r w:rsidRPr="00883566">
        <w:rPr>
          <w:rFonts w:cs="Times New Roman"/>
          <w:b/>
          <w:bCs/>
        </w:rPr>
        <w:t xml:space="preserve"> võrdväärsuse peamine vahe ettevõttesisestele üksustele ja teistele sideettevõtjatele teenuse osutamiseks kasutavate süsteemide (nt tarkvara, andmebaasid, rakendused) ja protsessid</w:t>
      </w:r>
      <w:r w:rsidR="005C0A47">
        <w:rPr>
          <w:rFonts w:cs="Times New Roman"/>
          <w:b/>
          <w:bCs/>
        </w:rPr>
        <w:t>e</w:t>
      </w:r>
      <w:r w:rsidRPr="00883566">
        <w:rPr>
          <w:rFonts w:cs="Times New Roman"/>
          <w:b/>
          <w:bCs/>
        </w:rPr>
        <w:t xml:space="preserve"> (nt teenuse tellimise protseduurid) erinevus</w:t>
      </w:r>
      <w:r w:rsidR="005C0A47">
        <w:rPr>
          <w:rFonts w:cs="Times New Roman"/>
          <w:b/>
          <w:bCs/>
        </w:rPr>
        <w:t>t</w:t>
      </w:r>
      <w:r w:rsidRPr="00883566">
        <w:rPr>
          <w:rFonts w:cs="Times New Roman"/>
          <w:b/>
          <w:bCs/>
        </w:rPr>
        <w:t>el, sise</w:t>
      </w:r>
      <w:r w:rsidR="005C0A47">
        <w:rPr>
          <w:rFonts w:cs="Times New Roman"/>
          <w:b/>
          <w:bCs/>
        </w:rPr>
        <w:t>ndite</w:t>
      </w:r>
      <w:r w:rsidRPr="00883566">
        <w:rPr>
          <w:rFonts w:cs="Times New Roman"/>
          <w:b/>
          <w:bCs/>
        </w:rPr>
        <w:t xml:space="preserve"> võrdväärsuse korral kasutatakse samu süsteeme ja protsesse, väl</w:t>
      </w:r>
      <w:r w:rsidR="005C0A47">
        <w:rPr>
          <w:rFonts w:cs="Times New Roman"/>
          <w:b/>
          <w:bCs/>
        </w:rPr>
        <w:t>jundite</w:t>
      </w:r>
      <w:r w:rsidRPr="00883566">
        <w:rPr>
          <w:rFonts w:cs="Times New Roman"/>
          <w:b/>
          <w:bCs/>
        </w:rPr>
        <w:t xml:space="preserve"> võrdväärsuse korral erinevaid.</w:t>
      </w:r>
    </w:p>
    <w:p w14:paraId="09D1AA4A" w14:textId="53B21F02" w:rsidR="00F03958" w:rsidRPr="00883566" w:rsidRDefault="00F03958" w:rsidP="00AA241E">
      <w:pPr>
        <w:ind w:left="720"/>
        <w:jc w:val="both"/>
        <w:rPr>
          <w:rFonts w:cs="Times New Roman"/>
        </w:rPr>
      </w:pPr>
      <w:r w:rsidRPr="00883566">
        <w:rPr>
          <w:rFonts w:cs="Times New Roman"/>
        </w:rPr>
        <w:t xml:space="preserve">EK 2024 kohustuste soovituse kohaselt on selleks, et tagada valdkonnaspetsiifiliselt reguleeritava turu toodetele mittediskrimineeriv juurdepääs ja edendada seeläbi konkurentsi, kindlaim viis kohaldada sisendite võrdväärsust. Sisendite võrdväärse </w:t>
      </w:r>
      <w:r w:rsidRPr="00883566">
        <w:rPr>
          <w:rFonts w:cs="Times New Roman"/>
        </w:rPr>
        <w:lastRenderedPageBreak/>
        <w:t>pakkumisega kaasnevad tõenäoliselt suuremad rakenduskulud kui väl</w:t>
      </w:r>
      <w:r w:rsidR="005C0A47">
        <w:rPr>
          <w:rFonts w:cs="Times New Roman"/>
        </w:rPr>
        <w:t>jundite</w:t>
      </w:r>
      <w:r w:rsidRPr="00883566">
        <w:rPr>
          <w:rFonts w:cs="Times New Roman"/>
        </w:rPr>
        <w:t xml:space="preserve"> võrdväärsuse korral. Samas väljundite võrdväärsuse korral kaasnevad pikaajalised seirekulud, eelkõige tulemusnäitajate (inglise keeles </w:t>
      </w:r>
      <w:r w:rsidRPr="00883566">
        <w:rPr>
          <w:rFonts w:cs="Times New Roman"/>
          <w:i/>
          <w:iCs/>
        </w:rPr>
        <w:t xml:space="preserve">KPI – </w:t>
      </w:r>
      <w:proofErr w:type="spellStart"/>
      <w:r w:rsidRPr="00883566">
        <w:rPr>
          <w:rFonts w:cs="Times New Roman"/>
          <w:i/>
          <w:iCs/>
        </w:rPr>
        <w:t>key</w:t>
      </w:r>
      <w:proofErr w:type="spellEnd"/>
      <w:r w:rsidRPr="00883566">
        <w:rPr>
          <w:rFonts w:cs="Times New Roman"/>
          <w:i/>
          <w:iCs/>
        </w:rPr>
        <w:t xml:space="preserve"> </w:t>
      </w:r>
      <w:proofErr w:type="spellStart"/>
      <w:r w:rsidRPr="00883566">
        <w:rPr>
          <w:rFonts w:cs="Times New Roman"/>
          <w:i/>
          <w:iCs/>
        </w:rPr>
        <w:t>performance</w:t>
      </w:r>
      <w:proofErr w:type="spellEnd"/>
      <w:r w:rsidRPr="00883566">
        <w:rPr>
          <w:rFonts w:cs="Times New Roman"/>
          <w:i/>
          <w:iCs/>
        </w:rPr>
        <w:t xml:space="preserve"> </w:t>
      </w:r>
      <w:proofErr w:type="spellStart"/>
      <w:r w:rsidRPr="00883566">
        <w:rPr>
          <w:rFonts w:cs="Times New Roman"/>
          <w:i/>
          <w:iCs/>
        </w:rPr>
        <w:t>indicators</w:t>
      </w:r>
      <w:proofErr w:type="spellEnd"/>
      <w:r w:rsidRPr="00883566">
        <w:rPr>
          <w:rFonts w:cs="Times New Roman"/>
        </w:rPr>
        <w:t xml:space="preserve">) kogumine, hindamine ja nende alusel teenustaseme kokkulepete (inglise keeles </w:t>
      </w:r>
      <w:r w:rsidRPr="00883566">
        <w:rPr>
          <w:rFonts w:cs="Times New Roman"/>
          <w:i/>
          <w:iCs/>
        </w:rPr>
        <w:t xml:space="preserve">SLA – </w:t>
      </w:r>
      <w:proofErr w:type="spellStart"/>
      <w:r w:rsidRPr="00883566">
        <w:rPr>
          <w:rFonts w:cs="Times New Roman"/>
          <w:i/>
          <w:iCs/>
        </w:rPr>
        <w:t>service</w:t>
      </w:r>
      <w:proofErr w:type="spellEnd"/>
      <w:r w:rsidRPr="00883566">
        <w:rPr>
          <w:rFonts w:cs="Times New Roman"/>
          <w:i/>
          <w:iCs/>
        </w:rPr>
        <w:t xml:space="preserve"> </w:t>
      </w:r>
      <w:proofErr w:type="spellStart"/>
      <w:r w:rsidRPr="00883566">
        <w:rPr>
          <w:rFonts w:cs="Times New Roman"/>
          <w:i/>
          <w:iCs/>
        </w:rPr>
        <w:t>level</w:t>
      </w:r>
      <w:proofErr w:type="spellEnd"/>
      <w:r w:rsidRPr="00883566">
        <w:rPr>
          <w:rFonts w:cs="Times New Roman"/>
          <w:i/>
          <w:iCs/>
        </w:rPr>
        <w:t xml:space="preserve"> </w:t>
      </w:r>
      <w:proofErr w:type="spellStart"/>
      <w:r w:rsidRPr="00883566">
        <w:rPr>
          <w:rFonts w:cs="Times New Roman"/>
          <w:i/>
          <w:iCs/>
        </w:rPr>
        <w:t>agreement</w:t>
      </w:r>
      <w:proofErr w:type="spellEnd"/>
      <w:r w:rsidRPr="00883566">
        <w:rPr>
          <w:rFonts w:cs="Times New Roman"/>
        </w:rPr>
        <w:t xml:space="preserve">)  ja garantiide (inglise keeles </w:t>
      </w:r>
      <w:r w:rsidRPr="00883566">
        <w:rPr>
          <w:rFonts w:cs="Times New Roman"/>
          <w:i/>
          <w:iCs/>
        </w:rPr>
        <w:t xml:space="preserve">SLG – </w:t>
      </w:r>
      <w:proofErr w:type="spellStart"/>
      <w:r w:rsidRPr="00883566">
        <w:rPr>
          <w:rFonts w:cs="Times New Roman"/>
          <w:i/>
          <w:iCs/>
        </w:rPr>
        <w:t>service</w:t>
      </w:r>
      <w:proofErr w:type="spellEnd"/>
      <w:r w:rsidRPr="00883566">
        <w:rPr>
          <w:rFonts w:cs="Times New Roman"/>
          <w:i/>
          <w:iCs/>
        </w:rPr>
        <w:t xml:space="preserve"> </w:t>
      </w:r>
      <w:proofErr w:type="spellStart"/>
      <w:r w:rsidRPr="00883566">
        <w:rPr>
          <w:rFonts w:cs="Times New Roman"/>
          <w:i/>
          <w:iCs/>
        </w:rPr>
        <w:t>level</w:t>
      </w:r>
      <w:proofErr w:type="spellEnd"/>
      <w:r w:rsidRPr="00883566">
        <w:rPr>
          <w:rFonts w:cs="Times New Roman"/>
          <w:i/>
          <w:iCs/>
        </w:rPr>
        <w:t xml:space="preserve"> </w:t>
      </w:r>
      <w:proofErr w:type="spellStart"/>
      <w:r w:rsidRPr="00883566">
        <w:rPr>
          <w:rFonts w:cs="Times New Roman"/>
          <w:i/>
          <w:iCs/>
        </w:rPr>
        <w:t>guarantees</w:t>
      </w:r>
      <w:proofErr w:type="spellEnd"/>
      <w:r w:rsidRPr="00883566">
        <w:rPr>
          <w:rFonts w:cs="Times New Roman"/>
        </w:rPr>
        <w:t>) muutmine, mis võivad mõnel juhul olla suuremad ja ületada pikas perspektiivis sisendite võrdväärsuse rakenduskulusid. Seepärast peaksid riiklikud regulaatorid võrdlema ja hindama sisendite võrdväärsuse ja väljundite võrdväärsuse rakendamise proportsionaalsust nende rakend</w:t>
      </w:r>
      <w:r w:rsidR="0071317E">
        <w:rPr>
          <w:rFonts w:cs="Times New Roman"/>
        </w:rPr>
        <w:t>us</w:t>
      </w:r>
      <w:r w:rsidRPr="00883566">
        <w:rPr>
          <w:rFonts w:cs="Times New Roman"/>
        </w:rPr>
        <w:t xml:space="preserve">kulude ja kasu alusel </w:t>
      </w:r>
      <w:r w:rsidR="0071317E">
        <w:rPr>
          <w:rFonts w:cs="Times New Roman"/>
        </w:rPr>
        <w:t xml:space="preserve"> ning võttes arvesse eelkõige järgmist</w:t>
      </w:r>
      <w:r w:rsidRPr="00883566">
        <w:rPr>
          <w:rFonts w:cs="Times New Roman"/>
        </w:rPr>
        <w:t xml:space="preserve">: </w:t>
      </w:r>
    </w:p>
    <w:p w14:paraId="4B7E9E44" w14:textId="77777777" w:rsidR="00F03958" w:rsidRPr="00883566" w:rsidRDefault="00F03958" w:rsidP="00AA241E">
      <w:pPr>
        <w:ind w:left="1440"/>
        <w:jc w:val="both"/>
        <w:rPr>
          <w:rFonts w:cs="Times New Roman"/>
        </w:rPr>
      </w:pPr>
      <w:r w:rsidRPr="00883566">
        <w:rPr>
          <w:rFonts w:cs="Times New Roman"/>
        </w:rPr>
        <w:t>a) sisendite või väljundite võrdväärsuse põhimõtte järgimisest tulenevad lisanduvad kulud ja täitmisega seotud viivitused, sealhulgas mittediskrimineerimise seirega seotud kulud;</w:t>
      </w:r>
    </w:p>
    <w:p w14:paraId="538A782F" w14:textId="77777777" w:rsidR="00F03958" w:rsidRPr="00883566" w:rsidRDefault="00F03958" w:rsidP="00AA241E">
      <w:pPr>
        <w:ind w:left="1440"/>
        <w:jc w:val="both"/>
        <w:rPr>
          <w:rFonts w:cs="Times New Roman"/>
        </w:rPr>
      </w:pPr>
      <w:r w:rsidRPr="00883566">
        <w:rPr>
          <w:rFonts w:cs="Times New Roman"/>
        </w:rPr>
        <w:t>b) hulgitasandi reguleeritud juurdepääsuhindade kehtestamata jätmise võimalik mõju väga suure läbilaskevõimega võrkude puhul;</w:t>
      </w:r>
    </w:p>
    <w:p w14:paraId="023188FB" w14:textId="77777777" w:rsidR="00F03958" w:rsidRPr="00883566" w:rsidRDefault="00F03958" w:rsidP="00AA241E">
      <w:pPr>
        <w:ind w:left="1440"/>
        <w:jc w:val="both"/>
        <w:rPr>
          <w:rFonts w:cs="Times New Roman"/>
        </w:rPr>
      </w:pPr>
      <w:r w:rsidRPr="00883566">
        <w:rPr>
          <w:rFonts w:cs="Times New Roman"/>
        </w:rPr>
        <w:t>c) võimalik positiivne mõju, mida sisendite või väljundite võrdväärsusel põhineva range mittediskrimineerimise kohustuse kohaldamine võib avaldada väga suure läbilaskevõimega võrkudesse tehtavatele investeeringutele, innovatsioonile ja konkurentsile;</w:t>
      </w:r>
    </w:p>
    <w:p w14:paraId="4160B9DC" w14:textId="77777777" w:rsidR="00F03958" w:rsidRPr="00883566" w:rsidRDefault="00F03958" w:rsidP="00AA241E">
      <w:pPr>
        <w:ind w:left="1440"/>
        <w:jc w:val="both"/>
        <w:rPr>
          <w:rFonts w:cs="Times New Roman"/>
        </w:rPr>
      </w:pPr>
      <w:r w:rsidRPr="00883566">
        <w:rPr>
          <w:rFonts w:cs="Times New Roman"/>
        </w:rPr>
        <w:t>d) märkimisväärse turujõuga ettevõtja vabatahtlikult võetud kohustus pakkuda juurdepääsu taotlejatele hulgimüügisisendeid sisendite või väljundite võrdväärsuse põhimõtete alusel, kui selline vabatahtlik pakkumine vastab käesolevas soovituses sätestatud tingimustele;</w:t>
      </w:r>
    </w:p>
    <w:p w14:paraId="36C6FB00" w14:textId="77777777" w:rsidR="00F03958" w:rsidRPr="00883566" w:rsidRDefault="00F03958" w:rsidP="00AA241E">
      <w:pPr>
        <w:ind w:left="720" w:firstLine="720"/>
        <w:jc w:val="both"/>
        <w:rPr>
          <w:rFonts w:cs="Times New Roman"/>
        </w:rPr>
      </w:pPr>
      <w:r w:rsidRPr="00883566">
        <w:rPr>
          <w:rFonts w:cs="Times New Roman"/>
        </w:rPr>
        <w:t>e) märkimisväärse turujõuga ettevõtja(te) arv ja suurus;</w:t>
      </w:r>
    </w:p>
    <w:p w14:paraId="0A9803D3" w14:textId="77777777" w:rsidR="00F03958" w:rsidRPr="00883566" w:rsidRDefault="00F03958" w:rsidP="00AA241E">
      <w:pPr>
        <w:ind w:left="720" w:firstLine="720"/>
        <w:jc w:val="both"/>
        <w:rPr>
          <w:rFonts w:cs="Times New Roman"/>
        </w:rPr>
      </w:pPr>
      <w:r w:rsidRPr="00883566">
        <w:rPr>
          <w:rFonts w:cs="Times New Roman"/>
        </w:rPr>
        <w:t>f) seni rakendatavatel standarditel põhinevad kogemused.</w:t>
      </w:r>
    </w:p>
    <w:p w14:paraId="54B58202" w14:textId="3A32AB8E" w:rsidR="00F03958" w:rsidRPr="00883566" w:rsidRDefault="00F03958" w:rsidP="00AA241E">
      <w:pPr>
        <w:jc w:val="both"/>
        <w:rPr>
          <w:rFonts w:cs="Times New Roman"/>
        </w:rPr>
      </w:pPr>
      <w:r w:rsidRPr="00883566">
        <w:rPr>
          <w:rFonts w:cs="Times New Roman"/>
        </w:rPr>
        <w:t xml:space="preserve">Käesoleva otsuse koostamise ajal TTJA 2017 hulgituru 1 otsuse alusel kehtivad mittediskrimineerimise kohustused, vt </w:t>
      </w:r>
      <w:r w:rsidR="008C159A">
        <w:rPr>
          <w:rFonts w:cs="Times New Roman"/>
        </w:rPr>
        <w:t xml:space="preserve">ptk. </w:t>
      </w:r>
      <w:r w:rsidR="005643D5">
        <w:rPr>
          <w:rFonts w:cs="Times New Roman"/>
        </w:rPr>
        <w:t>7</w:t>
      </w:r>
      <w:r w:rsidR="00605E08">
        <w:rPr>
          <w:rFonts w:cs="Times New Roman"/>
        </w:rPr>
        <w:t>.4</w:t>
      </w:r>
      <w:r w:rsidRPr="00883566">
        <w:rPr>
          <w:rFonts w:cs="Times New Roman"/>
        </w:rPr>
        <w:t>, on suunatud väljundite võrdväärsuse rakendamisele, kuna Teliat ei ole kohustatud pakkuma hulgituru 1 teenuseid ettevõttesisestele üksustele ja teistele sideettevõtjatele samade süsteemide ja protsesside alusel. Samas puuduvad käesoleva otsuse koostamise ajal kehtivas mittediskrimineerimise kohustuses väljundite võrdväärsuse täitmise seire mehhanismid nagu näiteks nõue koguda ja avaldada reguleeritava teenuse osutamise tulemusnäitajad ja nendest lähtuvalt teenustasemete kokkulepete ja teenustaseme garantiide (kahju hüvitamist teenustaseme kokkulepete mitte järgimise korral) muutmise protseduurid.</w:t>
      </w:r>
    </w:p>
    <w:p w14:paraId="52496237" w14:textId="4C524ADE" w:rsidR="00F03958" w:rsidRPr="00883566" w:rsidRDefault="00F03958" w:rsidP="00AA241E">
      <w:pPr>
        <w:jc w:val="both"/>
        <w:rPr>
          <w:rFonts w:cs="Times New Roman"/>
        </w:rPr>
      </w:pPr>
      <w:r w:rsidRPr="00883566">
        <w:rPr>
          <w:rFonts w:cs="Times New Roman"/>
        </w:rPr>
        <w:t>TTJA-</w:t>
      </w:r>
      <w:proofErr w:type="spellStart"/>
      <w:r w:rsidRPr="00883566">
        <w:rPr>
          <w:rFonts w:cs="Times New Roman"/>
        </w:rPr>
        <w:t>le</w:t>
      </w:r>
      <w:proofErr w:type="spellEnd"/>
      <w:r w:rsidRPr="00883566">
        <w:rPr>
          <w:rFonts w:cs="Times New Roman"/>
        </w:rPr>
        <w:t xml:space="preserve"> teada olevalt kasutab Telia oma äriprotsesside ja sidevõrgu haldamiseks </w:t>
      </w:r>
      <w:r w:rsidR="0071317E">
        <w:rPr>
          <w:rFonts w:cs="Times New Roman"/>
        </w:rPr>
        <w:t>mitmeid</w:t>
      </w:r>
      <w:r w:rsidR="0071317E" w:rsidRPr="00883566">
        <w:rPr>
          <w:rFonts w:cs="Times New Roman"/>
        </w:rPr>
        <w:t xml:space="preserve"> </w:t>
      </w:r>
      <w:r w:rsidRPr="00883566">
        <w:rPr>
          <w:rFonts w:cs="Times New Roman"/>
        </w:rPr>
        <w:t xml:space="preserve">erinevaid IT süsteeme ja rakendusi. Need süsteemid ja rakendused on erineva ulatuse ja keerukusega, erinevatelt tootjatelt, erineva vanusega, erinevate tehnoloogiate ja </w:t>
      </w:r>
      <w:r w:rsidRPr="00883566">
        <w:rPr>
          <w:rFonts w:cs="Times New Roman"/>
        </w:rPr>
        <w:lastRenderedPageBreak/>
        <w:t>programmeerimiskeeltega, mida käitatakse nii füüsilistes kui ka virtuaalsetes serverites. Iga äriprotsessi (nt toote või teenuse tellimine, selle kohaletoimetamine või käivitamine, hooldus, rikete käsitl</w:t>
      </w:r>
      <w:r w:rsidR="0071317E">
        <w:rPr>
          <w:rFonts w:cs="Times New Roman"/>
        </w:rPr>
        <w:t>emine</w:t>
      </w:r>
      <w:r w:rsidRPr="00883566">
        <w:rPr>
          <w:rFonts w:cs="Times New Roman"/>
        </w:rPr>
        <w:t>, vajaliku teabe edastamine) toetavad mitmed süsteemid ja harva viiakse mõni protsess läbi ainult ühe süsteemi alusel.</w:t>
      </w:r>
      <w:r w:rsidRPr="00883566">
        <w:t xml:space="preserve"> Hulgituru 1 teenuste osas s</w:t>
      </w:r>
      <w:r w:rsidRPr="00883566">
        <w:rPr>
          <w:rFonts w:cs="Times New Roman"/>
        </w:rPr>
        <w:t xml:space="preserve">isendite võrdväärsuse tagamiseks tuleks määratleda ja eraldada </w:t>
      </w:r>
      <w:r w:rsidR="0071317E">
        <w:rPr>
          <w:rFonts w:cs="Times New Roman"/>
        </w:rPr>
        <w:t>mitmeid</w:t>
      </w:r>
      <w:r w:rsidR="0071317E" w:rsidRPr="00883566">
        <w:rPr>
          <w:rFonts w:cs="Times New Roman"/>
        </w:rPr>
        <w:t xml:space="preserve"> </w:t>
      </w:r>
      <w:r w:rsidRPr="00883566">
        <w:rPr>
          <w:rFonts w:cs="Times New Roman"/>
        </w:rPr>
        <w:t>süsteeme ja läbi viia</w:t>
      </w:r>
      <w:r w:rsidR="00315F32">
        <w:rPr>
          <w:rFonts w:cs="Times New Roman"/>
        </w:rPr>
        <w:t xml:space="preserve"> nende</w:t>
      </w:r>
      <w:r w:rsidRPr="00883566">
        <w:rPr>
          <w:rFonts w:cs="Times New Roman"/>
        </w:rPr>
        <w:t xml:space="preserve"> mahukas analüüs nende muutmiseks ja täiendamiseks viisil, et nende alusel saaks vastava toote äriprotsesse läbi viia ühte moodi ettevõttesisestele üksustele ja teistele sideettevõtjatele. Samuti võivad sisendite võrdväärsuse põhimõtte rakendamist piirata vastavate IT-süsteemide tootja litsentsi tingimused, mis võivad lubada neid süsteeme kasutada ainult Telial.</w:t>
      </w:r>
    </w:p>
    <w:p w14:paraId="6449A980" w14:textId="77777777" w:rsidR="00F03958" w:rsidRPr="00883566" w:rsidRDefault="00F03958" w:rsidP="00AA241E">
      <w:pPr>
        <w:jc w:val="both"/>
        <w:rPr>
          <w:rFonts w:cs="Times New Roman"/>
        </w:rPr>
      </w:pPr>
      <w:r w:rsidRPr="00883566">
        <w:rPr>
          <w:rFonts w:cs="Times New Roman"/>
        </w:rPr>
        <w:t>Käesoleva otsuse koostamise ajal toimub hulgituru 1 teenuste äriprotsessidega (teenuse tellimine, käivitamine, hooldus, rikete käsitlemine, vajaliku teabe edastamine) seotud teabe vahetamine teistele sideettevõtjatega e-kirja vahendusel, millele vastamist korraldab Telia selleks välja õpetatud töötaja, kes kogub selleks vajalikud andmed mitmetest erinevatest IT-süsteemidest. TTJA-l puudub täpne teave, milline on äriprotsessid hulgituru 1 teenustega samalaadsete teenuste (jaetasandi internetiühendused) osutamisel ettevõttesiseste üksustele (nt jaemüügi üksused) ning kui suures osas kasutatakse selleks eraldi IT-süsteeme ja millises osa samu süsteeme, mida kasutatakse ka teistele sideettevõtjatele pakutavate hulgituru 1 teenuste korral.</w:t>
      </w:r>
    </w:p>
    <w:p w14:paraId="78F88550" w14:textId="77777777" w:rsidR="00F03958" w:rsidRPr="00883566" w:rsidRDefault="00F03958" w:rsidP="00AA241E">
      <w:pPr>
        <w:jc w:val="both"/>
        <w:rPr>
          <w:rFonts w:cs="Times New Roman"/>
        </w:rPr>
      </w:pPr>
      <w:r w:rsidRPr="00883566">
        <w:rPr>
          <w:rFonts w:cs="Times New Roman"/>
        </w:rPr>
        <w:t>TTJA hinnangul Telia hulgituru 1 teenuste sisemise ja välimise osutamise osas täiendav tulemusnäitajate kogumine ja hindamine, nende alusel teenustaseme kokkulepete  ja garantiide muutmine, kui seda teha mõistlike ajavahemike ja protseduuride alusel, ei ole väga keeruline ja ressursimahukas nii Telial, teistele vastavast teenusest huvitatud sideettevõtjatele, kui ka TTJA-</w:t>
      </w:r>
      <w:proofErr w:type="spellStart"/>
      <w:r w:rsidRPr="00883566">
        <w:rPr>
          <w:rFonts w:cs="Times New Roman"/>
        </w:rPr>
        <w:t>le</w:t>
      </w:r>
      <w:proofErr w:type="spellEnd"/>
      <w:r w:rsidRPr="00883566">
        <w:rPr>
          <w:rFonts w:cs="Times New Roman"/>
        </w:rPr>
        <w:t>, kuna see nõuab eelkõige teenuse tellimise ja käivitamisega kaasnevate protsesside kestuse mõõtmist ja läbipaistva kooskõlastusprotsessi järgimist teenustaseme kokkulepete ja garantiide muutmiseks.</w:t>
      </w:r>
    </w:p>
    <w:p w14:paraId="711F4AE4" w14:textId="0BB61E93" w:rsidR="00F03958" w:rsidRPr="00883566" w:rsidRDefault="00F03958" w:rsidP="00AA241E">
      <w:pPr>
        <w:jc w:val="both"/>
        <w:rPr>
          <w:rFonts w:cs="Times New Roman"/>
          <w:b/>
          <w:bCs/>
        </w:rPr>
      </w:pPr>
      <w:r w:rsidRPr="00883566">
        <w:rPr>
          <w:rFonts w:cs="Times New Roman"/>
          <w:b/>
          <w:bCs/>
        </w:rPr>
        <w:t>Võttes arvesse, eelkirjeldatud hulgituru 1 teenuste sisemise ja välimise osutamisel Telia IT-süsteemide ja äriprotsesside ühtlustamise keerukust ning sellega kaasnevaid ressursimahukaid analüüse ning seega ka kõrgeid rakenduskulusid,  samuti teistele sideettevõtjatele osutatavate hulgituru 1 teenuste marginaalset nõudlust ja kasutust, ei ole TTJA hinnangul majanduslikult tõhus ja mõistlik rakendada mittediskrimineerimise kohustuse raames Teliale sisendite võrdväärsus</w:t>
      </w:r>
      <w:r w:rsidR="00843E7F">
        <w:rPr>
          <w:rFonts w:cs="Times New Roman"/>
          <w:b/>
          <w:bCs/>
        </w:rPr>
        <w:t>e kohustus</w:t>
      </w:r>
      <w:r w:rsidRPr="00883566">
        <w:rPr>
          <w:rFonts w:cs="Times New Roman"/>
          <w:b/>
          <w:bCs/>
        </w:rPr>
        <w:t>t</w:t>
      </w:r>
      <w:r w:rsidR="00843E7F">
        <w:rPr>
          <w:rFonts w:cs="Times New Roman"/>
          <w:b/>
          <w:bCs/>
        </w:rPr>
        <w:t xml:space="preserve">. </w:t>
      </w:r>
      <w:r w:rsidR="000F01A7">
        <w:rPr>
          <w:rFonts w:cs="Times New Roman"/>
          <w:b/>
          <w:bCs/>
        </w:rPr>
        <w:t xml:space="preserve">Seetõttu on </w:t>
      </w:r>
      <w:r w:rsidR="00843E7F">
        <w:rPr>
          <w:rFonts w:cs="Times New Roman"/>
          <w:b/>
          <w:bCs/>
        </w:rPr>
        <w:t xml:space="preserve">Telia </w:t>
      </w:r>
      <w:r w:rsidR="000F01A7">
        <w:rPr>
          <w:rFonts w:cs="Times New Roman"/>
          <w:b/>
          <w:bCs/>
        </w:rPr>
        <w:t xml:space="preserve">kohustatud rakendama </w:t>
      </w:r>
      <w:r w:rsidRPr="00883566">
        <w:rPr>
          <w:rFonts w:cs="Times New Roman"/>
          <w:b/>
          <w:bCs/>
        </w:rPr>
        <w:t>väljundite võrdväärsus</w:t>
      </w:r>
      <w:r w:rsidR="000F01A7">
        <w:rPr>
          <w:rFonts w:cs="Times New Roman"/>
          <w:b/>
          <w:bCs/>
        </w:rPr>
        <w:t>t</w:t>
      </w:r>
      <w:r w:rsidRPr="00883566">
        <w:rPr>
          <w:rFonts w:cs="Times New Roman"/>
          <w:b/>
          <w:bCs/>
        </w:rPr>
        <w:t xml:space="preserve"> täiendades seejuures vastavate teenuste sisemise ja välimise osutamise seire mehhanismide rakendamise nõudeid ehk tulemusnäitajate kogumise ja hindamise ja nende alusel teenustaseme kokkulepete ja garantiide muutmise nõudeid, vt </w:t>
      </w:r>
      <w:r w:rsidR="008C159A">
        <w:rPr>
          <w:rFonts w:cs="Times New Roman"/>
          <w:b/>
          <w:bCs/>
        </w:rPr>
        <w:t xml:space="preserve">ptk. </w:t>
      </w:r>
      <w:r w:rsidR="005643D5">
        <w:rPr>
          <w:rFonts w:cs="Times New Roman"/>
          <w:b/>
          <w:bCs/>
        </w:rPr>
        <w:t>7</w:t>
      </w:r>
      <w:r w:rsidR="007F6E1A">
        <w:rPr>
          <w:rFonts w:cs="Times New Roman"/>
          <w:b/>
          <w:bCs/>
        </w:rPr>
        <w:t>.4.5</w:t>
      </w:r>
      <w:r w:rsidRPr="00883566">
        <w:rPr>
          <w:rFonts w:cs="Times New Roman"/>
          <w:b/>
          <w:bCs/>
        </w:rPr>
        <w:t>.</w:t>
      </w:r>
    </w:p>
    <w:p w14:paraId="5888FE58" w14:textId="77777777" w:rsidR="00F03958" w:rsidRPr="00883566" w:rsidRDefault="00F03958" w:rsidP="00AA241E">
      <w:pPr>
        <w:jc w:val="both"/>
      </w:pPr>
    </w:p>
    <w:p w14:paraId="1A925701" w14:textId="51C5BBB1" w:rsidR="00F03958" w:rsidRPr="00883566" w:rsidRDefault="00F03958" w:rsidP="009805E1">
      <w:pPr>
        <w:pStyle w:val="Pealkiri3"/>
      </w:pPr>
      <w:bookmarkStart w:id="985" w:name="_Toc174710836"/>
      <w:r w:rsidRPr="00883566">
        <w:lastRenderedPageBreak/>
        <w:t>Tulemusnäitajad, teenustaseme kokkulepped ja garantiid</w:t>
      </w:r>
      <w:bookmarkEnd w:id="985"/>
    </w:p>
    <w:p w14:paraId="7B207D74" w14:textId="77777777" w:rsidR="00F03958" w:rsidRPr="00883566" w:rsidRDefault="00F03958" w:rsidP="00AA241E">
      <w:pPr>
        <w:jc w:val="both"/>
        <w:rPr>
          <w:rFonts w:cs="Times New Roman"/>
        </w:rPr>
      </w:pPr>
    </w:p>
    <w:p w14:paraId="2879BEE8" w14:textId="77777777" w:rsidR="00F03958" w:rsidRPr="00883566" w:rsidRDefault="00F03958" w:rsidP="00AA241E">
      <w:pPr>
        <w:jc w:val="both"/>
        <w:rPr>
          <w:rFonts w:cs="Times New Roman"/>
        </w:rPr>
      </w:pPr>
      <w:r w:rsidRPr="00883566">
        <w:rPr>
          <w:rFonts w:cs="Times New Roman"/>
        </w:rPr>
        <w:t>EK 2024 kohustuste soovituse kohaselt:</w:t>
      </w:r>
    </w:p>
    <w:p w14:paraId="619D962F" w14:textId="77777777" w:rsidR="00F03958" w:rsidRPr="00883566" w:rsidRDefault="00F03958" w:rsidP="00AA241E">
      <w:pPr>
        <w:ind w:left="720"/>
        <w:jc w:val="both"/>
        <w:rPr>
          <w:rFonts w:cs="Times New Roman"/>
        </w:rPr>
      </w:pPr>
      <w:r w:rsidRPr="00883566">
        <w:rPr>
          <w:rFonts w:cs="Times New Roman"/>
        </w:rPr>
        <w:t>Kui riigi reguleeriv asutus kehtestab mittediskrimineerimise kohustuse, peaks selle täitmise ja tõhusa kohaldamise tagamiseks nõudma, et MTE rakendaks kooskõlas EK 2024 kohustuste soovituse lisas I esitatud põhimõtetega põhilisi tulemusnäitajaid, teenustaseme kokkuleppeid, mis lähtuvad põhilistest tulemusnäitajatest, ja teenustaseme garantiisid, mida kohaldatakse teenustaseme kokkulepete rikkumise korral. Ette tuleks näha mehhanism põhiliste tulemusnäitajate, teenustaseme kokkulepete ja teenustaseme garantiide ajakohastamiseks, kui see osutub vajalikuks. Vajaduse korral peaksid riikide reguleerivad asutused nõudma, et MTE lisaks põhilised tulemusnäitajad, teenustaseme kokkulepped ja teenustaseme garantiid standardpakkumisse (nimetatakse ka näidispakkumiseks).</w:t>
      </w:r>
    </w:p>
    <w:p w14:paraId="759762FC" w14:textId="77777777" w:rsidR="00F03958" w:rsidRPr="00883566" w:rsidRDefault="00F03958" w:rsidP="00AA241E">
      <w:pPr>
        <w:ind w:left="619"/>
        <w:jc w:val="both"/>
        <w:rPr>
          <w:rFonts w:cs="Times New Roman"/>
        </w:rPr>
      </w:pPr>
      <w:r w:rsidRPr="00883566">
        <w:rPr>
          <w:rFonts w:cs="Times New Roman"/>
        </w:rPr>
        <w:t>Riikide reguleerivad asutused peaksid nõuetekohaselt arvesse võtma MTE pakutud kohustusi seoses mittediskrimineerimisega. Eeskätt võidakse selliseid kohustusi välja pakkuda seoses põhiliste tulemusnäitajate, teenustaseme kokkulepete ja teenustaseme garantiidega, sealhulgas nende tingimustega, eriti juhul, kui juurdepääsu taotlejad on MTE väljapakutud kohustustega nõus. Riikide reguleerivad asutused peaksid edendama eri sidusrühmi hõlmavat dialoogi MTE ja juurdepääsu taotlejate vahel, et pooled jõuaksid üksmeelele või kaalutletud otsusele:</w:t>
      </w:r>
    </w:p>
    <w:p w14:paraId="4BBD5C8D" w14:textId="77777777" w:rsidR="00F03958" w:rsidRPr="00883566" w:rsidRDefault="00F03958" w:rsidP="00AA241E">
      <w:pPr>
        <w:ind w:left="1081"/>
        <w:jc w:val="both"/>
        <w:rPr>
          <w:rFonts w:cs="Times New Roman"/>
        </w:rPr>
      </w:pPr>
      <w:r w:rsidRPr="00883566">
        <w:rPr>
          <w:rFonts w:cs="Times New Roman"/>
        </w:rPr>
        <w:t>a) põhiliste tulemusnäitajate, teenustaseme kokkulepete ja teenustaseme garantiide tervikliku paketi suhtes;</w:t>
      </w:r>
    </w:p>
    <w:p w14:paraId="3A946291" w14:textId="77777777" w:rsidR="00F03958" w:rsidRPr="00883566" w:rsidRDefault="00F03958" w:rsidP="00AA241E">
      <w:pPr>
        <w:ind w:left="1081"/>
        <w:jc w:val="both"/>
        <w:rPr>
          <w:rFonts w:cs="Times New Roman"/>
        </w:rPr>
      </w:pPr>
      <w:r w:rsidRPr="00883566">
        <w:rPr>
          <w:rFonts w:cs="Times New Roman"/>
        </w:rPr>
        <w:t>b) asjaomaste tingimuste suhtes, sealhulgas asjakohane tähtaeg põhiliste tulemusnäitajate, teenustaseme kokkulepete ja teenustaseme garantiide ajakohastamiseks.</w:t>
      </w:r>
    </w:p>
    <w:p w14:paraId="69962A3E" w14:textId="77777777" w:rsidR="00F03958" w:rsidRPr="00883566" w:rsidRDefault="00F03958" w:rsidP="00AA241E">
      <w:pPr>
        <w:ind w:left="678"/>
        <w:jc w:val="both"/>
        <w:rPr>
          <w:rFonts w:cs="Times New Roman"/>
        </w:rPr>
      </w:pPr>
      <w:r w:rsidRPr="00883566">
        <w:rPr>
          <w:rFonts w:cs="Times New Roman"/>
        </w:rPr>
        <w:t>Samuti peaksid riikide reguleerivad asutused lisaks põhiliste tulemusnäitajatega seotud aruannetele tagama, et MTE registreerib kõik andmed, mis on vajalikud juurdepääsutingimuste võrdväärsuse põhimõttele vastavuse jälgimiseks. See teave peaks võimaldama riikide reguleerivatel asutustel regulaarselt kontrollida, kas MTE annab kolmandatest isikutest juurdepääsutaotlejatele nõutavat teavet ning kas menetlusi järgitakse nõuetekohaselt, eelkõige tellimise ja teenuste pakkumise puhul.</w:t>
      </w:r>
    </w:p>
    <w:p w14:paraId="40DF76FF" w14:textId="77777777" w:rsidR="00F03958" w:rsidRPr="00883566" w:rsidRDefault="00F03958" w:rsidP="00AA241E">
      <w:pPr>
        <w:ind w:left="678"/>
        <w:jc w:val="both"/>
        <w:rPr>
          <w:rFonts w:cs="Times New Roman"/>
        </w:rPr>
      </w:pPr>
      <w:r w:rsidRPr="00883566">
        <w:rPr>
          <w:rFonts w:cs="Times New Roman"/>
        </w:rPr>
        <w:t>Põhiliste tulemusnäitajatega tuleks mõõta tulemusi vähemalt järgmiste reguleeritud juurdepääsuteenuste osutamisega seotud põhielementide puhul:</w:t>
      </w:r>
    </w:p>
    <w:p w14:paraId="57E4F2BF" w14:textId="77777777" w:rsidR="00F03958" w:rsidRPr="00883566" w:rsidRDefault="00F03958" w:rsidP="00AA241E">
      <w:pPr>
        <w:ind w:left="1314" w:firstLine="42"/>
        <w:jc w:val="both"/>
        <w:rPr>
          <w:rFonts w:cs="Times New Roman"/>
        </w:rPr>
      </w:pPr>
      <w:r w:rsidRPr="00883566">
        <w:rPr>
          <w:rFonts w:cs="Times New Roman"/>
        </w:rPr>
        <w:t>a) tellimisprotsess;</w:t>
      </w:r>
    </w:p>
    <w:p w14:paraId="054168A0" w14:textId="77777777" w:rsidR="00F03958" w:rsidRPr="00883566" w:rsidRDefault="00F03958" w:rsidP="00AA241E">
      <w:pPr>
        <w:ind w:left="1314" w:firstLine="42"/>
        <w:jc w:val="both"/>
        <w:rPr>
          <w:rFonts w:cs="Times New Roman"/>
        </w:rPr>
      </w:pPr>
      <w:r w:rsidRPr="00883566">
        <w:rPr>
          <w:rFonts w:cs="Times New Roman"/>
        </w:rPr>
        <w:t>b) teenuse osutamine;</w:t>
      </w:r>
    </w:p>
    <w:p w14:paraId="3957706E" w14:textId="77777777" w:rsidR="00F03958" w:rsidRPr="00883566" w:rsidRDefault="00F03958" w:rsidP="00AA241E">
      <w:pPr>
        <w:ind w:left="1314" w:firstLine="42"/>
        <w:jc w:val="both"/>
        <w:rPr>
          <w:rFonts w:cs="Times New Roman"/>
        </w:rPr>
      </w:pPr>
      <w:r w:rsidRPr="00883566">
        <w:rPr>
          <w:rFonts w:cs="Times New Roman"/>
        </w:rPr>
        <w:lastRenderedPageBreak/>
        <w:t>c) teenuse kvaliteet, sealhulgas rikked;</w:t>
      </w:r>
    </w:p>
    <w:p w14:paraId="6A810F8A" w14:textId="77777777" w:rsidR="00F03958" w:rsidRPr="00883566" w:rsidRDefault="00F03958" w:rsidP="00AA241E">
      <w:pPr>
        <w:ind w:left="1314" w:firstLine="42"/>
        <w:jc w:val="both"/>
        <w:rPr>
          <w:rFonts w:cs="Times New Roman"/>
        </w:rPr>
      </w:pPr>
      <w:r w:rsidRPr="00883566">
        <w:rPr>
          <w:rFonts w:cs="Times New Roman"/>
        </w:rPr>
        <w:t>d) rikete kõrvaldamise aeg;</w:t>
      </w:r>
    </w:p>
    <w:p w14:paraId="743E0A54" w14:textId="77777777" w:rsidR="00F03958" w:rsidRPr="00883566" w:rsidRDefault="00F03958" w:rsidP="00AA241E">
      <w:pPr>
        <w:ind w:left="1314" w:firstLine="42"/>
        <w:jc w:val="both"/>
        <w:rPr>
          <w:rFonts w:cs="Times New Roman"/>
        </w:rPr>
      </w:pPr>
      <w:r w:rsidRPr="00883566">
        <w:rPr>
          <w:rFonts w:cs="Times New Roman"/>
        </w:rPr>
        <w:t>e) üleminek ühelt reguleeritud hulgimüügisisendilt teisele (v.a ühekordne koondüleminek).</w:t>
      </w:r>
    </w:p>
    <w:p w14:paraId="0B1F399F" w14:textId="77777777" w:rsidR="00F03958" w:rsidRPr="00883566" w:rsidRDefault="00F03958" w:rsidP="00AA241E">
      <w:pPr>
        <w:ind w:left="418"/>
        <w:jc w:val="both"/>
        <w:rPr>
          <w:rFonts w:cs="Times New Roman"/>
        </w:rPr>
      </w:pPr>
      <w:r w:rsidRPr="00883566">
        <w:rPr>
          <w:rFonts w:cs="Times New Roman"/>
        </w:rPr>
        <w:t>Riikide reguleerivad asutused peaksid kehtestama põhilised tulemusnäitajad kõigi eeltoodud põhielementide jaoks, mis on seotud reguleeritud hulgimüügiteenuste osutamisega. Põhilised tulemusnäitajad peaksid võimaldama omavahel võrrelda ettevõttesiseselt MTE jaemüügi üksustele osutatavaid teenuseid ja ettevõtteväliselt teistele sideettevõtjatele osutatavaid teenuseid.</w:t>
      </w:r>
    </w:p>
    <w:p w14:paraId="47F23B0A" w14:textId="77777777" w:rsidR="00F03958" w:rsidRPr="00883566" w:rsidRDefault="00F03958" w:rsidP="00AA241E">
      <w:pPr>
        <w:ind w:left="418"/>
        <w:jc w:val="both"/>
        <w:rPr>
          <w:rFonts w:cs="Times New Roman"/>
        </w:rPr>
      </w:pPr>
      <w:r w:rsidRPr="00883566">
        <w:rPr>
          <w:rFonts w:cs="Times New Roman"/>
        </w:rPr>
        <w:t>Riigi reguleeriva asutuse poolt kehtestatavate põhiliste tulemusnäitajate üksikasjades võivad kokku leppida MTE ja teised sideettevõtjad.</w:t>
      </w:r>
    </w:p>
    <w:p w14:paraId="32CFC3E7" w14:textId="77777777" w:rsidR="00F03958" w:rsidRPr="00883566" w:rsidRDefault="00F03958" w:rsidP="00AA241E">
      <w:pPr>
        <w:ind w:left="418"/>
        <w:jc w:val="both"/>
        <w:rPr>
          <w:rFonts w:cs="Times New Roman"/>
        </w:rPr>
      </w:pPr>
      <w:r w:rsidRPr="00883566">
        <w:rPr>
          <w:rFonts w:cs="Times New Roman"/>
        </w:rPr>
        <w:t>Põhiliste tulemusnäitajate kindlaksmääramisel peaks riigi reguleeriv asutus arvesse võtma juba olemasolevaid tulemusnäitajaid, isegi juhul, kui tegemist on MTE poolt üksnes ettevõttesiseselt kasutatavate näitajatega.</w:t>
      </w:r>
    </w:p>
    <w:p w14:paraId="679B4384" w14:textId="77777777" w:rsidR="00F03958" w:rsidRPr="00883566" w:rsidRDefault="00F03958" w:rsidP="00AA241E">
      <w:pPr>
        <w:ind w:left="418"/>
        <w:jc w:val="both"/>
        <w:rPr>
          <w:rFonts w:cs="Times New Roman"/>
        </w:rPr>
      </w:pPr>
      <w:r w:rsidRPr="00883566">
        <w:rPr>
          <w:rFonts w:cs="Times New Roman"/>
        </w:rPr>
        <w:t>Riikide reguleerivad asutused peaksid põhilisi tulemusnäitajaid korrapäraselt auditeerima või laskma seda teha sõltumatul audiitoril.</w:t>
      </w:r>
    </w:p>
    <w:p w14:paraId="4A7A0D8C" w14:textId="77777777" w:rsidR="00F03958" w:rsidRPr="00883566" w:rsidRDefault="00F03958" w:rsidP="00AA241E">
      <w:pPr>
        <w:ind w:left="418"/>
        <w:jc w:val="both"/>
        <w:rPr>
          <w:rFonts w:cs="Times New Roman"/>
        </w:rPr>
      </w:pPr>
      <w:r w:rsidRPr="00883566">
        <w:rPr>
          <w:rFonts w:cs="Times New Roman"/>
        </w:rPr>
        <w:t>Riikide reguleerivad asutused peaksid nõudma, et MTE rakendaks vastavad teenustaseme kokkulepped koos teenustaseme garantiidega.</w:t>
      </w:r>
    </w:p>
    <w:p w14:paraId="47669198" w14:textId="77777777" w:rsidR="00F03958" w:rsidRPr="00883566" w:rsidRDefault="00F03958" w:rsidP="00AA241E">
      <w:pPr>
        <w:ind w:left="418"/>
        <w:jc w:val="both"/>
        <w:rPr>
          <w:rFonts w:cs="Times New Roman"/>
        </w:rPr>
      </w:pPr>
      <w:r w:rsidRPr="00883566">
        <w:rPr>
          <w:rFonts w:cs="Times New Roman"/>
        </w:rPr>
        <w:t>Riikide reguleerivad asutused peaksid nõudma, et MTE annaks vastavad teenustaseme garantiid, mida kasutatakse teenustaseme kokkulepete rikkumise korral.</w:t>
      </w:r>
    </w:p>
    <w:p w14:paraId="44EC56F9" w14:textId="77777777" w:rsidR="00F03958" w:rsidRPr="00883566" w:rsidRDefault="00F03958" w:rsidP="00AA241E">
      <w:pPr>
        <w:ind w:left="418"/>
        <w:jc w:val="both"/>
        <w:rPr>
          <w:rFonts w:cs="Times New Roman"/>
        </w:rPr>
      </w:pPr>
      <w:r w:rsidRPr="00883566">
        <w:rPr>
          <w:rFonts w:cs="Times New Roman"/>
        </w:rPr>
        <w:t>Riikide reguleerivad asutused peaksid tagama, et teenustaseme garantiide tingimuste mittetäitmise korral ette nähtud karistusmaksed tehakse põhimõtteliselt põhjendamatute viivitusteta ja eelnevalt kindlaks määratud makse- ja arveldamiskorra alusel. Sellised karistused peaksid olema piisavalt hoiatavad tagamaks, et MTE järgib kokkulepete täitmise kohustust.</w:t>
      </w:r>
    </w:p>
    <w:p w14:paraId="39D177BB" w14:textId="77777777" w:rsidR="00F03958" w:rsidRPr="00883566" w:rsidRDefault="00F03958" w:rsidP="00AA241E">
      <w:pPr>
        <w:ind w:left="418"/>
        <w:jc w:val="both"/>
        <w:rPr>
          <w:rFonts w:cs="Times New Roman"/>
        </w:rPr>
      </w:pPr>
      <w:r w:rsidRPr="00883566">
        <w:rPr>
          <w:rFonts w:cs="Times New Roman"/>
        </w:rPr>
        <w:t>Põhiliste tulemusnäitajate saavutamata jätmisega seotud karistused peaksid olema proportsionaalsed, kuid seejuures piisavalt suured, et olla hoiatavad. Selleks et hinnata, kas karistus on piisavalt hoiatav, peaksid riikide reguleerivad asutused kaaluma, kas see, kui MTE ei täida oma kohustusi hulgitasandil, tekitaks vastavat hulgitasandi juurdepääsutoodet kasutavale alternatiivsele operaatorile probleeme jaetasandil. Kui see nii on, peaks karistus olema piisavalt suur, et katta kahju jaetasandil.</w:t>
      </w:r>
    </w:p>
    <w:p w14:paraId="33EB22A4" w14:textId="77777777" w:rsidR="00F03958" w:rsidRPr="00883566" w:rsidRDefault="00F03958" w:rsidP="00AA241E">
      <w:pPr>
        <w:jc w:val="both"/>
        <w:rPr>
          <w:rFonts w:cs="Times New Roman"/>
        </w:rPr>
      </w:pPr>
    </w:p>
    <w:p w14:paraId="5E9CC205" w14:textId="77777777" w:rsidR="00F03958" w:rsidRPr="00883566" w:rsidRDefault="00F03958" w:rsidP="00AA241E">
      <w:pPr>
        <w:jc w:val="both"/>
        <w:rPr>
          <w:rFonts w:cs="Times New Roman"/>
        </w:rPr>
      </w:pPr>
      <w:r w:rsidRPr="00883566">
        <w:rPr>
          <w:rFonts w:cs="Times New Roman"/>
        </w:rPr>
        <w:t xml:space="preserve">Eeltoodust tulenevalt peab selleks, et tagada mittediskrimineerimise kohustuse täitmine ja selle vastavus EK 2024 kohustuse soovitusele Telia mõõtma ja avaldama hulgituru 1 teenuste ja toodete </w:t>
      </w:r>
      <w:r w:rsidRPr="00883566">
        <w:rPr>
          <w:rFonts w:cs="Times New Roman"/>
        </w:rPr>
        <w:lastRenderedPageBreak/>
        <w:t xml:space="preserve">osutamise põhilisi tulemusnäitajaid ning nende alusel kehtestama teenustaseme kokkulepped ja garantiid vastavas hulgituru 1 teenuste osutamise näidispakkumises. </w:t>
      </w:r>
    </w:p>
    <w:p w14:paraId="3ECC2EDB" w14:textId="77777777" w:rsidR="00F03958" w:rsidRPr="00883566" w:rsidRDefault="00F03958" w:rsidP="00AA241E">
      <w:pPr>
        <w:jc w:val="both"/>
        <w:rPr>
          <w:rFonts w:cs="Times New Roman"/>
        </w:rPr>
      </w:pPr>
      <w:r w:rsidRPr="00883566">
        <w:rPr>
          <w:rFonts w:cs="Times New Roman"/>
        </w:rPr>
        <w:t>Käesoleva otsuse koostamise ajal kehtivas TTJA 2017 hulgituru 1 otsuses puudub tulemusnäitajate mõõtmise ning nende alusel teenustaseme kokkulepete ja garantiide koostamise ja näidispakkumises avaldamise kohustused. Telia avaldatud hulgituru 1 teenuste tingimustes</w:t>
      </w:r>
      <w:r w:rsidRPr="00883566">
        <w:rPr>
          <w:rFonts w:cs="Times New Roman"/>
          <w:vertAlign w:val="superscript"/>
        </w:rPr>
        <w:footnoteReference w:id="163"/>
      </w:r>
      <w:r w:rsidRPr="00883566">
        <w:rPr>
          <w:rFonts w:cs="Times New Roman"/>
        </w:rPr>
        <w:t xml:space="preserve"> (näidispakkumises) on küll avaldatud mõningad teenustaseme kokkulepped, nagu näiteks teenuste tellimise taotlustele vastamise tähtajad, kuid need ei põhine Telia tulemusnäitajatel. Samuti puuduvad näidispakkumistes teenustaseme garantiid ehk leppetrahvid juhtumiteks, kui teenustaseme kokkuleppeid (nt taotluste vastamise tähtaegasid) Telia poolt ei täideta.</w:t>
      </w:r>
    </w:p>
    <w:p w14:paraId="3A2E56C2" w14:textId="77777777" w:rsidR="00F03958" w:rsidRPr="00883566" w:rsidRDefault="00F03958" w:rsidP="00AA241E">
      <w:pPr>
        <w:jc w:val="both"/>
        <w:rPr>
          <w:rFonts w:cs="Times New Roman"/>
        </w:rPr>
      </w:pPr>
      <w:r w:rsidRPr="00883566">
        <w:rPr>
          <w:rFonts w:cs="Times New Roman"/>
        </w:rPr>
        <w:t xml:space="preserve">Selleks, et selgitada välja otstarbekad tulemusnäitajad, teenustaseme kokkulepped ja garantiid, mis omavad olulist mõju võrdväärsuse (mittediskrimineerimise) tagamisele hulgituru 1 teenuste osutamisel, on TTJA hinnangul mõistlik ja proportsionaalne, kui vastavad tulemusnäitajad, teenustaseme kokkulepped ja garantiid koostatakse Telia ja vastavaid juurdepääsutooteid kasutavate teiste sideettevõtjate koostöös. </w:t>
      </w:r>
    </w:p>
    <w:p w14:paraId="44612395" w14:textId="54D62C89" w:rsidR="00F03958" w:rsidRPr="00883566" w:rsidRDefault="00F03958" w:rsidP="007709A8">
      <w:pPr>
        <w:jc w:val="both"/>
        <w:rPr>
          <w:rFonts w:cs="Times New Roman"/>
          <w:b/>
          <w:bCs/>
        </w:rPr>
      </w:pPr>
      <w:r w:rsidRPr="00883566">
        <w:rPr>
          <w:rFonts w:cs="Times New Roman"/>
          <w:b/>
          <w:bCs/>
        </w:rPr>
        <w:t>Eeltoodust tulenevalt on mõistlik ja otstarbekas nõuda Telialt</w:t>
      </w:r>
      <w:r w:rsidR="005B0BC4">
        <w:rPr>
          <w:rFonts w:cs="Times New Roman"/>
          <w:b/>
          <w:bCs/>
        </w:rPr>
        <w:t xml:space="preserve">, et </w:t>
      </w:r>
      <w:r w:rsidR="007E40FF">
        <w:rPr>
          <w:rFonts w:cs="Times New Roman"/>
          <w:b/>
          <w:bCs/>
        </w:rPr>
        <w:t xml:space="preserve">Telia </w:t>
      </w:r>
      <w:r w:rsidR="007600C9">
        <w:rPr>
          <w:rFonts w:cs="Times New Roman"/>
          <w:b/>
          <w:bCs/>
        </w:rPr>
        <w:t xml:space="preserve">koostöös TTJA, teiste sideettevõtjate ja vajadusel ka Konkurentsiametiga </w:t>
      </w:r>
      <w:r w:rsidR="007E40FF">
        <w:rPr>
          <w:rFonts w:cs="Times New Roman"/>
          <w:b/>
          <w:bCs/>
        </w:rPr>
        <w:t xml:space="preserve">koostaks </w:t>
      </w:r>
      <w:r w:rsidR="007E40FF" w:rsidRPr="00883566">
        <w:rPr>
          <w:rFonts w:cs="Times New Roman"/>
          <w:b/>
          <w:bCs/>
        </w:rPr>
        <w:t>hulgituru 1 teenuste osutamise põhilised tulemusnäitajad ja nendest lähtuvad teenustaseme kokkulepped ning garantiid, lähtudes võimalikult suurel määral EK 2024 kohustuste soovituse vastavatest nõuetest. Samuti peab Telia avaldama ka tulemusnäitajate kogumise meetodi</w:t>
      </w:r>
      <w:r w:rsidR="00DA1549">
        <w:rPr>
          <w:rFonts w:cs="Times New Roman"/>
          <w:b/>
          <w:bCs/>
        </w:rPr>
        <w:t>.</w:t>
      </w:r>
      <w:r w:rsidR="007709A8">
        <w:rPr>
          <w:rFonts w:cs="Times New Roman"/>
          <w:b/>
          <w:bCs/>
        </w:rPr>
        <w:t xml:space="preserve"> </w:t>
      </w:r>
      <w:r w:rsidRPr="00883566">
        <w:rPr>
          <w:rFonts w:cs="Times New Roman"/>
          <w:b/>
          <w:bCs/>
        </w:rPr>
        <w:t xml:space="preserve">Lõplik kehtestatav kohustus on sätestatud </w:t>
      </w:r>
      <w:r w:rsidR="008C159A">
        <w:rPr>
          <w:rFonts w:cs="Times New Roman"/>
          <w:b/>
          <w:bCs/>
        </w:rPr>
        <w:t xml:space="preserve">ptk. </w:t>
      </w:r>
      <w:r w:rsidR="005643D5">
        <w:rPr>
          <w:rFonts w:cs="Times New Roman"/>
          <w:b/>
          <w:bCs/>
        </w:rPr>
        <w:t>7.</w:t>
      </w:r>
      <w:r w:rsidRPr="00883566">
        <w:rPr>
          <w:rFonts w:cs="Times New Roman"/>
          <w:b/>
          <w:bCs/>
        </w:rPr>
        <w:t>4.</w:t>
      </w:r>
      <w:r w:rsidR="00FA11D8">
        <w:rPr>
          <w:rFonts w:cs="Times New Roman"/>
          <w:b/>
          <w:bCs/>
        </w:rPr>
        <w:t>10</w:t>
      </w:r>
    </w:p>
    <w:p w14:paraId="5D9EEE7B" w14:textId="77777777" w:rsidR="00F03958" w:rsidRPr="00883566" w:rsidRDefault="00F03958" w:rsidP="00AA241E">
      <w:pPr>
        <w:jc w:val="both"/>
      </w:pPr>
    </w:p>
    <w:p w14:paraId="352FDF58" w14:textId="133DE00D" w:rsidR="00F03958" w:rsidRPr="00883566" w:rsidRDefault="00F03958" w:rsidP="009805E1">
      <w:pPr>
        <w:pStyle w:val="Pealkiri3"/>
      </w:pPr>
      <w:bookmarkStart w:id="986" w:name="_Toc174710837"/>
      <w:r w:rsidRPr="00883566">
        <w:t>Uute jaemüügipakkumiste tehnilise jäljendatavuse test</w:t>
      </w:r>
      <w:bookmarkEnd w:id="986"/>
    </w:p>
    <w:p w14:paraId="0897F3B6" w14:textId="77777777" w:rsidR="00F03958" w:rsidRPr="00883566" w:rsidRDefault="00F03958" w:rsidP="00AA241E">
      <w:pPr>
        <w:jc w:val="both"/>
        <w:rPr>
          <w:rFonts w:cs="Times New Roman"/>
        </w:rPr>
      </w:pPr>
    </w:p>
    <w:p w14:paraId="486D3E32" w14:textId="77777777" w:rsidR="00F03958" w:rsidRPr="00883566" w:rsidRDefault="00F03958" w:rsidP="00AA241E">
      <w:pPr>
        <w:jc w:val="both"/>
        <w:rPr>
          <w:rFonts w:cs="Times New Roman"/>
        </w:rPr>
      </w:pPr>
      <w:r w:rsidRPr="00883566">
        <w:rPr>
          <w:rFonts w:cs="Times New Roman"/>
        </w:rPr>
        <w:t>EK 2024 kohustuste soovituse kohaselt:</w:t>
      </w:r>
    </w:p>
    <w:p w14:paraId="21F7DD08" w14:textId="77777777" w:rsidR="00F03958" w:rsidRPr="00883566" w:rsidRDefault="00F03958" w:rsidP="00AA241E">
      <w:pPr>
        <w:ind w:left="720"/>
        <w:jc w:val="both"/>
        <w:rPr>
          <w:rFonts w:cs="Times New Roman"/>
          <w:b/>
          <w:bCs/>
        </w:rPr>
      </w:pPr>
      <w:r w:rsidRPr="00883566">
        <w:rPr>
          <w:rFonts w:cs="Times New Roman"/>
        </w:rPr>
        <w:t>Riikide reguleerivad asutused peaksid nõudma, et MTE, kelle suhtes kohaldatakse mittediskrimineerimise kohustust, pakuks teistele sideettevõtjatele reguleeritud hulgimüügisisendeid, mis võimaldavad teistel sideettevõtjatel tehniliselt jäljendada järgneval jaeturul MTE jaemüügi üksuste uusi jaemüügipakkumisi. Selle nõude peaksid riikide reguleerivad asutused kehtestama eelkõige juhul, kui sisendite võrdväärsusel põhinevat ranget mittediskrimineerimise kohustust ei rakendata täies ulatuses.</w:t>
      </w:r>
    </w:p>
    <w:p w14:paraId="3CE73FB8" w14:textId="77777777" w:rsidR="00F03958" w:rsidRPr="00883566" w:rsidRDefault="00F03958" w:rsidP="00AA241E">
      <w:pPr>
        <w:ind w:left="720"/>
        <w:jc w:val="both"/>
        <w:rPr>
          <w:rFonts w:cs="Times New Roman"/>
        </w:rPr>
      </w:pPr>
      <w:r w:rsidRPr="00883566">
        <w:rPr>
          <w:rFonts w:cs="Times New Roman"/>
        </w:rPr>
        <w:t xml:space="preserve">Sel eesmärgil ning MTE jaemüügi üksuste ja teiste sideettevõtjate võrdsete tingimuste tagamiseks peaksid riikide reguleerivad asutused kandma hoolt selle eest, et ettevõtte </w:t>
      </w:r>
      <w:r w:rsidRPr="00883566">
        <w:rPr>
          <w:rFonts w:cs="Times New Roman"/>
        </w:rPr>
        <w:lastRenderedPageBreak/>
        <w:t>sisestel (nt jaemüügi üksused) ja välistel (teised sideettevõtjad) osapooltel on sama tehniline ja äriteave asjaomase reguleeritud hulgimüügisisendi kohta, ilma et see piiraks äriteabe konfidentsiaalsust käsitlevate eeskirjade kohaldamist. Asjaomane teave sisaldab teavet uute reguleeritud hulgimüügisisendite kohta või olemasolevates reguleeritud hulgimüügisisendites tehtud muudatuste kohta ning see teave tuleb esitada tähtaja jooksul, mis määratakse kindlaks igal üksikjuhul eraldi.</w:t>
      </w:r>
    </w:p>
    <w:p w14:paraId="0E843815" w14:textId="77777777" w:rsidR="00F03958" w:rsidRPr="00883566" w:rsidRDefault="00F03958" w:rsidP="00AA241E">
      <w:pPr>
        <w:ind w:left="720"/>
        <w:jc w:val="both"/>
        <w:rPr>
          <w:rFonts w:cs="Times New Roman"/>
        </w:rPr>
      </w:pPr>
      <w:r w:rsidRPr="00883566">
        <w:rPr>
          <w:rFonts w:cs="Times New Roman"/>
        </w:rPr>
        <w:t>MTE uue jaemüügipakkumise tehnilise jäljendatavuse hindamisel peaks riigi reguleeriv asutus arvesse võtma järgmist:</w:t>
      </w:r>
    </w:p>
    <w:p w14:paraId="016846FD" w14:textId="77777777" w:rsidR="00F03958" w:rsidRPr="00883566" w:rsidRDefault="00F03958" w:rsidP="00AA241E">
      <w:pPr>
        <w:ind w:left="1440"/>
        <w:jc w:val="both"/>
        <w:rPr>
          <w:rFonts w:cs="Times New Roman"/>
        </w:rPr>
      </w:pPr>
      <w:r w:rsidRPr="00883566">
        <w:rPr>
          <w:rFonts w:cs="Times New Roman"/>
        </w:rPr>
        <w:t>a) kas tellimiseks, edastamiseks ja parandamiseks ette nähtud hulgimüügisisend(id), mida tõhus ettevõtja vajab oma süsteemide või protsesside väljatöötamiseks või kohandamiseks, et pakkuda konkurentsivõimelisi uusi jaeteenuseid, tehakse juurdepääsu taotlejatele kättesaadavaks mõistliku aja jooksul enne seda, kui MTE turujõuga ettevõtja või tema jaemüügiettevõtjad lasevad turule oma vastava jaemüügiteenuse;</w:t>
      </w:r>
    </w:p>
    <w:p w14:paraId="187804B8" w14:textId="77777777" w:rsidR="00F03958" w:rsidRPr="00883566" w:rsidRDefault="00F03958" w:rsidP="00AA241E">
      <w:pPr>
        <w:ind w:left="1339" w:firstLine="101"/>
        <w:jc w:val="both"/>
        <w:rPr>
          <w:rFonts w:cs="Times New Roman"/>
        </w:rPr>
      </w:pPr>
      <w:r w:rsidRPr="00883566">
        <w:rPr>
          <w:rFonts w:cs="Times New Roman"/>
        </w:rPr>
        <w:t>b) vastavate teenustaseme kokkulepete ja põhiliste tulemusnäitajate kättesaadavus.</w:t>
      </w:r>
    </w:p>
    <w:p w14:paraId="4F59D226" w14:textId="77777777" w:rsidR="00F03958" w:rsidRPr="00883566" w:rsidRDefault="00F03958" w:rsidP="00AA241E">
      <w:pPr>
        <w:ind w:left="720"/>
        <w:jc w:val="both"/>
        <w:rPr>
          <w:rFonts w:cs="Times New Roman"/>
          <w:b/>
          <w:bCs/>
        </w:rPr>
      </w:pPr>
      <w:r w:rsidRPr="00883566">
        <w:rPr>
          <w:rFonts w:cs="Times New Roman"/>
        </w:rPr>
        <w:t>Nõutava tehnilise jäljendatavuse testi võib läbi viia kas MTE või riigi reguleeriv asutus. Kui MTE teeb tehnilise jäljendatavuse testi ise, peaks riigi reguleeriv asutus nõudma, et MTE esitaks talle testi tulemused, sealhulgas kogu vajaliku teabe selle tõendamiseks, et tehniline jäljendatavus on täielikult tagatud. Riigi reguleeriv asutus peaks nõudma, et MTE teatab piisavalt aegsasti uuest jaemüügipakkumisest, et tal oleks võimalik kinnitada testi tulemused ning et juurdepääsu taotlejad saaksid soovi korral jäljendada asjaomast jaemüügipakkumist juba varakult.</w:t>
      </w:r>
    </w:p>
    <w:p w14:paraId="43DFCFD6" w14:textId="77777777" w:rsidR="00F03958" w:rsidRPr="00883566" w:rsidRDefault="00F03958" w:rsidP="00AA241E">
      <w:pPr>
        <w:ind w:left="720"/>
        <w:jc w:val="both"/>
        <w:rPr>
          <w:rFonts w:cs="Times New Roman"/>
        </w:rPr>
      </w:pPr>
      <w:r w:rsidRPr="00883566">
        <w:rPr>
          <w:rFonts w:cs="Times New Roman"/>
        </w:rPr>
        <w:t>Kui aga tehnilise jäljendatavuse testi viib läbi riigi reguleeriv asutus, peaks nimetatud asutus nõudma, et MTE edastaks riigi reguleerivale asutusele selliste uute jaemüügipakkumiste üksikasjad, mille puhul kasutatakse konkreetset reguleeritud hulgimüügisisendit, ja kogu teabe, mida riigi reguleeriv asutus vajab jäljendatavuse hindamiseks, kusjuures seda tuleks teha piisavalt aegsasti enne selliste jaemüügipakkumiste turule laskmist. Etteteatamisaeg peaks olema piisav, et riigi reguleeriv asutus saaks viia läbi tehnilise jäljendatavuse testi ning juurdepääsu taotlejad saaksid soovi korral jäljendada asjaomast jaemüügipakkumist juba varajases etapis.</w:t>
      </w:r>
    </w:p>
    <w:p w14:paraId="7C352698" w14:textId="77777777" w:rsidR="00F03958" w:rsidRPr="00883566" w:rsidRDefault="00F03958" w:rsidP="00AA241E">
      <w:pPr>
        <w:ind w:left="720"/>
        <w:jc w:val="both"/>
        <w:rPr>
          <w:rFonts w:cs="Times New Roman"/>
        </w:rPr>
      </w:pPr>
      <w:r w:rsidRPr="00883566">
        <w:rPr>
          <w:rFonts w:cs="Times New Roman"/>
        </w:rPr>
        <w:t>Kui riigi reguleeriv asutus leiab, et uue jaemüügipakkumise tehniline jäljendatavus ei ole tagatud, peaks ta nõudma, et MTE muudaks asjaomast reguleeritud hulgimüügisisendit või asjaomaseid reguleeritud hulgimüügisisendeid nii, et tehniline jäljendatavus oleks tagatud.</w:t>
      </w:r>
    </w:p>
    <w:p w14:paraId="1E169DF7" w14:textId="77777777" w:rsidR="00F03958" w:rsidRPr="00883566" w:rsidRDefault="00F03958" w:rsidP="00AA241E">
      <w:pPr>
        <w:ind w:left="720"/>
        <w:jc w:val="both"/>
        <w:rPr>
          <w:rFonts w:cs="Times New Roman"/>
        </w:rPr>
      </w:pPr>
      <w:r w:rsidRPr="00883566">
        <w:rPr>
          <w:rFonts w:cs="Times New Roman"/>
        </w:rPr>
        <w:t>Kui riigi reguleeriv asutus leiab, et jaemüügipakkumine, mida ei ole võimalik tehniliselt jäljendada, kahjustaks märkimisväärselt konkurentsi, peaks ta direktiivi (EL) 2018/1972 artikli 30 alusel nõudma, et MTE lõpetaks või peataks asjaomase jaemüügipakkumise, kuni tehnilise jäljendatavuse nõue on täidetud.</w:t>
      </w:r>
    </w:p>
    <w:p w14:paraId="64B6D33C" w14:textId="77777777" w:rsidR="00F03958" w:rsidRPr="00883566" w:rsidRDefault="00F03958" w:rsidP="00AA241E">
      <w:pPr>
        <w:jc w:val="both"/>
        <w:rPr>
          <w:rFonts w:cs="Times New Roman"/>
        </w:rPr>
      </w:pPr>
    </w:p>
    <w:p w14:paraId="54D2A213" w14:textId="77777777" w:rsidR="00F03958" w:rsidRPr="00883566" w:rsidRDefault="00F03958" w:rsidP="00AA241E">
      <w:pPr>
        <w:jc w:val="both"/>
        <w:rPr>
          <w:rFonts w:cs="Times New Roman"/>
        </w:rPr>
      </w:pPr>
      <w:r w:rsidRPr="00883566">
        <w:rPr>
          <w:rFonts w:cs="Times New Roman"/>
        </w:rPr>
        <w:t>Eeltoodust tulenevalt peaks TTJA kehtestama mittediskrimineerimise kohustuse, mis sätestab nõuded Telia uutele jaemüügipakkumistele tehnilise jäljendatavuse testi teostamisele.</w:t>
      </w:r>
    </w:p>
    <w:p w14:paraId="2FA0A7B8" w14:textId="77777777" w:rsidR="00F03958" w:rsidRPr="00883566" w:rsidRDefault="00F03958" w:rsidP="00AA241E">
      <w:pPr>
        <w:jc w:val="both"/>
        <w:rPr>
          <w:rFonts w:cs="Times New Roman"/>
        </w:rPr>
      </w:pPr>
      <w:r w:rsidRPr="00883566">
        <w:rPr>
          <w:rFonts w:cs="Times New Roman"/>
        </w:rPr>
        <w:t>TTJA hinnangul on kõige mõistlik ja proportsionaalne kui uute jaemüügipakkumiste tehnilise jäljendatavuse kontrolli viib läbi Telia ise, kuna Telia omab selleks kõige rohkem teavet ning see annaks ka Teliale võimaluse operatiivselt vältida diskrimineerivate uute jaemüügipakkumiste koostamist ja rakendamist.</w:t>
      </w:r>
    </w:p>
    <w:p w14:paraId="414EF823" w14:textId="77777777" w:rsidR="00F03958" w:rsidRPr="00883566" w:rsidRDefault="00F03958" w:rsidP="00AA241E">
      <w:pPr>
        <w:jc w:val="both"/>
        <w:rPr>
          <w:rFonts w:cs="Times New Roman"/>
        </w:rPr>
      </w:pPr>
      <w:r w:rsidRPr="00883566">
        <w:rPr>
          <w:rFonts w:cs="Times New Roman"/>
        </w:rPr>
        <w:t xml:space="preserve">TTJA hinnangul on mõistlik ja proportsionaalne, kui Telia viib uute jaemüügipakkumiste tehnilise jäljendatavuse testi läbi ainult nende jaemüügipakkumiste osas, mis on uued ja standardsed ja masstootena käsitletavad ja sisaldavad internetiühendusi. Seejuures tuleks vastav test läbi viia ainult vastavas jaemüügipakkumises sisalduva internetiühenduse osas. Kui jaemüügipakkumine sisaldab lisaks veel muid teenuseid nagu näiteks telefoni- või mobiiltelefoniteenust või TV-teenused, siis nende osas vastavat testi läbi viia ei ole vaja. </w:t>
      </w:r>
    </w:p>
    <w:p w14:paraId="28958750" w14:textId="6C301DDB" w:rsidR="00F03958" w:rsidRPr="00883566" w:rsidRDefault="00F03958" w:rsidP="007709A8">
      <w:pPr>
        <w:jc w:val="both"/>
        <w:rPr>
          <w:rFonts w:cs="Times New Roman"/>
          <w:b/>
          <w:bCs/>
        </w:rPr>
      </w:pPr>
      <w:r w:rsidRPr="00883566">
        <w:rPr>
          <w:rFonts w:cs="Times New Roman"/>
          <w:b/>
          <w:bCs/>
        </w:rPr>
        <w:t xml:space="preserve">Eeltoodust tulenevalt ja võttes arvesse, et Teliale ei rakendu mittediskrimineerimise kohustuse raames sisendite võrdväärsus, vaid väljundite võrdväärsus, vt </w:t>
      </w:r>
      <w:r w:rsidR="008C159A">
        <w:rPr>
          <w:rFonts w:cs="Times New Roman"/>
          <w:b/>
          <w:bCs/>
        </w:rPr>
        <w:t xml:space="preserve">ptk. </w:t>
      </w:r>
      <w:r w:rsidR="000D6A00">
        <w:rPr>
          <w:rFonts w:cs="Times New Roman"/>
          <w:b/>
          <w:bCs/>
        </w:rPr>
        <w:t>7</w:t>
      </w:r>
      <w:r w:rsidR="00505CD5">
        <w:rPr>
          <w:rFonts w:cs="Times New Roman"/>
          <w:b/>
          <w:bCs/>
        </w:rPr>
        <w:t>.4.4</w:t>
      </w:r>
      <w:r w:rsidRPr="00883566">
        <w:rPr>
          <w:rFonts w:cs="Times New Roman"/>
          <w:b/>
          <w:bCs/>
        </w:rPr>
        <w:t xml:space="preserve">,  on mõistlik ja otstarbekas nõuda Telialt </w:t>
      </w:r>
      <w:r w:rsidR="007709A8" w:rsidRPr="00883566">
        <w:rPr>
          <w:rFonts w:cs="Times New Roman"/>
          <w:b/>
          <w:bCs/>
        </w:rPr>
        <w:t>jaemüügipakkumise tehnilise jäljendatavuse testi</w:t>
      </w:r>
      <w:r w:rsidR="007709A8">
        <w:rPr>
          <w:rFonts w:cs="Times New Roman"/>
          <w:b/>
          <w:bCs/>
        </w:rPr>
        <w:t xml:space="preserve"> teostamist. </w:t>
      </w:r>
      <w:r w:rsidRPr="00883566">
        <w:rPr>
          <w:rFonts w:cs="Times New Roman"/>
          <w:b/>
          <w:bCs/>
        </w:rPr>
        <w:t xml:space="preserve">Lõplik kehtestatav kohustus on sätestatud </w:t>
      </w:r>
      <w:r w:rsidR="008C159A">
        <w:rPr>
          <w:rFonts w:cs="Times New Roman"/>
          <w:b/>
          <w:bCs/>
        </w:rPr>
        <w:t xml:space="preserve">ptk. </w:t>
      </w:r>
      <w:r w:rsidR="000D6A00">
        <w:rPr>
          <w:rFonts w:cs="Times New Roman"/>
          <w:b/>
          <w:bCs/>
        </w:rPr>
        <w:t>7.</w:t>
      </w:r>
      <w:r w:rsidRPr="00883566">
        <w:rPr>
          <w:rFonts w:cs="Times New Roman"/>
          <w:b/>
          <w:bCs/>
        </w:rPr>
        <w:t>4.</w:t>
      </w:r>
      <w:r w:rsidR="000D6A00">
        <w:rPr>
          <w:rFonts w:cs="Times New Roman"/>
          <w:b/>
          <w:bCs/>
        </w:rPr>
        <w:t>10</w:t>
      </w:r>
    </w:p>
    <w:p w14:paraId="0B74BF23" w14:textId="77777777" w:rsidR="00F03958" w:rsidRPr="00883566" w:rsidRDefault="00F03958" w:rsidP="00AA241E">
      <w:pPr>
        <w:jc w:val="both"/>
      </w:pPr>
    </w:p>
    <w:p w14:paraId="18D5689A" w14:textId="362A63A7" w:rsidR="00F03958" w:rsidRPr="00883566" w:rsidRDefault="00F03958" w:rsidP="009805E1">
      <w:pPr>
        <w:pStyle w:val="Pealkiri3"/>
      </w:pPr>
      <w:bookmarkStart w:id="987" w:name="_Toc174710838"/>
      <w:r w:rsidRPr="00883566">
        <w:t>Teabe asümmeetria</w:t>
      </w:r>
      <w:bookmarkEnd w:id="987"/>
    </w:p>
    <w:p w14:paraId="4E1A88FA" w14:textId="77777777" w:rsidR="00F03958" w:rsidRPr="00883566" w:rsidRDefault="00F03958" w:rsidP="00AA241E">
      <w:pPr>
        <w:jc w:val="both"/>
        <w:rPr>
          <w:rFonts w:cs="Times New Roman"/>
        </w:rPr>
      </w:pPr>
    </w:p>
    <w:p w14:paraId="6B05BF07" w14:textId="77777777" w:rsidR="00F03958" w:rsidRPr="00883566" w:rsidRDefault="00F03958" w:rsidP="00AA241E">
      <w:pPr>
        <w:jc w:val="both"/>
        <w:rPr>
          <w:rFonts w:cs="Times New Roman"/>
        </w:rPr>
      </w:pPr>
      <w:bookmarkStart w:id="988" w:name="_Hlk186445440"/>
      <w:r w:rsidRPr="00883566">
        <w:rPr>
          <w:rFonts w:cs="Times New Roman"/>
        </w:rPr>
        <w:t>EK 2024 kohustuste soovituse kohaselt:</w:t>
      </w:r>
    </w:p>
    <w:p w14:paraId="567E5213" w14:textId="77777777" w:rsidR="00F03958" w:rsidRPr="00883566" w:rsidRDefault="00F03958" w:rsidP="00AA241E">
      <w:pPr>
        <w:ind w:left="720"/>
        <w:jc w:val="both"/>
        <w:rPr>
          <w:rFonts w:cs="Times New Roman"/>
        </w:rPr>
      </w:pPr>
      <w:r w:rsidRPr="00883566">
        <w:rPr>
          <w:rFonts w:cs="Times New Roman"/>
        </w:rPr>
        <w:t>Kui MTE hulgimüüki korraldavad üksused (sh asjaomaste partnerid)  on eelnevalt teadlikud juurdepääsu taotleja (sh teise konkureeriva sideettevõtja) teenuste kasutuselevõtu plaanidest (sh sidevõrgu arenduse ja kasutuselevõtu plaanidest), peaksid riikide reguleerivad asutused tagama, et sellist teavet ei jagata MTE jaemüüki korraldavate üksustega (sh asjaomaste partneritega), et MTE ei saaks ebaõiglast konkurentsieelist. Miinimumnõudena peaksid riikide reguleerivad asutused tagama, et MTE jaemüügiga tegelevad töötajad ei osale MTE sellistes struktuurides, mis kas otseselt või kaudselt vastutavad hulgimüügisisenditele juurdepääsu haldamise eest. Riikide reguleerivad asutused võivad nõuda, et MTE esitaks igal aastal aruande, milles kirjeldatakse:</w:t>
      </w:r>
    </w:p>
    <w:p w14:paraId="471F7759" w14:textId="77777777" w:rsidR="00F03958" w:rsidRPr="00883566" w:rsidRDefault="00F03958" w:rsidP="00AA241E">
      <w:pPr>
        <w:ind w:left="1440"/>
        <w:jc w:val="both"/>
        <w:rPr>
          <w:rFonts w:cs="Times New Roman"/>
        </w:rPr>
      </w:pPr>
      <w:r w:rsidRPr="00883566">
        <w:rPr>
          <w:rFonts w:cs="Times New Roman"/>
        </w:rPr>
        <w:t xml:space="preserve">a) tavasid, millega tagatakse, et hulgi- ja jaemüügiettevõtjad ei jaga omavahel tundlikku teavet; </w:t>
      </w:r>
    </w:p>
    <w:p w14:paraId="1D326002" w14:textId="77777777" w:rsidR="00F03958" w:rsidRPr="00883566" w:rsidRDefault="00F03958" w:rsidP="00AA241E">
      <w:pPr>
        <w:ind w:left="720" w:firstLine="720"/>
        <w:jc w:val="both"/>
        <w:rPr>
          <w:rFonts w:cs="Times New Roman"/>
        </w:rPr>
      </w:pPr>
      <w:r w:rsidRPr="00883566">
        <w:rPr>
          <w:rFonts w:cs="Times New Roman"/>
        </w:rPr>
        <w:t>b) kõiki väidetavaid rikkumisi;</w:t>
      </w:r>
    </w:p>
    <w:p w14:paraId="3099FBED" w14:textId="77777777" w:rsidR="00F03958" w:rsidRPr="00883566" w:rsidRDefault="00F03958" w:rsidP="00AA241E">
      <w:pPr>
        <w:jc w:val="both"/>
        <w:rPr>
          <w:rFonts w:cs="Times New Roman"/>
        </w:rPr>
      </w:pPr>
      <w:r w:rsidRPr="00883566">
        <w:rPr>
          <w:rFonts w:cs="Times New Roman"/>
        </w:rPr>
        <w:lastRenderedPageBreak/>
        <w:tab/>
      </w:r>
      <w:r w:rsidRPr="00883566">
        <w:rPr>
          <w:rFonts w:cs="Times New Roman"/>
        </w:rPr>
        <w:tab/>
        <w:t>c) võetud parandusmeetmeid.</w:t>
      </w:r>
    </w:p>
    <w:p w14:paraId="1E628CB7" w14:textId="77777777" w:rsidR="00F03958" w:rsidRPr="00883566" w:rsidRDefault="00F03958" w:rsidP="00AA241E">
      <w:pPr>
        <w:jc w:val="both"/>
        <w:rPr>
          <w:rFonts w:cs="Times New Roman"/>
        </w:rPr>
      </w:pPr>
    </w:p>
    <w:p w14:paraId="45BD053F" w14:textId="77E4EF9D" w:rsidR="00F03958" w:rsidRPr="00883566" w:rsidRDefault="00F03958" w:rsidP="00AA241E">
      <w:pPr>
        <w:jc w:val="both"/>
        <w:rPr>
          <w:rFonts w:cs="Times New Roman"/>
        </w:rPr>
      </w:pPr>
      <w:r w:rsidRPr="00883566">
        <w:rPr>
          <w:rFonts w:cs="Times New Roman"/>
        </w:rPr>
        <w:t>Elisa avaldas TTJA 2024 ST</w:t>
      </w:r>
      <w:r w:rsidR="001B7EC2">
        <w:rPr>
          <w:rFonts w:cs="Times New Roman"/>
        </w:rPr>
        <w:t>J</w:t>
      </w:r>
      <w:r w:rsidRPr="00883566">
        <w:rPr>
          <w:rFonts w:cs="Times New Roman"/>
        </w:rPr>
        <w:t xml:space="preserve"> hulgituru otsuse kavand</w:t>
      </w:r>
      <w:r w:rsidR="00252401">
        <w:rPr>
          <w:rFonts w:cs="Times New Roman"/>
        </w:rPr>
        <w:t>i</w:t>
      </w:r>
      <w:r w:rsidRPr="00883566">
        <w:rPr>
          <w:rFonts w:cs="Times New Roman"/>
        </w:rPr>
        <w:t xml:space="preserve"> riigisisesel konsultatsioonil järgmist:</w:t>
      </w:r>
    </w:p>
    <w:p w14:paraId="7F7F27A3" w14:textId="77777777" w:rsidR="00F03958" w:rsidRPr="00883566" w:rsidRDefault="00F03958" w:rsidP="00AA241E">
      <w:pPr>
        <w:spacing w:before="120" w:after="120"/>
        <w:ind w:left="720"/>
        <w:jc w:val="both"/>
        <w:rPr>
          <w:rFonts w:cs="Times New Roman"/>
          <w:i/>
          <w:iCs/>
        </w:rPr>
      </w:pPr>
      <w:r w:rsidRPr="00883566">
        <w:rPr>
          <w:rFonts w:cs="Times New Roman"/>
          <w:i/>
          <w:iCs/>
        </w:rPr>
        <w:t xml:space="preserve">Juurdepääs – ESS § 64 lg 2 p 3: nii seaduse kui ka kehtiva ja kavandatud regulatsiooni kohaselt peab MTE/Telia „kasutama juurdepääsuga seoses saadud teavet üksnes [juurdepääsuteenuse] osutamiseks ja mitte avaldama seda 3-ndatele isikutele, kaasa arvatud oma koostööpartneritele ja tütarettevõtjatele, kui seaduses ei ole sätestatud teisiti.“ See on kohustus mis nõuab Telialt nn Hiina müüre jae- ja </w:t>
      </w:r>
      <w:proofErr w:type="spellStart"/>
      <w:r w:rsidRPr="00883566">
        <w:rPr>
          <w:rFonts w:cs="Times New Roman"/>
          <w:i/>
          <w:iCs/>
        </w:rPr>
        <w:t>hulgiäri</w:t>
      </w:r>
      <w:proofErr w:type="spellEnd"/>
      <w:r w:rsidRPr="00883566">
        <w:rPr>
          <w:rFonts w:cs="Times New Roman"/>
          <w:i/>
          <w:iCs/>
        </w:rPr>
        <w:t xml:space="preserve"> vahele. Kas TTJA on kunagi kontrollinud, et kas ja kuidas Telia seda kohustust täidab ja kas ta saab sellest kohustusest üldse samamoodi aru (st et tema jae- ja hulgi-äri vahel ei või teiste operaatorite (jaetasandi konkurentide) juurdepääsu puudutav info nö vabalt liikuda)? Meil on olnud juhtumeid, kus peale tehniliste tingimuste päringu tegemist hakkab Telia paralleelselt samas kohas oma võrku ehitama. </w:t>
      </w:r>
    </w:p>
    <w:p w14:paraId="4C208BAE" w14:textId="77777777" w:rsidR="00F03958" w:rsidRPr="00883566" w:rsidRDefault="00F03958" w:rsidP="00AA241E">
      <w:pPr>
        <w:spacing w:before="120" w:after="120"/>
        <w:ind w:left="720"/>
        <w:jc w:val="both"/>
        <w:rPr>
          <w:rFonts w:cs="Times New Roman"/>
          <w:i/>
          <w:iCs/>
        </w:rPr>
      </w:pPr>
      <w:r w:rsidRPr="00883566">
        <w:rPr>
          <w:rFonts w:cs="Times New Roman"/>
          <w:i/>
          <w:iCs/>
        </w:rPr>
        <w:t>Konkurentsiamet on ses osas öelnud väga tabavalt: „Regulatsiooni tõhusus oleneb mitte üksnes otsuses sätestatavate lahenduste idee headusest, vaid samavõrd sellest, kuidas regulatsiooni-alune ettevõtja talle pandud kohustusi täitma hakkab.“</w:t>
      </w:r>
    </w:p>
    <w:p w14:paraId="179B689B" w14:textId="77777777" w:rsidR="00F03958" w:rsidRPr="00883566" w:rsidRDefault="00F03958" w:rsidP="00AA241E">
      <w:pPr>
        <w:jc w:val="both"/>
        <w:rPr>
          <w:rFonts w:cs="Times New Roman"/>
        </w:rPr>
      </w:pPr>
    </w:p>
    <w:p w14:paraId="4008C658" w14:textId="41BB646F" w:rsidR="00F03958" w:rsidRPr="00883566" w:rsidRDefault="00F03958" w:rsidP="00AA241E">
      <w:pPr>
        <w:jc w:val="both"/>
        <w:rPr>
          <w:rFonts w:cs="Times New Roman"/>
        </w:rPr>
      </w:pPr>
      <w:r w:rsidRPr="00883566">
        <w:rPr>
          <w:rFonts w:cs="Times New Roman"/>
        </w:rPr>
        <w:t xml:space="preserve">TTJA 2017 hulgituru 1 otsuse lisa 1 </w:t>
      </w:r>
      <w:r w:rsidR="008C159A">
        <w:rPr>
          <w:rFonts w:cs="Times New Roman"/>
        </w:rPr>
        <w:t xml:space="preserve">ptk. </w:t>
      </w:r>
      <w:r w:rsidRPr="00883566">
        <w:rPr>
          <w:rFonts w:cs="Times New Roman"/>
        </w:rPr>
        <w:t>6.2.4 alusel kehtib käesoleva otsuse koostamise ajal Teliale hulgituru 1 teenuste osutamisel ESS § 64 lõike 2 punktist 3 tulenev kohustus kasutama juurdepääsuga seoses saadud teavet üksnes vastava teenuse osutamiseks ning mitte avaldama seda kolmandale isikule, eelkõige teisele struktuuriüksusele, tütarettevõtjale ega partnerile, kellele selline teave võiks anda konkurentsieeliseid, kui seaduses ei ole sätestatud teisiti.</w:t>
      </w:r>
    </w:p>
    <w:p w14:paraId="2BADF51D" w14:textId="77777777" w:rsidR="00F03958" w:rsidRPr="00883566" w:rsidRDefault="00F03958" w:rsidP="00AA241E">
      <w:pPr>
        <w:jc w:val="both"/>
        <w:rPr>
          <w:rFonts w:cs="Times New Roman"/>
        </w:rPr>
      </w:pPr>
      <w:r w:rsidRPr="00883566">
        <w:rPr>
          <w:rFonts w:cs="Times New Roman"/>
        </w:rPr>
        <w:t xml:space="preserve">TTJA ei ole eeltoodud kohustuse täitmise osas järelevalve menetlusi läbi viinud. </w:t>
      </w:r>
    </w:p>
    <w:p w14:paraId="4BA11687" w14:textId="77777777" w:rsidR="00F03958" w:rsidRPr="00883566" w:rsidRDefault="00F03958" w:rsidP="00AA241E">
      <w:pPr>
        <w:jc w:val="both"/>
        <w:rPr>
          <w:rFonts w:cs="Times New Roman"/>
        </w:rPr>
      </w:pPr>
      <w:r w:rsidRPr="00883566">
        <w:rPr>
          <w:rFonts w:cs="Times New Roman"/>
        </w:rPr>
        <w:t xml:space="preserve">TTJA on seisukohal, et nimetatud kohustuse täitmise tagamine on oluline konkurentsi tagamiseks internetiühenduste jaeturul. </w:t>
      </w:r>
    </w:p>
    <w:p w14:paraId="5A6F7BA2" w14:textId="5EE3CC1B" w:rsidR="00F03958" w:rsidRPr="00883566" w:rsidRDefault="00F03958" w:rsidP="00AA241E">
      <w:pPr>
        <w:jc w:val="both"/>
        <w:rPr>
          <w:rFonts w:cs="Times New Roman"/>
          <w:b/>
          <w:bCs/>
        </w:rPr>
      </w:pPr>
      <w:r w:rsidRPr="00883566">
        <w:rPr>
          <w:rFonts w:cs="Times New Roman"/>
          <w:b/>
          <w:bCs/>
        </w:rPr>
        <w:t xml:space="preserve">Eeltoodust tulenevalt ja võttes arvesse, et Teliale ei rakendu mittediskrimineerimise kohustuse raames sisendite võrdväärsus, vaid väljundite võrdväärsus, vt </w:t>
      </w:r>
      <w:r w:rsidR="008C159A">
        <w:rPr>
          <w:rFonts w:cs="Times New Roman"/>
          <w:b/>
          <w:bCs/>
        </w:rPr>
        <w:t xml:space="preserve">ptk. </w:t>
      </w:r>
      <w:r w:rsidR="000D6A00">
        <w:rPr>
          <w:rFonts w:cs="Times New Roman"/>
          <w:b/>
          <w:bCs/>
        </w:rPr>
        <w:t>7</w:t>
      </w:r>
      <w:r w:rsidR="00501E4C">
        <w:rPr>
          <w:rFonts w:cs="Times New Roman"/>
          <w:b/>
          <w:bCs/>
        </w:rPr>
        <w:t>.4.4</w:t>
      </w:r>
      <w:r w:rsidRPr="00883566">
        <w:rPr>
          <w:rFonts w:cs="Times New Roman"/>
          <w:b/>
          <w:bCs/>
        </w:rPr>
        <w:t>,  on mõistlik ja otstarbekas nõuda Telialt aruande</w:t>
      </w:r>
      <w:r w:rsidR="00475B92">
        <w:rPr>
          <w:rFonts w:cs="Times New Roman"/>
          <w:b/>
          <w:bCs/>
        </w:rPr>
        <w:t xml:space="preserve"> esitamist TTJA-</w:t>
      </w:r>
      <w:proofErr w:type="spellStart"/>
      <w:r w:rsidR="00475B92">
        <w:rPr>
          <w:rFonts w:cs="Times New Roman"/>
          <w:b/>
          <w:bCs/>
        </w:rPr>
        <w:t>le</w:t>
      </w:r>
      <w:proofErr w:type="spellEnd"/>
      <w:r w:rsidRPr="00883566">
        <w:rPr>
          <w:rFonts w:cs="Times New Roman"/>
          <w:b/>
          <w:bCs/>
        </w:rPr>
        <w:t>, milles kirjeldatakse meetmeid, millega tagatakse, et Telia hulgi- ja jaemüüki korraldavad ettevõttesised üksused või asjaomased partnerid ei jaga omavahel tundlikku teavet, mis võiks anda Teliale konkurentsieelise jaeteenuste osutamisel</w:t>
      </w:r>
      <w:r w:rsidR="00475B92">
        <w:rPr>
          <w:rFonts w:cs="Times New Roman"/>
          <w:b/>
          <w:bCs/>
        </w:rPr>
        <w:t xml:space="preserve">. </w:t>
      </w:r>
      <w:r w:rsidRPr="00883566">
        <w:rPr>
          <w:rFonts w:cs="Times New Roman"/>
          <w:b/>
          <w:bCs/>
        </w:rPr>
        <w:t xml:space="preserve">Lõplik kehtestatav kohustus on sätestatud </w:t>
      </w:r>
      <w:r w:rsidR="008C159A">
        <w:rPr>
          <w:rFonts w:cs="Times New Roman"/>
          <w:b/>
          <w:bCs/>
        </w:rPr>
        <w:t xml:space="preserve">ptk. </w:t>
      </w:r>
      <w:r w:rsidR="000D6A00">
        <w:rPr>
          <w:rFonts w:cs="Times New Roman"/>
          <w:b/>
          <w:bCs/>
        </w:rPr>
        <w:t>7.</w:t>
      </w:r>
      <w:r w:rsidRPr="00883566">
        <w:rPr>
          <w:rFonts w:cs="Times New Roman"/>
          <w:b/>
          <w:bCs/>
        </w:rPr>
        <w:t>4.</w:t>
      </w:r>
      <w:r w:rsidR="000D6A00">
        <w:rPr>
          <w:rFonts w:cs="Times New Roman"/>
          <w:b/>
          <w:bCs/>
        </w:rPr>
        <w:t>10</w:t>
      </w:r>
    </w:p>
    <w:bookmarkEnd w:id="988"/>
    <w:p w14:paraId="01E6E7AC" w14:textId="77777777" w:rsidR="00F03958" w:rsidRPr="00883566" w:rsidRDefault="00F03958" w:rsidP="00AA241E">
      <w:pPr>
        <w:jc w:val="both"/>
      </w:pPr>
    </w:p>
    <w:p w14:paraId="3E73C3A7" w14:textId="29BE458D" w:rsidR="00F03958" w:rsidRPr="00883566" w:rsidRDefault="00F03958" w:rsidP="009805E1">
      <w:pPr>
        <w:pStyle w:val="Pealkiri3"/>
      </w:pPr>
      <w:bookmarkStart w:id="989" w:name="_Toc174710839"/>
      <w:r w:rsidRPr="00883566">
        <w:lastRenderedPageBreak/>
        <w:t>Vaskpaarvõrkude kasutusest kõrvaldamine</w:t>
      </w:r>
      <w:bookmarkEnd w:id="989"/>
      <w:r w:rsidRPr="00883566">
        <w:t xml:space="preserve"> </w:t>
      </w:r>
    </w:p>
    <w:p w14:paraId="7A25B63B" w14:textId="77777777" w:rsidR="00F03958" w:rsidRPr="00883566" w:rsidRDefault="00F03958" w:rsidP="00AA241E">
      <w:pPr>
        <w:spacing w:before="120" w:after="120"/>
        <w:jc w:val="both"/>
        <w:rPr>
          <w:rFonts w:cs="Times New Roman"/>
          <w:lang w:eastAsia="et-EE"/>
        </w:rPr>
      </w:pPr>
    </w:p>
    <w:p w14:paraId="13CCEA1A" w14:textId="77777777" w:rsidR="00F03958" w:rsidRPr="00883566" w:rsidRDefault="00F03958" w:rsidP="00AA241E">
      <w:pPr>
        <w:spacing w:before="120" w:after="120"/>
        <w:jc w:val="both"/>
        <w:rPr>
          <w:rFonts w:cs="Times New Roman"/>
        </w:rPr>
      </w:pPr>
      <w:r w:rsidRPr="00883566">
        <w:rPr>
          <w:rFonts w:cs="Times New Roman"/>
        </w:rPr>
        <w:t>Järgnevalt TTJA analüüsis, kas on vajalik teha muudatusi käesoleva otsuse koostamise ajal TTJA 2017 hulgituru 1 otsuses sätestatud juurdepääsu kohustuste osas lähtudes EK 2024 kohustuste soovitusest ning teiste sideettevõtjate TTJA 2021 hulgituru 1 otsuse ja TTJA 2023 hulgituru 1 otsuse eelnõu koostamise käigus esitatud väidetest võimalike tuleviku konkurentsitõkete kohta seoses Telia vaskpaarvõrkude kasutusest kõrvaldamise tingimustega.</w:t>
      </w:r>
    </w:p>
    <w:p w14:paraId="373D93E1" w14:textId="77777777" w:rsidR="00F03958" w:rsidRPr="00883566" w:rsidRDefault="00F03958" w:rsidP="00AA241E">
      <w:pPr>
        <w:spacing w:before="120" w:after="120"/>
        <w:jc w:val="both"/>
        <w:rPr>
          <w:rFonts w:cs="Times New Roman"/>
        </w:rPr>
      </w:pPr>
    </w:p>
    <w:p w14:paraId="505EED90" w14:textId="77777777" w:rsidR="00F03958" w:rsidRPr="00883566" w:rsidRDefault="00F03958" w:rsidP="00AA241E">
      <w:pPr>
        <w:spacing w:before="120" w:after="120"/>
        <w:jc w:val="both"/>
        <w:rPr>
          <w:rFonts w:cs="Times New Roman"/>
        </w:rPr>
      </w:pPr>
      <w:r w:rsidRPr="00883566">
        <w:rPr>
          <w:rFonts w:cs="Times New Roman"/>
        </w:rPr>
        <w:t>EK 2024 kohustuste soovituse kohaselt:</w:t>
      </w:r>
    </w:p>
    <w:p w14:paraId="64CC8A72" w14:textId="77777777" w:rsidR="00F03958" w:rsidRPr="00883566" w:rsidRDefault="00F03958" w:rsidP="00AA241E">
      <w:pPr>
        <w:spacing w:before="120" w:after="120"/>
        <w:ind w:left="359"/>
        <w:jc w:val="both"/>
        <w:rPr>
          <w:rFonts w:cs="Times New Roman"/>
          <w:lang w:eastAsia="et-EE"/>
        </w:rPr>
      </w:pPr>
      <w:r w:rsidRPr="00883566">
        <w:rPr>
          <w:rFonts w:cs="Times New Roman"/>
          <w:lang w:eastAsia="et-EE"/>
        </w:rPr>
        <w:t>ÜLEMINEK VÄGA SUURE LÄBILASKEVÕIMEGA VÕRKUDELE JA VASKPAARVÕRGU KASUTUSEST KÕRVALDAMINE</w:t>
      </w:r>
    </w:p>
    <w:p w14:paraId="15E82F27" w14:textId="77777777" w:rsidR="00F03958" w:rsidRPr="00883566" w:rsidRDefault="00F03958" w:rsidP="00AA241E">
      <w:pPr>
        <w:spacing w:before="120" w:after="120"/>
        <w:ind w:left="359"/>
        <w:jc w:val="both"/>
        <w:rPr>
          <w:rFonts w:cs="Times New Roman"/>
          <w:lang w:eastAsia="et-EE"/>
        </w:rPr>
      </w:pPr>
      <w:r w:rsidRPr="00883566">
        <w:rPr>
          <w:rFonts w:cs="Times New Roman"/>
          <w:lang w:eastAsia="et-EE"/>
        </w:rPr>
        <w:t>Kui MTE teatab kavatsusest oma vaskpaarvõrk kasutusest kõrvaldada, peaks riigi reguleeriv asutus kooskõlas direktiivi (EL) 2018/1972 artikli 81 lõike 2 esimese lõiguga tagama, et ette on nähtud asjakohane etteteatamisaeg ülemineku võimaldamiseks, et alternatiivsed ettevõtjad saaksid võrgu kasutusest kõrvaldamisest aegsasti teada. See etteteatamisaeg ei tohiks olla pikem kui kaks-kolm aastat. Tuleks tagada, et juurdepääsu taotlejatele tehakse kättesaadavaks vähemalt võrreldava kvaliteediga asjakohane alternatiivne toode, mis võimaldab juurdepääsu ajakohastatud võrgutaristule. See tuleks tagada enne etteteatamisaja algust või piisavalt aegsasti enne seda, kui pärandvõrguga seoses kohaldatavad juurdepääsukohustused kaotatakse, et võrgu saaks kasutusest kõrvaldada. Riigi reguleeriv asutus peaks neid tingimusi kaaluma, kui see on vajalik konkurentsi ja lõppkasutajate õiguste kaitseks. Etteteatamisaja täpne pikkus (vahemikus kaks-kolm aastat) tuleks kindlaks määrata vastavalt sellele, mil määral juurdepääsu taotlejad kasutusest kõrvaldatavat võrku reaalselt kasutavad, või pärandvõrgu ja uute võrkude kaudu pakutava juurdepääsutoote liiki arvestades. Eeskätt võivad juurdepääsu taotlejad vajada rohkem aega üleminekul passiivsetelt toodetelt või passiivsetele toodetele (nt juurdepääs kaablikanalisatsioonile või kasutamata valguskaablile) kui üleminekul aktiivsetelt toodetelt või aktiivsetele toodetele (nt bitivooühendus), sest passiivsete toodete puhul ei saa väga suure läbilaskevõimega võrgu jaoks tõenäoliselt kasutada sama üleandmispunkti nagu vaskpaarvõrgu korral. Samuti võivad mõned olukorrad nõuda lühemat etteteatamistähtaega sõltuvalt riigisisestest asjaoludest. See kehtib eelkõige juhul, kui MTE ja kõik juurdepääsutaotlejad, kes kasutavad hulgimüügitasandi pärandvõrgu juurdepääsutooteid, nõustuvad sellega.</w:t>
      </w:r>
    </w:p>
    <w:p w14:paraId="0765A8B0" w14:textId="77777777" w:rsidR="00F03958" w:rsidRPr="00883566" w:rsidRDefault="00F03958" w:rsidP="00AA241E">
      <w:pPr>
        <w:spacing w:before="120" w:after="120"/>
        <w:ind w:left="359"/>
        <w:jc w:val="both"/>
        <w:rPr>
          <w:rFonts w:cs="Times New Roman"/>
          <w:lang w:eastAsia="et-EE"/>
        </w:rPr>
      </w:pPr>
      <w:r w:rsidRPr="00883566">
        <w:rPr>
          <w:rFonts w:cs="Times New Roman"/>
          <w:lang w:eastAsia="et-EE"/>
        </w:rPr>
        <w:t xml:space="preserve">Selleks et hinnata kooskõlas direktiivi (EL) 2018/1972 artikli 81 lõike 2 esimese lõiguga, kas plaaniga tagatakse selliste alternatiivsete juurdepääsutoodete tegelik kättesaadavus, millel on vähemalt võrreldav kvaliteet kui pärandtaristut kasutades pakutavatel toodetel, peaksid riikide reguleerivad asutused kehtestama asendusmaatriksi, milles määratakse kindlaks pärandvõrgu kaudu direktiivi (EL) 2018/1972 artikli 73 alusel pakutavatele juurdepääsutoodetele vastavad </w:t>
      </w:r>
      <w:r w:rsidRPr="00883566">
        <w:rPr>
          <w:rFonts w:cs="Times New Roman"/>
          <w:lang w:eastAsia="et-EE"/>
        </w:rPr>
        <w:lastRenderedPageBreak/>
        <w:t>juurdepääsutooted, mis põhinevad uuel või uuendatud võrgutaristul. Sellega seoses kasutatavate põhiliste tulemusnäitajate ja teenustaseme kokkulepete puhul tuleks arvesse võtta nii kummagi võrgu tehnilist jõudlust kui ka kõiki asjaomaseid juurdepääsutingimusi. Olenevalt asjaomases piirkonnas valitsevatest oludest võib alternatiivse juurdepääsupakkumise teha vaskpaarvõrku käitav MTE või muu ettevõtja, kes on selles piirkonnas kasutusele võtnud väga suure läbilaskevõimega võrgu. Alternatiivne pakkumine võidakse teha regulatiivsete kohustuste (kui sellised kohustused on kehtestatud), direktiivi (EL) 2018/1972 artikli 79 kohaselt võetud ja siduvaks muudetud kohustuste või kaubanduslepingu alusel. Igal juhul peaks riigi reguleeriv asutus hindama, kas vaskpaarvõrku käitav MTE on ette näinud direktiivi (EL) 2018/1972 artikli 81 lõikes 2 sätestatud tingimustele vastava alternatiivse juurdepääsutoote kättesaadavuse.</w:t>
      </w:r>
    </w:p>
    <w:p w14:paraId="62052048" w14:textId="77777777" w:rsidR="00F03958" w:rsidRPr="00883566" w:rsidRDefault="00F03958" w:rsidP="00AA241E">
      <w:pPr>
        <w:spacing w:before="120" w:after="120"/>
        <w:ind w:left="359"/>
        <w:jc w:val="both"/>
        <w:rPr>
          <w:rFonts w:cs="Times New Roman"/>
          <w:lang w:eastAsia="et-EE"/>
        </w:rPr>
      </w:pPr>
      <w:r w:rsidRPr="00883566">
        <w:rPr>
          <w:rFonts w:cs="Times New Roman"/>
          <w:lang w:eastAsia="et-EE"/>
        </w:rPr>
        <w:t>Selleks et alternatiivsed juurdepääsutooted võimaldaksid juurdepääsu taotlejatel jõuda kooskõlas direktiivi (EL) 2018/1972 artikli 81 lõike 2 esimese lõiguga samade lõppkasutajateni nagu pärandtaristut kasutades, peaksid riikide reguleerivad asutused kindlaks määrama katvuskünnise, mis tuleb asjaomases piirkonnas saavutada väga suure läbilaskevõimega võrkude kaudu selliste toodete pakkumisega, mida käsitatakse pärandvõrgu kaudu pakutavate reguleeritud toodete asjakohaste alternatiividena; seda tuleks teha enne, kui pärandvõrguga seotud juurdepääsukohustused selles piirkonnas täielikult kaotatakse, et võimaldada kasutusest kõrvaldamist.</w:t>
      </w:r>
    </w:p>
    <w:p w14:paraId="79B45AC5" w14:textId="77777777" w:rsidR="00F03958" w:rsidRPr="00883566" w:rsidRDefault="00F03958" w:rsidP="00AA241E">
      <w:pPr>
        <w:spacing w:before="120" w:after="120"/>
        <w:ind w:left="359"/>
        <w:jc w:val="both"/>
        <w:rPr>
          <w:rFonts w:cs="Times New Roman"/>
          <w:lang w:eastAsia="et-EE"/>
        </w:rPr>
      </w:pPr>
      <w:r w:rsidRPr="00883566">
        <w:rPr>
          <w:rFonts w:cs="Times New Roman"/>
          <w:lang w:eastAsia="et-EE"/>
        </w:rPr>
        <w:t xml:space="preserve">Riikide reguleerivad asutused peaksid kandma hoolt selle eest, et kasutusest kõrvaldamise menetluse ja ajakava väljatöötamisel ja rakendamisel tagatakse täielik läbipaistvus sidusrühmadele ja nende osalus selles protsessis. Samuti peaksid riikide reguleerivad asutused tagama, et kasutusest kõrvaldamise menetlus ei põhjustaks diskrimineerivat käitumist. See hõlmab </w:t>
      </w:r>
      <w:proofErr w:type="spellStart"/>
      <w:r w:rsidRPr="00883566">
        <w:rPr>
          <w:rFonts w:cs="Times New Roman"/>
          <w:lang w:eastAsia="et-EE"/>
        </w:rPr>
        <w:t>MTe</w:t>
      </w:r>
      <w:proofErr w:type="spellEnd"/>
      <w:r w:rsidRPr="00883566">
        <w:rPr>
          <w:rFonts w:cs="Times New Roman"/>
          <w:lang w:eastAsia="et-EE"/>
        </w:rPr>
        <w:t xml:space="preserve"> (kui ta on vertikaalselt integreeritud) jaemüügi üksuste ja juurdepääsu taotlejate vahel vahetegemist seoses vaskpaarvõrgule juurdepääsu tingimustega ülemineku- ja kasutusest kõrvaldamise etapis. Eeskätt ei tohiks MTE jätkata juurdepääsu pakkumist oma jaemüügi üksusele, kui ta ei osuta enam vastavaid teenuseid juurdepääsu taotlejatele, sest riigi reguleeriv asutus on juurdepääsukohustused kooskõlas direktiivi (EL) 2018/1972 artikli 81 lõike 2 teise lõiguga tühistanud, et võimaldada võrgu kasutusest kõrvaldamist. See puudutab ka võrgu sulgemise ajakavaga seotud erinevusi ühelt poolt selliste piirkondade vahel, kus väga suure läbilaskevõimega võrgu on kasutusele võtnud ettevõtja, kellel oli märkimisväärne turujõud pärandvõrgu puhul, ning teisalt selliste piirkondade vahel, kus väga suure läbilaskevõimega võrgu on kasutusele võtnud mõni muu ettevõtja, kui need erinevused ei ole põhjendatud objektiivsete kriteeriumide alusel.</w:t>
      </w:r>
    </w:p>
    <w:p w14:paraId="170B37FF" w14:textId="77777777" w:rsidR="00F03958" w:rsidRPr="00883566" w:rsidRDefault="00F03958" w:rsidP="00AA241E">
      <w:pPr>
        <w:spacing w:before="120" w:after="120"/>
        <w:jc w:val="both"/>
        <w:rPr>
          <w:rFonts w:cs="Times New Roman"/>
          <w:lang w:eastAsia="et-EE"/>
        </w:rPr>
      </w:pPr>
    </w:p>
    <w:p w14:paraId="246FF201" w14:textId="53F0443C" w:rsidR="00F03958" w:rsidRPr="00883566" w:rsidRDefault="00F03958" w:rsidP="00AA241E">
      <w:pPr>
        <w:spacing w:before="120" w:after="120"/>
        <w:jc w:val="both"/>
        <w:rPr>
          <w:rFonts w:cs="Times New Roman"/>
        </w:rPr>
      </w:pPr>
      <w:r w:rsidRPr="00883566">
        <w:rPr>
          <w:rFonts w:cs="Times New Roman"/>
        </w:rPr>
        <w:t xml:space="preserve">Telia uuendab oma sidevõrke aktiivselt, eelkõige vahetab </w:t>
      </w:r>
      <w:r w:rsidR="00AD1150">
        <w:rPr>
          <w:rFonts w:cs="Times New Roman"/>
        </w:rPr>
        <w:t>vaskpaar</w:t>
      </w:r>
      <w:r w:rsidRPr="00883566">
        <w:rPr>
          <w:rFonts w:cs="Times New Roman"/>
        </w:rPr>
        <w:t>võrkude tehnoloogia</w:t>
      </w:r>
      <w:r w:rsidR="00E671F9">
        <w:rPr>
          <w:rFonts w:cs="Times New Roman"/>
        </w:rPr>
        <w:t>id</w:t>
      </w:r>
      <w:r w:rsidRPr="00883566">
        <w:rPr>
          <w:rFonts w:cs="Times New Roman"/>
        </w:rPr>
        <w:t xml:space="preserve"> olenevalt piirkonna elanike arvust, tihedusest ja olemasolevatest sidevõrgu taristutest </w:t>
      </w:r>
      <w:r w:rsidR="00A3232C">
        <w:rPr>
          <w:rFonts w:cs="Times New Roman"/>
        </w:rPr>
        <w:t>valguskaabelvõrgu</w:t>
      </w:r>
      <w:r w:rsidRPr="00883566">
        <w:rPr>
          <w:rFonts w:cs="Times New Roman"/>
        </w:rPr>
        <w:t xml:space="preserve"> FTTH/FTTB tehnoloogiate või mobiil</w:t>
      </w:r>
      <w:r w:rsidR="005C36B7">
        <w:rPr>
          <w:rFonts w:cs="Times New Roman"/>
        </w:rPr>
        <w:t>side</w:t>
      </w:r>
      <w:r w:rsidRPr="00883566">
        <w:rPr>
          <w:rFonts w:cs="Times New Roman"/>
        </w:rPr>
        <w:t xml:space="preserve">võrgu 4G/5G tehnoloogiate vastu. Telial oli 2023 aastal </w:t>
      </w:r>
      <w:proofErr w:type="spellStart"/>
      <w:r w:rsidRPr="00883566">
        <w:rPr>
          <w:rFonts w:cs="Times New Roman"/>
        </w:rPr>
        <w:t>ADSLx</w:t>
      </w:r>
      <w:proofErr w:type="spellEnd"/>
      <w:r w:rsidRPr="00883566">
        <w:rPr>
          <w:rFonts w:cs="Times New Roman"/>
        </w:rPr>
        <w:t xml:space="preserve"> tehnoloogial põhinevaid kasutusel internetiühendusi ca </w:t>
      </w:r>
      <w:r w:rsidR="006C5EC9">
        <w:rPr>
          <w:rFonts w:cs="Times New Roman"/>
        </w:rPr>
        <w:t>…</w:t>
      </w:r>
      <w:r w:rsidRPr="00883566">
        <w:rPr>
          <w:rFonts w:cs="Times New Roman"/>
        </w:rPr>
        <w:t xml:space="preserve">*, mis </w:t>
      </w:r>
      <w:r w:rsidRPr="00883566">
        <w:rPr>
          <w:rFonts w:cs="Times New Roman"/>
        </w:rPr>
        <w:lastRenderedPageBreak/>
        <w:t xml:space="preserve">moodustab Telia kõigist kasutusel püsiasukohaga internetiühendustest ca </w:t>
      </w:r>
      <w:r w:rsidR="006C5EC9">
        <w:rPr>
          <w:rFonts w:cs="Times New Roman"/>
        </w:rPr>
        <w:t>…</w:t>
      </w:r>
      <w:r w:rsidR="006C5EC9" w:rsidRPr="00883566">
        <w:rPr>
          <w:rFonts w:cs="Times New Roman"/>
        </w:rPr>
        <w:t>*</w:t>
      </w:r>
      <w:r w:rsidRPr="00883566">
        <w:rPr>
          <w:rFonts w:cs="Times New Roman"/>
        </w:rPr>
        <w:t xml:space="preserve">%, ja mis on viimastel aastatel kiiresti kahanenud, nt 2017 aastal oli Telial vastavaid kasutuses ühendusi ca </w:t>
      </w:r>
      <w:r w:rsidR="006C5EC9">
        <w:rPr>
          <w:rFonts w:cs="Times New Roman"/>
        </w:rPr>
        <w:t>…</w:t>
      </w:r>
      <w:r w:rsidR="006C5EC9" w:rsidRPr="00883566">
        <w:rPr>
          <w:rFonts w:cs="Times New Roman"/>
        </w:rPr>
        <w:t>*</w:t>
      </w:r>
      <w:r w:rsidRPr="00883566">
        <w:rPr>
          <w:rFonts w:cs="Times New Roman"/>
        </w:rPr>
        <w:t xml:space="preserve">. </w:t>
      </w:r>
    </w:p>
    <w:p w14:paraId="191BD209" w14:textId="2657629A" w:rsidR="00720919" w:rsidRPr="00883566" w:rsidRDefault="00720919" w:rsidP="00720919">
      <w:pPr>
        <w:spacing w:before="120" w:after="120"/>
        <w:jc w:val="both"/>
        <w:rPr>
          <w:rFonts w:cs="Times New Roman"/>
        </w:rPr>
      </w:pPr>
      <w:r w:rsidRPr="00883566">
        <w:rPr>
          <w:rFonts w:cs="Times New Roman"/>
        </w:rPr>
        <w:t xml:space="preserve">2023 aastal oli Telia hulgituru 1 teenuste kasutus </w:t>
      </w:r>
      <w:r w:rsidR="00532579">
        <w:rPr>
          <w:rFonts w:cs="Times New Roman"/>
        </w:rPr>
        <w:t>vaskpaar</w:t>
      </w:r>
      <w:r>
        <w:rPr>
          <w:rFonts w:cs="Times New Roman"/>
        </w:rPr>
        <w:t xml:space="preserve"> kliendiliini baasil väga madal</w:t>
      </w:r>
      <w:r w:rsidRPr="00883566">
        <w:rPr>
          <w:rFonts w:cs="Times New Roman"/>
        </w:rPr>
        <w:t xml:space="preserve">, ca </w:t>
      </w:r>
      <w:r w:rsidR="006C5EC9">
        <w:rPr>
          <w:rFonts w:cs="Times New Roman"/>
        </w:rPr>
        <w:t>…</w:t>
      </w:r>
      <w:r w:rsidR="006C5EC9" w:rsidRPr="00883566">
        <w:rPr>
          <w:rFonts w:cs="Times New Roman"/>
        </w:rPr>
        <w:t>*</w:t>
      </w:r>
      <w:r>
        <w:rPr>
          <w:rFonts w:cs="Times New Roman"/>
        </w:rPr>
        <w:t xml:space="preserve"> kliendiliini</w:t>
      </w:r>
      <w:r w:rsidRPr="00883566">
        <w:rPr>
          <w:rFonts w:cs="Times New Roman"/>
        </w:rPr>
        <w:t>.</w:t>
      </w:r>
    </w:p>
    <w:p w14:paraId="26C7FED7" w14:textId="24D2D61E" w:rsidR="00F03958" w:rsidRPr="00883566" w:rsidRDefault="00F03958" w:rsidP="00AA241E">
      <w:pPr>
        <w:spacing w:before="120" w:after="120"/>
        <w:jc w:val="both"/>
        <w:rPr>
          <w:rFonts w:cs="Times New Roman"/>
          <w:b/>
          <w:bCs/>
        </w:rPr>
      </w:pPr>
      <w:r w:rsidRPr="00883566">
        <w:rPr>
          <w:rFonts w:cs="Times New Roman"/>
          <w:b/>
          <w:bCs/>
        </w:rPr>
        <w:t>Kuna Telial kaob käesoleva otsuse alusel kohustus pakkuda hulgituru 1 teenuse</w:t>
      </w:r>
      <w:r w:rsidR="00FE1338">
        <w:rPr>
          <w:rFonts w:cs="Times New Roman"/>
          <w:b/>
          <w:bCs/>
        </w:rPr>
        <w:t>i</w:t>
      </w:r>
      <w:r w:rsidRPr="00883566">
        <w:rPr>
          <w:rFonts w:cs="Times New Roman"/>
          <w:b/>
          <w:bCs/>
        </w:rPr>
        <w:t xml:space="preserve">d </w:t>
      </w:r>
      <w:r w:rsidR="00AD1150">
        <w:rPr>
          <w:rFonts w:cs="Times New Roman"/>
          <w:b/>
          <w:bCs/>
        </w:rPr>
        <w:t>vaskpaar</w:t>
      </w:r>
      <w:r w:rsidRPr="00883566">
        <w:rPr>
          <w:rFonts w:cs="Times New Roman"/>
          <w:b/>
          <w:bCs/>
        </w:rPr>
        <w:t xml:space="preserve">võrgus üleriigiliselt ja </w:t>
      </w:r>
      <w:r w:rsidR="00A3232C">
        <w:rPr>
          <w:rFonts w:cs="Times New Roman"/>
          <w:b/>
          <w:bCs/>
        </w:rPr>
        <w:t>valguskaabelvõrgu</w:t>
      </w:r>
      <w:r w:rsidRPr="00883566">
        <w:rPr>
          <w:rFonts w:cs="Times New Roman"/>
          <w:b/>
          <w:bCs/>
        </w:rPr>
        <w:t xml:space="preserve">s A piirkonnas, vt </w:t>
      </w:r>
      <w:r w:rsidR="008C159A">
        <w:rPr>
          <w:rFonts w:cs="Times New Roman"/>
          <w:b/>
          <w:bCs/>
        </w:rPr>
        <w:t xml:space="preserve">ptk. </w:t>
      </w:r>
      <w:r w:rsidR="007533C2">
        <w:rPr>
          <w:rFonts w:cs="Times New Roman"/>
          <w:b/>
          <w:bCs/>
        </w:rPr>
        <w:t>7.1.2</w:t>
      </w:r>
      <w:r w:rsidRPr="00883566">
        <w:rPr>
          <w:rFonts w:cs="Times New Roman"/>
          <w:b/>
          <w:bCs/>
        </w:rPr>
        <w:t xml:space="preserve"> ja jääb kohustus pakkuda vastavaid teenuseid ainult </w:t>
      </w:r>
      <w:r w:rsidR="00A3232C">
        <w:rPr>
          <w:rFonts w:cs="Times New Roman"/>
          <w:b/>
          <w:bCs/>
        </w:rPr>
        <w:t>valguskaabelvõrgu</w:t>
      </w:r>
      <w:r w:rsidRPr="00883566">
        <w:rPr>
          <w:rFonts w:cs="Times New Roman"/>
          <w:b/>
          <w:bCs/>
        </w:rPr>
        <w:t xml:space="preserve">s B piirkonnas, siis puudub ka vajadus kehtestada Teliale täiendavaid kohustusi </w:t>
      </w:r>
      <w:r w:rsidR="00AD1150">
        <w:rPr>
          <w:rFonts w:cs="Times New Roman"/>
          <w:b/>
          <w:bCs/>
        </w:rPr>
        <w:t>vaskpaar</w:t>
      </w:r>
      <w:r w:rsidRPr="00883566">
        <w:rPr>
          <w:rFonts w:cs="Times New Roman"/>
          <w:b/>
          <w:bCs/>
        </w:rPr>
        <w:t xml:space="preserve">võrgu kasutusest kõrvaldamise tingimustele, et tagada </w:t>
      </w:r>
      <w:r w:rsidR="00AD1150">
        <w:rPr>
          <w:rFonts w:cs="Times New Roman"/>
          <w:b/>
          <w:bCs/>
        </w:rPr>
        <w:t>vaskpaar</w:t>
      </w:r>
      <w:r w:rsidRPr="00883566">
        <w:rPr>
          <w:rFonts w:cs="Times New Roman"/>
          <w:b/>
          <w:bCs/>
        </w:rPr>
        <w:t>võrgus osutatavate hulgituru 1 teenuste mittediskrimineeriv muutmine või lõpetamine.</w:t>
      </w:r>
    </w:p>
    <w:p w14:paraId="6188401E" w14:textId="77777777" w:rsidR="00F03958" w:rsidRPr="00883566" w:rsidRDefault="00F03958" w:rsidP="00AA241E">
      <w:pPr>
        <w:jc w:val="both"/>
      </w:pPr>
    </w:p>
    <w:p w14:paraId="431099B6" w14:textId="037EFA4F" w:rsidR="00F03958" w:rsidRPr="00883566" w:rsidRDefault="00F03958" w:rsidP="009805E1">
      <w:pPr>
        <w:pStyle w:val="Pealkiri3"/>
      </w:pPr>
      <w:bookmarkStart w:id="990" w:name="_Toc174710840"/>
      <w:r w:rsidRPr="00883566">
        <w:t>Mittediskrimineerimise  kohustuse kooskõla ESS §-ga 135</w:t>
      </w:r>
      <w:bookmarkEnd w:id="990"/>
    </w:p>
    <w:p w14:paraId="6EE5BAA6" w14:textId="77777777" w:rsidR="00F03958" w:rsidRPr="00883566" w:rsidRDefault="00F03958" w:rsidP="00AA241E">
      <w:pPr>
        <w:pStyle w:val="Loendilik"/>
        <w:spacing w:before="120" w:after="120"/>
        <w:ind w:left="0"/>
        <w:jc w:val="both"/>
        <w:rPr>
          <w:rFonts w:cs="Times New Roman"/>
          <w:lang w:eastAsia="et-EE"/>
        </w:rPr>
      </w:pPr>
    </w:p>
    <w:p w14:paraId="7E3662D8" w14:textId="77777777" w:rsidR="00F03958" w:rsidRPr="00883566" w:rsidRDefault="00F03958" w:rsidP="00AA241E">
      <w:pPr>
        <w:pStyle w:val="Loendilik"/>
        <w:spacing w:before="120" w:after="120"/>
        <w:ind w:left="0"/>
        <w:jc w:val="both"/>
        <w:rPr>
          <w:rFonts w:cs="Times New Roman"/>
          <w:lang w:eastAsia="et-EE"/>
        </w:rPr>
      </w:pPr>
      <w:r w:rsidRPr="00883566">
        <w:rPr>
          <w:rFonts w:cs="Times New Roman"/>
        </w:rPr>
        <w:t>Kooskõla ESS § 135 lõikega 1 on tagatud, kuna mittediskrimineerimise kohustuste eesmärk on aidata kaasa sideteenuse turu arengule ja selle kehtestamine Teliale on:</w:t>
      </w:r>
    </w:p>
    <w:p w14:paraId="077AF215"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rPr>
        <w:t>mõistlik ja otstarbekas, kuna see tagab, et nimetatud sideettevõtja ei kasuta oma turujõudu konkurentsi kahjustavalt ega kohtle oma konkurente ebavõrdselt;</w:t>
      </w:r>
    </w:p>
    <w:p w14:paraId="12A5BB9D"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rPr>
        <w:t>mittediskrimineeriv, kuna Telia poolt osutatavad hulgituru 1 koosseisu kuuluvad teenused mõjutavad konkurentsi vertikaalselt allapoole seotud jaeturgudel Telia ulatusliku infrastruktuuri olemasolu tõttu oluliselt suuremal määral kui teiste sideettevõtjate poolt nimetatud turu koosseisu kuuluvad teenused. Sellest tulenevalt on õigustatud Teliale mittediskrimineerimise kohustuste kehtestamine, et tõkestada Telia võimalust oma märkimisväärset turujõudu ära kasutada konkurentsi takistamiseks;</w:t>
      </w:r>
    </w:p>
    <w:p w14:paraId="7B1B4169"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rPr>
        <w:t>läbipaistev, kuna kohustus on kavandatud selliselt, et isikule oleks üheselt arusaadav, mida TTJA tema suhtes on otsustanud ning millised õigused ja kohustused sellest temale tulenevad.</w:t>
      </w:r>
    </w:p>
    <w:p w14:paraId="5FA94F01"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 xml:space="preserve">suunatud käesoleva seaduse §-s 134 lõikes 1 sätestatud konkreetse eesmärgi, edendada konkurentsi elektroonilise side ja sellega seotud teenuste osutamisel, saavutamisele ning on seda eesmärki arvestades TTJA hinnangul proportsionaalne. </w:t>
      </w:r>
    </w:p>
    <w:p w14:paraId="7D48CEEC" w14:textId="77777777" w:rsidR="00F03958" w:rsidRPr="00883566" w:rsidRDefault="00F03958" w:rsidP="00AA241E">
      <w:pPr>
        <w:jc w:val="both"/>
      </w:pPr>
    </w:p>
    <w:p w14:paraId="6D3733B6" w14:textId="39555223" w:rsidR="00F03958" w:rsidRPr="00883566" w:rsidRDefault="00F03958" w:rsidP="009805E1">
      <w:pPr>
        <w:pStyle w:val="Pealkiri3"/>
      </w:pPr>
      <w:bookmarkStart w:id="991" w:name="_Toc174710841"/>
      <w:r w:rsidRPr="00883566">
        <w:t>Mittediskrimineerimise kohustuste kehtestamine</w:t>
      </w:r>
      <w:bookmarkEnd w:id="991"/>
      <w:r w:rsidRPr="00883566">
        <w:t xml:space="preserve"> </w:t>
      </w:r>
    </w:p>
    <w:p w14:paraId="79C7B03E" w14:textId="77777777" w:rsidR="00F03958" w:rsidRPr="00883566" w:rsidRDefault="00F03958" w:rsidP="00AA241E">
      <w:pPr>
        <w:jc w:val="both"/>
        <w:rPr>
          <w:rFonts w:cs="Times New Roman"/>
        </w:rPr>
      </w:pPr>
    </w:p>
    <w:p w14:paraId="7CC146B6" w14:textId="708259BA" w:rsidR="00F03958" w:rsidRPr="00883566" w:rsidRDefault="00F03958" w:rsidP="00AA241E">
      <w:pPr>
        <w:spacing w:line="259" w:lineRule="auto"/>
        <w:jc w:val="both"/>
        <w:rPr>
          <w:rFonts w:cs="Times New Roman"/>
          <w:lang w:eastAsia="en-US"/>
        </w:rPr>
      </w:pPr>
      <w:r w:rsidRPr="00883566">
        <w:rPr>
          <w:rFonts w:cs="Times New Roman"/>
        </w:rPr>
        <w:t xml:space="preserve">Käesoleva otsuse koostamise ajal kehtivad üleriigiliselt Telia </w:t>
      </w:r>
      <w:r w:rsidR="00532579">
        <w:rPr>
          <w:rFonts w:cs="Times New Roman"/>
        </w:rPr>
        <w:t>vaskpaar</w:t>
      </w:r>
      <w:r w:rsidRPr="00883566">
        <w:rPr>
          <w:rFonts w:cs="Times New Roman"/>
        </w:rPr>
        <w:t xml:space="preserve">- ja valguskaabelvõrgus Telia hulgituru 1 teenustele mittediskrimineerimise kohustused TTJA 2017 hulgituru 1 otsuse lisa 1 </w:t>
      </w:r>
      <w:r w:rsidR="008C159A">
        <w:rPr>
          <w:rFonts w:cs="Times New Roman"/>
        </w:rPr>
        <w:t xml:space="preserve">ptk. </w:t>
      </w:r>
      <w:r w:rsidRPr="00883566">
        <w:rPr>
          <w:rFonts w:cs="Times New Roman"/>
        </w:rPr>
        <w:t xml:space="preserve">6.2.4 alusel. Lähtudes käesoleva otsuse </w:t>
      </w:r>
      <w:r w:rsidR="008C159A">
        <w:rPr>
          <w:rFonts w:cs="Times New Roman"/>
        </w:rPr>
        <w:t>ptk.-</w:t>
      </w:r>
      <w:r w:rsidRPr="00883566">
        <w:rPr>
          <w:rFonts w:cs="Times New Roman"/>
        </w:rPr>
        <w:t xml:space="preserve">st </w:t>
      </w:r>
      <w:r w:rsidR="00FF37EF">
        <w:rPr>
          <w:rFonts w:cs="Times New Roman"/>
        </w:rPr>
        <w:t>7</w:t>
      </w:r>
      <w:r w:rsidR="0068298C">
        <w:rPr>
          <w:rFonts w:cs="Times New Roman"/>
        </w:rPr>
        <w:t>.1.2</w:t>
      </w:r>
      <w:r w:rsidRPr="00883566">
        <w:rPr>
          <w:rFonts w:cs="Times New Roman"/>
        </w:rPr>
        <w:t xml:space="preserve"> tunnistatakse TTJA 2017 hulgituru 1 </w:t>
      </w:r>
      <w:r w:rsidRPr="00883566">
        <w:rPr>
          <w:rFonts w:cs="Times New Roman"/>
        </w:rPr>
        <w:lastRenderedPageBreak/>
        <w:t xml:space="preserve">otsus ja selles kehtestatud </w:t>
      </w:r>
      <w:r w:rsidR="0079573E" w:rsidRPr="00883566">
        <w:rPr>
          <w:rFonts w:cs="Times New Roman"/>
        </w:rPr>
        <w:t xml:space="preserve">Telia </w:t>
      </w:r>
      <w:r w:rsidRPr="00883566">
        <w:rPr>
          <w:rFonts w:cs="Times New Roman"/>
        </w:rPr>
        <w:t xml:space="preserve">kohustused kehtetuks. </w:t>
      </w:r>
      <w:bookmarkStart w:id="992" w:name="_Hlk174533937"/>
      <w:r w:rsidRPr="00883566">
        <w:rPr>
          <w:rFonts w:cs="Times New Roman"/>
        </w:rPr>
        <w:t xml:space="preserve">Käesolevas </w:t>
      </w:r>
      <w:r w:rsidR="00DA4093">
        <w:rPr>
          <w:rFonts w:cs="Times New Roman"/>
        </w:rPr>
        <w:t>peatükis</w:t>
      </w:r>
      <w:r w:rsidRPr="00883566">
        <w:rPr>
          <w:rFonts w:cs="Times New Roman"/>
        </w:rPr>
        <w:t xml:space="preserve"> kehtestatavad kohustused on suunatud </w:t>
      </w:r>
      <w:r w:rsidR="005B538D">
        <w:rPr>
          <w:rFonts w:cs="Times New Roman"/>
        </w:rPr>
        <w:t xml:space="preserve"> mittedisk</w:t>
      </w:r>
      <w:r w:rsidR="004047CE">
        <w:rPr>
          <w:rFonts w:cs="Times New Roman"/>
        </w:rPr>
        <w:t>r</w:t>
      </w:r>
      <w:r w:rsidR="005B538D">
        <w:rPr>
          <w:rFonts w:cs="Times New Roman"/>
        </w:rPr>
        <w:t>imineerimi</w:t>
      </w:r>
      <w:r w:rsidR="00691E7E">
        <w:rPr>
          <w:rFonts w:cs="Times New Roman"/>
        </w:rPr>
        <w:t>s</w:t>
      </w:r>
      <w:r w:rsidR="005B538D">
        <w:rPr>
          <w:rFonts w:cs="Times New Roman"/>
        </w:rPr>
        <w:t xml:space="preserve">e tagamisele </w:t>
      </w:r>
      <w:r w:rsidR="00A3232C">
        <w:rPr>
          <w:rFonts w:cs="Times New Roman"/>
        </w:rPr>
        <w:t>valguskaabelvõrgu</w:t>
      </w:r>
      <w:r w:rsidR="007762CB">
        <w:rPr>
          <w:rFonts w:cs="Times New Roman"/>
        </w:rPr>
        <w:t xml:space="preserve"> B</w:t>
      </w:r>
      <w:r w:rsidRPr="00883566">
        <w:rPr>
          <w:rFonts w:cs="Times New Roman"/>
        </w:rPr>
        <w:t xml:space="preserve"> </w:t>
      </w:r>
      <w:r w:rsidR="00205FEB" w:rsidRPr="00883566">
        <w:rPr>
          <w:rFonts w:cs="Times New Roman"/>
        </w:rPr>
        <w:t>piirkonna</w:t>
      </w:r>
      <w:r w:rsidR="00436FAB">
        <w:rPr>
          <w:rFonts w:cs="Times New Roman"/>
        </w:rPr>
        <w:t xml:space="preserve"> hulgituru</w:t>
      </w:r>
      <w:r w:rsidR="00B351EC">
        <w:rPr>
          <w:rFonts w:cs="Times New Roman"/>
        </w:rPr>
        <w:t>l</w:t>
      </w:r>
      <w:r w:rsidR="00436FAB">
        <w:rPr>
          <w:rFonts w:cs="Times New Roman"/>
        </w:rPr>
        <w:t xml:space="preserve"> </w:t>
      </w:r>
      <w:r w:rsidR="00321E23">
        <w:rPr>
          <w:rFonts w:cs="Times New Roman"/>
        </w:rPr>
        <w:t xml:space="preserve">1 </w:t>
      </w:r>
      <w:r w:rsidR="00B351EC">
        <w:rPr>
          <w:rFonts w:cs="Times New Roman"/>
        </w:rPr>
        <w:t xml:space="preserve">Telia osutatavate </w:t>
      </w:r>
      <w:r w:rsidR="00321E23">
        <w:rPr>
          <w:rFonts w:cs="Times New Roman"/>
        </w:rPr>
        <w:t>teenuste</w:t>
      </w:r>
      <w:bookmarkEnd w:id="992"/>
      <w:r w:rsidR="00B351EC">
        <w:rPr>
          <w:rFonts w:cs="Times New Roman"/>
        </w:rPr>
        <w:t xml:space="preserve"> osas</w:t>
      </w:r>
      <w:r w:rsidRPr="00883566">
        <w:rPr>
          <w:rFonts w:cs="Times New Roman"/>
        </w:rPr>
        <w:t xml:space="preserve">. </w:t>
      </w:r>
      <w:r w:rsidR="00472185" w:rsidRPr="00883566">
        <w:rPr>
          <w:rFonts w:cs="Times New Roman"/>
        </w:rPr>
        <w:t>TTJA on kohustuste järjepidevuse tagamiseks lähtunud käesoleva otsuse koostamise ajal kehtiva TTJA 2017 hulgituru 1 otsuses sätestatud kohustustest neid vajadusel muutes ja/või täiendades</w:t>
      </w:r>
      <w:r w:rsidR="00D70169">
        <w:rPr>
          <w:rFonts w:cs="Times New Roman"/>
        </w:rPr>
        <w:t xml:space="preserve"> ja/või tühistades</w:t>
      </w:r>
      <w:r w:rsidR="00472185" w:rsidRPr="00883566">
        <w:rPr>
          <w:rFonts w:cs="Times New Roman"/>
        </w:rPr>
        <w:t>.</w:t>
      </w:r>
    </w:p>
    <w:p w14:paraId="1DC2AEA1" w14:textId="6C3D0FB8" w:rsidR="00F03958" w:rsidRPr="00883566" w:rsidRDefault="00F03958" w:rsidP="00AA241E">
      <w:pPr>
        <w:jc w:val="both"/>
        <w:rPr>
          <w:rFonts w:cs="Times New Roman"/>
        </w:rPr>
      </w:pPr>
      <w:r w:rsidRPr="00883566">
        <w:rPr>
          <w:rFonts w:cs="Times New Roman"/>
        </w:rPr>
        <w:t>Võttes arvesse TTJA 2017 hulgituru 1 otsuses sätestatud kohustusi ja tutvunud uu</w:t>
      </w:r>
      <w:r w:rsidR="00D70169">
        <w:rPr>
          <w:rFonts w:cs="Times New Roman"/>
        </w:rPr>
        <w:t>e</w:t>
      </w:r>
      <w:r w:rsidRPr="00883566">
        <w:rPr>
          <w:rFonts w:cs="Times New Roman"/>
        </w:rPr>
        <w:t xml:space="preserve"> EK 2024 kohustuste soovitusega ning TTJA 2021 hulgituru 1 otsuse eelnõus ja TTJA 2023 hulgituru 1 otsuse eelnõus kajastatud sideettevõtjate arvamustega võimalike konkurentsiprobleemide osas, leiab TTJA, et otstarbekas ja proportsionaalne kehtestada Teliale </w:t>
      </w:r>
      <w:r w:rsidR="008C159A">
        <w:rPr>
          <w:rFonts w:cs="Times New Roman"/>
        </w:rPr>
        <w:t>ptk.-</w:t>
      </w:r>
      <w:r w:rsidRPr="00883566">
        <w:rPr>
          <w:rFonts w:cs="Times New Roman"/>
        </w:rPr>
        <w:t xml:space="preserve">des </w:t>
      </w:r>
      <w:r w:rsidR="00FF37EF">
        <w:rPr>
          <w:rFonts w:cs="Times New Roman"/>
        </w:rPr>
        <w:t>7</w:t>
      </w:r>
      <w:r w:rsidR="00513A5E">
        <w:rPr>
          <w:rFonts w:cs="Times New Roman"/>
        </w:rPr>
        <w:t>.</w:t>
      </w:r>
      <w:r w:rsidR="00492637">
        <w:rPr>
          <w:rFonts w:cs="Times New Roman"/>
        </w:rPr>
        <w:t xml:space="preserve">4.4 </w:t>
      </w:r>
      <w:r w:rsidR="00C97604">
        <w:rPr>
          <w:rFonts w:cs="Times New Roman"/>
        </w:rPr>
        <w:t>–</w:t>
      </w:r>
      <w:r w:rsidR="00492637">
        <w:rPr>
          <w:rFonts w:cs="Times New Roman"/>
        </w:rPr>
        <w:t xml:space="preserve"> </w:t>
      </w:r>
      <w:r w:rsidR="00FF37EF">
        <w:rPr>
          <w:rFonts w:cs="Times New Roman"/>
        </w:rPr>
        <w:t>7</w:t>
      </w:r>
      <w:r w:rsidR="00C97604">
        <w:rPr>
          <w:rFonts w:cs="Times New Roman"/>
        </w:rPr>
        <w:t>.4.</w:t>
      </w:r>
      <w:r w:rsidR="00D337B6">
        <w:rPr>
          <w:rFonts w:cs="Times New Roman"/>
        </w:rPr>
        <w:t>7</w:t>
      </w:r>
      <w:r w:rsidRPr="00883566">
        <w:rPr>
          <w:rFonts w:cs="Times New Roman"/>
        </w:rPr>
        <w:t xml:space="preserve"> välja toodud täiendavad mittediskrimineerimise kohustus</w:t>
      </w:r>
      <w:r w:rsidR="00D70169">
        <w:rPr>
          <w:rFonts w:cs="Times New Roman"/>
        </w:rPr>
        <w:t>ed</w:t>
      </w:r>
      <w:r w:rsidRPr="00883566">
        <w:rPr>
          <w:rFonts w:cs="Times New Roman"/>
        </w:rPr>
        <w:t xml:space="preserve"> võrreldes käesoleva otsuse ajal kehtivas TTJA 2017 hulgituru 1 otsuse lisa 1 </w:t>
      </w:r>
      <w:r w:rsidR="008C159A">
        <w:rPr>
          <w:rFonts w:cs="Times New Roman"/>
        </w:rPr>
        <w:t>ptk.-</w:t>
      </w:r>
      <w:r w:rsidRPr="00883566">
        <w:rPr>
          <w:rFonts w:cs="Times New Roman"/>
        </w:rPr>
        <w:t xml:space="preserve">s 6.3.4 sätestatud kohustustega. </w:t>
      </w:r>
    </w:p>
    <w:p w14:paraId="50B2095D" w14:textId="77777777" w:rsidR="00F03958" w:rsidRPr="00883566" w:rsidRDefault="00F03958" w:rsidP="00AA241E">
      <w:pPr>
        <w:jc w:val="both"/>
        <w:rPr>
          <w:rFonts w:cs="Times New Roman"/>
        </w:rPr>
      </w:pPr>
      <w:r w:rsidRPr="00883566">
        <w:rPr>
          <w:rFonts w:cs="Times New Roman"/>
        </w:rPr>
        <w:t>TTJA hinnangul ei ole kehtestatavad kohustused Teliale koormavad, kuna Telial on TTJA hinnangul olemas nimetatud kohustuste täitmiseks vajalik tehniline valmisolek ja ressurss.</w:t>
      </w:r>
    </w:p>
    <w:p w14:paraId="730F6BAE" w14:textId="77777777" w:rsidR="00F03958" w:rsidRPr="00883566" w:rsidRDefault="00F03958" w:rsidP="00AA241E">
      <w:pPr>
        <w:spacing w:before="120" w:after="120"/>
        <w:jc w:val="both"/>
        <w:rPr>
          <w:rFonts w:cs="Times New Roman"/>
          <w:lang w:eastAsia="et-EE"/>
        </w:rPr>
      </w:pPr>
    </w:p>
    <w:p w14:paraId="31A2E3CE" w14:textId="6C7B89CB" w:rsidR="00F03958" w:rsidRDefault="00F03958" w:rsidP="00AA241E">
      <w:pPr>
        <w:autoSpaceDE w:val="0"/>
        <w:autoSpaceDN w:val="0"/>
        <w:adjustRightInd w:val="0"/>
        <w:spacing w:before="120" w:after="120" w:line="240" w:lineRule="auto"/>
        <w:jc w:val="both"/>
        <w:rPr>
          <w:b/>
          <w:bCs/>
          <w:lang w:eastAsia="et-EE"/>
        </w:rPr>
      </w:pPr>
      <w:r w:rsidRPr="0090663A">
        <w:rPr>
          <w:b/>
          <w:bCs/>
          <w:lang w:eastAsia="et-EE"/>
        </w:rPr>
        <w:t>TTJA kehtesta</w:t>
      </w:r>
      <w:r w:rsidR="00EB3C57">
        <w:rPr>
          <w:b/>
          <w:bCs/>
          <w:lang w:eastAsia="et-EE"/>
        </w:rPr>
        <w:t>b</w:t>
      </w:r>
      <w:r w:rsidRPr="0090663A">
        <w:rPr>
          <w:b/>
          <w:bCs/>
          <w:lang w:eastAsia="et-EE"/>
        </w:rPr>
        <w:t xml:space="preserve"> Teliale </w:t>
      </w:r>
      <w:r w:rsidR="00A3232C" w:rsidRPr="0090663A">
        <w:rPr>
          <w:b/>
          <w:bCs/>
          <w:lang w:eastAsia="et-EE"/>
        </w:rPr>
        <w:t>valguskaabelvõrgu</w:t>
      </w:r>
      <w:r w:rsidRPr="0090663A">
        <w:rPr>
          <w:b/>
          <w:bCs/>
          <w:lang w:eastAsia="et-EE"/>
        </w:rPr>
        <w:t xml:space="preserve">s B piirkonna hulgiturul 1 otsuse peatükis </w:t>
      </w:r>
      <w:r w:rsidR="00BA5F0D" w:rsidRPr="0090663A">
        <w:rPr>
          <w:b/>
          <w:bCs/>
          <w:lang w:eastAsia="et-EE"/>
        </w:rPr>
        <w:t>7</w:t>
      </w:r>
      <w:r w:rsidR="008E20C3" w:rsidRPr="0090663A">
        <w:rPr>
          <w:b/>
          <w:bCs/>
          <w:lang w:eastAsia="et-EE"/>
        </w:rPr>
        <w:t>.4.2</w:t>
      </w:r>
      <w:r w:rsidRPr="0090663A">
        <w:rPr>
          <w:b/>
          <w:bCs/>
          <w:lang w:eastAsia="et-EE"/>
        </w:rPr>
        <w:t xml:space="preserve"> nimetatud konkurentsiprobleemide lahendamiseks ning konkurentsi moonutamise ja takistamise tõkestamiseks ning sideettevõtjate võrdse ja mittediskrimineeriva kohtlemise tagamiseks ESS § 50 l</w:t>
      </w:r>
      <w:r w:rsidR="00B64F6F">
        <w:rPr>
          <w:b/>
          <w:bCs/>
          <w:lang w:eastAsia="et-EE"/>
        </w:rPr>
        <w:t>õike</w:t>
      </w:r>
      <w:r w:rsidRPr="0090663A">
        <w:rPr>
          <w:b/>
          <w:bCs/>
          <w:lang w:eastAsia="et-EE"/>
        </w:rPr>
        <w:t> 1 punkti 3</w:t>
      </w:r>
      <w:r w:rsidR="006A7644">
        <w:rPr>
          <w:b/>
          <w:bCs/>
          <w:lang w:eastAsia="et-EE"/>
        </w:rPr>
        <w:t xml:space="preserve"> alusel järg</w:t>
      </w:r>
      <w:r w:rsidR="006600B8">
        <w:rPr>
          <w:b/>
          <w:bCs/>
          <w:lang w:eastAsia="et-EE"/>
        </w:rPr>
        <w:t xml:space="preserve">nevates alampeatükkides 7.4.10.1 – 7.4.10.5 sätestatud </w:t>
      </w:r>
      <w:r w:rsidRPr="0090663A">
        <w:rPr>
          <w:b/>
          <w:bCs/>
          <w:lang w:eastAsia="et-EE"/>
        </w:rPr>
        <w:t>mittediskrimineerimise kohustuse</w:t>
      </w:r>
      <w:r w:rsidR="001C6A99">
        <w:rPr>
          <w:b/>
          <w:bCs/>
          <w:lang w:eastAsia="et-EE"/>
        </w:rPr>
        <w:t>d</w:t>
      </w:r>
      <w:r w:rsidR="006600B8">
        <w:rPr>
          <w:b/>
          <w:bCs/>
          <w:lang w:eastAsia="et-EE"/>
        </w:rPr>
        <w:t>.</w:t>
      </w:r>
    </w:p>
    <w:p w14:paraId="2CB80116" w14:textId="77777777" w:rsidR="006600B8" w:rsidRPr="0090663A" w:rsidRDefault="006600B8" w:rsidP="00AA241E">
      <w:pPr>
        <w:autoSpaceDE w:val="0"/>
        <w:autoSpaceDN w:val="0"/>
        <w:adjustRightInd w:val="0"/>
        <w:spacing w:before="120" w:after="120" w:line="240" w:lineRule="auto"/>
        <w:jc w:val="both"/>
        <w:rPr>
          <w:b/>
          <w:bCs/>
          <w:lang w:eastAsia="et-EE"/>
        </w:rPr>
      </w:pPr>
    </w:p>
    <w:p w14:paraId="7E4F55BF" w14:textId="29B7CE74" w:rsidR="00471668" w:rsidRPr="00471668" w:rsidRDefault="006600B8" w:rsidP="00B64F6F">
      <w:pPr>
        <w:pStyle w:val="Pealkiri5"/>
        <w:rPr>
          <w:b/>
          <w:bCs/>
          <w:u w:val="single"/>
          <w:lang w:eastAsia="et-EE"/>
        </w:rPr>
      </w:pPr>
      <w:r w:rsidRPr="00B64F6F">
        <w:t xml:space="preserve">7.4.10.1 </w:t>
      </w:r>
      <w:r w:rsidR="00471668" w:rsidRPr="00B64F6F">
        <w:t>Üldine mittediskrimineerimise kohustus</w:t>
      </w:r>
    </w:p>
    <w:p w14:paraId="510A1766" w14:textId="4DE0F8A8" w:rsidR="00F03958" w:rsidRPr="0090663A" w:rsidRDefault="00C80E1B" w:rsidP="00C80E1B">
      <w:pPr>
        <w:autoSpaceDE w:val="0"/>
        <w:autoSpaceDN w:val="0"/>
        <w:adjustRightInd w:val="0"/>
        <w:spacing w:before="120" w:after="120" w:line="240" w:lineRule="auto"/>
        <w:ind w:left="720"/>
        <w:jc w:val="both"/>
        <w:rPr>
          <w:b/>
          <w:bCs/>
          <w:lang w:eastAsia="et-EE"/>
        </w:rPr>
      </w:pPr>
      <w:bookmarkStart w:id="993" w:name="_Hlk184732735"/>
      <w:r w:rsidRPr="0090663A">
        <w:rPr>
          <w:b/>
          <w:bCs/>
          <w:lang w:eastAsia="et-EE"/>
        </w:rPr>
        <w:t xml:space="preserve">Telia </w:t>
      </w:r>
      <w:r w:rsidR="00F03958" w:rsidRPr="0090663A">
        <w:rPr>
          <w:b/>
          <w:bCs/>
          <w:lang w:eastAsia="et-EE"/>
        </w:rPr>
        <w:t xml:space="preserve">peab otsuse peatükis </w:t>
      </w:r>
      <w:r w:rsidR="006E207C" w:rsidRPr="0090663A">
        <w:rPr>
          <w:b/>
          <w:bCs/>
          <w:lang w:eastAsia="et-EE"/>
        </w:rPr>
        <w:t>7</w:t>
      </w:r>
      <w:r w:rsidR="00DB2885" w:rsidRPr="0090663A">
        <w:rPr>
          <w:b/>
          <w:bCs/>
          <w:lang w:eastAsia="et-EE"/>
        </w:rPr>
        <w:t>.3.5</w:t>
      </w:r>
      <w:r w:rsidR="00F03958" w:rsidRPr="0090663A">
        <w:rPr>
          <w:b/>
          <w:bCs/>
          <w:lang w:eastAsia="et-EE"/>
        </w:rPr>
        <w:t xml:space="preserve"> kohustatud </w:t>
      </w:r>
      <w:r w:rsidR="0088720E">
        <w:rPr>
          <w:b/>
          <w:bCs/>
          <w:lang w:eastAsia="et-EE"/>
        </w:rPr>
        <w:t>juurdepääsu</w:t>
      </w:r>
      <w:r w:rsidR="00F03958" w:rsidRPr="0090663A">
        <w:rPr>
          <w:b/>
          <w:bCs/>
          <w:lang w:eastAsia="et-EE"/>
        </w:rPr>
        <w:t xml:space="preserve"> </w:t>
      </w:r>
      <w:r w:rsidR="0088720E">
        <w:rPr>
          <w:b/>
          <w:bCs/>
          <w:lang w:eastAsia="et-EE"/>
        </w:rPr>
        <w:t>korral</w:t>
      </w:r>
      <w:r w:rsidR="00F03958" w:rsidRPr="0090663A">
        <w:rPr>
          <w:b/>
          <w:bCs/>
          <w:lang w:eastAsia="et-EE"/>
        </w:rPr>
        <w:t xml:space="preserve"> rakendama teistele sideettevõtjatele samadel asjaoludel samaväärseid tingimusi ning osutama teenuseid ja avaldama informatsiooni teistele sideettevõtjatele samadel tingimustel ja samasuguse kvaliteediga nagu enda või oma tütarettevõtjate või partnerite puhul</w:t>
      </w:r>
      <w:r w:rsidR="005D2DF6">
        <w:rPr>
          <w:b/>
          <w:bCs/>
          <w:lang w:eastAsia="et-EE"/>
        </w:rPr>
        <w:t>.</w:t>
      </w:r>
      <w:r w:rsidR="00F03958" w:rsidRPr="0090663A">
        <w:rPr>
          <w:b/>
          <w:bCs/>
          <w:lang w:eastAsia="et-EE"/>
        </w:rPr>
        <w:t xml:space="preserve"> </w:t>
      </w:r>
      <w:r w:rsidR="005D2DF6">
        <w:rPr>
          <w:b/>
          <w:bCs/>
          <w:lang w:eastAsia="et-EE"/>
        </w:rPr>
        <w:t>M</w:t>
      </w:r>
      <w:r w:rsidR="00F03958" w:rsidRPr="0090663A">
        <w:rPr>
          <w:b/>
          <w:bCs/>
          <w:lang w:eastAsia="et-EE"/>
        </w:rPr>
        <w:t>uu hulgas rakendama teistele sideettevõtjatele samasuguseid hindasid nagu enda või oma tütarettevõtjate või partnerite puhul</w:t>
      </w:r>
      <w:r w:rsidR="005D2DF6">
        <w:rPr>
          <w:b/>
          <w:bCs/>
          <w:lang w:eastAsia="et-EE"/>
        </w:rPr>
        <w:t xml:space="preserve"> </w:t>
      </w:r>
      <w:r w:rsidR="005D2DF6">
        <w:rPr>
          <w:rFonts w:cs="Times New Roman"/>
          <w:b/>
          <w:bCs/>
        </w:rPr>
        <w:t>juhul, kui endale, oma tütarettevõtjatele või partneritele rakendatavad hinnad on madalamad, kui ptk</w:t>
      </w:r>
      <w:r w:rsidR="00B64F6F">
        <w:rPr>
          <w:rFonts w:cs="Times New Roman"/>
          <w:b/>
          <w:bCs/>
        </w:rPr>
        <w:t>.</w:t>
      </w:r>
      <w:r w:rsidR="005D2DF6">
        <w:rPr>
          <w:rFonts w:cs="Times New Roman"/>
          <w:b/>
          <w:bCs/>
        </w:rPr>
        <w:t>-s 7.6.4 sätestatud hinnaarvestuse põhised hinnad</w:t>
      </w:r>
      <w:r w:rsidR="00F03958" w:rsidRPr="0090663A">
        <w:rPr>
          <w:b/>
          <w:bCs/>
          <w:lang w:eastAsia="et-EE"/>
        </w:rPr>
        <w:t>.</w:t>
      </w:r>
    </w:p>
    <w:bookmarkEnd w:id="993"/>
    <w:p w14:paraId="0B307B6D" w14:textId="77777777" w:rsidR="00F03958" w:rsidRPr="00883566" w:rsidRDefault="00F03958" w:rsidP="00AA241E">
      <w:pPr>
        <w:spacing w:before="120" w:after="120"/>
        <w:jc w:val="both"/>
        <w:rPr>
          <w:rFonts w:cs="Times New Roman"/>
          <w:b/>
          <w:bCs/>
        </w:rPr>
      </w:pPr>
    </w:p>
    <w:p w14:paraId="5DFBB021" w14:textId="4CABCD54" w:rsidR="00F03958" w:rsidRPr="00471668" w:rsidRDefault="006600B8" w:rsidP="00B64F6F">
      <w:pPr>
        <w:pStyle w:val="Pealkiri5"/>
      </w:pPr>
      <w:r>
        <w:t xml:space="preserve">7.4.10.2 </w:t>
      </w:r>
      <w:r w:rsidR="00F03958" w:rsidRPr="00471668">
        <w:t xml:space="preserve">Sisendite </w:t>
      </w:r>
      <w:r w:rsidR="000F01A7">
        <w:t>või</w:t>
      </w:r>
      <w:r w:rsidR="000F01A7" w:rsidRPr="00471668">
        <w:t xml:space="preserve"> </w:t>
      </w:r>
      <w:r w:rsidR="00F03958" w:rsidRPr="00471668">
        <w:t>väljundite võrdväärsus</w:t>
      </w:r>
    </w:p>
    <w:p w14:paraId="1BA0D049" w14:textId="44F20E75" w:rsidR="00F03958" w:rsidRDefault="00F03958">
      <w:pPr>
        <w:spacing w:before="120" w:after="120"/>
        <w:ind w:left="720"/>
        <w:jc w:val="both"/>
        <w:rPr>
          <w:rFonts w:cs="Times New Roman"/>
          <w:b/>
          <w:bCs/>
        </w:rPr>
      </w:pPr>
      <w:r w:rsidRPr="00C80E1B">
        <w:rPr>
          <w:rFonts w:cs="Times New Roman"/>
          <w:b/>
          <w:bCs/>
        </w:rPr>
        <w:t xml:space="preserve">Telia </w:t>
      </w:r>
      <w:r w:rsidR="000F01A7">
        <w:rPr>
          <w:rFonts w:cs="Times New Roman"/>
          <w:b/>
          <w:bCs/>
        </w:rPr>
        <w:t xml:space="preserve">ei ole kohustatud </w:t>
      </w:r>
      <w:r w:rsidR="0088720E" w:rsidRPr="0090663A">
        <w:rPr>
          <w:b/>
          <w:bCs/>
          <w:lang w:eastAsia="et-EE"/>
        </w:rPr>
        <w:t xml:space="preserve">peatükis 7.3.5 kohustatud </w:t>
      </w:r>
      <w:r w:rsidR="0088720E">
        <w:rPr>
          <w:b/>
          <w:bCs/>
          <w:lang w:eastAsia="et-EE"/>
        </w:rPr>
        <w:t>juurdepääsu</w:t>
      </w:r>
      <w:r w:rsidR="0088720E" w:rsidRPr="0090663A">
        <w:rPr>
          <w:b/>
          <w:bCs/>
          <w:lang w:eastAsia="et-EE"/>
        </w:rPr>
        <w:t xml:space="preserve"> </w:t>
      </w:r>
      <w:r w:rsidR="0088720E">
        <w:rPr>
          <w:b/>
          <w:bCs/>
          <w:lang w:eastAsia="et-EE"/>
        </w:rPr>
        <w:t>korral</w:t>
      </w:r>
      <w:r w:rsidR="0088720E" w:rsidRPr="0090663A">
        <w:rPr>
          <w:b/>
          <w:bCs/>
          <w:lang w:eastAsia="et-EE"/>
        </w:rPr>
        <w:t xml:space="preserve"> </w:t>
      </w:r>
      <w:r w:rsidR="000F01A7">
        <w:rPr>
          <w:rFonts w:cs="Times New Roman"/>
          <w:b/>
          <w:bCs/>
        </w:rPr>
        <w:t xml:space="preserve">rakendama sisendite võrdväärsust, mistõttu </w:t>
      </w:r>
      <w:r w:rsidRPr="00C80E1B">
        <w:rPr>
          <w:rFonts w:cs="Times New Roman"/>
          <w:b/>
          <w:bCs/>
        </w:rPr>
        <w:t>peab</w:t>
      </w:r>
      <w:r w:rsidR="0088720E">
        <w:rPr>
          <w:rFonts w:cs="Times New Roman"/>
          <w:b/>
          <w:bCs/>
        </w:rPr>
        <w:t xml:space="preserve"> Telia</w:t>
      </w:r>
      <w:r w:rsidRPr="00C80E1B">
        <w:rPr>
          <w:rFonts w:cs="Times New Roman"/>
          <w:b/>
          <w:bCs/>
        </w:rPr>
        <w:t xml:space="preserve"> osutama </w:t>
      </w:r>
      <w:r w:rsidR="0088720E">
        <w:rPr>
          <w:rFonts w:cs="Times New Roman"/>
          <w:b/>
          <w:bCs/>
        </w:rPr>
        <w:t>vastavat juurdepääsu</w:t>
      </w:r>
      <w:r w:rsidRPr="00C80E1B">
        <w:rPr>
          <w:rFonts w:cs="Times New Roman"/>
          <w:b/>
          <w:bCs/>
        </w:rPr>
        <w:t xml:space="preserve"> väljundite võrdväärsuse alusel.</w:t>
      </w:r>
    </w:p>
    <w:p w14:paraId="4A1A9CD6" w14:textId="77777777" w:rsidR="006600B8" w:rsidRDefault="006600B8">
      <w:pPr>
        <w:spacing w:before="120" w:after="120"/>
        <w:ind w:left="720"/>
        <w:jc w:val="both"/>
        <w:rPr>
          <w:rFonts w:cs="Times New Roman"/>
          <w:b/>
          <w:bCs/>
        </w:rPr>
      </w:pPr>
    </w:p>
    <w:p w14:paraId="51C32921" w14:textId="1FD6A35C" w:rsidR="006600B8" w:rsidRDefault="006600B8" w:rsidP="006600B8">
      <w:pPr>
        <w:ind w:firstLine="720"/>
        <w:jc w:val="both"/>
        <w:rPr>
          <w:rFonts w:cs="Times New Roman"/>
          <w:b/>
          <w:bCs/>
        </w:rPr>
      </w:pPr>
      <w:r>
        <w:rPr>
          <w:rFonts w:cs="Times New Roman"/>
        </w:rPr>
        <w:t>Täiendavaid selgitused eeltoodud kohustuse osas on ptk.-s 7.4.4.</w:t>
      </w:r>
    </w:p>
    <w:p w14:paraId="4F1BA856" w14:textId="77777777" w:rsidR="006600B8" w:rsidRPr="00C80E1B" w:rsidRDefault="006600B8" w:rsidP="00B64F6F">
      <w:pPr>
        <w:spacing w:before="120" w:after="120"/>
        <w:ind w:left="720"/>
        <w:jc w:val="both"/>
        <w:rPr>
          <w:rFonts w:cs="Times New Roman"/>
          <w:b/>
          <w:bCs/>
        </w:rPr>
      </w:pPr>
    </w:p>
    <w:p w14:paraId="03634263" w14:textId="77777777" w:rsidR="00F03958" w:rsidRPr="00883566" w:rsidRDefault="00F03958" w:rsidP="00AA241E">
      <w:pPr>
        <w:spacing w:before="120" w:after="120"/>
        <w:jc w:val="both"/>
        <w:rPr>
          <w:rFonts w:cs="Times New Roman"/>
          <w:b/>
          <w:bCs/>
          <w:i/>
          <w:iCs/>
        </w:rPr>
      </w:pPr>
    </w:p>
    <w:p w14:paraId="11F6767B" w14:textId="75465B53" w:rsidR="00F03958" w:rsidRDefault="006600B8" w:rsidP="006600B8">
      <w:pPr>
        <w:pStyle w:val="Pealkiri5"/>
      </w:pPr>
      <w:r>
        <w:t xml:space="preserve">7.4.10.3 </w:t>
      </w:r>
      <w:r w:rsidR="00F03958" w:rsidRPr="00B64F6F">
        <w:t>Tulemusnäitajad, teenustaseme kokkulepped ja garantiid</w:t>
      </w:r>
    </w:p>
    <w:p w14:paraId="27B82880" w14:textId="77777777" w:rsidR="006600B8" w:rsidRPr="00B64F6F" w:rsidRDefault="006600B8" w:rsidP="00B64F6F"/>
    <w:p w14:paraId="372C0E19" w14:textId="77777777" w:rsidR="00F03958" w:rsidRPr="00C80E1B" w:rsidRDefault="00F03958" w:rsidP="000C4285">
      <w:pPr>
        <w:spacing w:before="120" w:after="120"/>
        <w:ind w:left="720"/>
        <w:jc w:val="both"/>
        <w:rPr>
          <w:rFonts w:cs="Times New Roman"/>
          <w:b/>
          <w:bCs/>
        </w:rPr>
      </w:pPr>
      <w:r w:rsidRPr="00C80E1B">
        <w:rPr>
          <w:rFonts w:cs="Times New Roman"/>
          <w:b/>
          <w:bCs/>
        </w:rPr>
        <w:t>a) Telia peab vähemalt üks (1) kord kalendriaastas avaldama TTJA-</w:t>
      </w:r>
      <w:proofErr w:type="spellStart"/>
      <w:r w:rsidRPr="00C80E1B">
        <w:rPr>
          <w:rFonts w:cs="Times New Roman"/>
          <w:b/>
          <w:bCs/>
        </w:rPr>
        <w:t>le</w:t>
      </w:r>
      <w:proofErr w:type="spellEnd"/>
      <w:r w:rsidRPr="00C80E1B">
        <w:rPr>
          <w:rFonts w:cs="Times New Roman"/>
          <w:b/>
          <w:bCs/>
        </w:rPr>
        <w:t xml:space="preserve"> ja Telia hulgituru 1 teenuseid kasutavatele teistele sideettevõtjatele tagasiside andmiseks oma hulgituru 1 teenuste osutamise põhilised tulemusnäitajad ja nendest lähtuvad teenustaseme kokkulepped ning garantiid, lähtudes võimalikult suurel määral EK 2024 kohustuste soovituse vastavatest nõuetest. Samuti peab Telia avaldama ka tulemusnäitajate kogumise meetodi.</w:t>
      </w:r>
    </w:p>
    <w:p w14:paraId="30259E83" w14:textId="044D7C3E" w:rsidR="00F03958" w:rsidRPr="00C80E1B" w:rsidRDefault="00F03958" w:rsidP="000C4285">
      <w:pPr>
        <w:spacing w:before="120" w:after="120"/>
        <w:ind w:left="720"/>
        <w:jc w:val="both"/>
        <w:rPr>
          <w:rFonts w:cs="Times New Roman"/>
          <w:b/>
          <w:bCs/>
        </w:rPr>
      </w:pPr>
      <w:r w:rsidRPr="00C80E1B">
        <w:rPr>
          <w:rFonts w:cs="Times New Roman"/>
          <w:b/>
          <w:bCs/>
        </w:rPr>
        <w:t>b) TTJA-l ja teistel sideettevõtjatel peab olema võimalus anda Teliale tagasisidet vähemalt  kakskümmend (20) tööpäeva Telia poolt eeltoodud punktis a nimetatud teabe avaldamisest.</w:t>
      </w:r>
    </w:p>
    <w:p w14:paraId="2E3EE1BB" w14:textId="2BA41923" w:rsidR="00F03958" w:rsidRPr="00C80E1B" w:rsidRDefault="00F03958" w:rsidP="000C4285">
      <w:pPr>
        <w:spacing w:before="120" w:after="120"/>
        <w:ind w:left="720"/>
        <w:jc w:val="both"/>
        <w:rPr>
          <w:rFonts w:cs="Times New Roman"/>
          <w:b/>
          <w:bCs/>
        </w:rPr>
      </w:pPr>
      <w:r w:rsidRPr="00C80E1B">
        <w:rPr>
          <w:rFonts w:cs="Times New Roman"/>
          <w:b/>
          <w:bCs/>
        </w:rPr>
        <w:t xml:space="preserve">c) Saadud tagasisidet võimalikult suurel määral arvesse võttes peab Telia rakendama vastavate tulemusnäitajate alusel koostatud teenustaseme kokkulepped ja garantiid juba sõlmitud hulgituru 1 teenuste lepingutes ja vastavas näidispakkumises hiljemalt kuuekümne (60) tööpäeva pärast Telia poolt eeltoodud punktis a nimetatud teabe avaldamist. </w:t>
      </w:r>
    </w:p>
    <w:p w14:paraId="49B933F3" w14:textId="32F690E1" w:rsidR="006600B8" w:rsidRPr="00C80E1B" w:rsidRDefault="00F03958" w:rsidP="000C4285">
      <w:pPr>
        <w:spacing w:before="120" w:after="120"/>
        <w:ind w:left="720"/>
        <w:jc w:val="both"/>
        <w:rPr>
          <w:rFonts w:cs="Times New Roman"/>
          <w:b/>
          <w:bCs/>
        </w:rPr>
      </w:pPr>
      <w:r w:rsidRPr="00C80E1B">
        <w:rPr>
          <w:rFonts w:cs="Times New Roman"/>
          <w:b/>
          <w:bCs/>
        </w:rPr>
        <w:t>d) Esmakordselt peab Telia eeltoodud punktis a nimetatud teabe avaldama hiljemalt</w:t>
      </w:r>
      <w:r w:rsidR="00B20A02" w:rsidRPr="00C80E1B">
        <w:rPr>
          <w:rFonts w:cs="Times New Roman"/>
          <w:b/>
          <w:bCs/>
        </w:rPr>
        <w:t xml:space="preserve"> </w:t>
      </w:r>
      <w:r w:rsidR="008C159A">
        <w:rPr>
          <w:rFonts w:cs="Times New Roman"/>
          <w:b/>
          <w:bCs/>
        </w:rPr>
        <w:t>ptk.-</w:t>
      </w:r>
      <w:r w:rsidR="00B20A02" w:rsidRPr="00C80E1B">
        <w:rPr>
          <w:rFonts w:cs="Times New Roman"/>
          <w:b/>
          <w:bCs/>
        </w:rPr>
        <w:t>s 7.7 sätestatud tähtajal</w:t>
      </w:r>
      <w:r w:rsidRPr="00C80E1B">
        <w:rPr>
          <w:rFonts w:cs="Times New Roman"/>
          <w:b/>
          <w:bCs/>
        </w:rPr>
        <w:t>.</w:t>
      </w:r>
    </w:p>
    <w:p w14:paraId="21CD69CE" w14:textId="77777777" w:rsidR="00F03958" w:rsidRPr="00883566" w:rsidRDefault="00F03958" w:rsidP="00AA241E">
      <w:pPr>
        <w:spacing w:before="120" w:after="120"/>
        <w:ind w:left="720"/>
        <w:jc w:val="both"/>
        <w:rPr>
          <w:rFonts w:cs="Times New Roman"/>
          <w:b/>
          <w:bCs/>
          <w:i/>
          <w:iCs/>
        </w:rPr>
      </w:pPr>
    </w:p>
    <w:p w14:paraId="6060D38F" w14:textId="05459B7F" w:rsidR="00F03958" w:rsidRDefault="00B64F6F" w:rsidP="00B64F6F">
      <w:pPr>
        <w:pStyle w:val="Pealkiri5"/>
      </w:pPr>
      <w:r>
        <w:t xml:space="preserve">7.4.10.4 </w:t>
      </w:r>
      <w:r w:rsidR="00F03958" w:rsidRPr="00B64F6F">
        <w:t>Uute jaemüügipakkumiste tehnilise jäljendatavuse test</w:t>
      </w:r>
    </w:p>
    <w:p w14:paraId="113419ED" w14:textId="77777777" w:rsidR="00B64F6F" w:rsidRPr="00B64F6F" w:rsidRDefault="00B64F6F" w:rsidP="00B64F6F"/>
    <w:p w14:paraId="7DA0F8FA" w14:textId="1E8A674A" w:rsidR="00F03958" w:rsidRPr="00471668" w:rsidRDefault="00F03958" w:rsidP="000C4285">
      <w:pPr>
        <w:spacing w:before="120" w:after="120"/>
        <w:ind w:left="720"/>
        <w:jc w:val="both"/>
        <w:rPr>
          <w:rFonts w:cs="Times New Roman"/>
          <w:b/>
          <w:bCs/>
        </w:rPr>
      </w:pPr>
      <w:r w:rsidRPr="00471668">
        <w:rPr>
          <w:rFonts w:cs="Times New Roman"/>
          <w:b/>
          <w:bCs/>
        </w:rPr>
        <w:t>a) Telia on kohustatud uute</w:t>
      </w:r>
      <w:r w:rsidR="00C71E3A">
        <w:rPr>
          <w:rFonts w:cs="Times New Roman"/>
          <w:b/>
          <w:bCs/>
        </w:rPr>
        <w:t>,</w:t>
      </w:r>
      <w:r w:rsidRPr="00471668">
        <w:rPr>
          <w:rFonts w:cs="Times New Roman"/>
          <w:b/>
          <w:bCs/>
        </w:rPr>
        <w:t xml:space="preserve"> standardsete ja masstootena käsitletavate internetiühendusi sisaldavate jaemüügipakkumiste osas läbi viima vastava jaemüügipakkumise tehnilise jäljendatavuse testi, mis teeb kindlaks, kas olemasolevad või uued Telia hulgituru 1 teenused võimaldavad teistel sideettevõtjatel tehniliselt jäljendada vastavas uues jaemüügipakkumises sisaldava internetiühenduse pakkumist jaetasandil.</w:t>
      </w:r>
    </w:p>
    <w:p w14:paraId="237C7B78" w14:textId="0FD3251F" w:rsidR="00F03958" w:rsidRPr="00471668" w:rsidRDefault="00F03958" w:rsidP="000C4285">
      <w:pPr>
        <w:spacing w:before="120" w:after="120"/>
        <w:ind w:left="720"/>
        <w:jc w:val="both"/>
        <w:rPr>
          <w:rFonts w:cs="Times New Roman"/>
          <w:b/>
          <w:bCs/>
        </w:rPr>
      </w:pPr>
      <w:r w:rsidRPr="00471668">
        <w:rPr>
          <w:rFonts w:cs="Times New Roman"/>
          <w:b/>
          <w:bCs/>
        </w:rPr>
        <w:t>b) Telia peab vähemalt kakskümmend (20) tööpäeva enne eeltoodud punktis a nimetatud jaemüügipakkumiste rakendamist esitama TTJA-</w:t>
      </w:r>
      <w:proofErr w:type="spellStart"/>
      <w:r w:rsidRPr="00471668">
        <w:rPr>
          <w:rFonts w:cs="Times New Roman"/>
          <w:b/>
          <w:bCs/>
        </w:rPr>
        <w:t>le</w:t>
      </w:r>
      <w:proofErr w:type="spellEnd"/>
      <w:r w:rsidRPr="00471668">
        <w:rPr>
          <w:rFonts w:cs="Times New Roman"/>
          <w:b/>
          <w:bCs/>
        </w:rPr>
        <w:t xml:space="preserve"> vastava tehnilise jäljendatavuse testi tulemused,</w:t>
      </w:r>
      <w:r w:rsidR="00C82B75" w:rsidRPr="00471668">
        <w:rPr>
          <w:rFonts w:cs="Times New Roman"/>
          <w:b/>
          <w:bCs/>
        </w:rPr>
        <w:t xml:space="preserve"> lähtudes võimalikult suurel määral EK 2024 kohustuste soovituse vastavatest selgitustest,</w:t>
      </w:r>
      <w:r w:rsidRPr="00471668">
        <w:rPr>
          <w:rFonts w:cs="Times New Roman"/>
          <w:b/>
          <w:bCs/>
        </w:rPr>
        <w:t xml:space="preserve"> sealhulgas kogu vajaliku teabe selle tõendamiseks, et vastava jaemüügipakkumise tehniline jäljendatavus on Telia olemasolevate või uute hulgituru 1 teenuste poolt täielikult tagatud.</w:t>
      </w:r>
    </w:p>
    <w:p w14:paraId="79996CC1" w14:textId="77777777" w:rsidR="00F03958" w:rsidRPr="00471668" w:rsidRDefault="00F03958" w:rsidP="000C4285">
      <w:pPr>
        <w:spacing w:before="120" w:after="120"/>
        <w:ind w:left="720"/>
        <w:jc w:val="both"/>
        <w:rPr>
          <w:rFonts w:cs="Times New Roman"/>
          <w:b/>
          <w:bCs/>
        </w:rPr>
      </w:pPr>
      <w:r w:rsidRPr="00471668">
        <w:rPr>
          <w:rFonts w:cs="Times New Roman"/>
          <w:b/>
          <w:bCs/>
        </w:rPr>
        <w:t xml:space="preserve">c) TTJA hindab eeltoodud punktis b nimetatud testi tulemusi ning vajadusel teeb ettekirjutuse, et Telia muudaks asjaomaseid hulgituru 1 teenuseid nii, et uue </w:t>
      </w:r>
      <w:r w:rsidRPr="00471668">
        <w:rPr>
          <w:rFonts w:cs="Times New Roman"/>
          <w:b/>
          <w:bCs/>
        </w:rPr>
        <w:lastRenderedPageBreak/>
        <w:t>jaemüügipakkumise tehniline jäljendatavus oleks tagatud ja/või MTE lõpetaks või peataks asjaomase jaemüügipakkumise, kuni tehnilise jäljendatavus on tagatud.</w:t>
      </w:r>
    </w:p>
    <w:p w14:paraId="0DEE10DE" w14:textId="77777777" w:rsidR="00F03958" w:rsidRDefault="00F03958" w:rsidP="00AA241E">
      <w:pPr>
        <w:spacing w:before="120" w:after="120"/>
        <w:ind w:left="720"/>
        <w:jc w:val="both"/>
        <w:rPr>
          <w:rFonts w:cs="Times New Roman"/>
        </w:rPr>
      </w:pPr>
    </w:p>
    <w:p w14:paraId="34232EF1" w14:textId="27905CD2" w:rsidR="00B64F6F" w:rsidRDefault="00B64F6F" w:rsidP="00B64F6F">
      <w:pPr>
        <w:ind w:firstLine="720"/>
        <w:jc w:val="both"/>
        <w:rPr>
          <w:rFonts w:cs="Times New Roman"/>
          <w:b/>
          <w:bCs/>
        </w:rPr>
      </w:pPr>
      <w:r>
        <w:rPr>
          <w:rFonts w:cs="Times New Roman"/>
        </w:rPr>
        <w:t>Täiendavaid selgitused eeltoodud kohustuse osas on ptk.-s 7.4.6.</w:t>
      </w:r>
    </w:p>
    <w:p w14:paraId="7C712657" w14:textId="77777777" w:rsidR="00B64F6F" w:rsidRPr="00B64F6F" w:rsidRDefault="00B64F6F" w:rsidP="00AA241E">
      <w:pPr>
        <w:spacing w:before="120" w:after="120"/>
        <w:ind w:left="720"/>
        <w:jc w:val="both"/>
        <w:rPr>
          <w:rFonts w:cs="Times New Roman"/>
        </w:rPr>
      </w:pPr>
    </w:p>
    <w:p w14:paraId="2AF4839E" w14:textId="77777777" w:rsidR="00B64F6F" w:rsidRPr="00883566" w:rsidRDefault="00B64F6F" w:rsidP="00AA241E">
      <w:pPr>
        <w:spacing w:before="120" w:after="120"/>
        <w:ind w:left="720"/>
        <w:jc w:val="both"/>
        <w:rPr>
          <w:rFonts w:cs="Times New Roman"/>
          <w:b/>
          <w:bCs/>
          <w:i/>
          <w:iCs/>
        </w:rPr>
      </w:pPr>
    </w:p>
    <w:p w14:paraId="0109C5BB" w14:textId="31EFD6A1" w:rsidR="00F03958" w:rsidRPr="00B64F6F" w:rsidRDefault="00B64F6F" w:rsidP="00B64F6F">
      <w:pPr>
        <w:pStyle w:val="Pealkiri5"/>
      </w:pPr>
      <w:r>
        <w:t xml:space="preserve">7.4.10.5 </w:t>
      </w:r>
      <w:r w:rsidR="00F03958" w:rsidRPr="00B64F6F">
        <w:t>Teabe asümmeetria</w:t>
      </w:r>
    </w:p>
    <w:p w14:paraId="1F5E6532" w14:textId="77777777" w:rsidR="00B64F6F" w:rsidRDefault="00B64F6F" w:rsidP="000C4285">
      <w:pPr>
        <w:spacing w:before="120" w:after="120"/>
        <w:ind w:left="720"/>
        <w:jc w:val="both"/>
        <w:rPr>
          <w:rFonts w:cs="Times New Roman"/>
          <w:b/>
          <w:bCs/>
        </w:rPr>
      </w:pPr>
    </w:p>
    <w:p w14:paraId="6EF3496F" w14:textId="457E7514" w:rsidR="00F03958" w:rsidRPr="00471668" w:rsidRDefault="00F03958" w:rsidP="000C4285">
      <w:pPr>
        <w:spacing w:before="120" w:after="120"/>
        <w:ind w:left="720"/>
        <w:jc w:val="both"/>
        <w:rPr>
          <w:rFonts w:cs="Times New Roman"/>
          <w:b/>
          <w:bCs/>
        </w:rPr>
      </w:pPr>
      <w:r w:rsidRPr="00471668">
        <w:rPr>
          <w:rFonts w:cs="Times New Roman"/>
          <w:b/>
          <w:bCs/>
        </w:rPr>
        <w:t>Telia peab igal kalendriaastal ühe korra esitama TTJA-</w:t>
      </w:r>
      <w:proofErr w:type="spellStart"/>
      <w:r w:rsidRPr="00471668">
        <w:rPr>
          <w:rFonts w:cs="Times New Roman"/>
          <w:b/>
          <w:bCs/>
        </w:rPr>
        <w:t>le</w:t>
      </w:r>
      <w:proofErr w:type="spellEnd"/>
      <w:r w:rsidRPr="00471668">
        <w:rPr>
          <w:rFonts w:cs="Times New Roman"/>
          <w:b/>
          <w:bCs/>
        </w:rPr>
        <w:t xml:space="preserve"> aruande, milles kirjeldatakse: </w:t>
      </w:r>
    </w:p>
    <w:p w14:paraId="06551181" w14:textId="77777777" w:rsidR="00F03958" w:rsidRPr="00471668" w:rsidRDefault="00F03958" w:rsidP="000C4285">
      <w:pPr>
        <w:spacing w:before="120" w:after="120"/>
        <w:ind w:left="720"/>
        <w:jc w:val="both"/>
        <w:rPr>
          <w:rFonts w:cs="Times New Roman"/>
          <w:b/>
          <w:bCs/>
        </w:rPr>
      </w:pPr>
      <w:r w:rsidRPr="00471668">
        <w:rPr>
          <w:rFonts w:cs="Times New Roman"/>
          <w:b/>
          <w:bCs/>
        </w:rPr>
        <w:t>a) meetmeid, millega tagatakse, et Telia hulgi- ja jaemüüki korraldavad ettevõttesised üksused või asjaomased partnerid ei jaga omavahel tundlikku teavet, mis võiks anda MTE-</w:t>
      </w:r>
      <w:proofErr w:type="spellStart"/>
      <w:r w:rsidRPr="00471668">
        <w:rPr>
          <w:rFonts w:cs="Times New Roman"/>
          <w:b/>
          <w:bCs/>
        </w:rPr>
        <w:t>le</w:t>
      </w:r>
      <w:proofErr w:type="spellEnd"/>
      <w:r w:rsidRPr="00471668">
        <w:rPr>
          <w:rFonts w:cs="Times New Roman"/>
          <w:b/>
          <w:bCs/>
        </w:rPr>
        <w:t xml:space="preserve"> konkurentsieelise jaeteenuste osutamisel; </w:t>
      </w:r>
    </w:p>
    <w:p w14:paraId="088D295B" w14:textId="77777777" w:rsidR="00F03958" w:rsidRPr="00471668" w:rsidRDefault="00F03958" w:rsidP="000C4285">
      <w:pPr>
        <w:spacing w:before="120" w:after="120"/>
        <w:ind w:left="720"/>
        <w:jc w:val="both"/>
        <w:rPr>
          <w:rFonts w:cs="Times New Roman"/>
          <w:b/>
          <w:bCs/>
        </w:rPr>
      </w:pPr>
      <w:r w:rsidRPr="00471668">
        <w:rPr>
          <w:rFonts w:cs="Times New Roman"/>
          <w:b/>
          <w:bCs/>
        </w:rPr>
        <w:t>b) meetmeid, millega tagatakse, et MTE jaemüügiga tegelevad töötajad ei osale MTE sellistes struktuurides, mis kas otseselt või kaudselt vastutavad hulgimüügisisenditele juurdepääsu haldamise eest;</w:t>
      </w:r>
    </w:p>
    <w:p w14:paraId="2A7830F9" w14:textId="68E4D880" w:rsidR="00F03958" w:rsidRPr="00471668" w:rsidRDefault="00F03958" w:rsidP="000C4285">
      <w:pPr>
        <w:spacing w:before="120" w:after="120"/>
        <w:ind w:left="720"/>
        <w:jc w:val="both"/>
        <w:rPr>
          <w:rFonts w:cs="Times New Roman"/>
          <w:b/>
          <w:bCs/>
        </w:rPr>
      </w:pPr>
      <w:r w:rsidRPr="00471668">
        <w:rPr>
          <w:rFonts w:cs="Times New Roman"/>
          <w:b/>
          <w:bCs/>
        </w:rPr>
        <w:t>c) kõiki väidetavaid ESS § 64 lõike 2 punkti 3 täitmise rikkumisi ning sellega seoses rakendatud parandusmeetmeid rikkumiste lõpetamiseks ja edaspidiseks vältimiseks</w:t>
      </w:r>
      <w:r w:rsidR="00252401">
        <w:rPr>
          <w:rFonts w:cs="Times New Roman"/>
          <w:b/>
          <w:bCs/>
        </w:rPr>
        <w:t>;</w:t>
      </w:r>
    </w:p>
    <w:p w14:paraId="5FFB7AAD" w14:textId="2E91F4CA" w:rsidR="00F03958" w:rsidRPr="00471668" w:rsidRDefault="00F03958" w:rsidP="000C4285">
      <w:pPr>
        <w:spacing w:before="120" w:after="120"/>
        <w:ind w:left="720"/>
        <w:jc w:val="both"/>
        <w:rPr>
          <w:rFonts w:cs="Times New Roman"/>
          <w:b/>
          <w:bCs/>
        </w:rPr>
      </w:pPr>
      <w:r w:rsidRPr="00471668">
        <w:rPr>
          <w:rFonts w:cs="Times New Roman"/>
          <w:b/>
          <w:bCs/>
        </w:rPr>
        <w:t>d) esmakordselt peab Telia eeltoodud punktides a - c nimetatud teabe esitama TTJA-</w:t>
      </w:r>
      <w:proofErr w:type="spellStart"/>
      <w:r w:rsidRPr="00471668">
        <w:rPr>
          <w:rFonts w:cs="Times New Roman"/>
          <w:b/>
          <w:bCs/>
        </w:rPr>
        <w:t>le</w:t>
      </w:r>
      <w:proofErr w:type="spellEnd"/>
      <w:r w:rsidRPr="00471668">
        <w:rPr>
          <w:rFonts w:cs="Times New Roman"/>
          <w:b/>
          <w:bCs/>
        </w:rPr>
        <w:t xml:space="preserve"> hiljemalt kaheksakümmend (80) tööpäeva pärast käesoleva otsuse kehtestamist.</w:t>
      </w:r>
    </w:p>
    <w:p w14:paraId="4D9E1DDB" w14:textId="77777777" w:rsidR="00F03958" w:rsidRDefault="00F03958" w:rsidP="00AA241E">
      <w:pPr>
        <w:jc w:val="both"/>
      </w:pPr>
    </w:p>
    <w:p w14:paraId="5A08B2E4" w14:textId="4F1883AC" w:rsidR="00B64F6F" w:rsidRDefault="00B64F6F" w:rsidP="00B64F6F">
      <w:pPr>
        <w:ind w:firstLine="720"/>
        <w:jc w:val="both"/>
        <w:rPr>
          <w:rFonts w:cs="Times New Roman"/>
          <w:b/>
          <w:bCs/>
        </w:rPr>
      </w:pPr>
      <w:r>
        <w:rPr>
          <w:rFonts w:cs="Times New Roman"/>
        </w:rPr>
        <w:t>Täiendavaid selgitused eeltoodud kohustuse osas on ptk.-s 7.4.7.</w:t>
      </w:r>
    </w:p>
    <w:p w14:paraId="0723292B" w14:textId="1AC3A8C0" w:rsidR="00B64F6F" w:rsidRDefault="00B64F6F" w:rsidP="00AA241E">
      <w:pPr>
        <w:jc w:val="both"/>
      </w:pPr>
    </w:p>
    <w:p w14:paraId="4E4E4520" w14:textId="77777777" w:rsidR="00B64F6F" w:rsidRPr="00883566" w:rsidRDefault="00B64F6F" w:rsidP="00AA241E">
      <w:pPr>
        <w:jc w:val="both"/>
      </w:pPr>
    </w:p>
    <w:p w14:paraId="45EC40B0" w14:textId="7F14E548" w:rsidR="00F03958" w:rsidRPr="00883566" w:rsidRDefault="00F03958" w:rsidP="00AA241E">
      <w:pPr>
        <w:pStyle w:val="Pealkiri2"/>
        <w:jc w:val="both"/>
      </w:pPr>
      <w:bookmarkStart w:id="994" w:name="_Toc174710842"/>
      <w:r w:rsidRPr="00883566">
        <w:t>Läbipaistvuskohustused</w:t>
      </w:r>
      <w:bookmarkEnd w:id="994"/>
    </w:p>
    <w:p w14:paraId="137A6985" w14:textId="77777777" w:rsidR="00F03958" w:rsidRPr="00883566" w:rsidRDefault="00F03958" w:rsidP="00AA241E">
      <w:pPr>
        <w:spacing w:before="120" w:after="120"/>
        <w:jc w:val="both"/>
        <w:rPr>
          <w:rFonts w:cs="Times New Roman"/>
          <w:lang w:eastAsia="et-EE"/>
        </w:rPr>
      </w:pPr>
    </w:p>
    <w:p w14:paraId="5A2ED507" w14:textId="79D780D5" w:rsidR="00F03958" w:rsidRPr="00883566" w:rsidRDefault="00F03958" w:rsidP="00AA241E">
      <w:pPr>
        <w:spacing w:line="259" w:lineRule="auto"/>
        <w:jc w:val="both"/>
        <w:rPr>
          <w:rFonts w:cs="Times New Roman"/>
          <w:lang w:eastAsia="en-US"/>
        </w:rPr>
      </w:pPr>
      <w:r w:rsidRPr="00883566">
        <w:rPr>
          <w:rFonts w:cs="Times New Roman"/>
        </w:rPr>
        <w:t xml:space="preserve">Käesoleva otsuse koostamise ajal kehtivad Telia hulgituru 1 teenustele läbipaistvuskohustused TTJA 2017 hulgituru 1 otsuse alusel. Lähtudes käesoleva otsuse </w:t>
      </w:r>
      <w:r w:rsidR="008C159A">
        <w:rPr>
          <w:rFonts w:cs="Times New Roman"/>
        </w:rPr>
        <w:t>ptk.-</w:t>
      </w:r>
      <w:r w:rsidRPr="00883566">
        <w:rPr>
          <w:rFonts w:cs="Times New Roman"/>
        </w:rPr>
        <w:t xml:space="preserve">st </w:t>
      </w:r>
      <w:r w:rsidR="006E207C">
        <w:rPr>
          <w:rFonts w:cs="Times New Roman"/>
        </w:rPr>
        <w:t>7</w:t>
      </w:r>
      <w:r w:rsidR="0085248C">
        <w:rPr>
          <w:rFonts w:cs="Times New Roman"/>
        </w:rPr>
        <w:t>.1.2</w:t>
      </w:r>
      <w:r w:rsidRPr="00883566">
        <w:rPr>
          <w:rFonts w:cs="Times New Roman"/>
        </w:rPr>
        <w:t xml:space="preserve"> tunnistatakse TTJA 2017 hulgituru 1 otsus ja selles kehtestatud kohustused kehtetuks. Käesolevas otsuses kehtestatavad kohustused on suunatud Telia </w:t>
      </w:r>
      <w:r w:rsidR="00A3232C">
        <w:rPr>
          <w:rFonts w:cs="Times New Roman"/>
        </w:rPr>
        <w:t>valguskaabelvõrgu</w:t>
      </w:r>
      <w:r w:rsidRPr="00883566">
        <w:rPr>
          <w:rFonts w:cs="Times New Roman"/>
        </w:rPr>
        <w:t xml:space="preserve">s kliendiliinile juurdepääsu </w:t>
      </w:r>
      <w:r w:rsidR="004006B4">
        <w:rPr>
          <w:rFonts w:cs="Times New Roman"/>
        </w:rPr>
        <w:t>hulgi</w:t>
      </w:r>
      <w:r w:rsidR="004A518B">
        <w:rPr>
          <w:rFonts w:cs="Times New Roman"/>
        </w:rPr>
        <w:t>teenustele</w:t>
      </w:r>
      <w:r w:rsidRPr="00883566">
        <w:rPr>
          <w:rFonts w:cs="Times New Roman"/>
        </w:rPr>
        <w:t xml:space="preserve"> piirkonnas B. Järgnevalt analüüsitakse ja tuvastatakse konkurentsiprobleemide vältimiseks ja konkurentsi edendamiseks asjakohaste kohustused võttes arvesse TTJA 2017 hulgituru 1 otsuses sätestatud kohustusi, uut EK 2024 kohustuste soovitust ning TTJA 2021 </w:t>
      </w:r>
      <w:r w:rsidRPr="00883566">
        <w:rPr>
          <w:rFonts w:cs="Times New Roman"/>
        </w:rPr>
        <w:lastRenderedPageBreak/>
        <w:t>hulgituru 1 otsuse eelnõus ja TTJA 2023 hulgituru 1 otsuse eelnõus kajastatud sideettevõtjate arvamusi võimalike konkurentsiprobleemide osas. TTJA hinnangul on kohustuste järjepidevuse tagamiseks mõistlik ja proportsionaalne lähtuda TTJA 2017 hulgituru 1 otsuses sätestatud kohustustest neid vajadusel muutes ja/või täiendades.</w:t>
      </w:r>
    </w:p>
    <w:p w14:paraId="51AF52D8" w14:textId="054CF255" w:rsidR="00F03958" w:rsidRPr="00883566" w:rsidRDefault="00F03958" w:rsidP="00AA241E">
      <w:pPr>
        <w:spacing w:line="259" w:lineRule="auto"/>
        <w:jc w:val="both"/>
        <w:rPr>
          <w:rFonts w:cs="Times New Roman"/>
          <w:lang w:eastAsia="en-US"/>
        </w:rPr>
      </w:pPr>
      <w:r w:rsidRPr="00883566">
        <w:rPr>
          <w:rFonts w:cs="Times New Roman"/>
        </w:rPr>
        <w:t xml:space="preserve">Täpsemalt kehtivad Teliale käesoleva otsuse koostamise ajal TTJA 2017 hulgituru 1 otsuse lisa 1 </w:t>
      </w:r>
      <w:r w:rsidR="008C159A">
        <w:rPr>
          <w:rFonts w:cs="Times New Roman"/>
        </w:rPr>
        <w:t xml:space="preserve">ptk. </w:t>
      </w:r>
      <w:r w:rsidRPr="00883566">
        <w:rPr>
          <w:rFonts w:cs="Times New Roman"/>
        </w:rPr>
        <w:t>6.4.4 alusel järgmised läbipaistvuskohustused:</w:t>
      </w:r>
    </w:p>
    <w:p w14:paraId="4E0A187C" w14:textId="77777777" w:rsidR="00F03958" w:rsidRPr="00883566" w:rsidRDefault="00F03958" w:rsidP="00AA241E">
      <w:pPr>
        <w:spacing w:before="120" w:after="120"/>
        <w:jc w:val="both"/>
        <w:rPr>
          <w:rFonts w:cs="Times New Roman"/>
          <w:i/>
          <w:iCs/>
        </w:rPr>
      </w:pPr>
    </w:p>
    <w:p w14:paraId="745A3C16" w14:textId="162088BB" w:rsidR="00F03958" w:rsidRPr="00883566" w:rsidRDefault="00F03958" w:rsidP="00AA241E">
      <w:pPr>
        <w:autoSpaceDE w:val="0"/>
        <w:autoSpaceDN w:val="0"/>
        <w:adjustRightInd w:val="0"/>
        <w:spacing w:before="120" w:after="120" w:line="240" w:lineRule="auto"/>
        <w:ind w:left="360"/>
        <w:jc w:val="both"/>
        <w:rPr>
          <w:i/>
          <w:iCs/>
          <w:lang w:eastAsia="et-EE"/>
        </w:rPr>
      </w:pPr>
      <w:r w:rsidRPr="00883566">
        <w:rPr>
          <w:i/>
          <w:iCs/>
          <w:lang w:eastAsia="et-EE"/>
        </w:rPr>
        <w:t xml:space="preserve">287. TJA otsustab kohustada Teliat kindlaksmääratud asukohas kohaliku juurdepääsu hulgiturul otsuse peatükkides </w:t>
      </w:r>
      <w:r w:rsidRPr="00883566">
        <w:rPr>
          <w:i/>
          <w:iCs/>
          <w:lang w:eastAsia="et-EE"/>
        </w:rPr>
        <w:fldChar w:fldCharType="begin"/>
      </w:r>
      <w:r w:rsidRPr="00883566">
        <w:rPr>
          <w:i/>
          <w:iCs/>
          <w:lang w:eastAsia="et-EE"/>
        </w:rPr>
        <w:instrText xml:space="preserve"> REF _Ref465421593 \h  \* MERGEFORMAT </w:instrText>
      </w:r>
      <w:r w:rsidRPr="00883566">
        <w:rPr>
          <w:i/>
          <w:iCs/>
          <w:lang w:eastAsia="et-EE"/>
        </w:rPr>
      </w:r>
      <w:r w:rsidRPr="00883566">
        <w:rPr>
          <w:i/>
          <w:iCs/>
          <w:lang w:eastAsia="et-EE"/>
        </w:rPr>
        <w:fldChar w:fldCharType="separate"/>
      </w:r>
      <w:r w:rsidRPr="00883566">
        <w:rPr>
          <w:i/>
          <w:iCs/>
        </w:rPr>
        <w:t>6.2.2. Juurdepääsuga seotud konkurentsiprobleemid</w:t>
      </w:r>
      <w:r w:rsidRPr="00883566">
        <w:rPr>
          <w:i/>
          <w:iCs/>
          <w:lang w:eastAsia="et-EE"/>
        </w:rPr>
        <w:fldChar w:fldCharType="end"/>
      </w:r>
      <w:r w:rsidRPr="00883566">
        <w:rPr>
          <w:i/>
          <w:iCs/>
          <w:lang w:eastAsia="et-EE"/>
        </w:rPr>
        <w:t xml:space="preserve">“, </w:t>
      </w:r>
      <w:r w:rsidRPr="00883566">
        <w:rPr>
          <w:i/>
          <w:iCs/>
          <w:lang w:eastAsia="et-EE"/>
        </w:rPr>
        <w:fldChar w:fldCharType="begin"/>
      </w:r>
      <w:r w:rsidRPr="00883566">
        <w:rPr>
          <w:i/>
          <w:iCs/>
          <w:lang w:eastAsia="et-EE"/>
        </w:rPr>
        <w:instrText xml:space="preserve"> REF _Ref465421602 \h  \* MERGEFORMAT </w:instrText>
      </w:r>
      <w:r w:rsidRPr="00883566">
        <w:rPr>
          <w:i/>
          <w:iCs/>
          <w:lang w:eastAsia="et-EE"/>
        </w:rPr>
      </w:r>
      <w:r w:rsidRPr="00883566">
        <w:rPr>
          <w:i/>
          <w:iCs/>
          <w:lang w:eastAsia="et-EE"/>
        </w:rPr>
        <w:fldChar w:fldCharType="separate"/>
      </w:r>
      <w:r w:rsidRPr="00883566">
        <w:rPr>
          <w:i/>
          <w:iCs/>
        </w:rPr>
        <w:t>6.3.2. Diskrimineerimisega seotud konkurentsiprobleemid</w:t>
      </w:r>
      <w:r w:rsidRPr="00883566">
        <w:rPr>
          <w:i/>
          <w:iCs/>
          <w:lang w:eastAsia="et-EE"/>
        </w:rPr>
        <w:fldChar w:fldCharType="end"/>
      </w:r>
      <w:r w:rsidRPr="00883566">
        <w:rPr>
          <w:i/>
          <w:iCs/>
          <w:lang w:eastAsia="et-EE"/>
        </w:rPr>
        <w:t xml:space="preserve">“, </w:t>
      </w:r>
      <w:r w:rsidRPr="00883566">
        <w:rPr>
          <w:i/>
          <w:iCs/>
          <w:lang w:eastAsia="et-EE"/>
        </w:rPr>
        <w:fldChar w:fldCharType="begin"/>
      </w:r>
      <w:r w:rsidRPr="00883566">
        <w:rPr>
          <w:i/>
          <w:iCs/>
          <w:lang w:eastAsia="et-EE"/>
        </w:rPr>
        <w:instrText xml:space="preserve"> REF _Ref465421619 \h  \* MERGEFORMAT </w:instrText>
      </w:r>
      <w:r w:rsidRPr="00883566">
        <w:rPr>
          <w:i/>
          <w:iCs/>
          <w:lang w:eastAsia="et-EE"/>
        </w:rPr>
      </w:r>
      <w:r w:rsidRPr="00883566">
        <w:rPr>
          <w:i/>
          <w:iCs/>
          <w:lang w:eastAsia="et-EE"/>
        </w:rPr>
        <w:fldChar w:fldCharType="separate"/>
      </w:r>
      <w:r w:rsidRPr="00883566">
        <w:rPr>
          <w:i/>
          <w:iCs/>
        </w:rPr>
        <w:t>6.5.2. Hinnaga seotud konkurentsiprobleemid ja hindade analüüs</w:t>
      </w:r>
      <w:r w:rsidRPr="00883566">
        <w:rPr>
          <w:i/>
          <w:iCs/>
          <w:lang w:eastAsia="et-EE"/>
        </w:rPr>
        <w:fldChar w:fldCharType="end"/>
      </w:r>
      <w:r w:rsidRPr="00883566">
        <w:rPr>
          <w:i/>
          <w:iCs/>
          <w:lang w:eastAsia="et-EE"/>
        </w:rPr>
        <w:t>“ nimetatud konkurentsiprobleemide lahendamise ning sideteenuste koostalitusvõime ja läbivühendatavuse toetamiseks ESS alusel:</w:t>
      </w:r>
    </w:p>
    <w:p w14:paraId="44C01F8A" w14:textId="50EB8BBD" w:rsidR="00F03958" w:rsidRPr="00883566" w:rsidRDefault="00F03958" w:rsidP="00AA241E">
      <w:pPr>
        <w:numPr>
          <w:ilvl w:val="0"/>
          <w:numId w:val="47"/>
        </w:numPr>
        <w:autoSpaceDE w:val="0"/>
        <w:autoSpaceDN w:val="0"/>
        <w:adjustRightInd w:val="0"/>
        <w:spacing w:before="120" w:after="120" w:line="240" w:lineRule="auto"/>
        <w:ind w:left="900"/>
        <w:jc w:val="both"/>
        <w:rPr>
          <w:i/>
          <w:iCs/>
          <w:lang w:eastAsia="et-EE"/>
        </w:rPr>
      </w:pPr>
      <w:r w:rsidRPr="00883566">
        <w:rPr>
          <w:i/>
          <w:iCs/>
          <w:lang w:eastAsia="et-EE"/>
        </w:rPr>
        <w:t xml:space="preserve">avaldama TJA nõudmisel otsuse peatükis </w:t>
      </w:r>
      <w:r w:rsidRPr="00883566">
        <w:rPr>
          <w:i/>
          <w:iCs/>
          <w:lang w:eastAsia="et-EE"/>
        </w:rPr>
        <w:fldChar w:fldCharType="begin"/>
      </w:r>
      <w:r w:rsidRPr="00883566">
        <w:rPr>
          <w:i/>
          <w:iCs/>
          <w:lang w:eastAsia="et-EE"/>
        </w:rPr>
        <w:instrText xml:space="preserve"> REF _Ref465421719 \h  \* MERGEFORMAT </w:instrText>
      </w:r>
      <w:r w:rsidRPr="00883566">
        <w:rPr>
          <w:i/>
          <w:iCs/>
          <w:lang w:eastAsia="et-EE"/>
        </w:rPr>
      </w:r>
      <w:r w:rsidRPr="00883566">
        <w:rPr>
          <w:i/>
          <w:iCs/>
          <w:lang w:eastAsia="et-EE"/>
        </w:rPr>
        <w:fldChar w:fldCharType="separate"/>
      </w:r>
      <w:r w:rsidRPr="00883566">
        <w:rPr>
          <w:i/>
          <w:iCs/>
        </w:rPr>
        <w:t>6.2.4. Juurdepääsu kohustuste kehtestamine</w:t>
      </w:r>
      <w:r w:rsidRPr="00883566">
        <w:rPr>
          <w:i/>
          <w:iCs/>
          <w:lang w:eastAsia="et-EE"/>
        </w:rPr>
        <w:fldChar w:fldCharType="end"/>
      </w:r>
      <w:r w:rsidRPr="00883566">
        <w:rPr>
          <w:i/>
          <w:iCs/>
          <w:lang w:eastAsia="et-EE"/>
        </w:rPr>
        <w:t>“  kirjeldatud teenustega seotud andmed kuluarvestuse, tehniliste tingimuste, võrgu omaduste, teenuse osutamise tingimuste ja tasude kohta, välja arvatud juhul, kui vastavad andmed sisalduvad juba näidispakkumises</w:t>
      </w:r>
      <w:r w:rsidRPr="00883566">
        <w:rPr>
          <w:i/>
          <w:iCs/>
          <w:vertAlign w:val="superscript"/>
          <w:lang w:eastAsia="et-EE"/>
        </w:rPr>
        <w:footnoteReference w:id="164"/>
      </w:r>
      <w:r w:rsidRPr="00883566">
        <w:rPr>
          <w:i/>
          <w:iCs/>
          <w:lang w:eastAsia="et-EE"/>
        </w:rPr>
        <w:t>;</w:t>
      </w:r>
    </w:p>
    <w:p w14:paraId="1986BB3D" w14:textId="1BAB2F03" w:rsidR="00F03958" w:rsidRPr="00883566" w:rsidRDefault="00F03958" w:rsidP="00AA241E">
      <w:pPr>
        <w:numPr>
          <w:ilvl w:val="0"/>
          <w:numId w:val="47"/>
        </w:numPr>
        <w:autoSpaceDE w:val="0"/>
        <w:autoSpaceDN w:val="0"/>
        <w:adjustRightInd w:val="0"/>
        <w:spacing w:before="120" w:after="120" w:line="240" w:lineRule="auto"/>
        <w:ind w:left="900"/>
        <w:jc w:val="both"/>
        <w:rPr>
          <w:i/>
          <w:iCs/>
          <w:lang w:eastAsia="et-EE"/>
        </w:rPr>
      </w:pPr>
      <w:r w:rsidRPr="00883566">
        <w:rPr>
          <w:i/>
          <w:iCs/>
          <w:lang w:eastAsia="et-EE"/>
        </w:rPr>
        <w:t xml:space="preserve">avaldama teise sideettevõtja taotluse korral teave peatükis </w:t>
      </w:r>
      <w:r w:rsidRPr="00883566">
        <w:rPr>
          <w:i/>
          <w:iCs/>
          <w:lang w:eastAsia="et-EE"/>
        </w:rPr>
        <w:fldChar w:fldCharType="begin"/>
      </w:r>
      <w:r w:rsidRPr="00883566">
        <w:rPr>
          <w:i/>
          <w:iCs/>
          <w:lang w:eastAsia="et-EE"/>
        </w:rPr>
        <w:instrText xml:space="preserve"> REF _Ref465421762 \h  \* MERGEFORMAT </w:instrText>
      </w:r>
      <w:r w:rsidRPr="00883566">
        <w:rPr>
          <w:i/>
          <w:iCs/>
          <w:lang w:eastAsia="et-EE"/>
        </w:rPr>
      </w:r>
      <w:r w:rsidRPr="00883566">
        <w:rPr>
          <w:i/>
          <w:iCs/>
          <w:lang w:eastAsia="et-EE"/>
        </w:rPr>
        <w:fldChar w:fldCharType="separate"/>
      </w:r>
      <w:r w:rsidRPr="00883566">
        <w:rPr>
          <w:i/>
          <w:iCs/>
        </w:rPr>
        <w:t>6.2.4. Juurdepääsu kohustuste kehtestamine</w:t>
      </w:r>
      <w:r w:rsidRPr="00883566">
        <w:rPr>
          <w:i/>
          <w:iCs/>
          <w:lang w:eastAsia="et-EE"/>
        </w:rPr>
        <w:fldChar w:fldCharType="end"/>
      </w:r>
      <w:r w:rsidRPr="00883566">
        <w:rPr>
          <w:i/>
          <w:iCs/>
          <w:lang w:eastAsia="et-EE"/>
        </w:rPr>
        <w:t>“ kirjeldatud teenuste tehniliste tingimuste kohta esimese mõistlikult teostatava tähtaja jooksul ja mitte pikema tähtaja jooksul kui Telia avaldab vastavat teavet enda allüksustele, sealhulgas määratlema nimetatud teabe avaldamise tähtaeg oma näidispakkumises ja igal kalendri aastal</w:t>
      </w:r>
      <w:r w:rsidRPr="00883566">
        <w:rPr>
          <w:i/>
          <w:iCs/>
          <w:vertAlign w:val="superscript"/>
          <w:lang w:eastAsia="et-EE"/>
        </w:rPr>
        <w:t xml:space="preserve"> </w:t>
      </w:r>
      <w:r w:rsidRPr="00883566">
        <w:rPr>
          <w:i/>
          <w:iCs/>
          <w:lang w:eastAsia="et-EE"/>
        </w:rPr>
        <w:t>kontrollima selle vastavust enda allüksustele vastava teabe avaldamise ajaga ning vajadusel uuendama näidispakkumist</w:t>
      </w:r>
      <w:r w:rsidRPr="00883566">
        <w:rPr>
          <w:i/>
          <w:iCs/>
          <w:vertAlign w:val="superscript"/>
          <w:lang w:eastAsia="et-EE"/>
        </w:rPr>
        <w:footnoteReference w:id="165"/>
      </w:r>
      <w:r w:rsidRPr="00883566">
        <w:rPr>
          <w:i/>
          <w:iCs/>
          <w:lang w:eastAsia="et-EE"/>
        </w:rPr>
        <w:t>;</w:t>
      </w:r>
    </w:p>
    <w:p w14:paraId="60C9DF49" w14:textId="77777777" w:rsidR="00F03958" w:rsidRPr="00883566" w:rsidRDefault="00F03958" w:rsidP="00AA241E">
      <w:pPr>
        <w:numPr>
          <w:ilvl w:val="0"/>
          <w:numId w:val="47"/>
        </w:numPr>
        <w:autoSpaceDE w:val="0"/>
        <w:autoSpaceDN w:val="0"/>
        <w:adjustRightInd w:val="0"/>
        <w:spacing w:before="120" w:after="120" w:line="240" w:lineRule="auto"/>
        <w:ind w:left="900"/>
        <w:jc w:val="both"/>
        <w:rPr>
          <w:i/>
          <w:iCs/>
          <w:lang w:eastAsia="et-EE"/>
        </w:rPr>
      </w:pPr>
      <w:r w:rsidRPr="00883566">
        <w:rPr>
          <w:i/>
          <w:iCs/>
          <w:lang w:eastAsia="et-EE"/>
        </w:rPr>
        <w:t>kui Telia teeb eelmises punktis kirjeldatud tehniliste tingimuste välja selgitamisel kindlaks, et teenust ei ole võimalik osutada, peab Telia esitama vastava teabe koos põhjendustega taotluse esitanud sideettevõtjale ning valguskaabli fiidersegmendi vabale kiule, valguskaabli fiidersegmendi kiu vabale mahule ja kaablikanalisatsioonile juurdepääsu korral ka TJA-</w:t>
      </w:r>
      <w:proofErr w:type="spellStart"/>
      <w:r w:rsidRPr="00883566">
        <w:rPr>
          <w:i/>
          <w:iCs/>
          <w:lang w:eastAsia="et-EE"/>
        </w:rPr>
        <w:t>le</w:t>
      </w:r>
      <w:proofErr w:type="spellEnd"/>
      <w:r w:rsidRPr="00883566">
        <w:rPr>
          <w:i/>
          <w:iCs/>
          <w:lang w:eastAsia="et-EE"/>
        </w:rPr>
        <w:t>;</w:t>
      </w:r>
    </w:p>
    <w:p w14:paraId="3B87E257" w14:textId="77777777" w:rsidR="00F03958" w:rsidRPr="00883566" w:rsidRDefault="00F03958" w:rsidP="00AA241E">
      <w:pPr>
        <w:numPr>
          <w:ilvl w:val="0"/>
          <w:numId w:val="47"/>
        </w:numPr>
        <w:autoSpaceDE w:val="0"/>
        <w:autoSpaceDN w:val="0"/>
        <w:adjustRightInd w:val="0"/>
        <w:spacing w:before="120" w:after="120" w:line="240" w:lineRule="auto"/>
        <w:ind w:left="900"/>
        <w:jc w:val="both"/>
        <w:rPr>
          <w:i/>
          <w:iCs/>
          <w:lang w:eastAsia="et-EE"/>
        </w:rPr>
      </w:pPr>
      <w:r w:rsidRPr="00883566">
        <w:rPr>
          <w:i/>
          <w:iCs/>
          <w:lang w:eastAsia="et-EE"/>
        </w:rPr>
        <w:t xml:space="preserve">kui Telia vahetab vaskpaaril põhineva juurdepääsuvõrgu välja valguskaablil põhineva juurdepääsuvõrgu vastu, on Telia kohustatud teavitama sellest teisi vastavat vaskpaaril põhinevat juurdepääsuvõrku kasutavaid sideettevõtjaid vähemalt 6 kuud ette; </w:t>
      </w:r>
    </w:p>
    <w:p w14:paraId="6702EFE1" w14:textId="77777777" w:rsidR="00F03958" w:rsidRPr="00883566" w:rsidRDefault="00F03958" w:rsidP="00AA241E">
      <w:pPr>
        <w:numPr>
          <w:ilvl w:val="0"/>
          <w:numId w:val="47"/>
        </w:numPr>
        <w:autoSpaceDE w:val="0"/>
        <w:autoSpaceDN w:val="0"/>
        <w:adjustRightInd w:val="0"/>
        <w:spacing w:before="120" w:after="120" w:line="240" w:lineRule="auto"/>
        <w:ind w:left="900"/>
        <w:jc w:val="both"/>
        <w:rPr>
          <w:i/>
          <w:iCs/>
          <w:lang w:eastAsia="et-EE"/>
        </w:rPr>
      </w:pPr>
      <w:r w:rsidRPr="00883566">
        <w:rPr>
          <w:i/>
          <w:iCs/>
          <w:lang w:eastAsia="et-EE"/>
        </w:rPr>
        <w:t>koostama ja avaldama vaskpaarile, valguskaablile ja kaablikanalisatsioonile juurdepääsu teenuste näidispakkumine ja selle muudatused vastavalt ESS § 53 lõikele 4 ning esitada vastav näidispakkumine ja selle muudatused TJA-e üks kuu enne avaldamist</w:t>
      </w:r>
      <w:r w:rsidRPr="00883566">
        <w:rPr>
          <w:i/>
          <w:iCs/>
          <w:vertAlign w:val="superscript"/>
          <w:lang w:eastAsia="et-EE"/>
        </w:rPr>
        <w:footnoteReference w:id="166"/>
      </w:r>
      <w:r w:rsidRPr="00883566">
        <w:rPr>
          <w:i/>
          <w:iCs/>
          <w:lang w:eastAsia="et-EE"/>
        </w:rPr>
        <w:t>;</w:t>
      </w:r>
    </w:p>
    <w:p w14:paraId="76B9877E" w14:textId="77777777" w:rsidR="00F03958" w:rsidRPr="00883566" w:rsidRDefault="00F03958" w:rsidP="00AA241E">
      <w:pPr>
        <w:numPr>
          <w:ilvl w:val="0"/>
          <w:numId w:val="47"/>
        </w:numPr>
        <w:autoSpaceDE w:val="0"/>
        <w:autoSpaceDN w:val="0"/>
        <w:adjustRightInd w:val="0"/>
        <w:spacing w:before="120" w:after="120" w:line="240" w:lineRule="auto"/>
        <w:ind w:left="900"/>
        <w:jc w:val="both"/>
        <w:rPr>
          <w:i/>
          <w:iCs/>
          <w:lang w:eastAsia="et-EE"/>
        </w:rPr>
      </w:pPr>
      <w:r w:rsidRPr="00883566">
        <w:rPr>
          <w:i/>
          <w:iCs/>
          <w:lang w:eastAsia="et-EE"/>
        </w:rPr>
        <w:t>eelmises punktis nimetatud näidispakkumine peab sisaldama muu hulgas</w:t>
      </w:r>
      <w:r w:rsidRPr="00883566">
        <w:rPr>
          <w:i/>
          <w:iCs/>
          <w:vertAlign w:val="superscript"/>
          <w:lang w:eastAsia="et-EE"/>
        </w:rPr>
        <w:footnoteReference w:id="167"/>
      </w:r>
      <w:r w:rsidRPr="00883566">
        <w:rPr>
          <w:i/>
          <w:iCs/>
          <w:lang w:eastAsia="et-EE"/>
        </w:rPr>
        <w:t>:</w:t>
      </w:r>
    </w:p>
    <w:p w14:paraId="468FD72C" w14:textId="77777777" w:rsidR="00F03958" w:rsidRPr="00883566" w:rsidRDefault="00F03958" w:rsidP="00AA241E">
      <w:pPr>
        <w:autoSpaceDE w:val="0"/>
        <w:autoSpaceDN w:val="0"/>
        <w:adjustRightInd w:val="0"/>
        <w:spacing w:before="120" w:after="120"/>
        <w:ind w:left="851"/>
        <w:jc w:val="both"/>
        <w:rPr>
          <w:i/>
          <w:iCs/>
          <w:lang w:eastAsia="et-EE"/>
        </w:rPr>
      </w:pPr>
      <w:r w:rsidRPr="00883566">
        <w:rPr>
          <w:i/>
          <w:iCs/>
          <w:lang w:eastAsia="et-EE"/>
        </w:rPr>
        <w:lastRenderedPageBreak/>
        <w:t>a) ESS § 53 lõikes 1 sätestatud tingimusi;</w:t>
      </w:r>
    </w:p>
    <w:p w14:paraId="173E8A21" w14:textId="77777777" w:rsidR="00F03958" w:rsidRPr="00883566" w:rsidRDefault="00F03958" w:rsidP="00AA241E">
      <w:pPr>
        <w:autoSpaceDE w:val="0"/>
        <w:autoSpaceDN w:val="0"/>
        <w:adjustRightInd w:val="0"/>
        <w:spacing w:before="120" w:after="120"/>
        <w:ind w:left="851"/>
        <w:jc w:val="both"/>
        <w:rPr>
          <w:i/>
          <w:iCs/>
          <w:lang w:eastAsia="et-EE"/>
        </w:rPr>
      </w:pPr>
      <w:r w:rsidRPr="00883566">
        <w:rPr>
          <w:i/>
          <w:iCs/>
          <w:lang w:eastAsia="et-EE"/>
        </w:rPr>
        <w:t>b) teenuste tellimise ja tellimuste täitmiste korda (sh taotluste täitmiste tähtaegasid);</w:t>
      </w:r>
    </w:p>
    <w:p w14:paraId="5545D0FB" w14:textId="77777777" w:rsidR="00F03958" w:rsidRPr="00883566" w:rsidRDefault="00F03958" w:rsidP="00AA241E">
      <w:pPr>
        <w:autoSpaceDE w:val="0"/>
        <w:autoSpaceDN w:val="0"/>
        <w:adjustRightInd w:val="0"/>
        <w:spacing w:before="120" w:after="120"/>
        <w:ind w:left="851"/>
        <w:jc w:val="both"/>
        <w:rPr>
          <w:i/>
          <w:iCs/>
          <w:lang w:eastAsia="et-EE"/>
        </w:rPr>
      </w:pPr>
      <w:r w:rsidRPr="00883566">
        <w:rPr>
          <w:i/>
          <w:iCs/>
          <w:lang w:eastAsia="et-EE"/>
        </w:rPr>
        <w:t>c) tellitava teenuse kvaliteedi testimise korda;</w:t>
      </w:r>
    </w:p>
    <w:p w14:paraId="726F017A" w14:textId="77777777" w:rsidR="00F03958" w:rsidRPr="00883566" w:rsidRDefault="00F03958" w:rsidP="00AA241E">
      <w:pPr>
        <w:autoSpaceDE w:val="0"/>
        <w:autoSpaceDN w:val="0"/>
        <w:adjustRightInd w:val="0"/>
        <w:spacing w:before="120" w:after="120"/>
        <w:ind w:left="851"/>
        <w:jc w:val="both"/>
        <w:rPr>
          <w:i/>
          <w:iCs/>
          <w:lang w:eastAsia="et-EE"/>
        </w:rPr>
      </w:pPr>
      <w:r w:rsidRPr="00883566">
        <w:rPr>
          <w:i/>
          <w:iCs/>
          <w:lang w:eastAsia="et-EE"/>
        </w:rPr>
        <w:t>d) lõppkasutaja poolt kasutatava sideteenuse katkestuse tingimusi (sh katkestuse pikkus ja katkestusest teatamise viis) üleminekul Telia poolt osutatavalt jaeteenuselt vaskpaari ja/või valguskaabli fiidersegmendi juurdepääsu hulgiteenust kasutava sideettevõtja  osutatavale jaeteenusele.</w:t>
      </w:r>
    </w:p>
    <w:p w14:paraId="27988C6C" w14:textId="77777777" w:rsidR="00F03958" w:rsidRPr="00883566" w:rsidRDefault="00F03958" w:rsidP="00AA241E">
      <w:pPr>
        <w:autoSpaceDE w:val="0"/>
        <w:autoSpaceDN w:val="0"/>
        <w:adjustRightInd w:val="0"/>
        <w:spacing w:before="120" w:after="120" w:line="240" w:lineRule="auto"/>
        <w:ind w:left="360"/>
        <w:jc w:val="both"/>
        <w:rPr>
          <w:i/>
          <w:iCs/>
          <w:lang w:eastAsia="et-EE"/>
        </w:rPr>
      </w:pPr>
      <w:r w:rsidRPr="00883566">
        <w:rPr>
          <w:i/>
          <w:iCs/>
          <w:lang w:eastAsia="et-EE"/>
        </w:rPr>
        <w:t>288. Vastavalt ESS § 53 lõikele 5 on TJA-l õigus nõuda sideettevõtjalt muudatuste tegemist näidispakkumisse, kui see ei ole kooskõlas näidispakkumise avaldamise kohustuse eesmärkidega.</w:t>
      </w:r>
    </w:p>
    <w:p w14:paraId="224FE2AE" w14:textId="77777777" w:rsidR="00F03958" w:rsidRPr="00883566" w:rsidRDefault="00F03958" w:rsidP="00AA241E">
      <w:pPr>
        <w:spacing w:before="120" w:after="120" w:line="240" w:lineRule="auto"/>
        <w:jc w:val="both"/>
        <w:rPr>
          <w:i/>
          <w:iCs/>
          <w:lang w:eastAsia="et-EE"/>
        </w:rPr>
      </w:pPr>
    </w:p>
    <w:p w14:paraId="7A9BA4D7" w14:textId="77777777" w:rsidR="008E0996" w:rsidRPr="008E0996" w:rsidRDefault="008E0996"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995" w:name="_Toc174094633"/>
      <w:bookmarkStart w:id="996" w:name="_Toc174094900"/>
      <w:bookmarkStart w:id="997" w:name="_Toc174095166"/>
      <w:bookmarkStart w:id="998" w:name="_Toc174095431"/>
      <w:bookmarkStart w:id="999" w:name="_Toc174095969"/>
      <w:bookmarkStart w:id="1000" w:name="_Toc174096235"/>
      <w:bookmarkStart w:id="1001" w:name="_Toc174536126"/>
      <w:bookmarkStart w:id="1002" w:name="_Toc174617227"/>
      <w:bookmarkStart w:id="1003" w:name="_Toc174618584"/>
      <w:bookmarkStart w:id="1004" w:name="_Toc174627646"/>
      <w:bookmarkStart w:id="1005" w:name="_Toc174705070"/>
      <w:bookmarkStart w:id="1006" w:name="_Toc174709614"/>
      <w:bookmarkStart w:id="1007" w:name="_Toc174710843"/>
      <w:bookmarkEnd w:id="995"/>
      <w:bookmarkEnd w:id="996"/>
      <w:bookmarkEnd w:id="997"/>
      <w:bookmarkEnd w:id="998"/>
      <w:bookmarkEnd w:id="999"/>
      <w:bookmarkEnd w:id="1000"/>
      <w:bookmarkEnd w:id="1001"/>
      <w:bookmarkEnd w:id="1002"/>
      <w:bookmarkEnd w:id="1003"/>
      <w:bookmarkEnd w:id="1004"/>
      <w:bookmarkEnd w:id="1005"/>
      <w:bookmarkEnd w:id="1006"/>
      <w:bookmarkEnd w:id="1007"/>
    </w:p>
    <w:p w14:paraId="6DB7DFB6" w14:textId="23BF8427" w:rsidR="00F03958" w:rsidRPr="00883566" w:rsidRDefault="00F03958" w:rsidP="009805E1">
      <w:pPr>
        <w:pStyle w:val="Pealkiri3"/>
      </w:pPr>
      <w:bookmarkStart w:id="1008" w:name="_Toc174710844"/>
      <w:r w:rsidRPr="00883566">
        <w:t>Läbipaistvuskohustuste eesmärk ja alused</w:t>
      </w:r>
      <w:bookmarkEnd w:id="1008"/>
    </w:p>
    <w:p w14:paraId="420E334A" w14:textId="77777777" w:rsidR="00F03958" w:rsidRPr="00883566" w:rsidRDefault="00F03958" w:rsidP="00AA241E">
      <w:pPr>
        <w:jc w:val="both"/>
        <w:rPr>
          <w:rFonts w:cs="Times New Roman"/>
        </w:rPr>
      </w:pPr>
    </w:p>
    <w:p w14:paraId="35D2868F" w14:textId="77777777" w:rsidR="00F03958" w:rsidRPr="00883566" w:rsidRDefault="00F03958" w:rsidP="00AA241E">
      <w:pPr>
        <w:jc w:val="both"/>
        <w:rPr>
          <w:rFonts w:cs="Times New Roman"/>
        </w:rPr>
      </w:pPr>
      <w:r w:rsidRPr="00883566">
        <w:rPr>
          <w:rFonts w:cs="Times New Roman"/>
        </w:rPr>
        <w:t>Läbipaistvuskohustuste eesmärgiks</w:t>
      </w:r>
      <w:r w:rsidRPr="00883566">
        <w:rPr>
          <w:rFonts w:cs="Times New Roman"/>
          <w:vertAlign w:val="superscript"/>
        </w:rPr>
        <w:footnoteReference w:id="168"/>
      </w:r>
      <w:r w:rsidRPr="00883566">
        <w:rPr>
          <w:rFonts w:cs="Times New Roman"/>
        </w:rPr>
        <w:t xml:space="preserve"> on aidata muuta juurdepääsu läbirääkimised kiiremaks, vältida vaidlusi ja anda turule tegutsevatele ettevõtjatele kindlustunde selle kohta, et teenuste pakkumise tingimused ei ole diskrimineerivad. Koostalitlusvõime tagamisel võib eriti oluliseks osutuda tehniliste liideste avatus ja läbipaistvus. Kui riigi reguleeriv asutus kehtestab kohustuse muuta teave avalikuks, peaks ta olema suuteline täpsemalt määratlema ka teabe kättesaadavaks muutmise viisi ja selle, kas teave on tasuline, võttes seejuures arvesse asjaomase teabe laadi ja eesmärke. </w:t>
      </w:r>
    </w:p>
    <w:p w14:paraId="6880EC45" w14:textId="5EA96F55" w:rsidR="00F03958" w:rsidRPr="00883566" w:rsidRDefault="00F03958" w:rsidP="00AA241E">
      <w:pPr>
        <w:jc w:val="both"/>
        <w:rPr>
          <w:rFonts w:cs="Times New Roman"/>
        </w:rPr>
      </w:pPr>
      <w:r w:rsidRPr="00883566">
        <w:rPr>
          <w:rFonts w:cs="Times New Roman"/>
        </w:rPr>
        <w:t>TTJA võib</w:t>
      </w:r>
      <w:r w:rsidRPr="00883566">
        <w:rPr>
          <w:rFonts w:cs="Times New Roman"/>
          <w:vertAlign w:val="superscript"/>
        </w:rPr>
        <w:footnoteReference w:id="169"/>
      </w:r>
      <w:r w:rsidRPr="00883566">
        <w:rPr>
          <w:rFonts w:cs="Times New Roman"/>
        </w:rPr>
        <w:t xml:space="preserve"> MTE-</w:t>
      </w:r>
      <w:proofErr w:type="spellStart"/>
      <w:r w:rsidRPr="00883566">
        <w:rPr>
          <w:rFonts w:cs="Times New Roman"/>
        </w:rPr>
        <w:t>le</w:t>
      </w:r>
      <w:proofErr w:type="spellEnd"/>
      <w:r w:rsidRPr="00883566">
        <w:rPr>
          <w:rFonts w:cs="Times New Roman"/>
        </w:rPr>
        <w:t xml:space="preserve"> kehtestada kohustus</w:t>
      </w:r>
      <w:r w:rsidR="007C01D1">
        <w:rPr>
          <w:rFonts w:cs="Times New Roman"/>
        </w:rPr>
        <w:t>e</w:t>
      </w:r>
      <w:r w:rsidRPr="00883566">
        <w:rPr>
          <w:rFonts w:cs="Times New Roman"/>
        </w:rPr>
        <w:t xml:space="preserve"> avaldada juurdepääsuga seotud andmed kuluarvestuse, tasude, tehniliste tingimuste, võrgu omaduste ja arenduste, teenuse osutamise tingimuste, sealhulgas nende tingimuste kohta, mis piiravad juurdepääsu teenusele ning selle rakendusele ja kasutamisele eelkõige seoses üleminekuga pärandtaristult, peamiselt vaskpaarvõrgult või samaväärse kvaliteediga sidevõrgult uuele taristule, peamiselt valguskaabelvõrgule või samaväärse kvaliteediga sidevõrgule. Samuti võib</w:t>
      </w:r>
      <w:r w:rsidRPr="00883566">
        <w:rPr>
          <w:rFonts w:cs="Times New Roman"/>
          <w:vertAlign w:val="superscript"/>
        </w:rPr>
        <w:footnoteReference w:id="170"/>
      </w:r>
      <w:r w:rsidRPr="00883566">
        <w:rPr>
          <w:rFonts w:cs="Times New Roman"/>
        </w:rPr>
        <w:t xml:space="preserve">  TTJA kehtestada MTE-</w:t>
      </w:r>
      <w:proofErr w:type="spellStart"/>
      <w:r w:rsidRPr="00883566">
        <w:rPr>
          <w:rFonts w:cs="Times New Roman"/>
        </w:rPr>
        <w:t>le</w:t>
      </w:r>
      <w:proofErr w:type="spellEnd"/>
      <w:r w:rsidRPr="00883566">
        <w:rPr>
          <w:rFonts w:cs="Times New Roman"/>
        </w:rPr>
        <w:t xml:space="preserve"> kohustuse avaldada näidispakkumine konkreetse juurdepääsu teenuse kohta, mis peab sisaldama vastava teenuse osutamise tingimusi, sealhulgas tasusid, vastavalt ESS §-le 53.</w:t>
      </w:r>
    </w:p>
    <w:p w14:paraId="34F5087B" w14:textId="77777777" w:rsidR="00F03958" w:rsidRPr="00883566" w:rsidRDefault="00F03958" w:rsidP="00AA241E">
      <w:pPr>
        <w:spacing w:before="120" w:after="120" w:line="240" w:lineRule="auto"/>
        <w:jc w:val="both"/>
        <w:rPr>
          <w:lang w:eastAsia="et-EE"/>
        </w:rPr>
      </w:pPr>
    </w:p>
    <w:p w14:paraId="3753225D" w14:textId="053D9813" w:rsidR="00F03958" w:rsidRPr="00883566" w:rsidRDefault="00F03958" w:rsidP="009805E1">
      <w:pPr>
        <w:pStyle w:val="Pealkiri3"/>
      </w:pPr>
      <w:bookmarkStart w:id="1009" w:name="_Toc174710845"/>
      <w:r w:rsidRPr="00883566">
        <w:lastRenderedPageBreak/>
        <w:t>Läbipaistvusega seotud konkurentsiprobleemid</w:t>
      </w:r>
      <w:bookmarkEnd w:id="1009"/>
    </w:p>
    <w:p w14:paraId="0B5A0ECC" w14:textId="77777777" w:rsidR="00F03958" w:rsidRPr="00883566" w:rsidRDefault="00F03958" w:rsidP="00AA241E">
      <w:pPr>
        <w:jc w:val="both"/>
        <w:rPr>
          <w:lang w:eastAsia="lv-LV"/>
        </w:rPr>
      </w:pPr>
    </w:p>
    <w:p w14:paraId="18F666C1" w14:textId="77777777" w:rsidR="00F03958" w:rsidRPr="00883566" w:rsidRDefault="00F03958" w:rsidP="00AA241E">
      <w:pPr>
        <w:jc w:val="both"/>
        <w:rPr>
          <w:rFonts w:cs="Times New Roman"/>
        </w:rPr>
      </w:pPr>
      <w:r w:rsidRPr="00883566">
        <w:rPr>
          <w:rFonts w:cs="Times New Roman"/>
        </w:rPr>
        <w:t>Läbipaistvuskohustus aitab kaasa juurdepääsuga viivitamisega, diskrimineerimisega ja hinnaga seotud  konkurentsiprobleemide  lahendamisele</w:t>
      </w:r>
      <w:r w:rsidRPr="00883566">
        <w:rPr>
          <w:rFonts w:cs="Times New Roman"/>
          <w:vertAlign w:val="superscript"/>
        </w:rPr>
        <w:footnoteReference w:id="171"/>
      </w:r>
      <w:r w:rsidRPr="00883566">
        <w:rPr>
          <w:rFonts w:cs="Times New Roman"/>
        </w:rPr>
        <w:t>. Samas ainult läbipaistvuskohustus üksi ei suuda üldjuhul nimetatud konkurentsiprobleeme lahendada või ära hoida. Läbipaistvuskohustust kasutatakse teiste kohustustega kaasneva ning neid efektiivsemaks muutva kohustusena. Näiteks sidevõrgule juurdepääsust keeldumise konkurentsiprobleemi lahendamisele aitavad läbipaistvuskohustused kaasa sellega, et muudavad juurdepääsu tingimused kõigile kättesaadavaks, läbipaistvaks ning juurdepääsu läbirääkimised kiiremaks. Tehniliste liideste avatus ja läbipaistvus on aga sideteenuste koostalitusvõime tagamisel eriti olulised. Diskrimineerimisega seotud konkurentsiprobleemide lahendamisele aitavad läbipaistvuskohustused kaasa sellega, et annavad võimaluse tuvastada diskrimineerivat käitumist võimaldades vabalt jälgida ja võrrelda avalikustatud teenuste tingimusi, mille puhul diskrimineerimine võiks aset leida. Ülemäära kõrgete hindade rakendamise vältimist toetab läbipaistvuskohustus läbi hindade avalikustamise, mis aitab kiiremini nimetatud konkurentsiprobleemi tuvastada.</w:t>
      </w:r>
    </w:p>
    <w:p w14:paraId="3FD0A7E5" w14:textId="6FCB3462" w:rsidR="00F03958" w:rsidRPr="00883566" w:rsidRDefault="00F03958" w:rsidP="00AA241E">
      <w:pPr>
        <w:jc w:val="both"/>
        <w:rPr>
          <w:rFonts w:cs="Times New Roman"/>
        </w:rPr>
      </w:pPr>
      <w:r w:rsidRPr="00883566">
        <w:rPr>
          <w:rFonts w:cs="Times New Roman"/>
        </w:rPr>
        <w:t>BEREC (Euroopa Sideamet) on avaldanud seisukoha, mis käsitleb hulgiturul 1 MTE-</w:t>
      </w:r>
      <w:proofErr w:type="spellStart"/>
      <w:r w:rsidRPr="00883566">
        <w:rPr>
          <w:rFonts w:cs="Times New Roman"/>
        </w:rPr>
        <w:t>le</w:t>
      </w:r>
      <w:proofErr w:type="spellEnd"/>
      <w:r w:rsidRPr="00883566">
        <w:rPr>
          <w:rFonts w:cs="Times New Roman"/>
        </w:rPr>
        <w:t xml:space="preserve"> kohustuste kehtestamise parimaid tavasid</w:t>
      </w:r>
      <w:r w:rsidRPr="00883566">
        <w:rPr>
          <w:rStyle w:val="Allmrkuseviide"/>
          <w:rFonts w:cs="Times New Roman"/>
        </w:rPr>
        <w:footnoteReference w:id="172"/>
      </w:r>
      <w:r w:rsidRPr="00883566">
        <w:rPr>
          <w:rFonts w:cs="Times New Roman"/>
        </w:rPr>
        <w:t xml:space="preserve">. Selles tuuakse välja sagedamini esineda võivad läbipaistvusega seotud konkurentsiprobleemid vastava hulgituru teenuste osas, mis takistavad alternatiivsetel sideettevõtjatel tõhusalt konkureerida </w:t>
      </w:r>
      <w:r w:rsidR="00BE68C5">
        <w:rPr>
          <w:rFonts w:cs="Times New Roman"/>
        </w:rPr>
        <w:t>jaetur</w:t>
      </w:r>
      <w:r w:rsidRPr="00883566">
        <w:rPr>
          <w:rFonts w:cs="Times New Roman"/>
        </w:rPr>
        <w:t xml:space="preserve">ul: </w:t>
      </w:r>
    </w:p>
    <w:p w14:paraId="42C5D55B" w14:textId="77777777" w:rsidR="00F03958" w:rsidRPr="00883566" w:rsidRDefault="00F03958" w:rsidP="00AA241E">
      <w:pPr>
        <w:jc w:val="both"/>
        <w:rPr>
          <w:rFonts w:cs="Times New Roman"/>
        </w:rPr>
      </w:pPr>
    </w:p>
    <w:p w14:paraId="3A96E3BE" w14:textId="77777777" w:rsidR="00F03958" w:rsidRPr="00883566" w:rsidRDefault="00F03958" w:rsidP="00AA241E">
      <w:pPr>
        <w:numPr>
          <w:ilvl w:val="0"/>
          <w:numId w:val="10"/>
        </w:numPr>
        <w:spacing w:line="259" w:lineRule="auto"/>
        <w:jc w:val="both"/>
        <w:rPr>
          <w:rFonts w:cs="Times New Roman"/>
        </w:rPr>
      </w:pPr>
      <w:r w:rsidRPr="00883566">
        <w:rPr>
          <w:rFonts w:cs="Times New Roman"/>
        </w:rPr>
        <w:t>MTE ei paku juurdepääsutingimuste kohta piisavat selgust ega läbipaistvust.</w:t>
      </w:r>
    </w:p>
    <w:p w14:paraId="49ABC824" w14:textId="77777777" w:rsidR="00F03958" w:rsidRPr="00883566" w:rsidRDefault="00F03958" w:rsidP="00AA241E">
      <w:pPr>
        <w:jc w:val="both"/>
        <w:rPr>
          <w:rFonts w:cs="Times New Roman"/>
        </w:rPr>
      </w:pPr>
    </w:p>
    <w:p w14:paraId="5E29D7EE" w14:textId="77777777" w:rsidR="00F03958" w:rsidRPr="00883566" w:rsidRDefault="00F03958" w:rsidP="00AA241E">
      <w:pPr>
        <w:numPr>
          <w:ilvl w:val="0"/>
          <w:numId w:val="10"/>
        </w:numPr>
        <w:spacing w:line="259" w:lineRule="auto"/>
        <w:jc w:val="both"/>
        <w:rPr>
          <w:rFonts w:cs="Times New Roman"/>
        </w:rPr>
      </w:pPr>
      <w:r w:rsidRPr="00883566">
        <w:rPr>
          <w:rFonts w:cs="Times New Roman"/>
        </w:rPr>
        <w:t>MTE viivitab näidispakkumise avaldamisega alternatiivsetele sideettevõtjatele, viivitades seeläbi juurdepääsu pakkumisega oma sidevõrgule.</w:t>
      </w:r>
    </w:p>
    <w:p w14:paraId="064DB0E9" w14:textId="77777777" w:rsidR="00F03958" w:rsidRPr="00883566" w:rsidRDefault="00F03958" w:rsidP="00AA241E">
      <w:pPr>
        <w:jc w:val="both"/>
        <w:rPr>
          <w:rFonts w:cs="Times New Roman"/>
        </w:rPr>
      </w:pPr>
    </w:p>
    <w:p w14:paraId="6D88A040" w14:textId="77777777" w:rsidR="00F03958" w:rsidRPr="00883566" w:rsidRDefault="00F03958" w:rsidP="00AA241E">
      <w:pPr>
        <w:numPr>
          <w:ilvl w:val="0"/>
          <w:numId w:val="10"/>
        </w:numPr>
        <w:spacing w:line="259" w:lineRule="auto"/>
        <w:jc w:val="both"/>
        <w:rPr>
          <w:rFonts w:cs="Times New Roman"/>
        </w:rPr>
      </w:pPr>
      <w:r w:rsidRPr="00883566">
        <w:rPr>
          <w:rFonts w:cs="Times New Roman"/>
        </w:rPr>
        <w:t>MTE ei võta näidispakkumise väljatöötamisel arvesse alternatiivsetelt sideettevõtjatelt saadud mõistlikke seisukohti, mistõttu ei pruugi näidispakkumine täita oma eesmärki.</w:t>
      </w:r>
    </w:p>
    <w:p w14:paraId="2D78ADA3" w14:textId="77777777" w:rsidR="00F03958" w:rsidRPr="00883566" w:rsidRDefault="00F03958" w:rsidP="00AA241E">
      <w:pPr>
        <w:jc w:val="both"/>
        <w:rPr>
          <w:rFonts w:cs="Times New Roman"/>
        </w:rPr>
      </w:pPr>
    </w:p>
    <w:p w14:paraId="09AA1FC2" w14:textId="77777777" w:rsidR="00F03958" w:rsidRPr="00883566" w:rsidRDefault="00F03958" w:rsidP="00AA241E">
      <w:pPr>
        <w:numPr>
          <w:ilvl w:val="0"/>
          <w:numId w:val="10"/>
        </w:numPr>
        <w:spacing w:line="259" w:lineRule="auto"/>
        <w:jc w:val="both"/>
        <w:rPr>
          <w:rFonts w:cs="Times New Roman"/>
        </w:rPr>
      </w:pPr>
      <w:r w:rsidRPr="00883566">
        <w:rPr>
          <w:rFonts w:cs="Times New Roman"/>
        </w:rPr>
        <w:t>MTE ei avalda õigeaegselt alternatiivetele sideettevõtjatele olulist teavet, millele tal on eelisjuurdepääs (nt sidevõrgu arenduse alguse või lõpetamise tähtajad).</w:t>
      </w:r>
    </w:p>
    <w:p w14:paraId="5E910B46" w14:textId="77777777" w:rsidR="00F03958" w:rsidRPr="00883566" w:rsidRDefault="00F03958" w:rsidP="00AA241E">
      <w:pPr>
        <w:jc w:val="both"/>
        <w:rPr>
          <w:rFonts w:cs="Times New Roman"/>
        </w:rPr>
      </w:pPr>
    </w:p>
    <w:p w14:paraId="7D6A664D" w14:textId="12615821" w:rsidR="00F03958" w:rsidRPr="00883566" w:rsidRDefault="00F03958" w:rsidP="00AA241E">
      <w:pPr>
        <w:jc w:val="both"/>
        <w:rPr>
          <w:rFonts w:cs="Times New Roman"/>
        </w:rPr>
      </w:pPr>
      <w:r w:rsidRPr="00883566">
        <w:rPr>
          <w:rFonts w:cs="Times New Roman"/>
        </w:rPr>
        <w:t xml:space="preserve">TTJA hinnangul on eelkirjeldatud läbipaistvusega seotud konkurentsiprobleemide esinemine järgmise turuanalüüsini kestval perioodil tõenäoline, kuna puuduvad alused eeldada, et Telia vertikaalne integreeritus ja turujõud </w:t>
      </w:r>
      <w:r w:rsidR="00A3232C">
        <w:rPr>
          <w:rFonts w:cs="Times New Roman"/>
        </w:rPr>
        <w:t>valguskaabelvõrgu</w:t>
      </w:r>
      <w:r w:rsidRPr="00883566">
        <w:rPr>
          <w:rFonts w:cs="Times New Roman"/>
        </w:rPr>
        <w:t>s piirkonna B hulgiturul 1 nimetatud perioodil märkimisväärselt väheneks. See annab Teliale võime piirata läbipaistvust nimetatud hulgituru teenuste osas takistades seeläbi teiste sideettevõtjate jaeturule sisenemist ning kahjustades seeläbi konkurentsi jaemüügi tasandil ning lõppkasutajate huve.</w:t>
      </w:r>
    </w:p>
    <w:p w14:paraId="75E38B0F" w14:textId="77777777" w:rsidR="00F03958" w:rsidRPr="00883566" w:rsidRDefault="00F03958" w:rsidP="00AA241E">
      <w:pPr>
        <w:jc w:val="both"/>
        <w:rPr>
          <w:rFonts w:cs="Times New Roman"/>
        </w:rPr>
      </w:pPr>
    </w:p>
    <w:p w14:paraId="355ABEA7" w14:textId="26FFC474" w:rsidR="00F03958" w:rsidRPr="00883566" w:rsidRDefault="00F03958" w:rsidP="009805E1">
      <w:pPr>
        <w:pStyle w:val="Pealkiri3"/>
      </w:pPr>
      <w:bookmarkStart w:id="1010" w:name="_Toc174710846"/>
      <w:r w:rsidRPr="00883566">
        <w:t>Läbipaistvuskohustuse asendamine juurdepääsu- või mittediskrimineerimise- või hinnakohustusega</w:t>
      </w:r>
      <w:bookmarkEnd w:id="1010"/>
    </w:p>
    <w:p w14:paraId="7550DE69" w14:textId="77777777" w:rsidR="00F03958" w:rsidRPr="00883566" w:rsidRDefault="00F03958" w:rsidP="00AA241E">
      <w:pPr>
        <w:jc w:val="both"/>
        <w:rPr>
          <w:rFonts w:cs="Times New Roman"/>
        </w:rPr>
      </w:pPr>
    </w:p>
    <w:p w14:paraId="3A7168DE" w14:textId="77777777" w:rsidR="00F03958" w:rsidRPr="00883566" w:rsidRDefault="00F03958" w:rsidP="00AA241E">
      <w:pPr>
        <w:spacing w:before="120" w:after="120"/>
        <w:jc w:val="both"/>
        <w:rPr>
          <w:rFonts w:cs="Times New Roman"/>
          <w:lang w:eastAsia="et-EE"/>
        </w:rPr>
      </w:pPr>
      <w:r w:rsidRPr="00883566">
        <w:rPr>
          <w:rFonts w:cs="Times New Roman"/>
        </w:rPr>
        <w:t>TTJA kaalus erinevaid ESS § 50 lõigetes 3, 4, 5, 7 sätestatud meetmete rakendamist läbipaistvusega seotud konkurentsiprobleemide lahendamiseks ja leidis, et:</w:t>
      </w:r>
    </w:p>
    <w:p w14:paraId="2BD0D6E7"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mittediskrimineerimise kohustus</w:t>
      </w:r>
      <w:r w:rsidRPr="00883566">
        <w:rPr>
          <w:rFonts w:cs="Times New Roman"/>
          <w:vertAlign w:val="superscript"/>
          <w:lang w:eastAsia="et-EE"/>
        </w:rPr>
        <w:footnoteReference w:id="173"/>
      </w:r>
      <w:r w:rsidRPr="00883566">
        <w:rPr>
          <w:rFonts w:cs="Times New Roman"/>
          <w:vertAlign w:val="superscript"/>
          <w:lang w:eastAsia="et-EE"/>
        </w:rPr>
        <w:t xml:space="preserve"> </w:t>
      </w:r>
      <w:r w:rsidRPr="00883566">
        <w:rPr>
          <w:rFonts w:cs="Times New Roman"/>
          <w:lang w:eastAsia="et-EE"/>
        </w:rPr>
        <w:t xml:space="preserve">ei ole teabe kättesaadavuse tagamiseks piisav, kuna see tagab küll teabe võrdse kättesaadavuse, kuid ei taga teabe kompaktset (näiteks näidispakkumise kujul) avalikustamist konkreetse teenuse jaoks efektiivseimal viisil (näiteks veebilehel); </w:t>
      </w:r>
    </w:p>
    <w:p w14:paraId="05D135FC"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juurdepääsu kohustused ning hinnakontrolli ja kuluarvestuse kohustused</w:t>
      </w:r>
      <w:r w:rsidRPr="00883566">
        <w:rPr>
          <w:rFonts w:cs="Times New Roman"/>
          <w:vertAlign w:val="superscript"/>
          <w:lang w:eastAsia="et-EE"/>
        </w:rPr>
        <w:footnoteReference w:id="174"/>
      </w:r>
      <w:r w:rsidRPr="00883566">
        <w:rPr>
          <w:rFonts w:cs="Times New Roman"/>
          <w:lang w:eastAsia="et-EE"/>
        </w:rPr>
        <w:t xml:space="preserve"> ei ole  piisavad, kuna nimetatud kohustused ei sätesta konkreetseid kohustusi teabe kättesaadavuse kohta. </w:t>
      </w:r>
    </w:p>
    <w:p w14:paraId="4610C4C3" w14:textId="77777777" w:rsidR="00F03958" w:rsidRPr="00883566" w:rsidRDefault="00F03958" w:rsidP="00AA241E">
      <w:pPr>
        <w:jc w:val="both"/>
      </w:pPr>
    </w:p>
    <w:p w14:paraId="0C5939DF" w14:textId="3D206EC8" w:rsidR="00F03958" w:rsidRPr="00883566" w:rsidRDefault="00F03958" w:rsidP="009805E1">
      <w:pPr>
        <w:pStyle w:val="Pealkiri3"/>
      </w:pPr>
      <w:bookmarkStart w:id="1011" w:name="_Toc174710847"/>
      <w:r w:rsidRPr="00883566">
        <w:t>Läbipaistvuskohustuse  kohustuse kooskõla ESS §-ga 135</w:t>
      </w:r>
      <w:bookmarkEnd w:id="1011"/>
    </w:p>
    <w:p w14:paraId="560DC8FF" w14:textId="77777777" w:rsidR="00F03958" w:rsidRPr="00883566" w:rsidRDefault="00F03958" w:rsidP="00AA241E">
      <w:pPr>
        <w:spacing w:before="120" w:after="120"/>
        <w:jc w:val="both"/>
        <w:rPr>
          <w:rFonts w:cs="Times New Roman"/>
          <w:lang w:eastAsia="et-EE"/>
        </w:rPr>
      </w:pPr>
    </w:p>
    <w:p w14:paraId="69E4C62F" w14:textId="77777777" w:rsidR="00F03958" w:rsidRPr="00883566" w:rsidRDefault="00F03958" w:rsidP="00AA241E">
      <w:pPr>
        <w:spacing w:before="120" w:after="120"/>
        <w:jc w:val="both"/>
        <w:rPr>
          <w:rFonts w:cs="Times New Roman"/>
          <w:lang w:eastAsia="et-EE"/>
        </w:rPr>
      </w:pPr>
      <w:r w:rsidRPr="00883566">
        <w:rPr>
          <w:rFonts w:cs="Times New Roman"/>
        </w:rPr>
        <w:t>Kooskõla ESS § 135 lõikega 1 on tagatud, kuna läbipaistvuskohustuste eesmärk on aidata kaasa sideteenuse turu arengule ja selle kehtestamine Teliale on:</w:t>
      </w:r>
    </w:p>
    <w:p w14:paraId="0893FA54"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rPr>
        <w:t>mõistlik ja otstarbekas, kuna juurdepääsu teenuste osutamise tingimuste ja hindade avaldamine aitab tagada lähedalt seotud turgudel konkurentsi ja stabiilsust;</w:t>
      </w:r>
    </w:p>
    <w:p w14:paraId="2FF728A8"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rPr>
        <w:t xml:space="preserve">mittediskrimineeriv, kuna Telia poolt osutatavad hulgituru 1 teenused mõjutavad konkurentsi vertikaalselt allapoole seotud jaeturgudel Telia ulatusliku infrastruktuuri olemasolu tõttu oluliselt suuremal määral kui teiste sideettevõtjate poolt nimetatud turu koosseisu kuuluvad teenused. Sellest tulenevalt on õigustatud Teliale läbipaistvuskohustuste </w:t>
      </w:r>
      <w:r w:rsidRPr="00883566">
        <w:rPr>
          <w:rFonts w:cs="Times New Roman"/>
        </w:rPr>
        <w:lastRenderedPageBreak/>
        <w:t>kehtestamine, et tõkestada Telia võimalust oma märkimisväärset turujõudu ära kasutada konkurentsi takistamiseks;</w:t>
      </w:r>
    </w:p>
    <w:p w14:paraId="37DF7B17"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rPr>
        <w:t>läbipaistev, kuna kohustus on kavandatud selliselt, et isikule oleks üheselt arusaadav, mida TTJA tema suhtes on otsustanud ning millised õigused ja kohustused sellest temale tulenevad.</w:t>
      </w:r>
    </w:p>
    <w:p w14:paraId="1381F4D4"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 xml:space="preserve">suunatud käesoleva seaduse §-s 134 lõikes 1 sätestatud konkreetse eesmärgi, edendada konkurentsi elektroonilise side ja sellega seotud teenuste osutamisel, saavutamisele ning on seda eesmärki arvestades TTJA hinnangul proportsionaalne. </w:t>
      </w:r>
    </w:p>
    <w:p w14:paraId="7B9A29D3" w14:textId="77777777" w:rsidR="00F03958" w:rsidRPr="00883566" w:rsidRDefault="00F03958" w:rsidP="00AA241E">
      <w:pPr>
        <w:spacing w:before="120" w:after="120" w:line="240" w:lineRule="auto"/>
        <w:ind w:left="567"/>
        <w:jc w:val="both"/>
        <w:rPr>
          <w:rFonts w:cs="Times New Roman"/>
          <w:lang w:eastAsia="et-EE"/>
        </w:rPr>
      </w:pPr>
    </w:p>
    <w:p w14:paraId="6443886C" w14:textId="2046C3ED" w:rsidR="00F03958" w:rsidRPr="00883566" w:rsidRDefault="00F03958" w:rsidP="009805E1">
      <w:pPr>
        <w:pStyle w:val="Pealkiri3"/>
      </w:pPr>
      <w:bookmarkStart w:id="1012" w:name="_Toc174710848"/>
      <w:r w:rsidRPr="00883566">
        <w:t>Läbipaistvuskohustuste kehtestamine</w:t>
      </w:r>
      <w:bookmarkEnd w:id="1012"/>
    </w:p>
    <w:p w14:paraId="0DD59258" w14:textId="77777777" w:rsidR="00F03958" w:rsidRPr="00883566" w:rsidRDefault="00F03958" w:rsidP="00AA241E">
      <w:pPr>
        <w:jc w:val="both"/>
        <w:rPr>
          <w:lang w:eastAsia="lv-LV"/>
        </w:rPr>
      </w:pPr>
    </w:p>
    <w:p w14:paraId="555BFE27" w14:textId="4188A913" w:rsidR="00F03958" w:rsidRPr="00883566" w:rsidRDefault="00F03958" w:rsidP="00AA241E">
      <w:pPr>
        <w:spacing w:line="259" w:lineRule="auto"/>
        <w:jc w:val="both"/>
        <w:rPr>
          <w:rFonts w:cs="Times New Roman"/>
          <w:lang w:eastAsia="en-US"/>
        </w:rPr>
      </w:pPr>
      <w:r w:rsidRPr="00883566">
        <w:rPr>
          <w:rFonts w:cs="Times New Roman"/>
        </w:rPr>
        <w:t xml:space="preserve">Käesoleva otsuse koostamise ajal kehtivad üleriigiliselt Telia </w:t>
      </w:r>
      <w:r w:rsidR="00532579">
        <w:rPr>
          <w:rFonts w:cs="Times New Roman"/>
        </w:rPr>
        <w:t>vaskpaar</w:t>
      </w:r>
      <w:r w:rsidRPr="00883566">
        <w:rPr>
          <w:rFonts w:cs="Times New Roman"/>
        </w:rPr>
        <w:t xml:space="preserve">- ja valguskaabelvõrgus Telia hulgituru 1 teenustele läbipaistvuskohustused TTJA 2017 hulgituru 1 otsuse lisa 1 </w:t>
      </w:r>
      <w:r w:rsidR="008C159A">
        <w:rPr>
          <w:rFonts w:cs="Times New Roman"/>
        </w:rPr>
        <w:t xml:space="preserve">ptk. </w:t>
      </w:r>
      <w:r w:rsidRPr="00883566">
        <w:rPr>
          <w:rFonts w:cs="Times New Roman"/>
        </w:rPr>
        <w:t xml:space="preserve">6.4.4 alusel. Lähtudes käesoleva otsuse </w:t>
      </w:r>
      <w:r w:rsidR="008C159A">
        <w:rPr>
          <w:rFonts w:cs="Times New Roman"/>
        </w:rPr>
        <w:t>ptk.-</w:t>
      </w:r>
      <w:r w:rsidRPr="00883566">
        <w:rPr>
          <w:rFonts w:cs="Times New Roman"/>
        </w:rPr>
        <w:t xml:space="preserve">st </w:t>
      </w:r>
      <w:r w:rsidR="006E207C">
        <w:rPr>
          <w:rFonts w:cs="Times New Roman"/>
        </w:rPr>
        <w:t>7</w:t>
      </w:r>
      <w:r w:rsidR="000B028E">
        <w:rPr>
          <w:rFonts w:cs="Times New Roman"/>
        </w:rPr>
        <w:t>.1.2</w:t>
      </w:r>
      <w:r w:rsidRPr="00883566">
        <w:rPr>
          <w:rFonts w:cs="Times New Roman"/>
        </w:rPr>
        <w:t xml:space="preserve"> tunnistatakse TTJA 2017 hulgituru 1 otsus ja selles kehtestatud </w:t>
      </w:r>
      <w:r w:rsidR="00702878">
        <w:rPr>
          <w:rFonts w:cs="Times New Roman"/>
        </w:rPr>
        <w:t xml:space="preserve">Telia </w:t>
      </w:r>
      <w:r w:rsidRPr="00883566">
        <w:rPr>
          <w:rFonts w:cs="Times New Roman"/>
        </w:rPr>
        <w:t xml:space="preserve">kohustused kehtetuks. </w:t>
      </w:r>
      <w:r w:rsidR="00DE10CD" w:rsidRPr="00883566">
        <w:rPr>
          <w:rFonts w:cs="Times New Roman"/>
        </w:rPr>
        <w:t xml:space="preserve">Käesolevas </w:t>
      </w:r>
      <w:r w:rsidR="00DE10CD">
        <w:rPr>
          <w:rFonts w:cs="Times New Roman"/>
        </w:rPr>
        <w:t>peatükis</w:t>
      </w:r>
      <w:r w:rsidR="00DE10CD" w:rsidRPr="00883566">
        <w:rPr>
          <w:rFonts w:cs="Times New Roman"/>
        </w:rPr>
        <w:t xml:space="preserve"> kehtestatavad kohustused on suunatud </w:t>
      </w:r>
      <w:r w:rsidR="00DE10CD">
        <w:rPr>
          <w:rFonts w:cs="Times New Roman"/>
        </w:rPr>
        <w:t xml:space="preserve"> läbipaistvuse tagamisele valguskaabelvõrgu B</w:t>
      </w:r>
      <w:r w:rsidR="00DE10CD" w:rsidRPr="00883566">
        <w:rPr>
          <w:rFonts w:cs="Times New Roman"/>
        </w:rPr>
        <w:t xml:space="preserve"> piirkonna</w:t>
      </w:r>
      <w:r w:rsidR="00DE10CD">
        <w:rPr>
          <w:rFonts w:cs="Times New Roman"/>
        </w:rPr>
        <w:t xml:space="preserve"> hulgituru</w:t>
      </w:r>
      <w:r w:rsidR="00C26F4B">
        <w:rPr>
          <w:rFonts w:cs="Times New Roman"/>
        </w:rPr>
        <w:t>l</w:t>
      </w:r>
      <w:r w:rsidR="00DE10CD">
        <w:rPr>
          <w:rFonts w:cs="Times New Roman"/>
        </w:rPr>
        <w:t xml:space="preserve"> 1 </w:t>
      </w:r>
      <w:r w:rsidR="00C26F4B">
        <w:rPr>
          <w:rFonts w:cs="Times New Roman"/>
        </w:rPr>
        <w:t>Telia</w:t>
      </w:r>
      <w:r w:rsidR="00B351EC">
        <w:rPr>
          <w:rFonts w:cs="Times New Roman"/>
        </w:rPr>
        <w:t xml:space="preserve"> osutavate</w:t>
      </w:r>
      <w:r w:rsidR="00C26F4B">
        <w:rPr>
          <w:rFonts w:cs="Times New Roman"/>
        </w:rPr>
        <w:t xml:space="preserve"> </w:t>
      </w:r>
      <w:r w:rsidR="00DE10CD">
        <w:rPr>
          <w:rFonts w:cs="Times New Roman"/>
        </w:rPr>
        <w:t>teenuste os</w:t>
      </w:r>
      <w:r w:rsidR="00B351EC">
        <w:rPr>
          <w:rFonts w:cs="Times New Roman"/>
        </w:rPr>
        <w:t>as</w:t>
      </w:r>
      <w:r w:rsidR="00DE10CD" w:rsidRPr="00883566">
        <w:rPr>
          <w:rFonts w:cs="Times New Roman"/>
        </w:rPr>
        <w:t>.</w:t>
      </w:r>
      <w:r w:rsidR="00DE10CD" w:rsidRPr="00DE10CD">
        <w:rPr>
          <w:rFonts w:cs="Times New Roman"/>
        </w:rPr>
        <w:t xml:space="preserve"> </w:t>
      </w:r>
      <w:r w:rsidR="00DE10CD" w:rsidRPr="00883566">
        <w:rPr>
          <w:rFonts w:cs="Times New Roman"/>
        </w:rPr>
        <w:t>TTJA on kohustuste järjepidevuse tagamiseks lähtunud käesoleva otsuse koostamise ajal kehtiva TTJA 2017 hulgituru 1 otsuses sätestatud kohustustest neid vajadusel muutes ja/või täiendades</w:t>
      </w:r>
      <w:r w:rsidR="00996D56">
        <w:rPr>
          <w:rFonts w:cs="Times New Roman"/>
        </w:rPr>
        <w:t xml:space="preserve"> ja/või kustutades</w:t>
      </w:r>
      <w:r w:rsidR="00DE10CD" w:rsidRPr="00883566">
        <w:rPr>
          <w:rFonts w:cs="Times New Roman"/>
        </w:rPr>
        <w:t>.</w:t>
      </w:r>
    </w:p>
    <w:p w14:paraId="4532033F" w14:textId="0D54C5B2" w:rsidR="00F03958" w:rsidRPr="00883566" w:rsidRDefault="00F03958" w:rsidP="00AA241E">
      <w:pPr>
        <w:jc w:val="both"/>
        <w:rPr>
          <w:rFonts w:cs="Times New Roman"/>
        </w:rPr>
      </w:pPr>
      <w:r w:rsidRPr="00883566">
        <w:rPr>
          <w:rFonts w:cs="Times New Roman"/>
        </w:rPr>
        <w:t>Võttes arvesse TTJA 2017 hulgituru 1 otsuses sätestatud kohustusi ja tutvunud uu</w:t>
      </w:r>
      <w:r w:rsidR="00996D56">
        <w:rPr>
          <w:rFonts w:cs="Times New Roman"/>
        </w:rPr>
        <w:t>e</w:t>
      </w:r>
      <w:r w:rsidRPr="00883566">
        <w:rPr>
          <w:rFonts w:cs="Times New Roman"/>
        </w:rPr>
        <w:t xml:space="preserve"> EK 2024 kohustuste soovitusega ning TTJA 2021 hulgituru 1 otsuse eelnõus ja TTJA 2023 hulgituru 1 otsuse eelnõus kajastatud sideettevõtjate arvamustega võimalike konkurentsiprobleemide osas, leiab TTJA, et puudub vajadus kehtestada Telia </w:t>
      </w:r>
      <w:r w:rsidR="00A3232C">
        <w:rPr>
          <w:rFonts w:cs="Times New Roman"/>
        </w:rPr>
        <w:t>valguskaabelvõrgu</w:t>
      </w:r>
      <w:r w:rsidRPr="00883566">
        <w:rPr>
          <w:rFonts w:cs="Times New Roman"/>
        </w:rPr>
        <w:t xml:space="preserve">s B piirkonnas Telia hulgituru 1 teenustele </w:t>
      </w:r>
      <w:r w:rsidR="00BD39E0">
        <w:rPr>
          <w:rFonts w:cs="Times New Roman"/>
        </w:rPr>
        <w:t xml:space="preserve">märkimisväärselt </w:t>
      </w:r>
      <w:r w:rsidRPr="00883566">
        <w:rPr>
          <w:rFonts w:cs="Times New Roman"/>
        </w:rPr>
        <w:t xml:space="preserve">erinevaid läbipaistvuskohustusi võrreldes käesoleva otsuse ajal kehtivas TTJA 2017 hulgituru 1 otsuse lisa 1 </w:t>
      </w:r>
      <w:r w:rsidR="008C159A">
        <w:rPr>
          <w:rFonts w:cs="Times New Roman"/>
        </w:rPr>
        <w:t>ptk.-</w:t>
      </w:r>
      <w:r w:rsidRPr="00883566">
        <w:rPr>
          <w:rFonts w:cs="Times New Roman"/>
        </w:rPr>
        <w:t>s 6.4.4 sätestatud läbipaistvuskohustustega.</w:t>
      </w:r>
    </w:p>
    <w:p w14:paraId="2AB36300" w14:textId="1EFCE494" w:rsidR="00F03958" w:rsidRPr="00883566" w:rsidRDefault="00F03958" w:rsidP="00AA241E">
      <w:pPr>
        <w:jc w:val="both"/>
        <w:rPr>
          <w:rFonts w:cs="Times New Roman"/>
        </w:rPr>
      </w:pPr>
      <w:r w:rsidRPr="00883566">
        <w:rPr>
          <w:rFonts w:cs="Times New Roman"/>
        </w:rPr>
        <w:t>Kuna käesoleva</w:t>
      </w:r>
      <w:r w:rsidR="00223BFB">
        <w:rPr>
          <w:rFonts w:cs="Times New Roman"/>
        </w:rPr>
        <w:t>s</w:t>
      </w:r>
      <w:r w:rsidRPr="00883566">
        <w:rPr>
          <w:rFonts w:cs="Times New Roman"/>
        </w:rPr>
        <w:t xml:space="preserve"> </w:t>
      </w:r>
      <w:r w:rsidR="00223BFB">
        <w:rPr>
          <w:rFonts w:cs="Times New Roman"/>
        </w:rPr>
        <w:t>peatükis</w:t>
      </w:r>
      <w:r w:rsidRPr="00883566">
        <w:rPr>
          <w:rFonts w:cs="Times New Roman"/>
        </w:rPr>
        <w:t xml:space="preserve"> </w:t>
      </w:r>
      <w:r w:rsidR="00106A38">
        <w:rPr>
          <w:rFonts w:cs="Times New Roman"/>
        </w:rPr>
        <w:t>kehtestatavad</w:t>
      </w:r>
      <w:r w:rsidRPr="00883566">
        <w:rPr>
          <w:rFonts w:cs="Times New Roman"/>
        </w:rPr>
        <w:t xml:space="preserve"> läbipaistvuskohustused ei </w:t>
      </w:r>
      <w:r w:rsidR="001818CB">
        <w:rPr>
          <w:rFonts w:cs="Times New Roman"/>
        </w:rPr>
        <w:t>pane Teliale olulis</w:t>
      </w:r>
      <w:r w:rsidR="00720DAF">
        <w:rPr>
          <w:rFonts w:cs="Times New Roman"/>
        </w:rPr>
        <w:t>es mahus</w:t>
      </w:r>
      <w:r w:rsidR="001818CB">
        <w:rPr>
          <w:rFonts w:cs="Times New Roman"/>
        </w:rPr>
        <w:t xml:space="preserve"> täiendavaid kohustusi võrreldes</w:t>
      </w:r>
      <w:r w:rsidRPr="00883566">
        <w:rPr>
          <w:rFonts w:cs="Times New Roman"/>
        </w:rPr>
        <w:t xml:space="preserve"> TTJA 2017 hulgituru 1 otsusega kehtestatud vastavate kohustuste</w:t>
      </w:r>
      <w:r w:rsidR="001818CB">
        <w:rPr>
          <w:rFonts w:cs="Times New Roman"/>
        </w:rPr>
        <w:t>ga</w:t>
      </w:r>
      <w:r w:rsidRPr="00883566">
        <w:rPr>
          <w:rFonts w:cs="Times New Roman"/>
        </w:rPr>
        <w:t>, siis ei ole need Teliale koormavad, kuna Telial on TTJA hinnangul olemas nimetatud kohustuste täitmiseks vajalik tehniline valmisolek ja ressurss ning kogemus.</w:t>
      </w:r>
    </w:p>
    <w:p w14:paraId="2A45A20E" w14:textId="77777777" w:rsidR="00F03958" w:rsidRPr="00883566" w:rsidRDefault="00F03958" w:rsidP="00AA241E">
      <w:pPr>
        <w:spacing w:before="120" w:after="120"/>
        <w:jc w:val="both"/>
        <w:rPr>
          <w:rFonts w:cs="Times New Roman"/>
        </w:rPr>
      </w:pPr>
    </w:p>
    <w:p w14:paraId="4C66C7AE" w14:textId="738AAE99" w:rsidR="00F03958" w:rsidRPr="00883566" w:rsidRDefault="00F03958" w:rsidP="00AA241E">
      <w:pPr>
        <w:autoSpaceDE w:val="0"/>
        <w:autoSpaceDN w:val="0"/>
        <w:adjustRightInd w:val="0"/>
        <w:spacing w:before="120" w:after="120" w:line="240" w:lineRule="auto"/>
        <w:jc w:val="both"/>
        <w:rPr>
          <w:b/>
          <w:bCs/>
          <w:lang w:eastAsia="et-EE"/>
        </w:rPr>
      </w:pPr>
      <w:r w:rsidRPr="00883566">
        <w:rPr>
          <w:b/>
          <w:bCs/>
          <w:lang w:eastAsia="et-EE"/>
        </w:rPr>
        <w:t>TTJA kohusta</w:t>
      </w:r>
      <w:r w:rsidR="00B46C85">
        <w:rPr>
          <w:b/>
          <w:bCs/>
          <w:lang w:eastAsia="et-EE"/>
        </w:rPr>
        <w:t>b</w:t>
      </w:r>
      <w:r w:rsidRPr="00883566">
        <w:rPr>
          <w:b/>
          <w:bCs/>
          <w:lang w:eastAsia="et-EE"/>
        </w:rPr>
        <w:t xml:space="preserve"> Teliat hulgiturul </w:t>
      </w:r>
      <w:r w:rsidRPr="00883566">
        <w:rPr>
          <w:b/>
          <w:bCs/>
          <w:i/>
          <w:iCs/>
          <w:lang w:eastAsia="et-EE"/>
        </w:rPr>
        <w:t>1</w:t>
      </w:r>
      <w:r w:rsidRPr="00883566">
        <w:rPr>
          <w:b/>
          <w:bCs/>
          <w:lang w:eastAsia="et-EE"/>
        </w:rPr>
        <w:t xml:space="preserve"> otsuse peatükkides </w:t>
      </w:r>
      <w:r w:rsidR="00653298">
        <w:rPr>
          <w:b/>
          <w:bCs/>
          <w:lang w:eastAsia="et-EE"/>
        </w:rPr>
        <w:t>7.5.2</w:t>
      </w:r>
      <w:r w:rsidRPr="00883566">
        <w:rPr>
          <w:b/>
          <w:bCs/>
          <w:lang w:eastAsia="et-EE"/>
        </w:rPr>
        <w:t xml:space="preserve"> nimetatud konkurentsiprobleemide lahendamise ning sideteenuste koostalitusvõime ja läbivühendatavuse toetamiseks ESS alusel:</w:t>
      </w:r>
    </w:p>
    <w:p w14:paraId="09431202" w14:textId="2C8EBE6E" w:rsidR="00175AA9" w:rsidRPr="00E71104" w:rsidRDefault="00F03958" w:rsidP="00E71104">
      <w:pPr>
        <w:numPr>
          <w:ilvl w:val="0"/>
          <w:numId w:val="54"/>
        </w:numPr>
        <w:autoSpaceDE w:val="0"/>
        <w:autoSpaceDN w:val="0"/>
        <w:adjustRightInd w:val="0"/>
        <w:spacing w:before="120" w:after="120" w:line="240" w:lineRule="auto"/>
        <w:ind w:left="924" w:hanging="357"/>
        <w:jc w:val="both"/>
        <w:rPr>
          <w:rFonts w:cs="Times New Roman"/>
          <w:b/>
          <w:bCs/>
          <w:lang w:eastAsia="et-EE"/>
        </w:rPr>
      </w:pPr>
      <w:r w:rsidRPr="00E71104">
        <w:rPr>
          <w:rFonts w:cs="Times New Roman"/>
          <w:b/>
          <w:bCs/>
        </w:rPr>
        <w:t xml:space="preserve">avaldama TTJA ja/või teise sideettevõtja nõudmisel otsuse peatükis </w:t>
      </w:r>
      <w:r w:rsidR="00653298" w:rsidRPr="00E71104">
        <w:rPr>
          <w:rFonts w:cs="Times New Roman"/>
          <w:b/>
          <w:bCs/>
        </w:rPr>
        <w:t>7</w:t>
      </w:r>
      <w:r w:rsidR="00AE1E05" w:rsidRPr="00E71104">
        <w:rPr>
          <w:rFonts w:cs="Times New Roman"/>
          <w:b/>
          <w:bCs/>
        </w:rPr>
        <w:t>.3.5</w:t>
      </w:r>
      <w:r w:rsidRPr="00E71104">
        <w:rPr>
          <w:rFonts w:cs="Times New Roman"/>
          <w:b/>
          <w:bCs/>
        </w:rPr>
        <w:t xml:space="preserve"> kohustatud</w:t>
      </w:r>
      <w:r w:rsidR="00AE1E05" w:rsidRPr="00E71104">
        <w:rPr>
          <w:b/>
          <w:bCs/>
          <w:lang w:eastAsia="et-EE"/>
        </w:rPr>
        <w:t xml:space="preserve"> </w:t>
      </w:r>
      <w:r w:rsidR="00171B61">
        <w:rPr>
          <w:b/>
          <w:bCs/>
          <w:lang w:eastAsia="et-EE"/>
        </w:rPr>
        <w:t>juurdepääsuga</w:t>
      </w:r>
      <w:r w:rsidRPr="00E71104">
        <w:rPr>
          <w:rFonts w:cs="Times New Roman"/>
          <w:b/>
          <w:bCs/>
        </w:rPr>
        <w:t xml:space="preserve"> seotud andmed kuluarvestuse, tehniliste tingimuste, </w:t>
      </w:r>
      <w:r w:rsidRPr="00E71104">
        <w:rPr>
          <w:rFonts w:cs="Times New Roman"/>
          <w:b/>
          <w:bCs/>
        </w:rPr>
        <w:lastRenderedPageBreak/>
        <w:t>võrgu omaduste ja arenduste, teenuse osutamise tingimuste ja tasude kohta, seejuures teisetele sideettevõtjatele ei pea avaldama Telia ärisaladusi</w:t>
      </w:r>
      <w:r w:rsidRPr="00E71104">
        <w:rPr>
          <w:rFonts w:cs="Times New Roman"/>
          <w:b/>
          <w:bCs/>
          <w:vertAlign w:val="superscript"/>
        </w:rPr>
        <w:footnoteReference w:id="175"/>
      </w:r>
      <w:r w:rsidRPr="00E71104">
        <w:rPr>
          <w:b/>
          <w:bCs/>
          <w:lang w:eastAsia="et-EE"/>
        </w:rPr>
        <w:t>;</w:t>
      </w:r>
    </w:p>
    <w:p w14:paraId="7878BD35" w14:textId="79872646" w:rsidR="00175AA9" w:rsidRPr="00E71104" w:rsidRDefault="00F03958" w:rsidP="00E71104">
      <w:pPr>
        <w:numPr>
          <w:ilvl w:val="0"/>
          <w:numId w:val="54"/>
        </w:numPr>
        <w:autoSpaceDE w:val="0"/>
        <w:autoSpaceDN w:val="0"/>
        <w:adjustRightInd w:val="0"/>
        <w:spacing w:before="120" w:after="120" w:line="240" w:lineRule="auto"/>
        <w:ind w:left="924" w:hanging="357"/>
        <w:jc w:val="both"/>
        <w:rPr>
          <w:rFonts w:cs="Times New Roman"/>
          <w:b/>
          <w:bCs/>
          <w:lang w:eastAsia="et-EE"/>
        </w:rPr>
      </w:pPr>
      <w:r w:rsidRPr="00E71104">
        <w:rPr>
          <w:b/>
          <w:bCs/>
          <w:lang w:eastAsia="et-EE"/>
        </w:rPr>
        <w:t xml:space="preserve">avaldama teise sideettevõtja taotluse korral teave peatükis </w:t>
      </w:r>
      <w:r w:rsidR="00653298" w:rsidRPr="00E71104">
        <w:rPr>
          <w:b/>
          <w:bCs/>
          <w:lang w:eastAsia="et-EE"/>
        </w:rPr>
        <w:t>7</w:t>
      </w:r>
      <w:r w:rsidR="00AE1E05" w:rsidRPr="00E71104">
        <w:rPr>
          <w:b/>
          <w:bCs/>
          <w:lang w:eastAsia="et-EE"/>
        </w:rPr>
        <w:t>.3.5</w:t>
      </w:r>
      <w:r w:rsidRPr="00E71104">
        <w:rPr>
          <w:b/>
          <w:bCs/>
          <w:lang w:eastAsia="et-EE"/>
        </w:rPr>
        <w:t xml:space="preserve"> kohustatud </w:t>
      </w:r>
      <w:r w:rsidR="00171B61">
        <w:rPr>
          <w:b/>
          <w:bCs/>
          <w:lang w:eastAsia="et-EE"/>
        </w:rPr>
        <w:t>juurdepääsu</w:t>
      </w:r>
      <w:r w:rsidRPr="00E71104">
        <w:rPr>
          <w:b/>
          <w:bCs/>
          <w:lang w:eastAsia="et-EE"/>
        </w:rPr>
        <w:t xml:space="preserve"> tehniliste tingimuste kohta esimese mõistlikult teostatava tähtaja jooksul ja mitte pikema tähtaja jooksul kui Telia avaldab vastavat teavet enda allüksustele, sealhulgas määratlema nimetatud teabe avaldamise tähtaeg oma näidispakkumises ja igal kalendriaastal</w:t>
      </w:r>
      <w:r w:rsidRPr="00E71104">
        <w:rPr>
          <w:b/>
          <w:bCs/>
          <w:vertAlign w:val="superscript"/>
          <w:lang w:eastAsia="et-EE"/>
        </w:rPr>
        <w:t xml:space="preserve"> </w:t>
      </w:r>
      <w:r w:rsidRPr="00E71104">
        <w:rPr>
          <w:b/>
          <w:bCs/>
          <w:lang w:eastAsia="et-EE"/>
        </w:rPr>
        <w:t>kontrollima selle vastavust enda allüksustele vastava teabe avaldamise ajaga ning vajadusel uuendama näidispakkumist</w:t>
      </w:r>
      <w:r w:rsidRPr="00E71104">
        <w:rPr>
          <w:b/>
          <w:bCs/>
          <w:vertAlign w:val="superscript"/>
          <w:lang w:eastAsia="et-EE"/>
        </w:rPr>
        <w:footnoteReference w:id="176"/>
      </w:r>
      <w:r w:rsidR="00C30173" w:rsidRPr="00C30173">
        <w:rPr>
          <w:rFonts w:cs="Times New Roman"/>
          <w:b/>
          <w:bCs/>
        </w:rPr>
        <w:t xml:space="preserve"> </w:t>
      </w:r>
      <w:r w:rsidR="00C30173">
        <w:rPr>
          <w:rFonts w:cs="Times New Roman"/>
          <w:b/>
          <w:bCs/>
        </w:rPr>
        <w:t xml:space="preserve">vt ka </w:t>
      </w:r>
      <w:r w:rsidR="008C159A">
        <w:rPr>
          <w:rFonts w:cs="Times New Roman"/>
          <w:b/>
          <w:bCs/>
        </w:rPr>
        <w:t xml:space="preserve">ptk. </w:t>
      </w:r>
      <w:r w:rsidR="00C30173">
        <w:rPr>
          <w:rFonts w:cs="Times New Roman"/>
          <w:b/>
          <w:bCs/>
        </w:rPr>
        <w:t>7.4.10</w:t>
      </w:r>
      <w:r w:rsidR="00171B61">
        <w:rPr>
          <w:rFonts w:cs="Times New Roman"/>
          <w:b/>
          <w:bCs/>
        </w:rPr>
        <w:t>.3</w:t>
      </w:r>
      <w:r w:rsidR="00C30173">
        <w:rPr>
          <w:rFonts w:cs="Times New Roman"/>
          <w:b/>
          <w:bCs/>
        </w:rPr>
        <w:t xml:space="preserve"> „</w:t>
      </w:r>
      <w:r w:rsidR="00C30173" w:rsidRPr="004365DE">
        <w:rPr>
          <w:rFonts w:cs="Times New Roman"/>
          <w:b/>
          <w:bCs/>
        </w:rPr>
        <w:t>Tulemusnäitajad, teenustaseme kokkulepped ja garantiid</w:t>
      </w:r>
      <w:r w:rsidR="00C30173">
        <w:rPr>
          <w:rFonts w:cs="Times New Roman"/>
          <w:b/>
          <w:bCs/>
        </w:rPr>
        <w:t>“</w:t>
      </w:r>
      <w:r w:rsidRPr="00E71104">
        <w:rPr>
          <w:b/>
          <w:bCs/>
          <w:lang w:eastAsia="et-EE"/>
        </w:rPr>
        <w:t>;</w:t>
      </w:r>
    </w:p>
    <w:p w14:paraId="5C5D1D6D" w14:textId="1ABA436E" w:rsidR="00175AA9" w:rsidRPr="00E71104" w:rsidRDefault="00F03958" w:rsidP="00E71104">
      <w:pPr>
        <w:numPr>
          <w:ilvl w:val="0"/>
          <w:numId w:val="54"/>
        </w:numPr>
        <w:autoSpaceDE w:val="0"/>
        <w:autoSpaceDN w:val="0"/>
        <w:adjustRightInd w:val="0"/>
        <w:spacing w:before="120" w:after="120" w:line="240" w:lineRule="auto"/>
        <w:ind w:left="924" w:hanging="357"/>
        <w:jc w:val="both"/>
        <w:rPr>
          <w:rFonts w:cs="Times New Roman"/>
          <w:b/>
          <w:bCs/>
          <w:lang w:eastAsia="et-EE"/>
        </w:rPr>
      </w:pPr>
      <w:r w:rsidRPr="00E71104">
        <w:rPr>
          <w:b/>
          <w:bCs/>
          <w:lang w:eastAsia="et-EE"/>
        </w:rPr>
        <w:t xml:space="preserve">kui Telia teeb eelmises punktis kirjeldatud tehniliste tingimuste välja selgitamisel kindlaks, et </w:t>
      </w:r>
      <w:r w:rsidR="00171B61">
        <w:rPr>
          <w:b/>
          <w:bCs/>
          <w:lang w:eastAsia="et-EE"/>
        </w:rPr>
        <w:t xml:space="preserve">taotletud </w:t>
      </w:r>
      <w:r w:rsidRPr="00E71104">
        <w:rPr>
          <w:b/>
          <w:bCs/>
          <w:lang w:eastAsia="et-EE"/>
        </w:rPr>
        <w:t>teenust ei ole võimalik osutada, peab Telia esitama vastava teabe koos põhjendustega taotluse esitanud sideettevõtjale;</w:t>
      </w:r>
    </w:p>
    <w:p w14:paraId="36FAD99F" w14:textId="44A45564" w:rsidR="00175AA9" w:rsidRPr="00E71104" w:rsidRDefault="00F03958" w:rsidP="00E71104">
      <w:pPr>
        <w:numPr>
          <w:ilvl w:val="0"/>
          <w:numId w:val="54"/>
        </w:numPr>
        <w:autoSpaceDE w:val="0"/>
        <w:autoSpaceDN w:val="0"/>
        <w:adjustRightInd w:val="0"/>
        <w:spacing w:before="120" w:after="120" w:line="240" w:lineRule="auto"/>
        <w:ind w:left="924" w:hanging="357"/>
        <w:jc w:val="both"/>
        <w:rPr>
          <w:rFonts w:cs="Times New Roman"/>
          <w:b/>
          <w:bCs/>
          <w:lang w:eastAsia="et-EE"/>
        </w:rPr>
      </w:pPr>
      <w:r w:rsidRPr="00E71104">
        <w:rPr>
          <w:b/>
          <w:bCs/>
          <w:lang w:eastAsia="et-EE"/>
        </w:rPr>
        <w:t xml:space="preserve">koostama ja avaldama peatükis </w:t>
      </w:r>
      <w:r w:rsidR="00653298" w:rsidRPr="00E71104">
        <w:rPr>
          <w:b/>
          <w:bCs/>
          <w:lang w:eastAsia="et-EE"/>
        </w:rPr>
        <w:t>7.3.5</w:t>
      </w:r>
      <w:r w:rsidRPr="00E71104">
        <w:rPr>
          <w:b/>
          <w:bCs/>
          <w:lang w:eastAsia="et-EE"/>
        </w:rPr>
        <w:t xml:space="preserve"> kohustatud </w:t>
      </w:r>
      <w:r w:rsidR="00171B61">
        <w:rPr>
          <w:b/>
          <w:bCs/>
          <w:lang w:eastAsia="et-EE"/>
        </w:rPr>
        <w:t>juurdepääsu</w:t>
      </w:r>
      <w:r w:rsidRPr="00E71104">
        <w:rPr>
          <w:b/>
          <w:bCs/>
          <w:lang w:eastAsia="et-EE"/>
        </w:rPr>
        <w:t xml:space="preserve"> teenuste näidispakkumine ja selle muudatused vastavalt ESS § 53 ning esita</w:t>
      </w:r>
      <w:r w:rsidR="007C3861">
        <w:rPr>
          <w:b/>
          <w:bCs/>
          <w:lang w:eastAsia="et-EE"/>
        </w:rPr>
        <w:t>m</w:t>
      </w:r>
      <w:r w:rsidRPr="00E71104">
        <w:rPr>
          <w:b/>
          <w:bCs/>
          <w:lang w:eastAsia="et-EE"/>
        </w:rPr>
        <w:t>a vastav näidispakkumine ja selle muudatused T</w:t>
      </w:r>
      <w:r w:rsidR="00114AF1">
        <w:rPr>
          <w:b/>
          <w:bCs/>
          <w:lang w:eastAsia="et-EE"/>
        </w:rPr>
        <w:t>T</w:t>
      </w:r>
      <w:r w:rsidRPr="00E71104">
        <w:rPr>
          <w:b/>
          <w:bCs/>
          <w:lang w:eastAsia="et-EE"/>
        </w:rPr>
        <w:t>JA-</w:t>
      </w:r>
      <w:proofErr w:type="spellStart"/>
      <w:r w:rsidR="00114AF1">
        <w:rPr>
          <w:b/>
          <w:bCs/>
          <w:lang w:eastAsia="et-EE"/>
        </w:rPr>
        <w:t>l</w:t>
      </w:r>
      <w:r w:rsidRPr="00E71104">
        <w:rPr>
          <w:b/>
          <w:bCs/>
          <w:lang w:eastAsia="et-EE"/>
        </w:rPr>
        <w:t>e</w:t>
      </w:r>
      <w:proofErr w:type="spellEnd"/>
      <w:r w:rsidRPr="00E71104">
        <w:rPr>
          <w:b/>
          <w:bCs/>
          <w:lang w:eastAsia="et-EE"/>
        </w:rPr>
        <w:t xml:space="preserve"> </w:t>
      </w:r>
      <w:r w:rsidR="00114AF1">
        <w:rPr>
          <w:b/>
          <w:bCs/>
          <w:lang w:eastAsia="et-EE"/>
        </w:rPr>
        <w:t xml:space="preserve">vähemalt </w:t>
      </w:r>
      <w:r w:rsidRPr="00E71104">
        <w:rPr>
          <w:b/>
          <w:bCs/>
          <w:lang w:eastAsia="et-EE"/>
        </w:rPr>
        <w:t>üks kuu enne avaldamist</w:t>
      </w:r>
      <w:r w:rsidRPr="00E71104">
        <w:rPr>
          <w:b/>
          <w:bCs/>
          <w:vertAlign w:val="superscript"/>
          <w:lang w:eastAsia="et-EE"/>
        </w:rPr>
        <w:footnoteReference w:id="177"/>
      </w:r>
      <w:r w:rsidRPr="00E71104">
        <w:rPr>
          <w:b/>
          <w:bCs/>
          <w:lang w:eastAsia="et-EE"/>
        </w:rPr>
        <w:t>;</w:t>
      </w:r>
    </w:p>
    <w:p w14:paraId="29E9E4BB" w14:textId="5E3804FE" w:rsidR="00E85705" w:rsidRPr="00E71104" w:rsidRDefault="00F03958" w:rsidP="00E71104">
      <w:pPr>
        <w:numPr>
          <w:ilvl w:val="0"/>
          <w:numId w:val="54"/>
        </w:numPr>
        <w:autoSpaceDE w:val="0"/>
        <w:autoSpaceDN w:val="0"/>
        <w:adjustRightInd w:val="0"/>
        <w:spacing w:before="120" w:after="120" w:line="240" w:lineRule="auto"/>
        <w:ind w:left="924" w:hanging="357"/>
        <w:jc w:val="both"/>
        <w:rPr>
          <w:rFonts w:cs="Times New Roman"/>
          <w:b/>
          <w:bCs/>
          <w:lang w:eastAsia="et-EE"/>
        </w:rPr>
      </w:pPr>
      <w:r w:rsidRPr="00E71104">
        <w:rPr>
          <w:b/>
          <w:bCs/>
          <w:lang w:eastAsia="et-EE"/>
        </w:rPr>
        <w:t>eelmises punktis nimetatud näidispakkumi</w:t>
      </w:r>
      <w:r w:rsidR="00B46C85">
        <w:rPr>
          <w:b/>
          <w:bCs/>
          <w:lang w:eastAsia="et-EE"/>
        </w:rPr>
        <w:t>s</w:t>
      </w:r>
      <w:r w:rsidRPr="00E71104">
        <w:rPr>
          <w:b/>
          <w:bCs/>
          <w:lang w:eastAsia="et-EE"/>
        </w:rPr>
        <w:t xml:space="preserve">e </w:t>
      </w:r>
      <w:r w:rsidRPr="00E71104">
        <w:rPr>
          <w:rFonts w:cs="Times New Roman"/>
          <w:b/>
          <w:bCs/>
        </w:rPr>
        <w:t>andmekooseis peab vastama ESS § 53 lõikele 7</w:t>
      </w:r>
      <w:r w:rsidR="00E85705" w:rsidRPr="00E71104">
        <w:rPr>
          <w:rFonts w:cs="Times New Roman"/>
          <w:b/>
          <w:bCs/>
        </w:rPr>
        <w:t>;</w:t>
      </w:r>
    </w:p>
    <w:p w14:paraId="030796F5" w14:textId="77777777" w:rsidR="001A33E1" w:rsidRPr="00E71104" w:rsidRDefault="00F03958" w:rsidP="00E71104">
      <w:pPr>
        <w:numPr>
          <w:ilvl w:val="0"/>
          <w:numId w:val="54"/>
        </w:numPr>
        <w:autoSpaceDE w:val="0"/>
        <w:autoSpaceDN w:val="0"/>
        <w:adjustRightInd w:val="0"/>
        <w:spacing w:before="120" w:after="120" w:line="240" w:lineRule="auto"/>
        <w:ind w:left="924" w:hanging="357"/>
        <w:jc w:val="both"/>
        <w:rPr>
          <w:rFonts w:cs="Times New Roman"/>
          <w:b/>
          <w:bCs/>
          <w:lang w:eastAsia="et-EE"/>
        </w:rPr>
      </w:pPr>
      <w:r w:rsidRPr="00E71104">
        <w:rPr>
          <w:b/>
          <w:bCs/>
          <w:lang w:eastAsia="et-EE"/>
        </w:rPr>
        <w:t>avaldama näidispakkumise oma veebilehel või selle puudumisel muul mõistlikul viisil ning esitama TTJA nõudmisel ärakirja sõlmitud juurdepääsulepingust</w:t>
      </w:r>
      <w:r w:rsidRPr="00E71104">
        <w:rPr>
          <w:rStyle w:val="Allmrkuseviide"/>
          <w:rFonts w:cs="Times New Roman"/>
          <w:b/>
          <w:bCs/>
          <w:lang w:eastAsia="et-EE"/>
        </w:rPr>
        <w:footnoteReference w:id="178"/>
      </w:r>
      <w:r w:rsidR="001A33E1" w:rsidRPr="00E71104">
        <w:rPr>
          <w:rFonts w:cs="Times New Roman"/>
          <w:b/>
          <w:bCs/>
          <w:lang w:eastAsia="et-EE"/>
        </w:rPr>
        <w:t>;</w:t>
      </w:r>
    </w:p>
    <w:p w14:paraId="7F40F4D6" w14:textId="5C2EA9B8" w:rsidR="00F03958" w:rsidRPr="00E71104" w:rsidRDefault="00F03958" w:rsidP="00E71104">
      <w:pPr>
        <w:numPr>
          <w:ilvl w:val="0"/>
          <w:numId w:val="54"/>
        </w:numPr>
        <w:autoSpaceDE w:val="0"/>
        <w:autoSpaceDN w:val="0"/>
        <w:adjustRightInd w:val="0"/>
        <w:spacing w:before="120" w:after="120" w:line="240" w:lineRule="auto"/>
        <w:ind w:left="924" w:hanging="357"/>
        <w:jc w:val="both"/>
        <w:rPr>
          <w:rFonts w:cs="Times New Roman"/>
          <w:b/>
          <w:bCs/>
          <w:lang w:eastAsia="et-EE"/>
        </w:rPr>
      </w:pPr>
      <w:r w:rsidRPr="00E71104">
        <w:rPr>
          <w:b/>
          <w:bCs/>
          <w:lang w:eastAsia="et-EE"/>
        </w:rPr>
        <w:t>esitama TTJA-</w:t>
      </w:r>
      <w:proofErr w:type="spellStart"/>
      <w:r w:rsidRPr="00E71104">
        <w:rPr>
          <w:b/>
          <w:bCs/>
          <w:lang w:eastAsia="et-EE"/>
        </w:rPr>
        <w:t>le</w:t>
      </w:r>
      <w:proofErr w:type="spellEnd"/>
      <w:r w:rsidRPr="00E71104">
        <w:rPr>
          <w:b/>
          <w:bCs/>
          <w:lang w:eastAsia="et-EE"/>
        </w:rPr>
        <w:t xml:space="preserve"> ärakirja näidispakkumisest erinevatel tingimustel sõlmitud juurdepääsulepingust</w:t>
      </w:r>
      <w:r w:rsidR="00B46C85">
        <w:rPr>
          <w:rStyle w:val="Allmrkuseviide"/>
          <w:rFonts w:cs="Times New Roman"/>
          <w:b/>
          <w:bCs/>
          <w:lang w:eastAsia="et-EE"/>
        </w:rPr>
        <w:footnoteReference w:id="179"/>
      </w:r>
      <w:r w:rsidRPr="00E71104">
        <w:rPr>
          <w:rFonts w:cs="Times New Roman"/>
          <w:b/>
          <w:bCs/>
          <w:lang w:eastAsia="et-EE"/>
        </w:rPr>
        <w:t>.</w:t>
      </w:r>
    </w:p>
    <w:p w14:paraId="79FDAF7F" w14:textId="77777777" w:rsidR="00F03958" w:rsidRPr="00883566" w:rsidRDefault="00F03958" w:rsidP="00AA241E">
      <w:pPr>
        <w:spacing w:before="120" w:after="120"/>
        <w:jc w:val="both"/>
        <w:rPr>
          <w:rFonts w:cs="Times New Roman"/>
          <w:b/>
          <w:bCs/>
          <w:i/>
          <w:iCs/>
          <w:lang w:eastAsia="et-EE"/>
        </w:rPr>
      </w:pPr>
    </w:p>
    <w:p w14:paraId="1442A1C9" w14:textId="77777777" w:rsidR="00F03958" w:rsidRPr="00D47CE9" w:rsidRDefault="00F03958" w:rsidP="00AA241E">
      <w:pPr>
        <w:spacing w:before="120" w:after="120"/>
        <w:jc w:val="both"/>
        <w:rPr>
          <w:rFonts w:cs="Times New Roman"/>
          <w:b/>
          <w:bCs/>
          <w:lang w:eastAsia="et-EE"/>
        </w:rPr>
      </w:pPr>
      <w:r w:rsidRPr="00D47CE9">
        <w:rPr>
          <w:rFonts w:cs="Times New Roman"/>
          <w:b/>
          <w:bCs/>
          <w:lang w:eastAsia="et-EE"/>
        </w:rPr>
        <w:t>Vastavalt ESS § 53 lõikele 3 on sideettevõtjatel õigus vastastikusel kokkuleppel sõlmida juurdepääsuleping ka näidispakkumisest erinevatel tingimustel, kui sõlmitava lepingu tingimused ei ole vastuolus näidispakkumise avaldamise kohustuse eesmärkidega</w:t>
      </w:r>
      <w:r w:rsidRPr="00D47CE9">
        <w:rPr>
          <w:rStyle w:val="Allmrkuseviide"/>
          <w:rFonts w:cs="Times New Roman"/>
          <w:b/>
          <w:bCs/>
          <w:lang w:eastAsia="et-EE"/>
        </w:rPr>
        <w:footnoteReference w:id="180"/>
      </w:r>
      <w:r w:rsidRPr="00D47CE9">
        <w:rPr>
          <w:rFonts w:cs="Times New Roman"/>
          <w:b/>
          <w:bCs/>
          <w:lang w:eastAsia="et-EE"/>
        </w:rPr>
        <w:t>.</w:t>
      </w:r>
    </w:p>
    <w:p w14:paraId="5B455F3B" w14:textId="77777777" w:rsidR="00F03958" w:rsidRPr="00883566" w:rsidRDefault="00F03958" w:rsidP="00AA241E">
      <w:pPr>
        <w:autoSpaceDE w:val="0"/>
        <w:autoSpaceDN w:val="0"/>
        <w:adjustRightInd w:val="0"/>
        <w:spacing w:before="120" w:after="120" w:line="240" w:lineRule="auto"/>
        <w:jc w:val="both"/>
        <w:rPr>
          <w:b/>
          <w:bCs/>
          <w:lang w:eastAsia="et-EE"/>
        </w:rPr>
      </w:pPr>
    </w:p>
    <w:p w14:paraId="0F6331A7" w14:textId="58E25C26" w:rsidR="00F03958" w:rsidRPr="00883566" w:rsidRDefault="00F03958" w:rsidP="00AA241E">
      <w:pPr>
        <w:autoSpaceDE w:val="0"/>
        <w:autoSpaceDN w:val="0"/>
        <w:adjustRightInd w:val="0"/>
        <w:spacing w:before="120" w:after="120" w:line="240" w:lineRule="auto"/>
        <w:jc w:val="both"/>
        <w:rPr>
          <w:b/>
          <w:bCs/>
          <w:lang w:eastAsia="et-EE"/>
        </w:rPr>
      </w:pPr>
      <w:r w:rsidRPr="00883566">
        <w:rPr>
          <w:b/>
          <w:bCs/>
          <w:lang w:eastAsia="et-EE"/>
        </w:rPr>
        <w:t xml:space="preserve">Vastavalt ESS § 53 lõikele 5 on </w:t>
      </w:r>
      <w:r w:rsidR="00171B61">
        <w:rPr>
          <w:b/>
          <w:bCs/>
          <w:lang w:eastAsia="et-EE"/>
        </w:rPr>
        <w:t>T</w:t>
      </w:r>
      <w:r w:rsidRPr="00883566">
        <w:rPr>
          <w:b/>
          <w:bCs/>
          <w:lang w:eastAsia="et-EE"/>
        </w:rPr>
        <w:t>TJA-l õigus nõuda sideettevõtjalt muudatuste tegemist näidispakkumisse, kui see ei ole kooskõlas näidispakkumise avaldamise kohustuse eesmärkidega.</w:t>
      </w:r>
    </w:p>
    <w:p w14:paraId="6B7497A0" w14:textId="77777777" w:rsidR="00F03958" w:rsidRPr="00883566" w:rsidRDefault="00F03958" w:rsidP="00AA241E">
      <w:pPr>
        <w:autoSpaceDE w:val="0"/>
        <w:autoSpaceDN w:val="0"/>
        <w:adjustRightInd w:val="0"/>
        <w:spacing w:before="120" w:after="120" w:line="240" w:lineRule="auto"/>
        <w:jc w:val="both"/>
        <w:rPr>
          <w:b/>
          <w:bCs/>
          <w:lang w:eastAsia="et-EE"/>
        </w:rPr>
      </w:pPr>
    </w:p>
    <w:p w14:paraId="72E9CBA9" w14:textId="77777777" w:rsidR="00F03958" w:rsidRPr="00883566" w:rsidRDefault="00F03958" w:rsidP="00AA241E">
      <w:pPr>
        <w:jc w:val="both"/>
      </w:pPr>
    </w:p>
    <w:p w14:paraId="0E36FA06" w14:textId="5072E0D8" w:rsidR="00F03958" w:rsidRPr="00883566" w:rsidRDefault="00F03958" w:rsidP="00AA241E">
      <w:pPr>
        <w:pStyle w:val="Pealkiri2"/>
        <w:jc w:val="both"/>
      </w:pPr>
      <w:bookmarkStart w:id="1013" w:name="_Toc174710849"/>
      <w:r w:rsidRPr="00883566">
        <w:lastRenderedPageBreak/>
        <w:t>Hinnakohustused</w:t>
      </w:r>
      <w:bookmarkEnd w:id="1013"/>
    </w:p>
    <w:p w14:paraId="6E2273BF" w14:textId="77777777" w:rsidR="00F03958" w:rsidRPr="00883566" w:rsidRDefault="00F03958" w:rsidP="00AA241E">
      <w:pPr>
        <w:spacing w:line="259" w:lineRule="auto"/>
        <w:jc w:val="both"/>
        <w:rPr>
          <w:rFonts w:cs="Times New Roman"/>
        </w:rPr>
      </w:pPr>
    </w:p>
    <w:p w14:paraId="3ABF4FBD" w14:textId="2E4EFD8F" w:rsidR="00F03958" w:rsidRPr="00883566" w:rsidRDefault="00F03958" w:rsidP="00AA241E">
      <w:pPr>
        <w:spacing w:line="259" w:lineRule="auto"/>
        <w:jc w:val="both"/>
        <w:rPr>
          <w:rFonts w:cs="Times New Roman"/>
          <w:lang w:eastAsia="en-US"/>
        </w:rPr>
      </w:pPr>
      <w:r w:rsidRPr="00883566">
        <w:rPr>
          <w:rFonts w:cs="Times New Roman"/>
        </w:rPr>
        <w:t xml:space="preserve">Käesoleva otsuse koostamise ajal kehtivad Telia hulgituru 1 teenustele hinnakohustused TTJA 2017 hulgituru 1 otsuse alusel. Lähtudes käesoleva otsuse </w:t>
      </w:r>
      <w:r w:rsidR="008C159A">
        <w:rPr>
          <w:rFonts w:cs="Times New Roman"/>
        </w:rPr>
        <w:t>ptk.-</w:t>
      </w:r>
      <w:r w:rsidRPr="00883566">
        <w:rPr>
          <w:rFonts w:cs="Times New Roman"/>
        </w:rPr>
        <w:t xml:space="preserve">st </w:t>
      </w:r>
      <w:r w:rsidR="00653298">
        <w:rPr>
          <w:rFonts w:cs="Times New Roman"/>
        </w:rPr>
        <w:t>7</w:t>
      </w:r>
      <w:r w:rsidR="00DD787E">
        <w:rPr>
          <w:rFonts w:cs="Times New Roman"/>
        </w:rPr>
        <w:t>.1.2</w:t>
      </w:r>
      <w:r w:rsidRPr="00883566">
        <w:rPr>
          <w:rFonts w:cs="Times New Roman"/>
        </w:rPr>
        <w:t xml:space="preserve"> tunnistatakse TTJA 2017 hulgituru 1 otsus ja selles kehtestatud kohustused kehtetuks. Käesolevas otsuses kehtestatavad kohustused on suunatud Telia </w:t>
      </w:r>
      <w:r w:rsidR="00A3232C">
        <w:rPr>
          <w:rFonts w:cs="Times New Roman"/>
        </w:rPr>
        <w:t>valguskaabelvõrgu</w:t>
      </w:r>
      <w:r w:rsidRPr="00883566">
        <w:rPr>
          <w:rFonts w:cs="Times New Roman"/>
        </w:rPr>
        <w:t xml:space="preserve">s kliendiliinile juurdepääsu </w:t>
      </w:r>
      <w:r w:rsidR="004006B4">
        <w:rPr>
          <w:rFonts w:cs="Times New Roman"/>
        </w:rPr>
        <w:t>hulgi</w:t>
      </w:r>
      <w:r w:rsidR="004A518B">
        <w:rPr>
          <w:rFonts w:cs="Times New Roman"/>
        </w:rPr>
        <w:t>teenustele</w:t>
      </w:r>
      <w:r w:rsidRPr="00883566">
        <w:rPr>
          <w:rFonts w:cs="Times New Roman"/>
        </w:rPr>
        <w:t xml:space="preserve"> piirkonnas B. Järgnevalt analüüsitakse ja tuvastatakse konkurentsiprobleemide vältimiseks ja konkurentsi edendamiseks asjakohaste kohustused võttes arvesse TTJA 2017 hulgituru 1 otsuses sätestatud kohustusi, uut EK 2024 kohustuste soovitust ning TTJA 2021 hulgituru 1 otsuse eelnõus ja TTJA 2023 hulgituru 1 otsuse eelnõus kajastatud sideettevõtjate arvamusi võimalike konkurentsiprobleemide osas. TTJA hinnangul on kohustuste järjepidevuse tagamiseks mõistlik ja proportsionaalne lähtuda TTJA 2017 hulgituru 1 otsuses sätestatud kohustustest neid vajadusel muutes ja/või täiendades.</w:t>
      </w:r>
    </w:p>
    <w:p w14:paraId="5862C81F" w14:textId="182383AF" w:rsidR="00F03958" w:rsidRPr="00883566" w:rsidRDefault="00F03958" w:rsidP="00AA241E">
      <w:pPr>
        <w:spacing w:line="259" w:lineRule="auto"/>
        <w:jc w:val="both"/>
        <w:rPr>
          <w:rFonts w:cs="Times New Roman"/>
        </w:rPr>
      </w:pPr>
      <w:r w:rsidRPr="00883566">
        <w:rPr>
          <w:rFonts w:cs="Times New Roman"/>
        </w:rPr>
        <w:t xml:space="preserve">Täpsemalt kehtivad Teliale käesoleva otsuse koostamise ajal TTJA 2017 hulgituru 1 otsuse lisa 1 </w:t>
      </w:r>
      <w:r w:rsidR="008C159A">
        <w:rPr>
          <w:rFonts w:cs="Times New Roman"/>
        </w:rPr>
        <w:t xml:space="preserve">ptk. </w:t>
      </w:r>
      <w:r w:rsidRPr="00883566">
        <w:rPr>
          <w:rFonts w:cs="Times New Roman"/>
        </w:rPr>
        <w:t>6.5.4 alusel järgmised hinnakohustused:</w:t>
      </w:r>
    </w:p>
    <w:p w14:paraId="60A42B85" w14:textId="77777777" w:rsidR="00F03958" w:rsidRPr="00883566" w:rsidRDefault="00F03958" w:rsidP="00AA241E">
      <w:pPr>
        <w:jc w:val="both"/>
        <w:rPr>
          <w:lang w:eastAsia="en-US"/>
        </w:rPr>
      </w:pPr>
    </w:p>
    <w:p w14:paraId="15267A7D" w14:textId="221F0208" w:rsidR="00F03958" w:rsidRPr="00883566" w:rsidRDefault="00F03958" w:rsidP="00AA241E">
      <w:pPr>
        <w:autoSpaceDE w:val="0"/>
        <w:autoSpaceDN w:val="0"/>
        <w:adjustRightInd w:val="0"/>
        <w:spacing w:before="120" w:after="120" w:line="240" w:lineRule="auto"/>
        <w:ind w:left="360"/>
        <w:jc w:val="both"/>
        <w:rPr>
          <w:i/>
          <w:iCs/>
          <w:lang w:eastAsia="et-EE"/>
        </w:rPr>
      </w:pPr>
      <w:r w:rsidRPr="00883566">
        <w:rPr>
          <w:i/>
          <w:iCs/>
          <w:lang w:eastAsia="et-EE"/>
        </w:rPr>
        <w:t xml:space="preserve">343. TJA otsustab kehtestada Teliale kindlaksmääratud asukohas kohaliku juurdepääsu hulgiturul otsuse peatükis </w:t>
      </w:r>
      <w:r w:rsidRPr="00883566">
        <w:rPr>
          <w:i/>
          <w:iCs/>
          <w:lang w:eastAsia="et-EE"/>
        </w:rPr>
        <w:fldChar w:fldCharType="begin"/>
      </w:r>
      <w:r w:rsidRPr="00883566">
        <w:rPr>
          <w:i/>
          <w:iCs/>
          <w:lang w:eastAsia="et-EE"/>
        </w:rPr>
        <w:instrText xml:space="preserve"> REF _Ref465422104 \h  \* MERGEFORMAT </w:instrText>
      </w:r>
      <w:r w:rsidRPr="00883566">
        <w:rPr>
          <w:i/>
          <w:iCs/>
          <w:lang w:eastAsia="et-EE"/>
        </w:rPr>
      </w:r>
      <w:r w:rsidRPr="00883566">
        <w:rPr>
          <w:i/>
          <w:iCs/>
          <w:lang w:eastAsia="et-EE"/>
        </w:rPr>
        <w:fldChar w:fldCharType="separate"/>
      </w:r>
      <w:r w:rsidRPr="00883566">
        <w:rPr>
          <w:i/>
          <w:iCs/>
        </w:rPr>
        <w:t>6.5.2. Hinnaga seotud konkurentsiprobleemid ja hindade analüüs</w:t>
      </w:r>
      <w:r w:rsidRPr="00883566">
        <w:rPr>
          <w:i/>
          <w:iCs/>
          <w:lang w:eastAsia="et-EE"/>
        </w:rPr>
        <w:fldChar w:fldCharType="end"/>
      </w:r>
      <w:r w:rsidRPr="00883566">
        <w:rPr>
          <w:i/>
          <w:iCs/>
          <w:lang w:eastAsia="et-EE"/>
        </w:rPr>
        <w:t>“  kirjeldatud konkurentsiprobleemide vältimiseks ning lõppkasutajate huvide kaitseks ESS § 50 lg 1 punktis 4 sätestatud kulude eraldi arvestuse kohustuse ning ESS § 50 lg 1 punktis 7 sätestatud kuludele orienteeritud tasudega seotud kohustuse.</w:t>
      </w:r>
    </w:p>
    <w:p w14:paraId="0035D9D7" w14:textId="77777777" w:rsidR="00F03958" w:rsidRPr="00883566" w:rsidRDefault="00F03958" w:rsidP="00AA241E">
      <w:pPr>
        <w:autoSpaceDE w:val="0"/>
        <w:autoSpaceDN w:val="0"/>
        <w:adjustRightInd w:val="0"/>
        <w:spacing w:before="120" w:after="120" w:line="240" w:lineRule="auto"/>
        <w:ind w:left="360"/>
        <w:jc w:val="both"/>
        <w:rPr>
          <w:i/>
          <w:iCs/>
          <w:lang w:eastAsia="et-EE"/>
        </w:rPr>
      </w:pPr>
      <w:r w:rsidRPr="00883566">
        <w:rPr>
          <w:i/>
          <w:iCs/>
          <w:lang w:eastAsia="et-EE"/>
        </w:rPr>
        <w:t>344. Kulude eraldi arvestuse ja kuludele orienteeritud tasude kohustuse raames otsustab TJA kohustada Teliat järgmisteks tegevusteks:</w:t>
      </w:r>
    </w:p>
    <w:p w14:paraId="2CF2CB13" w14:textId="77777777" w:rsidR="00F03958" w:rsidRPr="00883566" w:rsidRDefault="00F03958" w:rsidP="00AA241E">
      <w:pPr>
        <w:numPr>
          <w:ilvl w:val="0"/>
          <w:numId w:val="7"/>
        </w:numPr>
        <w:tabs>
          <w:tab w:val="clear" w:pos="1505"/>
          <w:tab w:val="num" w:pos="720"/>
          <w:tab w:val="num" w:pos="2290"/>
        </w:tabs>
        <w:autoSpaceDE w:val="0"/>
        <w:autoSpaceDN w:val="0"/>
        <w:adjustRightInd w:val="0"/>
        <w:spacing w:before="120" w:after="120" w:line="240" w:lineRule="auto"/>
        <w:ind w:left="1264" w:hanging="357"/>
        <w:jc w:val="both"/>
        <w:rPr>
          <w:i/>
          <w:iCs/>
          <w:lang w:eastAsia="et-EE"/>
        </w:rPr>
      </w:pPr>
      <w:r w:rsidRPr="00883566">
        <w:rPr>
          <w:i/>
          <w:iCs/>
          <w:lang w:eastAsia="et-EE"/>
        </w:rPr>
        <w:t>Telia peab rakendama teistele sideettevõtjatele ja enda üksustele osutatavate vaskpaarile, valguskaabli fiidersegmendi kiule ja kaablikanalisatsioonile juurdepääsu teenuste kulude eraldi arvestamiseks otsuse lisas 5 toodud TD HC FDC meetodit;</w:t>
      </w:r>
    </w:p>
    <w:p w14:paraId="796553B2" w14:textId="77777777" w:rsidR="00F03958" w:rsidRPr="00883566" w:rsidRDefault="00F03958" w:rsidP="00AA241E">
      <w:pPr>
        <w:numPr>
          <w:ilvl w:val="0"/>
          <w:numId w:val="7"/>
        </w:numPr>
        <w:tabs>
          <w:tab w:val="clear" w:pos="1505"/>
          <w:tab w:val="num" w:pos="720"/>
          <w:tab w:val="num" w:pos="2290"/>
        </w:tabs>
        <w:autoSpaceDE w:val="0"/>
        <w:autoSpaceDN w:val="0"/>
        <w:adjustRightInd w:val="0"/>
        <w:spacing w:before="120" w:after="120" w:line="240" w:lineRule="auto"/>
        <w:ind w:left="1264" w:hanging="357"/>
        <w:jc w:val="both"/>
        <w:rPr>
          <w:i/>
          <w:iCs/>
          <w:lang w:eastAsia="et-EE"/>
        </w:rPr>
      </w:pPr>
      <w:r w:rsidRPr="00883566">
        <w:rPr>
          <w:i/>
          <w:iCs/>
          <w:lang w:eastAsia="et-EE"/>
        </w:rPr>
        <w:t>Telia peab rakendama teistele sideettevõtjatele osutavatele vaskpaarile, valguskaabli fiidersegmendi kiule ja kaablikanalisatsioonile juurdepääsu teenustele hindasid, mis ei ole kõrgemad kui otsuse lisas 5 toodud TD HC FDC meetodi põhised kuludele orienteeritud hinnad;</w:t>
      </w:r>
    </w:p>
    <w:p w14:paraId="3F48B9F1" w14:textId="77777777" w:rsidR="00F03958" w:rsidRPr="00883566" w:rsidRDefault="00F03958" w:rsidP="00AA241E">
      <w:pPr>
        <w:numPr>
          <w:ilvl w:val="0"/>
          <w:numId w:val="7"/>
        </w:numPr>
        <w:tabs>
          <w:tab w:val="clear" w:pos="1505"/>
          <w:tab w:val="num" w:pos="720"/>
          <w:tab w:val="num" w:pos="2290"/>
        </w:tabs>
        <w:autoSpaceDE w:val="0"/>
        <w:autoSpaceDN w:val="0"/>
        <w:adjustRightInd w:val="0"/>
        <w:spacing w:before="120" w:after="120" w:line="240" w:lineRule="auto"/>
        <w:ind w:left="1264" w:hanging="357"/>
        <w:jc w:val="both"/>
        <w:rPr>
          <w:i/>
          <w:iCs/>
          <w:lang w:eastAsia="et-EE"/>
        </w:rPr>
      </w:pPr>
      <w:r w:rsidRPr="00883566">
        <w:rPr>
          <w:i/>
          <w:iCs/>
          <w:lang w:eastAsia="et-EE"/>
        </w:rPr>
        <w:t>Telia võib rakendada vaskpaarile, valguskaabli fiidersegmendi kiule ja kaablikanalisatsioonile juurdepääsu teenustele allahindluseid, kui need on tegevuspõhised;</w:t>
      </w:r>
    </w:p>
    <w:p w14:paraId="64122A24" w14:textId="77777777" w:rsidR="00F03958" w:rsidRPr="00883566" w:rsidRDefault="00F03958" w:rsidP="00AA241E">
      <w:pPr>
        <w:numPr>
          <w:ilvl w:val="0"/>
          <w:numId w:val="7"/>
        </w:numPr>
        <w:tabs>
          <w:tab w:val="clear" w:pos="1505"/>
          <w:tab w:val="num" w:pos="720"/>
          <w:tab w:val="num" w:pos="2290"/>
        </w:tabs>
        <w:autoSpaceDE w:val="0"/>
        <w:autoSpaceDN w:val="0"/>
        <w:adjustRightInd w:val="0"/>
        <w:spacing w:before="120" w:after="120" w:line="240" w:lineRule="auto"/>
        <w:ind w:left="1264" w:hanging="357"/>
        <w:jc w:val="both"/>
        <w:rPr>
          <w:i/>
          <w:iCs/>
          <w:lang w:eastAsia="et-EE"/>
        </w:rPr>
      </w:pPr>
      <w:r w:rsidRPr="00883566">
        <w:rPr>
          <w:i/>
          <w:iCs/>
          <w:lang w:eastAsia="et-EE"/>
        </w:rPr>
        <w:t>Telia võib rakendada vaskpaarile, valguskaabli fiidersegmendi kiule ja kaablikanalisatsioonile juurdepääsu teenustele erinevaid hindasid, kui need on põhjendatud kvaliteedi erinevustega ja/või piirkondlike iseärasustega;</w:t>
      </w:r>
    </w:p>
    <w:p w14:paraId="27E78DE2" w14:textId="77777777" w:rsidR="00F03958" w:rsidRPr="00883566" w:rsidRDefault="00F03958" w:rsidP="00AA241E">
      <w:pPr>
        <w:numPr>
          <w:ilvl w:val="0"/>
          <w:numId w:val="7"/>
        </w:numPr>
        <w:tabs>
          <w:tab w:val="clear" w:pos="1505"/>
          <w:tab w:val="num" w:pos="720"/>
          <w:tab w:val="num" w:pos="2290"/>
        </w:tabs>
        <w:autoSpaceDE w:val="0"/>
        <w:autoSpaceDN w:val="0"/>
        <w:adjustRightInd w:val="0"/>
        <w:spacing w:before="120" w:after="120" w:line="240" w:lineRule="auto"/>
        <w:ind w:left="1264" w:hanging="357"/>
        <w:jc w:val="both"/>
        <w:rPr>
          <w:i/>
          <w:iCs/>
          <w:lang w:eastAsia="et-EE"/>
        </w:rPr>
      </w:pPr>
      <w:r w:rsidRPr="00883566">
        <w:rPr>
          <w:i/>
          <w:iCs/>
          <w:lang w:eastAsia="et-EE"/>
        </w:rPr>
        <w:t xml:space="preserve">Telia vaskpaarile, valguskaabli fiidersegmendi kiule ja kaablikanalisatsioonile juurdepääsu teenuste kasutamiseks vajalikele teenustele (sealhulgas juurdepääs </w:t>
      </w:r>
      <w:r w:rsidRPr="00883566">
        <w:rPr>
          <w:i/>
          <w:iCs/>
          <w:lang w:eastAsia="et-EE"/>
        </w:rPr>
        <w:lastRenderedPageBreak/>
        <w:t xml:space="preserve">vajalikele </w:t>
      </w:r>
      <w:proofErr w:type="spellStart"/>
      <w:r w:rsidRPr="00883566">
        <w:rPr>
          <w:i/>
          <w:iCs/>
          <w:lang w:eastAsia="et-EE"/>
        </w:rPr>
        <w:t>ühispaiknemisele</w:t>
      </w:r>
      <w:proofErr w:type="spellEnd"/>
      <w:r w:rsidRPr="00883566">
        <w:rPr>
          <w:i/>
          <w:iCs/>
          <w:lang w:eastAsia="et-EE"/>
        </w:rPr>
        <w:t>, tugisüsteemidele ja tarkvarasüsteemidele), samuti liitumisteenustele hindade arvestamisel tagama, et teenuse hind ei sisaldaks selle teenuse osutamiseks mittevajalikke kulusid ja teenusele omistatakse ainult need kulud, mis on teenuse osutamiseks otstarbekad ja efektiivsed, sealjuures on lubatud põhjendatud tulukus kooskõlas otsuse lisa 5 punktiga 4.3;</w:t>
      </w:r>
    </w:p>
    <w:p w14:paraId="793AD2AB" w14:textId="77777777" w:rsidR="00F03958" w:rsidRPr="00883566" w:rsidRDefault="00F03958" w:rsidP="00AA241E">
      <w:pPr>
        <w:numPr>
          <w:ilvl w:val="0"/>
          <w:numId w:val="7"/>
        </w:numPr>
        <w:tabs>
          <w:tab w:val="clear" w:pos="1505"/>
          <w:tab w:val="num" w:pos="720"/>
          <w:tab w:val="num" w:pos="2290"/>
        </w:tabs>
        <w:autoSpaceDE w:val="0"/>
        <w:autoSpaceDN w:val="0"/>
        <w:adjustRightInd w:val="0"/>
        <w:spacing w:before="120" w:after="120" w:line="240" w:lineRule="auto"/>
        <w:ind w:left="1264" w:hanging="357"/>
        <w:jc w:val="both"/>
        <w:rPr>
          <w:i/>
          <w:iCs/>
          <w:lang w:eastAsia="et-EE"/>
        </w:rPr>
      </w:pPr>
      <w:r w:rsidRPr="00883566">
        <w:rPr>
          <w:i/>
          <w:iCs/>
          <w:lang w:eastAsia="et-EE"/>
        </w:rPr>
        <w:t>Telia ei või liitumishindadesse arvestada vaskpaaride, valguskaabli fiidersegmendi kiu ja kaablikanalisatsiooni kulusid, mille märkimisväärse turujõuga ettevõtja võtab arvele oma põhivarana ja millelt  arvestatakse kulumit;</w:t>
      </w:r>
    </w:p>
    <w:p w14:paraId="60B0D378" w14:textId="77777777" w:rsidR="00F03958" w:rsidRPr="00883566" w:rsidRDefault="00F03958" w:rsidP="00AA241E">
      <w:pPr>
        <w:numPr>
          <w:ilvl w:val="0"/>
          <w:numId w:val="7"/>
        </w:numPr>
        <w:tabs>
          <w:tab w:val="clear" w:pos="1505"/>
          <w:tab w:val="num" w:pos="720"/>
          <w:tab w:val="num" w:pos="2290"/>
        </w:tabs>
        <w:autoSpaceDE w:val="0"/>
        <w:autoSpaceDN w:val="0"/>
        <w:adjustRightInd w:val="0"/>
        <w:spacing w:before="120" w:after="120" w:line="240" w:lineRule="auto"/>
        <w:ind w:left="1264" w:hanging="357"/>
        <w:jc w:val="both"/>
        <w:rPr>
          <w:i/>
          <w:iCs/>
          <w:lang w:eastAsia="et-EE"/>
        </w:rPr>
      </w:pPr>
      <w:r w:rsidRPr="00883566">
        <w:rPr>
          <w:i/>
          <w:iCs/>
          <w:lang w:eastAsia="et-EE"/>
        </w:rPr>
        <w:t>Telia peab regulaarselt vähemalt üks kord aastas vaskpaarile, valguskaabli fiidersegmendi kiu ja kaablikanalisatsiooni juurdepääsu teenuste hinnad ümber arvestama lähtudes viimase majandusaasta kuludest;</w:t>
      </w:r>
    </w:p>
    <w:p w14:paraId="7AAD8B6A" w14:textId="77777777" w:rsidR="00F03958" w:rsidRPr="00883566" w:rsidRDefault="00F03958" w:rsidP="00AA241E">
      <w:pPr>
        <w:jc w:val="both"/>
        <w:rPr>
          <w:lang w:eastAsia="en-US"/>
        </w:rPr>
      </w:pPr>
    </w:p>
    <w:p w14:paraId="6ECA6621" w14:textId="77777777" w:rsidR="00F03958" w:rsidRPr="00883566" w:rsidRDefault="00F03958" w:rsidP="00AA241E">
      <w:pPr>
        <w:jc w:val="both"/>
        <w:rPr>
          <w:lang w:eastAsia="en-US"/>
        </w:rPr>
      </w:pPr>
    </w:p>
    <w:p w14:paraId="6D88A6BA" w14:textId="77777777" w:rsidR="002B6BDD" w:rsidRDefault="002B6BDD" w:rsidP="00AA241E">
      <w:pPr>
        <w:jc w:val="both"/>
        <w:rPr>
          <w:lang w:eastAsia="en-US"/>
        </w:rPr>
      </w:pPr>
      <w:bookmarkStart w:id="1014" w:name="_Toc174094640"/>
      <w:bookmarkStart w:id="1015" w:name="_Toc174094907"/>
      <w:bookmarkStart w:id="1016" w:name="_Toc174095173"/>
      <w:bookmarkStart w:id="1017" w:name="_Toc174095438"/>
      <w:bookmarkStart w:id="1018" w:name="_Toc174095976"/>
      <w:bookmarkStart w:id="1019" w:name="_Toc174096242"/>
      <w:bookmarkStart w:id="1020" w:name="_Toc174536133"/>
      <w:bookmarkEnd w:id="1014"/>
      <w:bookmarkEnd w:id="1015"/>
      <w:bookmarkEnd w:id="1016"/>
      <w:bookmarkEnd w:id="1017"/>
      <w:bookmarkEnd w:id="1018"/>
      <w:bookmarkEnd w:id="1019"/>
      <w:bookmarkEnd w:id="1020"/>
    </w:p>
    <w:p w14:paraId="420DAF44" w14:textId="77777777" w:rsidR="002B6BDD" w:rsidRPr="00883566" w:rsidRDefault="002B6BDD" w:rsidP="00AA241E">
      <w:pPr>
        <w:jc w:val="both"/>
        <w:rPr>
          <w:lang w:eastAsia="en-US"/>
        </w:rPr>
      </w:pPr>
    </w:p>
    <w:p w14:paraId="2070F2B2" w14:textId="77777777" w:rsidR="00C8798B" w:rsidRPr="00C8798B" w:rsidRDefault="00C8798B"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1021" w:name="_Toc174617234"/>
      <w:bookmarkStart w:id="1022" w:name="_Toc174618591"/>
      <w:bookmarkStart w:id="1023" w:name="_Toc174627653"/>
      <w:bookmarkStart w:id="1024" w:name="_Toc174705077"/>
      <w:bookmarkStart w:id="1025" w:name="_Toc174709621"/>
      <w:bookmarkStart w:id="1026" w:name="_Toc174710850"/>
      <w:bookmarkEnd w:id="1021"/>
      <w:bookmarkEnd w:id="1022"/>
      <w:bookmarkEnd w:id="1023"/>
      <w:bookmarkEnd w:id="1024"/>
      <w:bookmarkEnd w:id="1025"/>
      <w:bookmarkEnd w:id="1026"/>
    </w:p>
    <w:p w14:paraId="65BCED4F" w14:textId="3695808A" w:rsidR="00F03958" w:rsidRPr="00883566" w:rsidRDefault="00F03958" w:rsidP="009805E1">
      <w:pPr>
        <w:pStyle w:val="Pealkiri3"/>
      </w:pPr>
      <w:bookmarkStart w:id="1027" w:name="_Toc174710851"/>
      <w:r w:rsidRPr="00883566">
        <w:t>Hinnakohustuste eesmärk ja alused</w:t>
      </w:r>
      <w:bookmarkEnd w:id="1027"/>
    </w:p>
    <w:p w14:paraId="1BE8CA24" w14:textId="77777777" w:rsidR="00F03958" w:rsidRPr="00883566" w:rsidRDefault="00F03958" w:rsidP="00AA241E">
      <w:pPr>
        <w:jc w:val="both"/>
        <w:rPr>
          <w:rFonts w:cs="Times New Roman"/>
        </w:rPr>
      </w:pPr>
    </w:p>
    <w:p w14:paraId="4C9F83C5" w14:textId="21AF771E" w:rsidR="00F03958" w:rsidRPr="00883566" w:rsidRDefault="00F03958" w:rsidP="00AA241E">
      <w:pPr>
        <w:jc w:val="both"/>
        <w:rPr>
          <w:rFonts w:cs="Times New Roman"/>
        </w:rPr>
      </w:pPr>
      <w:r w:rsidRPr="00883566">
        <w:rPr>
          <w:rFonts w:cs="Times New Roman"/>
        </w:rPr>
        <w:t xml:space="preserve">Hinnakohustus on suunatud alltoodud </w:t>
      </w:r>
      <w:r w:rsidR="008C159A">
        <w:rPr>
          <w:rFonts w:cs="Times New Roman"/>
        </w:rPr>
        <w:t>ptk.-</w:t>
      </w:r>
      <w:r w:rsidRPr="00883566">
        <w:rPr>
          <w:rFonts w:cs="Times New Roman"/>
        </w:rPr>
        <w:t xml:space="preserve">s </w:t>
      </w:r>
      <w:r w:rsidR="00653298">
        <w:rPr>
          <w:rFonts w:cs="Times New Roman"/>
        </w:rPr>
        <w:t>7.6.2</w:t>
      </w:r>
      <w:r w:rsidRPr="00883566">
        <w:rPr>
          <w:rFonts w:cs="Times New Roman"/>
        </w:rPr>
        <w:t xml:space="preserve"> </w:t>
      </w:r>
      <w:r w:rsidRPr="00883566">
        <w:rPr>
          <w:rFonts w:cs="Times New Roman"/>
        </w:rPr>
        <w:fldChar w:fldCharType="begin"/>
      </w:r>
      <w:r w:rsidRPr="00883566">
        <w:rPr>
          <w:rFonts w:cs="Times New Roman"/>
        </w:rPr>
        <w:instrText xml:space="preserve"> REF _Ref465331603 \h  \* MERGEFORMAT </w:instrText>
      </w:r>
      <w:r w:rsidRPr="00883566">
        <w:rPr>
          <w:rFonts w:cs="Times New Roman"/>
        </w:rPr>
      </w:r>
      <w:r w:rsidRPr="00883566">
        <w:rPr>
          <w:rFonts w:cs="Times New Roman"/>
        </w:rPr>
        <w:fldChar w:fldCharType="separate"/>
      </w:r>
      <w:r w:rsidRPr="00883566">
        <w:rPr>
          <w:rFonts w:cs="Times New Roman"/>
        </w:rPr>
        <w:fldChar w:fldCharType="end"/>
      </w:r>
      <w:r w:rsidRPr="00883566">
        <w:rPr>
          <w:rFonts w:cs="Times New Roman"/>
        </w:rPr>
        <w:t xml:space="preserve">kirjeldatud hinnaga seotud konkurentsiprobleemide vältimisele. </w:t>
      </w:r>
    </w:p>
    <w:p w14:paraId="1E8EFB5A" w14:textId="77777777" w:rsidR="00F03958" w:rsidRPr="00883566" w:rsidRDefault="00F03958" w:rsidP="00AA241E">
      <w:pPr>
        <w:jc w:val="both"/>
        <w:rPr>
          <w:rFonts w:cs="Times New Roman"/>
        </w:rPr>
      </w:pPr>
      <w:r w:rsidRPr="00883566">
        <w:rPr>
          <w:rFonts w:cs="Times New Roman"/>
        </w:rPr>
        <w:t>Hinnakohustuste kehtestamine edendab konkurentsi elektroonilise side ja sellega seotud teenuste osutamisel</w:t>
      </w:r>
      <w:r w:rsidRPr="00883566">
        <w:rPr>
          <w:rFonts w:cs="Times New Roman"/>
          <w:vertAlign w:val="superscript"/>
        </w:rPr>
        <w:footnoteReference w:id="181"/>
      </w:r>
      <w:r w:rsidRPr="00883566">
        <w:rPr>
          <w:rFonts w:cs="Times New Roman"/>
        </w:rPr>
        <w:t xml:space="preserve"> ja aitab kaasa sideteenuste turu arengule</w:t>
      </w:r>
      <w:r w:rsidRPr="00883566">
        <w:rPr>
          <w:rFonts w:cs="Times New Roman"/>
          <w:vertAlign w:val="superscript"/>
        </w:rPr>
        <w:footnoteReference w:id="182"/>
      </w:r>
      <w:r w:rsidRPr="00883566">
        <w:rPr>
          <w:rFonts w:cs="Times New Roman"/>
        </w:rPr>
        <w:t>. Nimetatud kohustus väldib ülemäärase hinna rakendamist, hinnadiskrimineerimisega ja ristsubsideerimisega seotud konkurentsiprobleeme. See omakorda tõkestab konkurentsi moonutamise või takistamise sideteenuste turgudel ning toetab üleeuroopaliste sidevõrkude loomist ja arendamist ning üle-euroopaliste sideteenuste koostalitusvõimet ja läbivühendatavust.</w:t>
      </w:r>
    </w:p>
    <w:p w14:paraId="6E4D7CEA" w14:textId="77777777" w:rsidR="00F03958" w:rsidRPr="00883566" w:rsidRDefault="00F03958" w:rsidP="00AA241E">
      <w:pPr>
        <w:jc w:val="both"/>
        <w:rPr>
          <w:rFonts w:cs="Times New Roman"/>
        </w:rPr>
      </w:pPr>
      <w:r w:rsidRPr="00883566">
        <w:rPr>
          <w:rFonts w:cs="Times New Roman"/>
        </w:rPr>
        <w:t>TTJA võib</w:t>
      </w:r>
      <w:r w:rsidRPr="00883566">
        <w:rPr>
          <w:rFonts w:cs="Times New Roman"/>
          <w:vertAlign w:val="superscript"/>
        </w:rPr>
        <w:footnoteReference w:id="183"/>
      </w:r>
      <w:r w:rsidRPr="00883566">
        <w:rPr>
          <w:rFonts w:cs="Times New Roman"/>
        </w:rPr>
        <w:t xml:space="preserve"> sideettevõtja suhtes, kes on tunnistatud MTE-ks, kehtestada juurdepääsuga seotud tegevuste kohta eraldi arvestuse pidamise kohustuse, mille raames TTJA võib nõuda, et vertikaalselt integreeritud ettevõtja muudaks läbipaistvaks oma hulgimüügi hinnad ja sisemised transferthinnad (siirdehinnad). Selline raamatupidamise lahusus võimaldab muuta sisemised ülekandehinnad nähtavaks ja seega saavad riigi reguleerivad asutused vajaduse korral kontrollida mittediskrimineerimise kohustuse täitmist. Seoses sellega avaldas EK soovituse 2005/698/EÜ.</w:t>
      </w:r>
      <w:r w:rsidRPr="00883566">
        <w:rPr>
          <w:rStyle w:val="Allmrkuseviide"/>
          <w:rFonts w:cs="Times New Roman"/>
        </w:rPr>
        <w:footnoteReference w:id="184"/>
      </w:r>
    </w:p>
    <w:p w14:paraId="2DBE1951" w14:textId="77777777" w:rsidR="00F03958" w:rsidRPr="00883566" w:rsidRDefault="00F03958" w:rsidP="00AA241E">
      <w:pPr>
        <w:jc w:val="both"/>
        <w:rPr>
          <w:rFonts w:cs="Times New Roman"/>
        </w:rPr>
      </w:pPr>
      <w:r w:rsidRPr="00883566">
        <w:rPr>
          <w:rFonts w:cs="Times New Roman"/>
        </w:rPr>
        <w:lastRenderedPageBreak/>
        <w:t>TTJA võib</w:t>
      </w:r>
      <w:r w:rsidRPr="00883566">
        <w:rPr>
          <w:rFonts w:cs="Times New Roman"/>
          <w:vertAlign w:val="superscript"/>
        </w:rPr>
        <w:footnoteReference w:id="185"/>
      </w:r>
      <w:r w:rsidRPr="00883566">
        <w:rPr>
          <w:rFonts w:cs="Times New Roman"/>
        </w:rPr>
        <w:t xml:space="preserve"> sideettevõtja suhtes, kes on tunnistatud MTE-ks, kehtestada vastaval turul juurdepääsu puudutavate kulude katmise ja hinnakontrolliga seotud kohustuse ning kuludele orienteeritud tasudega ja kuluarvestussüsteemiga seotud kohustuse (edaspidi </w:t>
      </w:r>
      <w:r w:rsidRPr="00883566">
        <w:rPr>
          <w:rFonts w:cs="Times New Roman"/>
          <w:i/>
        </w:rPr>
        <w:t>hinnakohustused</w:t>
      </w:r>
      <w:r w:rsidRPr="00883566">
        <w:rPr>
          <w:rFonts w:cs="Times New Roman"/>
        </w:rPr>
        <w:t xml:space="preserve">). </w:t>
      </w:r>
    </w:p>
    <w:p w14:paraId="70DDF916" w14:textId="77777777" w:rsidR="00F03958" w:rsidRPr="00883566" w:rsidRDefault="00F03958" w:rsidP="00AA241E">
      <w:pPr>
        <w:jc w:val="both"/>
        <w:rPr>
          <w:rFonts w:cs="Times New Roman"/>
        </w:rPr>
      </w:pPr>
      <w:r w:rsidRPr="00883566">
        <w:rPr>
          <w:rFonts w:cs="Times New Roman"/>
        </w:rPr>
        <w:t>Nimetatud hinnakohustusi võib</w:t>
      </w:r>
      <w:r w:rsidRPr="00883566">
        <w:rPr>
          <w:rFonts w:cs="Times New Roman"/>
          <w:vertAlign w:val="superscript"/>
        </w:rPr>
        <w:footnoteReference w:id="186"/>
      </w:r>
      <w:r w:rsidRPr="00883566">
        <w:rPr>
          <w:rFonts w:cs="Times New Roman"/>
        </w:rPr>
        <w:t xml:space="preserve"> TTJA kehtestada tingimusel, et ta on turuanalüüsi käigus tuvastanud, et konkurentsi mittetoimimise tõttu on MTE-l võimalik hoida hindu ülemäära kõrgel või madalal tasemel, moonutades konkurentsi ja kahjustades lõppkasutajate huve.</w:t>
      </w:r>
    </w:p>
    <w:p w14:paraId="0EA9B7D5" w14:textId="77777777" w:rsidR="00F03958" w:rsidRPr="00883566" w:rsidRDefault="00F03958" w:rsidP="00AA241E">
      <w:pPr>
        <w:jc w:val="both"/>
        <w:rPr>
          <w:rFonts w:cs="Times New Roman"/>
        </w:rPr>
      </w:pPr>
      <w:r w:rsidRPr="00883566">
        <w:rPr>
          <w:rFonts w:cs="Times New Roman"/>
        </w:rPr>
        <w:t>Kehtestades hinnakohustusi</w:t>
      </w:r>
      <w:r w:rsidRPr="00883566">
        <w:rPr>
          <w:rFonts w:cs="Times New Roman"/>
          <w:vertAlign w:val="superscript"/>
        </w:rPr>
        <w:footnoteReference w:id="187"/>
      </w:r>
      <w:r w:rsidRPr="00883566">
        <w:rPr>
          <w:rFonts w:cs="Times New Roman"/>
        </w:rPr>
        <w:t xml:space="preserve"> ja soodustades sideettevõtja investeerimist järgmise põlvkonna sidevõrkudesse, võtab TTJA arvesse sideettevõtja tehtud investeeringuid ning et märkimisväärse turujõuga ettevõtjal peab olema võimalik teenida otstarbekalt kasutatud kapitalilt mõistlikku kasumit, võttes arvesse kaasnevaid riske, mis on omased nimetud konkreetse uue võrguprojekti investeeringutele. Samuti lähtub TTJA sideettevõtjale hinnakohustuste kehtestamisel põhimõttest, et igasugune TTJA nõutav kulude katmise mehhanism või hinna kujundamise meetod peab teenima efektiivse ja pideva konkurentsi huvi ja suurendama tarbijate kasu seoses järgmise põlvkonna võrkude, eelkõige väga suure läbilaskevõimega võrkude kasutuselevõtuga. Selleks võib TTJA arvestada ka hindu, mis on kasutusel teistel võrreldavatel turgudel.</w:t>
      </w:r>
    </w:p>
    <w:p w14:paraId="1FFE1D27" w14:textId="77777777" w:rsidR="00F03958" w:rsidRPr="00883566" w:rsidRDefault="00F03958" w:rsidP="00AA241E">
      <w:pPr>
        <w:jc w:val="both"/>
        <w:rPr>
          <w:rFonts w:cs="Times New Roman"/>
        </w:rPr>
      </w:pPr>
      <w:r w:rsidRPr="00883566">
        <w:rPr>
          <w:rFonts w:cs="Times New Roman"/>
        </w:rPr>
        <w:t>Kohustuse valikul arvestab</w:t>
      </w:r>
      <w:r w:rsidRPr="00883566">
        <w:rPr>
          <w:rFonts w:cs="Times New Roman"/>
          <w:vertAlign w:val="superscript"/>
        </w:rPr>
        <w:footnoteReference w:id="188"/>
      </w:r>
      <w:r w:rsidRPr="00883566">
        <w:rPr>
          <w:rFonts w:cs="Times New Roman"/>
        </w:rPr>
        <w:t xml:space="preserve"> TTJA muu hulgas EK elektroonilise side turgu puudutavate soovituste ja seisukohtadega ning EL sideturu regulaatorite koostöös kujundatud vastava praktikaga. Neist peamised on järgmised:</w:t>
      </w:r>
    </w:p>
    <w:p w14:paraId="72B1328A" w14:textId="77777777" w:rsidR="00F03958" w:rsidRPr="00883566" w:rsidRDefault="00F03958" w:rsidP="00AA241E">
      <w:pPr>
        <w:pStyle w:val="Loendilik"/>
        <w:numPr>
          <w:ilvl w:val="0"/>
          <w:numId w:val="14"/>
        </w:numPr>
        <w:spacing w:after="0" w:line="259" w:lineRule="auto"/>
        <w:ind w:left="754" w:hanging="357"/>
        <w:jc w:val="both"/>
        <w:rPr>
          <w:rFonts w:cs="Times New Roman"/>
        </w:rPr>
      </w:pPr>
      <w:r w:rsidRPr="00883566">
        <w:rPr>
          <w:rFonts w:cs="Times New Roman"/>
        </w:rPr>
        <w:t xml:space="preserve">EK soovitus (EL) 2024/539, 6. veebruar 2024, </w:t>
      </w:r>
      <w:proofErr w:type="spellStart"/>
      <w:r w:rsidRPr="00883566">
        <w:rPr>
          <w:rFonts w:cs="Times New Roman"/>
        </w:rPr>
        <w:t>gigabitiühenduvuse</w:t>
      </w:r>
      <w:proofErr w:type="spellEnd"/>
      <w:r w:rsidRPr="00883566">
        <w:rPr>
          <w:rFonts w:cs="Times New Roman"/>
        </w:rPr>
        <w:t xml:space="preserve"> regulatiivse edendamise kohta (edaspidi ka EK 2024 kohustuste soovitus</w:t>
      </w:r>
      <w:r w:rsidRPr="00883566">
        <w:rPr>
          <w:rFonts w:cs="Times New Roman"/>
          <w:vertAlign w:val="superscript"/>
        </w:rPr>
        <w:footnoteReference w:id="189"/>
      </w:r>
      <w:r w:rsidRPr="00883566">
        <w:rPr>
          <w:rFonts w:cs="Times New Roman"/>
        </w:rPr>
        <w:t>);</w:t>
      </w:r>
    </w:p>
    <w:p w14:paraId="12ECBC04" w14:textId="77777777" w:rsidR="00F03958" w:rsidRPr="00883566" w:rsidRDefault="00F03958" w:rsidP="00AA241E">
      <w:pPr>
        <w:pStyle w:val="Loendilik"/>
        <w:numPr>
          <w:ilvl w:val="0"/>
          <w:numId w:val="14"/>
        </w:numPr>
        <w:spacing w:after="0" w:line="259" w:lineRule="auto"/>
        <w:ind w:left="828" w:hanging="431"/>
        <w:jc w:val="both"/>
        <w:rPr>
          <w:rFonts w:cs="Times New Roman"/>
        </w:rPr>
      </w:pPr>
      <w:r w:rsidRPr="00883566">
        <w:rPr>
          <w:rFonts w:cs="Times New Roman"/>
        </w:rPr>
        <w:t>Selgitavad märkused</w:t>
      </w:r>
      <w:r w:rsidRPr="00883566">
        <w:rPr>
          <w:rFonts w:cs="Times New Roman"/>
          <w:vertAlign w:val="superscript"/>
        </w:rPr>
        <w:footnoteReference w:id="190"/>
      </w:r>
      <w:r w:rsidRPr="00883566">
        <w:rPr>
          <w:rFonts w:cs="Times New Roman"/>
        </w:rPr>
        <w:t xml:space="preserve"> EK 2024 kohustuste soovitusele (edaspidi ka EK 2024 kohustuste soovituse selgitavad märkused);</w:t>
      </w:r>
    </w:p>
    <w:p w14:paraId="1EF59DE0" w14:textId="77777777" w:rsidR="00F03958" w:rsidRPr="00883566" w:rsidRDefault="00F03958" w:rsidP="00AA241E">
      <w:pPr>
        <w:pStyle w:val="Loendilik"/>
        <w:numPr>
          <w:ilvl w:val="0"/>
          <w:numId w:val="14"/>
        </w:numPr>
        <w:spacing w:after="0" w:line="259" w:lineRule="auto"/>
        <w:ind w:left="828" w:hanging="431"/>
        <w:jc w:val="both"/>
        <w:rPr>
          <w:rFonts w:cs="Times New Roman"/>
        </w:rPr>
      </w:pPr>
      <w:r w:rsidRPr="00883566">
        <w:rPr>
          <w:rFonts w:cs="Times New Roman"/>
        </w:rPr>
        <w:t>BEREC-i (Euroopa Sideameti) ühine seisukoht parimate tavade kohta parandusmeetmetes sidevõrgu lairiba juurdepääsu hulgiturul, mis on kehtestatud MTE-</w:t>
      </w:r>
      <w:proofErr w:type="spellStart"/>
      <w:r w:rsidRPr="00883566">
        <w:rPr>
          <w:rFonts w:cs="Times New Roman"/>
        </w:rPr>
        <w:t>le</w:t>
      </w:r>
      <w:proofErr w:type="spellEnd"/>
      <w:r w:rsidRPr="00883566">
        <w:rPr>
          <w:rFonts w:cs="Times New Roman"/>
        </w:rPr>
        <w:t xml:space="preserve"> asjaomasel turul</w:t>
      </w:r>
      <w:r w:rsidRPr="00883566">
        <w:rPr>
          <w:rStyle w:val="Allmrkuseviide"/>
          <w:rFonts w:cs="Times New Roman"/>
        </w:rPr>
        <w:footnoteReference w:id="191"/>
      </w:r>
      <w:r w:rsidRPr="00883566">
        <w:rPr>
          <w:rFonts w:cs="Times New Roman"/>
        </w:rPr>
        <w:t xml:space="preserve">, </w:t>
      </w:r>
      <w:proofErr w:type="spellStart"/>
      <w:r w:rsidRPr="00883566">
        <w:rPr>
          <w:rFonts w:cs="Times New Roman"/>
        </w:rPr>
        <w:t>BoR</w:t>
      </w:r>
      <w:proofErr w:type="spellEnd"/>
      <w:r w:rsidRPr="00883566">
        <w:rPr>
          <w:rFonts w:cs="Times New Roman"/>
        </w:rPr>
        <w:t xml:space="preserve"> (12) 128;</w:t>
      </w:r>
    </w:p>
    <w:p w14:paraId="4FB66B99" w14:textId="77777777" w:rsidR="00F03958" w:rsidRPr="00883566" w:rsidRDefault="00F03958" w:rsidP="00AA241E">
      <w:pPr>
        <w:pStyle w:val="Loendilik"/>
        <w:numPr>
          <w:ilvl w:val="0"/>
          <w:numId w:val="14"/>
        </w:numPr>
        <w:spacing w:line="259" w:lineRule="auto"/>
        <w:ind w:left="828" w:hanging="431"/>
        <w:jc w:val="both"/>
        <w:rPr>
          <w:rFonts w:cs="Times New Roman"/>
        </w:rPr>
      </w:pPr>
      <w:r w:rsidRPr="00883566">
        <w:rPr>
          <w:rFonts w:cs="Times New Roman"/>
        </w:rPr>
        <w:lastRenderedPageBreak/>
        <w:t>EK soovitus 2005/698/EÜ</w:t>
      </w:r>
      <w:r w:rsidRPr="00883566">
        <w:rPr>
          <w:rStyle w:val="Allmrkuseviide"/>
          <w:rFonts w:cs="Times New Roman"/>
        </w:rPr>
        <w:footnoteReference w:id="192"/>
      </w:r>
      <w:r w:rsidRPr="00883566">
        <w:rPr>
          <w:rFonts w:cs="Times New Roman"/>
        </w:rPr>
        <w:t xml:space="preserve">, 19. september 2005, raamatupidamise lahususe ja kuluarvestussüsteemide kohta vastavalt elektroonilist sidet reguleerivale raamistikule (edaspidi ka </w:t>
      </w:r>
      <w:r w:rsidRPr="00883566">
        <w:rPr>
          <w:rFonts w:cs="Times New Roman"/>
          <w:i/>
        </w:rPr>
        <w:t>EK 2005 soovitus</w:t>
      </w:r>
      <w:r w:rsidRPr="00883566">
        <w:rPr>
          <w:rFonts w:cs="Times New Roman"/>
        </w:rPr>
        <w:t>).</w:t>
      </w:r>
    </w:p>
    <w:p w14:paraId="244AA287" w14:textId="77777777" w:rsidR="00F03958" w:rsidRPr="00883566" w:rsidRDefault="00F03958" w:rsidP="00AA241E">
      <w:pPr>
        <w:jc w:val="both"/>
        <w:rPr>
          <w:rFonts w:cs="Times New Roman"/>
        </w:rPr>
      </w:pPr>
      <w:r w:rsidRPr="00883566">
        <w:rPr>
          <w:rFonts w:cs="Times New Roman"/>
        </w:rPr>
        <w:t>Kui riigi reguleeriv asutus arvutab välja kohustusliku teenuse loomisega kaasnevad kulud, on otstarbekas arvestada mõistlik kasum kasutatud kapitalilt, kaasa arvatud kulutused tööjõule ja ehituskulud, ning kohandada vajaduse korral kapitali väärtust, et see kajastaks varade väärtust ja tegevuse tõhusust kõnealusel ajal. Kulude tagasiteenimise meetod peaks olema kooskõlas oludega ning võtma arvesse vajadust suurendada tõhusust, püsivat konkurentsi ja väga suure läbilaskevõimega võrkude kasutuselevõttu ning seeläbi võimalikult suurendama lõppkasutajate kasu, arvestades lisaks vajadusega tagada prognoositavad ja stabiilsed hulgihinnad, mis on kõigi operaatorite huvides, kes soovivad võtta kasutusele uued ja täiustatud võrgud</w:t>
      </w:r>
      <w:r w:rsidRPr="00883566">
        <w:rPr>
          <w:rStyle w:val="Allmrkuseviide"/>
          <w:rFonts w:cs="Times New Roman"/>
        </w:rPr>
        <w:footnoteReference w:id="193"/>
      </w:r>
      <w:r w:rsidRPr="00883566">
        <w:rPr>
          <w:rFonts w:cs="Times New Roman"/>
        </w:rPr>
        <w:t>.</w:t>
      </w:r>
    </w:p>
    <w:p w14:paraId="5E49D5A1" w14:textId="77777777" w:rsidR="00F03958" w:rsidRPr="00883566" w:rsidRDefault="00F03958" w:rsidP="00AA241E">
      <w:pPr>
        <w:spacing w:before="120" w:after="120"/>
        <w:jc w:val="both"/>
        <w:rPr>
          <w:rFonts w:cs="Times New Roman"/>
          <w:lang w:eastAsia="et-EE"/>
        </w:rPr>
      </w:pPr>
    </w:p>
    <w:p w14:paraId="1A928A0D" w14:textId="77777777" w:rsidR="005B7724" w:rsidRPr="00883566" w:rsidRDefault="005B7724" w:rsidP="00AA241E">
      <w:pPr>
        <w:spacing w:before="120" w:after="120"/>
        <w:jc w:val="both"/>
        <w:rPr>
          <w:rFonts w:cs="Times New Roman"/>
          <w:lang w:eastAsia="et-EE"/>
        </w:rPr>
      </w:pPr>
    </w:p>
    <w:p w14:paraId="5195715B" w14:textId="3A678042" w:rsidR="00F03958" w:rsidRPr="00883566" w:rsidRDefault="00F03958" w:rsidP="009805E1">
      <w:pPr>
        <w:pStyle w:val="Pealkiri3"/>
      </w:pPr>
      <w:bookmarkStart w:id="1028" w:name="_Toc174710852"/>
      <w:r w:rsidRPr="00883566">
        <w:t>Hinnaga seotud konkurentsiprobleemid ja Telia hindade analüüs</w:t>
      </w:r>
      <w:bookmarkEnd w:id="1028"/>
    </w:p>
    <w:p w14:paraId="6D2A912A" w14:textId="77777777" w:rsidR="00F03958" w:rsidRPr="00883566" w:rsidRDefault="00F03958" w:rsidP="00AA241E">
      <w:pPr>
        <w:spacing w:before="120" w:after="120" w:line="259" w:lineRule="auto"/>
        <w:jc w:val="both"/>
        <w:rPr>
          <w:rFonts w:cs="Times New Roman"/>
          <w:lang w:eastAsia="et-EE"/>
        </w:rPr>
      </w:pPr>
    </w:p>
    <w:p w14:paraId="150FE1AF" w14:textId="77777777" w:rsidR="00F03958" w:rsidRPr="00883566" w:rsidRDefault="00F03958" w:rsidP="00AA241E">
      <w:pPr>
        <w:spacing w:before="120" w:after="120" w:line="259" w:lineRule="auto"/>
        <w:jc w:val="both"/>
        <w:rPr>
          <w:rFonts w:cs="Times New Roman"/>
          <w:lang w:eastAsia="et-EE"/>
        </w:rPr>
      </w:pPr>
      <w:r w:rsidRPr="00883566">
        <w:rPr>
          <w:rFonts w:cs="Times New Roman"/>
        </w:rPr>
        <w:t>Hulgituru 1 teenuste osas on hinnaga seotud konkurentsiprobleemid üldjuhul seotud ülemäärase hulgihinnaga. Ülemäärane hind on hind, mis võimaldab ettevõtjal teenida kõrgemaid kasumeid, kui võiks teenida efektiivse konkurentsiga turul. Selle konkurentsiprobleemi põhiliseks allikaks on sideettevõtja märkimisväärne turujõud. Ülemäärane hind on omakorda sisendiks hinnadiskrimineerimise ja ristsubsideerimise konkurentsiprobleemidele.</w:t>
      </w:r>
    </w:p>
    <w:p w14:paraId="1D51BFEE" w14:textId="7EB04C7C" w:rsidR="00F03958" w:rsidRPr="00883566" w:rsidRDefault="00F03958" w:rsidP="00AA241E">
      <w:pPr>
        <w:spacing w:before="120" w:after="120" w:line="259" w:lineRule="auto"/>
        <w:jc w:val="both"/>
        <w:rPr>
          <w:rFonts w:cs="Times New Roman"/>
          <w:lang w:eastAsia="et-EE"/>
        </w:rPr>
      </w:pPr>
      <w:r w:rsidRPr="00883566">
        <w:rPr>
          <w:rFonts w:cs="Times New Roman"/>
        </w:rPr>
        <w:t xml:space="preserve">Hinnadiskrimineerimisel sisemise ja välimise varustamise vahel nõuab vertikaalselt integreeritud sideettevõtja temaga jaeturul konkureerivalt sideettevõtjalt hulgiteenuste eest kõrgemat hinda, kui oma jaeteenust pakkuvalt üksuselt. Ehk teisisõnu toimub diskrimineerimine sisemise ja välimise varustamise vahel. Hulgiteenuste turul märkimisväärse turujõuga vertikaalselt integreeritud sideettevõtja võib läbi hinnadiskrimineerimise tõsta oma konkurentide kulusid </w:t>
      </w:r>
      <w:r w:rsidR="00BE68C5">
        <w:rPr>
          <w:rFonts w:cs="Times New Roman"/>
        </w:rPr>
        <w:t>jaetur</w:t>
      </w:r>
      <w:r w:rsidRPr="00883566">
        <w:rPr>
          <w:rFonts w:cs="Times New Roman"/>
        </w:rPr>
        <w:t>ul rakendades ülemäärast hulgiteenuse hinda, mis võib viia konkurentide jaemüügi piiramiseni ning seeläbi üleüldise konkurentsiolukorra kahjustamiseni.</w:t>
      </w:r>
    </w:p>
    <w:p w14:paraId="643CE0A1" w14:textId="77777777" w:rsidR="00F03958" w:rsidRPr="00883566" w:rsidRDefault="00F03958" w:rsidP="00AA241E">
      <w:pPr>
        <w:spacing w:before="120" w:after="120" w:line="259" w:lineRule="auto"/>
        <w:jc w:val="both"/>
        <w:rPr>
          <w:rFonts w:cs="Times New Roman"/>
          <w:lang w:eastAsia="et-EE"/>
        </w:rPr>
      </w:pPr>
      <w:r w:rsidRPr="00883566">
        <w:rPr>
          <w:rFonts w:cs="Times New Roman"/>
        </w:rPr>
        <w:t xml:space="preserve">Ristsubsideerimisega on tegemist juhul, kui vertikaalselt integreeritud märkimisväärse turujõuga ettevõtja poolt nõutakse hulgiturul kuludest märkimisväärselt kõrgemat (ülemäärast) hinda ning vertikaalselt allapoole seotud turul rakendatakse kuludest madalamat hinda (kuludest madalama hinna rakendamine on käsitatav ka röövelliku hinnakujundusena). Juhul kui hulgitasandi hind on ülemäärane ning jaetasandi hind röövellik (allapoole kulusid), annab see vertikaalselt integreeritud märkimisväärse turujõuga ettevõtjale võimaluse laiendada oma turujõudu vertikaalselt allapoole </w:t>
      </w:r>
      <w:r w:rsidRPr="00883566">
        <w:rPr>
          <w:rFonts w:cs="Times New Roman"/>
        </w:rPr>
        <w:lastRenderedPageBreak/>
        <w:t>seotud turule. Seega on ristsubsideerimise üheks teguriks hulgiteenuste ülemäärane hind, mis võimaldab ettevõtjal teenida kõrgemaid kasumeid, kui võiks teenida efektiivse konkurentsiga turul.</w:t>
      </w:r>
    </w:p>
    <w:p w14:paraId="0E827228" w14:textId="77777777" w:rsidR="00F03958" w:rsidRPr="00883566" w:rsidRDefault="00F03958" w:rsidP="00AA241E">
      <w:pPr>
        <w:spacing w:before="120" w:after="120" w:line="259" w:lineRule="auto"/>
        <w:jc w:val="both"/>
        <w:rPr>
          <w:rFonts w:cs="Times New Roman"/>
          <w:lang w:eastAsia="et-EE"/>
        </w:rPr>
      </w:pPr>
      <w:r w:rsidRPr="00883566">
        <w:rPr>
          <w:rFonts w:cs="Times New Roman"/>
        </w:rPr>
        <w:t>Nii hinnadiskrimineerimisel sisemise ja välise varustamise vahel, kui ka ristsubsideerimise korral on üheks tagajärjeks ka jae- ja hulgihindade vahelise marginaali kokku surumine, mis ei võimalda konkureerivatel sideettevõtjatel teenida majanduslikult põhjendatud kasumit ning seeläbi väheneb huvi pakkuda konkurentsi vertikaalselt integreeritud sideettevõtjale jaeturul.</w:t>
      </w:r>
    </w:p>
    <w:p w14:paraId="3D623110" w14:textId="77777777" w:rsidR="00F03958" w:rsidRPr="00883566" w:rsidRDefault="00F03958" w:rsidP="00AA241E">
      <w:pPr>
        <w:spacing w:before="120" w:after="120" w:line="259" w:lineRule="auto"/>
        <w:jc w:val="both"/>
        <w:rPr>
          <w:rFonts w:cs="Times New Roman"/>
          <w:lang w:eastAsia="et-EE"/>
        </w:rPr>
      </w:pPr>
      <w:r w:rsidRPr="00883566">
        <w:rPr>
          <w:rFonts w:cs="Times New Roman"/>
        </w:rPr>
        <w:t>Eeltoodust järeldub, et ülemäärane hind hulgitasandil võib takistada efektiivse konkurentsi toimimist jaetasandil, mis omakorda võib kahjustada lõppkasutajate huve.</w:t>
      </w:r>
    </w:p>
    <w:p w14:paraId="7B01060E" w14:textId="77669653" w:rsidR="00F03958" w:rsidRPr="00883566" w:rsidRDefault="00F03958" w:rsidP="00AA241E">
      <w:pPr>
        <w:spacing w:before="120" w:after="120" w:line="259" w:lineRule="auto"/>
        <w:jc w:val="both"/>
        <w:rPr>
          <w:rFonts w:cs="Times New Roman"/>
          <w:lang w:eastAsia="et-EE"/>
        </w:rPr>
      </w:pPr>
      <w:r w:rsidRPr="00883566">
        <w:rPr>
          <w:rFonts w:cs="Times New Roman"/>
          <w:lang w:eastAsia="et-EE"/>
        </w:rPr>
        <w:t>BEREC on avaldanud seisukoha, mis käsitleb sidevõrgule kohalikul juurdepääsu hulgiturul MTE kohustuste kehtestamise parimaid tavasid</w:t>
      </w:r>
      <w:r w:rsidRPr="00883566">
        <w:rPr>
          <w:rFonts w:cs="Times New Roman"/>
          <w:vertAlign w:val="superscript"/>
          <w:lang w:eastAsia="et-EE"/>
        </w:rPr>
        <w:footnoteReference w:id="194"/>
      </w:r>
      <w:r w:rsidRPr="00883566">
        <w:rPr>
          <w:rFonts w:cs="Times New Roman"/>
          <w:lang w:eastAsia="et-EE"/>
        </w:rPr>
        <w:t xml:space="preserve">. Selles tuuakse välja sagedamini esineda võivad hinnaga seotud konkurentsiprobleemid hulgituru 1 teenuste osas, mis takistavad alternatiivsetel sideettevõtjatel tõhusalt konkureerida </w:t>
      </w:r>
      <w:r w:rsidR="00BE68C5">
        <w:rPr>
          <w:rFonts w:cs="Times New Roman"/>
          <w:lang w:eastAsia="et-EE"/>
        </w:rPr>
        <w:t>jaetur</w:t>
      </w:r>
      <w:r w:rsidRPr="00883566">
        <w:rPr>
          <w:rFonts w:cs="Times New Roman"/>
          <w:lang w:eastAsia="et-EE"/>
        </w:rPr>
        <w:t>ul:</w:t>
      </w:r>
    </w:p>
    <w:p w14:paraId="71523FB8" w14:textId="77777777" w:rsidR="00F03958" w:rsidRPr="00883566" w:rsidRDefault="00F03958" w:rsidP="00AA241E">
      <w:pPr>
        <w:numPr>
          <w:ilvl w:val="0"/>
          <w:numId w:val="15"/>
        </w:numPr>
        <w:spacing w:before="120" w:after="120" w:line="259" w:lineRule="auto"/>
        <w:ind w:left="360"/>
        <w:contextualSpacing/>
        <w:jc w:val="both"/>
        <w:rPr>
          <w:rFonts w:cs="Times New Roman"/>
          <w:lang w:eastAsia="et-EE"/>
        </w:rPr>
      </w:pPr>
      <w:r w:rsidRPr="00883566">
        <w:rPr>
          <w:rFonts w:cs="Times New Roman"/>
        </w:rPr>
        <w:t>MTE võib luua ebakõla erinevate hulgiteenuste hindade vahel, mis võib põhjustada negatiivse stiimuli investeeringute tegemiseks alternatiivsete sideettevõtjate poolt;</w:t>
      </w:r>
    </w:p>
    <w:p w14:paraId="7B6360C3" w14:textId="77777777" w:rsidR="00F03958" w:rsidRPr="00883566" w:rsidRDefault="00F03958" w:rsidP="00AA241E">
      <w:pPr>
        <w:numPr>
          <w:ilvl w:val="0"/>
          <w:numId w:val="15"/>
        </w:numPr>
        <w:spacing w:before="120" w:after="120" w:line="259" w:lineRule="auto"/>
        <w:ind w:left="360"/>
        <w:contextualSpacing/>
        <w:jc w:val="both"/>
        <w:rPr>
          <w:rFonts w:cs="Times New Roman"/>
          <w:lang w:eastAsia="et-EE"/>
        </w:rPr>
      </w:pPr>
      <w:r w:rsidRPr="00883566">
        <w:rPr>
          <w:rFonts w:cs="Times New Roman"/>
        </w:rPr>
        <w:t>MTE võib rakendada jae- ja hulgiteenuste hindade vahe kokku surumist, mis ei võimalda alternatiivsetel sideettevõtjatel teenida jaeteenustelt piisavat marginaali;</w:t>
      </w:r>
    </w:p>
    <w:p w14:paraId="2E8420D6" w14:textId="77777777" w:rsidR="00F03958" w:rsidRPr="00883566" w:rsidRDefault="00F03958" w:rsidP="00AA241E">
      <w:pPr>
        <w:numPr>
          <w:ilvl w:val="0"/>
          <w:numId w:val="15"/>
        </w:numPr>
        <w:spacing w:before="120" w:after="120" w:line="259" w:lineRule="auto"/>
        <w:ind w:left="360"/>
        <w:contextualSpacing/>
        <w:jc w:val="both"/>
        <w:rPr>
          <w:rFonts w:cs="Times New Roman"/>
          <w:lang w:eastAsia="et-EE"/>
        </w:rPr>
      </w:pPr>
      <w:r w:rsidRPr="00883566">
        <w:rPr>
          <w:rFonts w:cs="Times New Roman"/>
        </w:rPr>
        <w:t>MTE võib rakendada hulgiteenustele hindasid, mis diskrimineerivad alternatiivseid sideettevõtjaid ja/või ei võimalda neil edendada elujõulist konkurentsi ning äritegevust jaetasandil.</w:t>
      </w:r>
    </w:p>
    <w:p w14:paraId="1DEC7F4C" w14:textId="77777777" w:rsidR="00F03958" w:rsidRPr="00883566" w:rsidRDefault="00F03958" w:rsidP="00AA241E">
      <w:pPr>
        <w:spacing w:before="120" w:after="120"/>
        <w:ind w:left="360"/>
        <w:contextualSpacing/>
        <w:jc w:val="both"/>
        <w:rPr>
          <w:rFonts w:cs="Times New Roman"/>
          <w:lang w:eastAsia="et-EE"/>
        </w:rPr>
      </w:pPr>
    </w:p>
    <w:p w14:paraId="14DC3A03" w14:textId="77777777" w:rsidR="00F03958" w:rsidRPr="00883566" w:rsidRDefault="00F03958" w:rsidP="00AA241E">
      <w:pPr>
        <w:spacing w:before="120" w:after="120" w:line="259" w:lineRule="auto"/>
        <w:jc w:val="both"/>
        <w:rPr>
          <w:rFonts w:cs="Times New Roman"/>
          <w:lang w:eastAsia="et-EE"/>
        </w:rPr>
      </w:pPr>
      <w:r w:rsidRPr="00883566">
        <w:rPr>
          <w:rFonts w:cs="Times New Roman"/>
          <w:i/>
        </w:rPr>
        <w:t>Ex ante</w:t>
      </w:r>
      <w:r w:rsidRPr="00883566">
        <w:rPr>
          <w:rFonts w:cs="Times New Roman"/>
        </w:rPr>
        <w:t xml:space="preserve"> kohustuste kehtestamise peamiseks aluseks ei ole hinnang, kas ettevõtja tegevus on tekitanud konkurentsiprobleeme. Kohustuste kehtestamise peamiseks aluseks on kindlaks teha, kas ettevõtja turujõud ja majanduslik tugevus annab talle võime tekitada konkurentsiprobleeme. Seega tuleb hulgiturul 1 esineda võivaid hinnaga seotud konkurentsiprobleeme hinnata ennekõike  potentsiaalselt esineda võivate konkurentsiprobleemidena.</w:t>
      </w:r>
    </w:p>
    <w:p w14:paraId="5FAA4FCB" w14:textId="77777777" w:rsidR="00F03958" w:rsidRPr="00883566" w:rsidRDefault="00F03958" w:rsidP="00AA241E">
      <w:pPr>
        <w:spacing w:before="120" w:after="120"/>
        <w:jc w:val="both"/>
        <w:rPr>
          <w:rFonts w:cs="Times New Roman"/>
          <w:lang w:eastAsia="et-EE"/>
        </w:rPr>
      </w:pPr>
    </w:p>
    <w:p w14:paraId="23C3FC42" w14:textId="58A6AB2C" w:rsidR="00F03958" w:rsidRPr="00883566" w:rsidRDefault="00F03958" w:rsidP="00AA241E">
      <w:pPr>
        <w:spacing w:before="120" w:after="120"/>
        <w:jc w:val="both"/>
        <w:rPr>
          <w:rFonts w:cs="Times New Roman"/>
          <w:lang w:eastAsia="et-EE"/>
        </w:rPr>
      </w:pPr>
      <w:r w:rsidRPr="00883566">
        <w:rPr>
          <w:rFonts w:cs="Times New Roman"/>
        </w:rPr>
        <w:t xml:space="preserve">Käesoleva otsuse koostamise ajal on üleriigiliselt Telia </w:t>
      </w:r>
      <w:r w:rsidR="00532579">
        <w:rPr>
          <w:rFonts w:cs="Times New Roman"/>
        </w:rPr>
        <w:t>vaskpaar</w:t>
      </w:r>
      <w:r w:rsidRPr="00883566">
        <w:rPr>
          <w:rFonts w:cs="Times New Roman"/>
        </w:rPr>
        <w:t xml:space="preserve">- ja </w:t>
      </w:r>
      <w:r w:rsidR="00A3232C">
        <w:rPr>
          <w:rFonts w:cs="Times New Roman"/>
        </w:rPr>
        <w:t>valguskaabelvõrgu</w:t>
      </w:r>
      <w:r w:rsidRPr="00883566">
        <w:rPr>
          <w:rFonts w:cs="Times New Roman"/>
        </w:rPr>
        <w:t xml:space="preserve">s hulgituru 1 teenuste hinnad reguleeritud TTJA 2017 hulgituru 1 otsuse lisa 1 </w:t>
      </w:r>
      <w:r w:rsidR="008C159A">
        <w:rPr>
          <w:rFonts w:cs="Times New Roman"/>
        </w:rPr>
        <w:t xml:space="preserve">ptk. </w:t>
      </w:r>
      <w:r w:rsidRPr="00883566">
        <w:rPr>
          <w:rFonts w:cs="Times New Roman"/>
        </w:rPr>
        <w:t>6.5.4 alusel. Selle kohaselt peavad Telia rakendatava hulgituru 1 teenuste hinnad olema arvestatud kuludele orienteeritult, ajaloolistel kuludel, ülevalt alla ja täielikult jaotatud kuludel  põhineva hinnaarvestuse metoodika (</w:t>
      </w:r>
      <w:r w:rsidRPr="00883566">
        <w:rPr>
          <w:rFonts w:cs="Times New Roman"/>
          <w:i/>
          <w:iCs/>
        </w:rPr>
        <w:t xml:space="preserve">HC TD FDC – </w:t>
      </w:r>
      <w:proofErr w:type="spellStart"/>
      <w:r w:rsidRPr="00883566">
        <w:rPr>
          <w:rFonts w:cs="Times New Roman"/>
          <w:i/>
          <w:iCs/>
        </w:rPr>
        <w:t>historical</w:t>
      </w:r>
      <w:proofErr w:type="spellEnd"/>
      <w:r w:rsidRPr="00883566">
        <w:rPr>
          <w:rFonts w:cs="Times New Roman"/>
          <w:i/>
          <w:iCs/>
        </w:rPr>
        <w:t xml:space="preserve"> </w:t>
      </w:r>
      <w:proofErr w:type="spellStart"/>
      <w:r w:rsidRPr="00883566">
        <w:rPr>
          <w:rFonts w:cs="Times New Roman"/>
          <w:i/>
          <w:iCs/>
        </w:rPr>
        <w:t>cost</w:t>
      </w:r>
      <w:proofErr w:type="spellEnd"/>
      <w:r w:rsidRPr="00883566">
        <w:rPr>
          <w:rFonts w:cs="Times New Roman"/>
          <w:i/>
          <w:iCs/>
        </w:rPr>
        <w:t xml:space="preserve">, </w:t>
      </w:r>
      <w:proofErr w:type="spellStart"/>
      <w:r w:rsidRPr="00883566">
        <w:rPr>
          <w:rFonts w:cs="Times New Roman"/>
          <w:i/>
          <w:iCs/>
        </w:rPr>
        <w:t>top</w:t>
      </w:r>
      <w:proofErr w:type="spellEnd"/>
      <w:r w:rsidRPr="00883566">
        <w:rPr>
          <w:rFonts w:cs="Times New Roman"/>
          <w:i/>
          <w:iCs/>
        </w:rPr>
        <w:t xml:space="preserve"> </w:t>
      </w:r>
      <w:proofErr w:type="spellStart"/>
      <w:r w:rsidRPr="00883566">
        <w:rPr>
          <w:rFonts w:cs="Times New Roman"/>
          <w:i/>
          <w:iCs/>
        </w:rPr>
        <w:t>down</w:t>
      </w:r>
      <w:proofErr w:type="spellEnd"/>
      <w:r w:rsidRPr="00883566">
        <w:rPr>
          <w:rFonts w:cs="Times New Roman"/>
          <w:i/>
          <w:iCs/>
        </w:rPr>
        <w:t xml:space="preserve">, </w:t>
      </w:r>
      <w:proofErr w:type="spellStart"/>
      <w:r w:rsidRPr="00883566">
        <w:rPr>
          <w:rFonts w:cs="Times New Roman"/>
          <w:i/>
          <w:iCs/>
        </w:rPr>
        <w:t>full</w:t>
      </w:r>
      <w:proofErr w:type="spellEnd"/>
      <w:r w:rsidRPr="00883566">
        <w:rPr>
          <w:rFonts w:cs="Times New Roman"/>
          <w:i/>
          <w:iCs/>
        </w:rPr>
        <w:t xml:space="preserve"> </w:t>
      </w:r>
      <w:proofErr w:type="spellStart"/>
      <w:r w:rsidRPr="00883566">
        <w:rPr>
          <w:rFonts w:cs="Times New Roman"/>
          <w:i/>
          <w:iCs/>
        </w:rPr>
        <w:t>distributed</w:t>
      </w:r>
      <w:proofErr w:type="spellEnd"/>
      <w:r w:rsidRPr="00883566">
        <w:rPr>
          <w:rFonts w:cs="Times New Roman"/>
          <w:i/>
          <w:iCs/>
        </w:rPr>
        <w:t xml:space="preserve"> </w:t>
      </w:r>
      <w:proofErr w:type="spellStart"/>
      <w:r w:rsidRPr="00883566">
        <w:rPr>
          <w:rFonts w:cs="Times New Roman"/>
          <w:i/>
          <w:iCs/>
        </w:rPr>
        <w:t>costing</w:t>
      </w:r>
      <w:proofErr w:type="spellEnd"/>
      <w:r w:rsidRPr="00883566">
        <w:rPr>
          <w:rFonts w:cs="Times New Roman"/>
        </w:rPr>
        <w:t xml:space="preserve">) alusel. </w:t>
      </w:r>
    </w:p>
    <w:p w14:paraId="30B13DD4" w14:textId="77777777" w:rsidR="00F03958" w:rsidRPr="00883566" w:rsidRDefault="00F03958" w:rsidP="00AA241E">
      <w:pPr>
        <w:spacing w:before="120" w:after="120"/>
        <w:jc w:val="both"/>
        <w:rPr>
          <w:rFonts w:cs="Times New Roman"/>
          <w:lang w:eastAsia="et-EE"/>
        </w:rPr>
      </w:pPr>
      <w:r w:rsidRPr="00883566">
        <w:rPr>
          <w:rFonts w:cs="Times New Roman"/>
        </w:rPr>
        <w:t>Samas ilma TTJA 2017 hulgituru 1 otsuses kehtestatud hinnakohustuse rakendamiseta oleks tõenäoline, et Telia rakendaks hulgituru 1 teenustele ülemäärast hinda, eelkõige, kuna Telial teenuste struktuur on suunatud jaeteenuste osutamisele ja seetõttu eksisteerib huvi osutada vastavaid hulgiteenuseid hinnaga, mis ei võimaldaks konkureerida Telia jaeteenustega.</w:t>
      </w:r>
    </w:p>
    <w:p w14:paraId="1A9DBD4B" w14:textId="27BC20EA" w:rsidR="00F03958" w:rsidRPr="00883566" w:rsidRDefault="00F03958" w:rsidP="00AA241E">
      <w:pPr>
        <w:spacing w:before="120" w:after="120"/>
        <w:jc w:val="both"/>
        <w:rPr>
          <w:rFonts w:cs="Times New Roman"/>
        </w:rPr>
      </w:pPr>
      <w:r w:rsidRPr="00883566">
        <w:rPr>
          <w:rFonts w:cs="Times New Roman"/>
        </w:rPr>
        <w:lastRenderedPageBreak/>
        <w:t xml:space="preserve">Lisaks on hinnakohustuste mitte rakendamisel hinnaga seotud konkurentsiprobleemide esinemine järgmise turuanalüüsi kestval perioodil tõenäoline, kuna puuduvad alused eeldada, et Telia vertikaalne integreeritus ja turujõud </w:t>
      </w:r>
      <w:r w:rsidR="00A3232C">
        <w:rPr>
          <w:rFonts w:cs="Times New Roman"/>
        </w:rPr>
        <w:t>valguskaabelvõrgu</w:t>
      </w:r>
      <w:r w:rsidRPr="00883566">
        <w:rPr>
          <w:rFonts w:cs="Times New Roman"/>
        </w:rPr>
        <w:t>s B piirkonna hulgiturul 1 nimetatud perioodil märkimisväärselt väheneks. See annab Teliale võime rakendada ülemääraseid hindasid hulgituru 1 teenustele takistades teiste sideettevõtjate jaeturule sisenemist ning kahjustades seeläbi konkurentsi jaemüügi tasandil ning lõppkasutajate huve.</w:t>
      </w:r>
    </w:p>
    <w:p w14:paraId="3073A077" w14:textId="77777777" w:rsidR="00F03958" w:rsidRPr="00883566" w:rsidRDefault="00F03958" w:rsidP="00AA241E">
      <w:pPr>
        <w:spacing w:before="120" w:after="120"/>
        <w:jc w:val="both"/>
        <w:rPr>
          <w:rFonts w:cs="Times New Roman"/>
          <w:lang w:eastAsia="et-EE"/>
        </w:rPr>
      </w:pPr>
    </w:p>
    <w:p w14:paraId="5EDFD43D" w14:textId="77777777" w:rsidR="00F03958" w:rsidRPr="00883566" w:rsidRDefault="00F03958" w:rsidP="00AA241E">
      <w:pPr>
        <w:spacing w:before="120" w:after="120"/>
        <w:jc w:val="both"/>
        <w:rPr>
          <w:rFonts w:cs="Times New Roman"/>
          <w:u w:val="single"/>
        </w:rPr>
      </w:pPr>
    </w:p>
    <w:p w14:paraId="4BDE0E49" w14:textId="2FB041B7" w:rsidR="00F03958" w:rsidRPr="00883566" w:rsidRDefault="00F03958" w:rsidP="009805E1">
      <w:pPr>
        <w:pStyle w:val="Pealkiri3"/>
      </w:pPr>
      <w:bookmarkStart w:id="1029" w:name="_Toc174710853"/>
      <w:r w:rsidRPr="00883566">
        <w:t>Sobiva hinnakohustuse valimine</w:t>
      </w:r>
      <w:bookmarkEnd w:id="1029"/>
    </w:p>
    <w:p w14:paraId="20D6F677" w14:textId="77777777" w:rsidR="00F03958" w:rsidRPr="00883566" w:rsidRDefault="00F03958" w:rsidP="00AA241E">
      <w:pPr>
        <w:spacing w:before="240" w:after="120"/>
        <w:jc w:val="both"/>
        <w:rPr>
          <w:rFonts w:cs="Times New Roman"/>
          <w:lang w:eastAsia="et-EE"/>
        </w:rPr>
      </w:pPr>
    </w:p>
    <w:p w14:paraId="71B9F4F1" w14:textId="77777777" w:rsidR="00F03958" w:rsidRPr="00883566" w:rsidRDefault="00F03958" w:rsidP="00AA241E">
      <w:pPr>
        <w:spacing w:before="240" w:after="120"/>
        <w:jc w:val="both"/>
        <w:rPr>
          <w:rFonts w:cs="Times New Roman"/>
          <w:lang w:eastAsia="et-EE"/>
        </w:rPr>
      </w:pPr>
      <w:r w:rsidRPr="00883566">
        <w:rPr>
          <w:rFonts w:cs="Times New Roman"/>
          <w:lang w:eastAsia="et-EE"/>
        </w:rPr>
        <w:t>EK 2024 kohustuste soovituse kohaselt:</w:t>
      </w:r>
    </w:p>
    <w:p w14:paraId="05F6A6DC" w14:textId="77777777" w:rsidR="00F03958" w:rsidRPr="00883566" w:rsidRDefault="00F03958" w:rsidP="00AA241E">
      <w:pPr>
        <w:spacing w:before="240" w:after="120"/>
        <w:ind w:left="359"/>
        <w:jc w:val="both"/>
        <w:rPr>
          <w:rFonts w:cs="Times New Roman"/>
          <w:lang w:eastAsia="et-EE"/>
        </w:rPr>
      </w:pPr>
      <w:r w:rsidRPr="00883566">
        <w:rPr>
          <w:rFonts w:cs="Times New Roman"/>
          <w:lang w:eastAsia="et-EE"/>
        </w:rPr>
        <w:t>38. Riigi reguleeriv asutus peaks direktiivi (EL) 2018/1972 artikli 74 alusel soovitatavalt loobuma väga suure läbilaskevõimega võrkude hulgimüügisisendite puhul hulgitasandi reguleeritud juurdepääsuhindade kehtestamisest või säilitamisest juhul, kui sama meetme raames kehtestab riigi reguleeriv asutus MTE suhtes seoses väga suure läbilaskevõimega võrkude hulgimüügisisenditega direktiivi (EL) 2018/1972 artikli 70 kohased mittediskrimineerimise kohustused, mis vastavad kõigile järgmistele tingimustele:</w:t>
      </w:r>
    </w:p>
    <w:p w14:paraId="626BE936" w14:textId="77777777" w:rsidR="00F03958" w:rsidRPr="00883566" w:rsidRDefault="00F03958" w:rsidP="00AA241E">
      <w:pPr>
        <w:spacing w:before="240" w:after="120"/>
        <w:ind w:left="619"/>
        <w:jc w:val="both"/>
        <w:rPr>
          <w:rFonts w:cs="Times New Roman"/>
          <w:lang w:eastAsia="et-EE"/>
        </w:rPr>
      </w:pPr>
      <w:r w:rsidRPr="00883566">
        <w:rPr>
          <w:rFonts w:cs="Times New Roman"/>
          <w:lang w:eastAsia="et-EE"/>
        </w:rPr>
        <w:t xml:space="preserve">a) </w:t>
      </w:r>
      <w:r w:rsidRPr="00883566">
        <w:rPr>
          <w:rFonts w:cs="Times New Roman"/>
          <w:b/>
          <w:bCs/>
          <w:lang w:eastAsia="et-EE"/>
        </w:rPr>
        <w:t>riigi reguleeriv asutus kehtestab sisendite võrdväärsuse kohustused või väljundite võrdväärsuse kohustused</w:t>
      </w:r>
      <w:r w:rsidRPr="00883566">
        <w:rPr>
          <w:rFonts w:cs="Times New Roman"/>
          <w:lang w:eastAsia="et-EE"/>
        </w:rPr>
        <w:t>, kui ta on kindlaks teinud, et sisendite võrdväärsuse kohustused ei oleks proportsionaalsed ja et väljundite võrdväärsuse kohustustest piisaks tegeliku mittediskrimineerimise tagamiseks;</w:t>
      </w:r>
    </w:p>
    <w:p w14:paraId="60DEABA9" w14:textId="77777777" w:rsidR="00F03958" w:rsidRPr="00883566" w:rsidRDefault="00F03958" w:rsidP="00AA241E">
      <w:pPr>
        <w:spacing w:before="240" w:after="120"/>
        <w:ind w:left="619"/>
        <w:jc w:val="both"/>
        <w:rPr>
          <w:rFonts w:cs="Times New Roman"/>
          <w:lang w:eastAsia="et-EE"/>
        </w:rPr>
      </w:pPr>
      <w:r w:rsidRPr="00883566">
        <w:rPr>
          <w:rFonts w:cs="Times New Roman"/>
          <w:lang w:eastAsia="et-EE"/>
        </w:rPr>
        <w:t xml:space="preserve">b) </w:t>
      </w:r>
      <w:r w:rsidRPr="00883566">
        <w:rPr>
          <w:rFonts w:cs="Times New Roman"/>
          <w:b/>
          <w:bCs/>
          <w:lang w:eastAsia="et-EE"/>
        </w:rPr>
        <w:t>riigi reguleeriv asutus kehtestab tehnilise jäljendatavuse ja sobivate seiremehhanismidega seotud kohustused</w:t>
      </w:r>
      <w:r w:rsidRPr="00883566">
        <w:rPr>
          <w:rFonts w:cs="Times New Roman"/>
          <w:lang w:eastAsia="et-EE"/>
        </w:rPr>
        <w:t>, mida kohaldatakse kooskõlas EK 2024 kohustuste soovituse punktidega 18–24, juhul kui sisendite võrdväärsuse põhimõtet täiel määral ei rakendata;</w:t>
      </w:r>
    </w:p>
    <w:p w14:paraId="596C5393" w14:textId="77777777" w:rsidR="00F03958" w:rsidRPr="00883566" w:rsidRDefault="00F03958" w:rsidP="00AA241E">
      <w:pPr>
        <w:spacing w:before="240" w:after="120"/>
        <w:ind w:left="619"/>
        <w:jc w:val="both"/>
        <w:rPr>
          <w:rFonts w:cs="Times New Roman"/>
          <w:lang w:eastAsia="et-EE"/>
        </w:rPr>
      </w:pPr>
      <w:r w:rsidRPr="00883566">
        <w:rPr>
          <w:rFonts w:cs="Times New Roman"/>
          <w:lang w:eastAsia="et-EE"/>
        </w:rPr>
        <w:t xml:space="preserve">c) riigi reguleeriv asutus kehtestab kohustused seoses EK 2024 kohustuste soovituse punktide 46 ja 47 kohase </w:t>
      </w:r>
      <w:r w:rsidRPr="00883566">
        <w:rPr>
          <w:rFonts w:cs="Times New Roman"/>
          <w:b/>
          <w:bCs/>
          <w:lang w:eastAsia="et-EE"/>
        </w:rPr>
        <w:t>majandusliku jäljendatavuse testiga</w:t>
      </w:r>
      <w:r w:rsidRPr="00883566">
        <w:rPr>
          <w:rFonts w:cs="Times New Roman"/>
          <w:lang w:eastAsia="et-EE"/>
        </w:rPr>
        <w:t>;</w:t>
      </w:r>
    </w:p>
    <w:p w14:paraId="2BCF1ECC" w14:textId="77777777" w:rsidR="00F03958" w:rsidRPr="00883566" w:rsidRDefault="00F03958" w:rsidP="00AA241E">
      <w:pPr>
        <w:spacing w:before="240" w:after="120"/>
        <w:ind w:left="619"/>
        <w:jc w:val="both"/>
        <w:rPr>
          <w:rFonts w:cs="Times New Roman"/>
          <w:lang w:eastAsia="et-EE"/>
        </w:rPr>
      </w:pPr>
      <w:r w:rsidRPr="00883566">
        <w:rPr>
          <w:rFonts w:cs="Times New Roman"/>
          <w:lang w:eastAsia="et-EE"/>
        </w:rPr>
        <w:t>d) on olemas tõendatav jaehinnapiirang, mis tuleneb ühest alljärgnevast tegurist:</w:t>
      </w:r>
    </w:p>
    <w:p w14:paraId="43DD3D45" w14:textId="77777777" w:rsidR="00F03958" w:rsidRPr="00883566" w:rsidRDefault="00F03958" w:rsidP="00AA241E">
      <w:pPr>
        <w:spacing w:before="240" w:after="120"/>
        <w:ind w:left="924"/>
        <w:jc w:val="both"/>
        <w:rPr>
          <w:rFonts w:cs="Times New Roman"/>
          <w:lang w:eastAsia="et-EE"/>
        </w:rPr>
      </w:pPr>
      <w:r w:rsidRPr="00883566">
        <w:rPr>
          <w:rFonts w:cs="Times New Roman"/>
          <w:lang w:eastAsia="et-EE"/>
        </w:rPr>
        <w:t>i) taristupõhine konkurents, mis tuleneb jaeteenuste pakkumisest alternatiivse(te) taristu(te) kaudu, mida ei kontrolli MTE;</w:t>
      </w:r>
    </w:p>
    <w:p w14:paraId="19844CA5" w14:textId="77777777" w:rsidR="00F03958" w:rsidRPr="00883566" w:rsidRDefault="00F03958" w:rsidP="00AA241E">
      <w:pPr>
        <w:spacing w:before="240" w:after="120"/>
        <w:ind w:left="924"/>
        <w:jc w:val="both"/>
        <w:rPr>
          <w:rFonts w:cs="Times New Roman"/>
          <w:lang w:eastAsia="et-EE"/>
        </w:rPr>
      </w:pPr>
      <w:r w:rsidRPr="00883566">
        <w:rPr>
          <w:rFonts w:cs="Times New Roman"/>
          <w:lang w:eastAsia="et-EE"/>
        </w:rPr>
        <w:t xml:space="preserve">ii) </w:t>
      </w:r>
      <w:r w:rsidRPr="00883566">
        <w:rPr>
          <w:rFonts w:cs="Times New Roman"/>
          <w:b/>
          <w:bCs/>
          <w:lang w:eastAsia="et-EE"/>
        </w:rPr>
        <w:t>geograafilisest uuringust tulenevad selged ja realistlikud kohustused alternatiivsete võrkude kasutuselevõtuks</w:t>
      </w:r>
      <w:r w:rsidRPr="00883566">
        <w:rPr>
          <w:rFonts w:cs="Times New Roman"/>
          <w:lang w:eastAsia="et-EE"/>
        </w:rPr>
        <w:t xml:space="preserve">, et hõlmata turu läbivaatamise perioodi </w:t>
      </w:r>
      <w:r w:rsidRPr="00883566">
        <w:rPr>
          <w:rFonts w:cs="Times New Roman"/>
          <w:lang w:eastAsia="et-EE"/>
        </w:rPr>
        <w:lastRenderedPageBreak/>
        <w:t>jooksul märkimisväärne osa piirkonnast, eriti kui seda toetavad toimivad juurdepääsulepingud MTE kontrollitavale tsiviilehituse taristule või kui kasutuselevõtt on juba alanud;</w:t>
      </w:r>
    </w:p>
    <w:p w14:paraId="037D21D9" w14:textId="77777777" w:rsidR="00F03958" w:rsidRPr="00883566" w:rsidRDefault="00F03958" w:rsidP="00AA241E">
      <w:pPr>
        <w:spacing w:before="240" w:after="120"/>
        <w:ind w:left="924"/>
        <w:jc w:val="both"/>
        <w:rPr>
          <w:rFonts w:cs="Times New Roman"/>
          <w:lang w:eastAsia="et-EE"/>
        </w:rPr>
      </w:pPr>
      <w:r w:rsidRPr="00883566">
        <w:rPr>
          <w:rFonts w:cs="Times New Roman"/>
          <w:lang w:eastAsia="et-EE"/>
        </w:rPr>
        <w:t xml:space="preserve">iii) </w:t>
      </w:r>
      <w:r w:rsidRPr="00883566">
        <w:rPr>
          <w:rFonts w:cs="Times New Roman"/>
          <w:b/>
          <w:bCs/>
          <w:lang w:eastAsia="et-EE"/>
        </w:rPr>
        <w:t>reguleeritud ankurtoode,</w:t>
      </w:r>
      <w:r w:rsidRPr="00883566">
        <w:rPr>
          <w:rFonts w:cs="Times New Roman"/>
          <w:lang w:eastAsia="et-EE"/>
        </w:rPr>
        <w:t xml:space="preserve"> mille riigi reguleeriv asutus on kindlaks määranud kooskõlas EK 2024 kohustuste soovituse punktidega 41–45 ja mille suhtes kohaldatakse kuludele orienteeritud hinnakontrolli kohustust vastavalt käesoleva soovituse punktides 48–59 kirjeldatud soovitatavale kuluarvestusmetoodikale.</w:t>
      </w:r>
      <w:r w:rsidRPr="00883566">
        <w:rPr>
          <w:rFonts w:cs="Times New Roman"/>
          <w:lang w:eastAsia="et-EE"/>
        </w:rPr>
        <w:tab/>
      </w:r>
    </w:p>
    <w:p w14:paraId="72883561" w14:textId="77777777" w:rsidR="00F03958" w:rsidRPr="00883566" w:rsidRDefault="00F03958" w:rsidP="00AA241E">
      <w:pPr>
        <w:spacing w:before="240" w:after="120"/>
        <w:ind w:left="359"/>
        <w:jc w:val="both"/>
        <w:rPr>
          <w:rFonts w:cs="Times New Roman"/>
          <w:lang w:eastAsia="et-EE"/>
        </w:rPr>
      </w:pPr>
      <w:r w:rsidRPr="00883566">
        <w:rPr>
          <w:rFonts w:cs="Times New Roman"/>
          <w:lang w:eastAsia="et-EE"/>
        </w:rPr>
        <w:t>39. Turgudel, kus EK 2024 kohustuste soovituse punktis 38 loetletud tingimused on täidetud ainult teatavates piirkondades, peaksid riikide reguleerivad asutused võtma erinevaid parandusmeetmeid ja säilitama või kehtestama hinnakontrolli kohustused kooskõlas direktiivi (EL) 2018/1972 artikliga 74 ainult nendes piirkondades, kus kõnealused tingimused ei ole täidetud. Erinevate parandusmeetmete kehtestamine konkreetsel geograafilisel turul ei tohiks muuta riikide reguleerivate asutuste eeldusi, mille alusel rakendatakse soovitatavat kuluarvestusmetoodikat, ja seega ei tohiks see viia teistsuguse tulemuseni kui alternatiivne stsenaarium, mille puhul erinevaid parandusmeetmeid ei kehtestataks.</w:t>
      </w:r>
    </w:p>
    <w:p w14:paraId="6E74C93D" w14:textId="0E751DD5" w:rsidR="00F03958" w:rsidRPr="00883566" w:rsidRDefault="00F03958" w:rsidP="00AA241E">
      <w:pPr>
        <w:spacing w:before="240" w:after="120"/>
        <w:ind w:left="359"/>
        <w:jc w:val="both"/>
        <w:rPr>
          <w:rFonts w:cs="Times New Roman"/>
          <w:lang w:eastAsia="et-EE"/>
        </w:rPr>
      </w:pPr>
      <w:r w:rsidRPr="00883566">
        <w:rPr>
          <w:rFonts w:cs="Times New Roman"/>
          <w:lang w:eastAsia="et-EE"/>
        </w:rPr>
        <w:t xml:space="preserve">40. Käesoleva soovituse punkti 38 alapunktis d sätestatud tingimusi ei tohiks käsitada ainsate asjaoludena, mille korral riikide reguleerivad asutused võivad otsustada loobuda reguleeritud juurdepääsuhindade kehtestamisest väga suure läbilaskevõimega võrkude hulgimüügisisendite puhul. Olenevalt tegeliku mittediskrimineerimise tõendamisest ja konkurentsitingimustest võib esineda muid olukordi, mil reguleeritud juurdepääsuhindade kehtestamine ei ole direktiivi (EL) 2018/1972 alusel vajalik. </w:t>
      </w:r>
      <w:r w:rsidRPr="00883566">
        <w:rPr>
          <w:rFonts w:cs="Times New Roman"/>
          <w:b/>
          <w:bCs/>
          <w:lang w:eastAsia="et-EE"/>
        </w:rPr>
        <w:t>Kooskõlas EK kohustuste soovituse punktiga 71 võib see eeskätt kehtida juhul, kui väga suure läbilaskevõimega võrgu kasutuselevõtu majanduslik otstarbekus oleks väike isegi siis, kui vastavas piirkonnas regulatsioon puuduks, näiteks hõreda asustustihedusega piirkondade puhul.</w:t>
      </w:r>
    </w:p>
    <w:p w14:paraId="115924DF" w14:textId="77777777" w:rsidR="00F03958" w:rsidRPr="00883566" w:rsidRDefault="00F03958" w:rsidP="00AA241E">
      <w:pPr>
        <w:spacing w:before="240" w:after="120"/>
        <w:ind w:left="359"/>
        <w:jc w:val="both"/>
        <w:rPr>
          <w:rFonts w:cs="Times New Roman"/>
          <w:lang w:eastAsia="et-EE"/>
        </w:rPr>
      </w:pPr>
      <w:r w:rsidRPr="00883566">
        <w:rPr>
          <w:rFonts w:cs="Times New Roman"/>
          <w:lang w:eastAsia="et-EE"/>
        </w:rPr>
        <w:t xml:space="preserve">46. </w:t>
      </w:r>
      <w:r w:rsidRPr="00883566">
        <w:rPr>
          <w:rFonts w:cs="Times New Roman"/>
          <w:b/>
          <w:bCs/>
          <w:lang w:eastAsia="et-EE"/>
        </w:rPr>
        <w:t xml:space="preserve">Riiklik reguleeriv asutus peaks kehtestama EK 2024 kohustuste soovituse punkti 38 alapunktis c osutatud majandusliku jäljendatavuse testi kohustuse, kui ta võtab vastu lõpliku meetme, milles ta otsustab mitte kehtestada või säilitada reguleeritud juurdepääsu hulgihindu </w:t>
      </w:r>
      <w:proofErr w:type="spellStart"/>
      <w:r w:rsidRPr="00883566">
        <w:rPr>
          <w:rFonts w:cs="Times New Roman"/>
          <w:b/>
          <w:bCs/>
          <w:lang w:eastAsia="et-EE"/>
        </w:rPr>
        <w:t>VHCNi</w:t>
      </w:r>
      <w:proofErr w:type="spellEnd"/>
      <w:r w:rsidRPr="00883566">
        <w:rPr>
          <w:rFonts w:cs="Times New Roman"/>
          <w:b/>
          <w:bCs/>
          <w:lang w:eastAsia="et-EE"/>
        </w:rPr>
        <w:t xml:space="preserve"> hulgimüügi sisendite suhtes</w:t>
      </w:r>
      <w:r w:rsidRPr="00883566">
        <w:rPr>
          <w:rFonts w:cs="Times New Roman"/>
          <w:lang w:eastAsia="et-EE"/>
        </w:rPr>
        <w:t xml:space="preserve"> ja sama lõplik meede peaks sisaldama järgmisi elemente, mille suhtes on korraldatud direktiivi (EL) 2018/1972 artikli 32 kohane konsultatsioon: </w:t>
      </w:r>
      <w:r w:rsidRPr="00883566">
        <w:rPr>
          <w:rFonts w:cs="Times New Roman"/>
          <w:i/>
          <w:iCs/>
          <w:lang w:eastAsia="et-EE"/>
        </w:rPr>
        <w:t>…järgneb loetelu, milliseid elemente majandusliku jäljendatavuse testi kohustus peaks sisaldama.</w:t>
      </w:r>
    </w:p>
    <w:p w14:paraId="23E82E4B" w14:textId="77777777" w:rsidR="00F03958" w:rsidRPr="00883566" w:rsidRDefault="00F03958" w:rsidP="00AA241E">
      <w:pPr>
        <w:spacing w:before="240" w:after="120"/>
        <w:jc w:val="both"/>
        <w:rPr>
          <w:rFonts w:cs="Times New Roman"/>
          <w:b/>
          <w:bCs/>
          <w:u w:val="single"/>
          <w:lang w:eastAsia="et-EE"/>
        </w:rPr>
      </w:pPr>
    </w:p>
    <w:p w14:paraId="1D44BE54" w14:textId="77777777" w:rsidR="00F03958" w:rsidRPr="00883566" w:rsidRDefault="00F03958" w:rsidP="00AA241E">
      <w:pPr>
        <w:spacing w:before="240" w:after="120"/>
        <w:jc w:val="both"/>
        <w:rPr>
          <w:rFonts w:cs="Times New Roman"/>
          <w:b/>
          <w:bCs/>
          <w:lang w:eastAsia="et-EE"/>
        </w:rPr>
      </w:pPr>
      <w:r w:rsidRPr="00883566">
        <w:rPr>
          <w:rFonts w:cs="Times New Roman"/>
          <w:b/>
          <w:bCs/>
          <w:lang w:eastAsia="et-EE"/>
        </w:rPr>
        <w:t xml:space="preserve">Kokkuvõtlikult soovitab EK 2024 kohustuste soovitus, et valguskaablivõrkudes hulgituru 1 teenuste puhul tuleks võimalusel hoiduda EK 2024 kohustuse soovituse punktides 48-59 kirjeldatud kuluarvestusmetoodika (BU LRIC+) rakendamisest kui on täidetud EK 2024 </w:t>
      </w:r>
      <w:r w:rsidRPr="00883566">
        <w:rPr>
          <w:rFonts w:cs="Times New Roman"/>
          <w:b/>
          <w:bCs/>
          <w:lang w:eastAsia="et-EE"/>
        </w:rPr>
        <w:lastRenderedPageBreak/>
        <w:t>kohustuste soovituse punktis 38 lõikudes a – d koos alamlõikudega toodud tingimused, et soodustada investeerimist valguskaablivõrkude rajamiseks ja kasutuselevõtuks.</w:t>
      </w:r>
    </w:p>
    <w:p w14:paraId="71465023" w14:textId="7522EF70" w:rsidR="00F03958" w:rsidRPr="00883566" w:rsidRDefault="00F03958" w:rsidP="00AA241E">
      <w:pPr>
        <w:spacing w:before="240" w:after="120"/>
        <w:jc w:val="both"/>
        <w:rPr>
          <w:rFonts w:cs="Times New Roman"/>
          <w:lang w:eastAsia="et-EE"/>
        </w:rPr>
      </w:pPr>
      <w:r w:rsidRPr="00883566">
        <w:rPr>
          <w:rFonts w:cs="Times New Roman"/>
          <w:lang w:eastAsia="et-EE"/>
        </w:rPr>
        <w:t xml:space="preserve">TTJA analüüsis EK 2024 kohustuse soovituse punktis 38 lõikude a – d koos alamlõikudega toodud tingimuste täitmist </w:t>
      </w:r>
      <w:r w:rsidR="00A3232C">
        <w:rPr>
          <w:rFonts w:cs="Times New Roman"/>
          <w:lang w:eastAsia="et-EE"/>
        </w:rPr>
        <w:t>valguskaabelvõrgu</w:t>
      </w:r>
      <w:r w:rsidRPr="00883566">
        <w:rPr>
          <w:rFonts w:cs="Times New Roman"/>
          <w:lang w:eastAsia="et-EE"/>
        </w:rPr>
        <w:t xml:space="preserve">s B piirkonna hulgituru 1 teenuste osas ja koostas selle kohta järgneva kokkuvõtlikku Tabeli </w:t>
      </w:r>
      <w:r w:rsidR="00FB13D9">
        <w:rPr>
          <w:rFonts w:cs="Times New Roman"/>
          <w:lang w:eastAsia="et-EE"/>
        </w:rPr>
        <w:t>46</w:t>
      </w:r>
      <w:r w:rsidRPr="00883566">
        <w:rPr>
          <w:rFonts w:cs="Times New Roman"/>
          <w:lang w:eastAsia="et-EE"/>
        </w:rPr>
        <w:t xml:space="preserve">. Analüüsi tulemusel selgus, et soovituse punktis 38 lõikes d nimetatud tingimused </w:t>
      </w:r>
      <w:r w:rsidR="00B43C94">
        <w:rPr>
          <w:rFonts w:cs="Times New Roman"/>
          <w:lang w:eastAsia="et-EE"/>
        </w:rPr>
        <w:t>(võttes arvesse ka soovituse punktis 40 sätestatud erisusi)</w:t>
      </w:r>
      <w:r w:rsidRPr="00883566">
        <w:rPr>
          <w:rFonts w:cs="Times New Roman"/>
          <w:lang w:eastAsia="et-EE"/>
        </w:rPr>
        <w:t xml:space="preserve"> on B piirkonna maalistes ja linnalistes geograafilistes üksustes täidetud mõnevõrra erinevalt. Täpsemalt maalistes geograafilistes üksustes on soovituse punkti 38 lõike d tingimus täidetud seeläbi, et seal on </w:t>
      </w:r>
      <w:r w:rsidR="00A3232C">
        <w:rPr>
          <w:rFonts w:cs="Times New Roman"/>
          <w:lang w:eastAsia="et-EE"/>
        </w:rPr>
        <w:t>valguskaabelvõrgu</w:t>
      </w:r>
      <w:r w:rsidRPr="00883566">
        <w:rPr>
          <w:rFonts w:cs="Times New Roman"/>
          <w:lang w:eastAsia="et-EE"/>
        </w:rPr>
        <w:t xml:space="preserve"> kasutuselevõtu majanduslik otstarbekus väike ja linnalistes geograafilistes üksustes seeläbi, et seal eksisteerib reguleeritud ankurtoode, milleks on Telia sidekaablitaristule juurdepääsu hulgiteenused, vt ka tabel all olevaid selgitusi. Soovituse punktide 38 lõikudes a – c sätestatud tingimused  on maalistes ja linnalistes üksustes täidetud ühte moodi.</w:t>
      </w:r>
    </w:p>
    <w:tbl>
      <w:tblPr>
        <w:tblStyle w:val="Kontuurtabel"/>
        <w:tblW w:w="0" w:type="auto"/>
        <w:tblLook w:val="04A0" w:firstRow="1" w:lastRow="0" w:firstColumn="1" w:lastColumn="0" w:noHBand="0" w:noVBand="1"/>
      </w:tblPr>
      <w:tblGrid>
        <w:gridCol w:w="3267"/>
        <w:gridCol w:w="2964"/>
        <w:gridCol w:w="3119"/>
      </w:tblGrid>
      <w:tr w:rsidR="00F03958" w:rsidRPr="00883566" w14:paraId="40EC7DCE" w14:textId="77777777">
        <w:tc>
          <w:tcPr>
            <w:tcW w:w="0" w:type="auto"/>
          </w:tcPr>
          <w:p w14:paraId="317D54B0" w14:textId="77777777" w:rsidR="00F03958" w:rsidRPr="00883566" w:rsidRDefault="00F03958" w:rsidP="00AA241E">
            <w:pPr>
              <w:spacing w:before="240" w:after="120"/>
              <w:jc w:val="both"/>
              <w:rPr>
                <w:rFonts w:cs="Times New Roman"/>
                <w:b/>
                <w:bCs/>
                <w:lang w:eastAsia="et-EE"/>
              </w:rPr>
            </w:pPr>
            <w:r w:rsidRPr="00883566">
              <w:rPr>
                <w:rFonts w:cs="Times New Roman"/>
                <w:b/>
                <w:bCs/>
                <w:lang w:eastAsia="et-EE"/>
              </w:rPr>
              <w:t>EK 2024 kohustuste soovituse p 38 lg a – d tingimus</w:t>
            </w:r>
          </w:p>
        </w:tc>
        <w:tc>
          <w:tcPr>
            <w:tcW w:w="0" w:type="auto"/>
          </w:tcPr>
          <w:p w14:paraId="3026B516" w14:textId="77777777" w:rsidR="00F03958" w:rsidRPr="00883566" w:rsidRDefault="00F03958" w:rsidP="00AA241E">
            <w:pPr>
              <w:spacing w:before="240" w:after="120"/>
              <w:jc w:val="both"/>
              <w:rPr>
                <w:rFonts w:cs="Times New Roman"/>
                <w:b/>
                <w:bCs/>
                <w:lang w:eastAsia="et-EE"/>
              </w:rPr>
            </w:pPr>
            <w:r w:rsidRPr="00883566">
              <w:rPr>
                <w:rFonts w:cs="Times New Roman"/>
                <w:b/>
                <w:bCs/>
                <w:lang w:eastAsia="et-EE"/>
              </w:rPr>
              <w:t>B piirkonna maalised geograafilised üksused (15 maakonda, millest on välja arvatud linnalised geograafilised üksused)</w:t>
            </w:r>
          </w:p>
        </w:tc>
        <w:tc>
          <w:tcPr>
            <w:tcW w:w="0" w:type="auto"/>
          </w:tcPr>
          <w:p w14:paraId="57FDDBF7" w14:textId="77777777" w:rsidR="00F03958" w:rsidRPr="00883566" w:rsidRDefault="00F03958" w:rsidP="00AA241E">
            <w:pPr>
              <w:spacing w:before="240" w:after="120"/>
              <w:jc w:val="both"/>
              <w:rPr>
                <w:rFonts w:cs="Times New Roman"/>
                <w:b/>
                <w:bCs/>
                <w:lang w:eastAsia="et-EE"/>
              </w:rPr>
            </w:pPr>
            <w:r w:rsidRPr="00883566">
              <w:rPr>
                <w:rFonts w:cs="Times New Roman"/>
                <w:b/>
                <w:bCs/>
                <w:lang w:eastAsia="et-EE"/>
              </w:rPr>
              <w:t>B piirkonna linnalised geograafilised üksused (23 üksust)</w:t>
            </w:r>
          </w:p>
        </w:tc>
      </w:tr>
      <w:tr w:rsidR="00F03958" w:rsidRPr="006077AF" w14:paraId="40C92EC3" w14:textId="77777777">
        <w:tc>
          <w:tcPr>
            <w:tcW w:w="0" w:type="auto"/>
          </w:tcPr>
          <w:p w14:paraId="4BA310F7" w14:textId="77777777" w:rsidR="00F03958" w:rsidRPr="00883566" w:rsidRDefault="00F03958" w:rsidP="00AA241E">
            <w:pPr>
              <w:spacing w:before="240" w:after="120"/>
              <w:jc w:val="both"/>
              <w:rPr>
                <w:rFonts w:cs="Times New Roman"/>
                <w:b/>
                <w:bCs/>
                <w:lang w:eastAsia="et-EE"/>
              </w:rPr>
            </w:pPr>
            <w:r w:rsidRPr="00883566">
              <w:rPr>
                <w:rFonts w:cs="Times New Roman"/>
                <w:b/>
                <w:bCs/>
                <w:lang w:eastAsia="et-EE"/>
              </w:rPr>
              <w:t>a) MTE-</w:t>
            </w:r>
            <w:proofErr w:type="spellStart"/>
            <w:r w:rsidRPr="00883566">
              <w:rPr>
                <w:rFonts w:cs="Times New Roman"/>
                <w:b/>
                <w:bCs/>
                <w:lang w:eastAsia="et-EE"/>
              </w:rPr>
              <w:t>le</w:t>
            </w:r>
            <w:proofErr w:type="spellEnd"/>
            <w:r w:rsidRPr="00883566">
              <w:rPr>
                <w:rFonts w:cs="Times New Roman"/>
                <w:b/>
                <w:bCs/>
                <w:lang w:eastAsia="et-EE"/>
              </w:rPr>
              <w:t xml:space="preserve"> kehtestatakse sisendite või väljundite võrdväärsuse kohustus</w:t>
            </w:r>
          </w:p>
        </w:tc>
        <w:tc>
          <w:tcPr>
            <w:tcW w:w="0" w:type="auto"/>
          </w:tcPr>
          <w:p w14:paraId="49CEB85C" w14:textId="44B0DBB7" w:rsidR="00F03958" w:rsidRPr="00883566" w:rsidRDefault="00F03958" w:rsidP="00AA241E">
            <w:pPr>
              <w:spacing w:before="240" w:after="120"/>
              <w:jc w:val="both"/>
              <w:rPr>
                <w:rFonts w:cs="Times New Roman"/>
                <w:b/>
                <w:bCs/>
                <w:color w:val="00B050"/>
                <w:lang w:eastAsia="et-EE"/>
              </w:rPr>
            </w:pPr>
            <w:r w:rsidRPr="00883566">
              <w:rPr>
                <w:rFonts w:cs="Times New Roman"/>
                <w:b/>
                <w:bCs/>
                <w:color w:val="00B050"/>
                <w:lang w:eastAsia="et-EE"/>
              </w:rPr>
              <w:t xml:space="preserve">JAH, kehtestatakse väljundite võrdväärsuse kohustus, vt </w:t>
            </w:r>
            <w:r w:rsidR="008C159A">
              <w:rPr>
                <w:rFonts w:cs="Times New Roman"/>
                <w:b/>
                <w:bCs/>
                <w:color w:val="00B050"/>
                <w:lang w:eastAsia="et-EE"/>
              </w:rPr>
              <w:t xml:space="preserve">ptk. </w:t>
            </w:r>
            <w:r w:rsidR="00357295">
              <w:rPr>
                <w:rFonts w:cs="Times New Roman"/>
                <w:b/>
                <w:bCs/>
                <w:color w:val="00B050"/>
                <w:lang w:eastAsia="et-EE"/>
              </w:rPr>
              <w:t>7.4.</w:t>
            </w:r>
            <w:r w:rsidR="00175F02">
              <w:rPr>
                <w:rFonts w:cs="Times New Roman"/>
                <w:b/>
                <w:bCs/>
                <w:color w:val="00B050"/>
                <w:lang w:eastAsia="et-EE"/>
              </w:rPr>
              <w:t>10</w:t>
            </w:r>
          </w:p>
        </w:tc>
        <w:tc>
          <w:tcPr>
            <w:tcW w:w="0" w:type="auto"/>
          </w:tcPr>
          <w:p w14:paraId="1A837917" w14:textId="30FC5136" w:rsidR="00F03958" w:rsidRPr="00883566" w:rsidRDefault="00F03958" w:rsidP="00AA241E">
            <w:pPr>
              <w:spacing w:before="240" w:after="120"/>
              <w:jc w:val="both"/>
              <w:rPr>
                <w:rFonts w:cs="Times New Roman"/>
                <w:b/>
                <w:bCs/>
                <w:color w:val="00B050"/>
                <w:lang w:eastAsia="et-EE"/>
              </w:rPr>
            </w:pPr>
            <w:r w:rsidRPr="00883566">
              <w:rPr>
                <w:rFonts w:cs="Times New Roman"/>
                <w:b/>
                <w:bCs/>
                <w:color w:val="00B050"/>
                <w:lang w:eastAsia="et-EE"/>
              </w:rPr>
              <w:t xml:space="preserve">JAH, kehtestataks väljundite võrdväärsuse kohustus, vt </w:t>
            </w:r>
            <w:r w:rsidR="008C159A">
              <w:rPr>
                <w:rFonts w:cs="Times New Roman"/>
                <w:b/>
                <w:bCs/>
                <w:color w:val="00B050"/>
                <w:lang w:eastAsia="et-EE"/>
              </w:rPr>
              <w:t xml:space="preserve">ptk. </w:t>
            </w:r>
            <w:r w:rsidR="0056374B">
              <w:rPr>
                <w:rFonts w:cs="Times New Roman"/>
                <w:b/>
                <w:bCs/>
                <w:color w:val="00B050"/>
                <w:lang w:eastAsia="et-EE"/>
              </w:rPr>
              <w:t>7.4.</w:t>
            </w:r>
            <w:r w:rsidR="00175F02">
              <w:rPr>
                <w:rFonts w:cs="Times New Roman"/>
                <w:b/>
                <w:bCs/>
                <w:color w:val="00B050"/>
                <w:lang w:eastAsia="et-EE"/>
              </w:rPr>
              <w:t>10</w:t>
            </w:r>
          </w:p>
        </w:tc>
      </w:tr>
      <w:tr w:rsidR="00F03958" w:rsidRPr="006077AF" w14:paraId="0E8EBD4A" w14:textId="77777777">
        <w:tc>
          <w:tcPr>
            <w:tcW w:w="0" w:type="auto"/>
          </w:tcPr>
          <w:p w14:paraId="0113CCA7" w14:textId="77777777" w:rsidR="00F03958" w:rsidRPr="00883566" w:rsidRDefault="00F03958" w:rsidP="00AA241E">
            <w:pPr>
              <w:spacing w:before="240" w:after="120"/>
              <w:jc w:val="both"/>
              <w:rPr>
                <w:rFonts w:cs="Times New Roman"/>
                <w:b/>
                <w:bCs/>
                <w:lang w:eastAsia="et-EE"/>
              </w:rPr>
            </w:pPr>
            <w:r w:rsidRPr="00883566">
              <w:rPr>
                <w:rFonts w:cs="Times New Roman"/>
                <w:b/>
                <w:bCs/>
                <w:lang w:eastAsia="et-EE"/>
              </w:rPr>
              <w:t>b) MTE-</w:t>
            </w:r>
            <w:proofErr w:type="spellStart"/>
            <w:r w:rsidRPr="00883566">
              <w:rPr>
                <w:rFonts w:cs="Times New Roman"/>
                <w:b/>
                <w:bCs/>
                <w:lang w:eastAsia="et-EE"/>
              </w:rPr>
              <w:t>le</w:t>
            </w:r>
            <w:proofErr w:type="spellEnd"/>
            <w:r w:rsidRPr="00883566">
              <w:rPr>
                <w:rFonts w:cs="Times New Roman"/>
                <w:b/>
                <w:bCs/>
                <w:lang w:eastAsia="et-EE"/>
              </w:rPr>
              <w:t xml:space="preserve"> kehtestatakse tehnilise jäljendatavuse test, kui sisendite võrdväärsust täiel määral ei rakendata</w:t>
            </w:r>
          </w:p>
        </w:tc>
        <w:tc>
          <w:tcPr>
            <w:tcW w:w="0" w:type="auto"/>
          </w:tcPr>
          <w:p w14:paraId="6F9EE607" w14:textId="03DE3AAF" w:rsidR="00F03958" w:rsidRPr="00883566" w:rsidRDefault="00F03958" w:rsidP="00AA241E">
            <w:pPr>
              <w:spacing w:before="240" w:after="120"/>
              <w:jc w:val="both"/>
              <w:rPr>
                <w:rFonts w:cs="Times New Roman"/>
                <w:b/>
                <w:bCs/>
                <w:color w:val="00B050"/>
                <w:lang w:eastAsia="et-EE"/>
              </w:rPr>
            </w:pPr>
            <w:r w:rsidRPr="00883566">
              <w:rPr>
                <w:rFonts w:cs="Times New Roman"/>
                <w:b/>
                <w:bCs/>
                <w:color w:val="00B050"/>
                <w:lang w:eastAsia="et-EE"/>
              </w:rPr>
              <w:t xml:space="preserve">JAH, kehtestatakse uute jaemüügipakkumiste tehnilise jäljendatavuse test, vt </w:t>
            </w:r>
            <w:r w:rsidR="008C159A">
              <w:rPr>
                <w:rFonts w:cs="Times New Roman"/>
                <w:b/>
                <w:bCs/>
                <w:color w:val="00B050"/>
                <w:lang w:eastAsia="et-EE"/>
              </w:rPr>
              <w:t xml:space="preserve">ptk. </w:t>
            </w:r>
            <w:r w:rsidR="0056374B">
              <w:rPr>
                <w:rFonts w:cs="Times New Roman"/>
                <w:b/>
                <w:bCs/>
                <w:color w:val="00B050"/>
                <w:lang w:eastAsia="et-EE"/>
              </w:rPr>
              <w:t>7.4.</w:t>
            </w:r>
            <w:r w:rsidR="00175F02">
              <w:rPr>
                <w:rFonts w:cs="Times New Roman"/>
                <w:b/>
                <w:bCs/>
                <w:color w:val="00B050"/>
                <w:lang w:eastAsia="et-EE"/>
              </w:rPr>
              <w:t>10</w:t>
            </w:r>
          </w:p>
        </w:tc>
        <w:tc>
          <w:tcPr>
            <w:tcW w:w="0" w:type="auto"/>
          </w:tcPr>
          <w:p w14:paraId="3DEB7FB3" w14:textId="6A56F938" w:rsidR="00F03958" w:rsidRPr="00883566" w:rsidRDefault="00F03958" w:rsidP="00AA241E">
            <w:pPr>
              <w:spacing w:before="240" w:after="120"/>
              <w:jc w:val="both"/>
              <w:rPr>
                <w:rFonts w:cs="Times New Roman"/>
                <w:b/>
                <w:bCs/>
                <w:color w:val="00B050"/>
                <w:lang w:eastAsia="et-EE"/>
              </w:rPr>
            </w:pPr>
            <w:r w:rsidRPr="00883566">
              <w:rPr>
                <w:rFonts w:cs="Times New Roman"/>
                <w:b/>
                <w:bCs/>
                <w:color w:val="00B050"/>
                <w:lang w:eastAsia="et-EE"/>
              </w:rPr>
              <w:t xml:space="preserve">JAH, kehtestatakse uute jaemüügipakkumiste tehnilise jäljendatavuse test, vt </w:t>
            </w:r>
            <w:r w:rsidR="008C159A">
              <w:rPr>
                <w:rFonts w:cs="Times New Roman"/>
                <w:b/>
                <w:bCs/>
                <w:color w:val="00B050"/>
                <w:lang w:eastAsia="et-EE"/>
              </w:rPr>
              <w:t xml:space="preserve">ptk. </w:t>
            </w:r>
            <w:r w:rsidR="0056374B">
              <w:rPr>
                <w:rFonts w:cs="Times New Roman"/>
                <w:b/>
                <w:bCs/>
                <w:color w:val="00B050"/>
                <w:lang w:eastAsia="et-EE"/>
              </w:rPr>
              <w:t>7.4.</w:t>
            </w:r>
            <w:r w:rsidR="00175F02">
              <w:rPr>
                <w:rFonts w:cs="Times New Roman"/>
                <w:b/>
                <w:bCs/>
                <w:color w:val="00B050"/>
                <w:lang w:eastAsia="et-EE"/>
              </w:rPr>
              <w:t>10</w:t>
            </w:r>
          </w:p>
        </w:tc>
      </w:tr>
      <w:tr w:rsidR="00F03958" w:rsidRPr="006077AF" w14:paraId="477DB16E" w14:textId="77777777">
        <w:tc>
          <w:tcPr>
            <w:tcW w:w="0" w:type="auto"/>
          </w:tcPr>
          <w:p w14:paraId="15006965" w14:textId="77777777" w:rsidR="00F03958" w:rsidRPr="00883566" w:rsidRDefault="00F03958" w:rsidP="00AA241E">
            <w:pPr>
              <w:spacing w:before="240" w:after="120"/>
              <w:jc w:val="both"/>
              <w:rPr>
                <w:rFonts w:cs="Times New Roman"/>
                <w:b/>
                <w:bCs/>
                <w:lang w:eastAsia="et-EE"/>
              </w:rPr>
            </w:pPr>
            <w:r w:rsidRPr="00883566">
              <w:rPr>
                <w:rFonts w:cs="Times New Roman"/>
                <w:b/>
                <w:bCs/>
                <w:lang w:eastAsia="et-EE"/>
              </w:rPr>
              <w:t>c) MTE-</w:t>
            </w:r>
            <w:proofErr w:type="spellStart"/>
            <w:r w:rsidRPr="00883566">
              <w:rPr>
                <w:rFonts w:cs="Times New Roman"/>
                <w:b/>
                <w:bCs/>
                <w:lang w:eastAsia="et-EE"/>
              </w:rPr>
              <w:t>le</w:t>
            </w:r>
            <w:proofErr w:type="spellEnd"/>
            <w:r w:rsidRPr="00883566">
              <w:rPr>
                <w:rFonts w:cs="Times New Roman"/>
                <w:b/>
                <w:bCs/>
                <w:lang w:eastAsia="et-EE"/>
              </w:rPr>
              <w:t xml:space="preserve"> kehtestatakse majandusliku jäljendatavuse test</w:t>
            </w:r>
          </w:p>
        </w:tc>
        <w:tc>
          <w:tcPr>
            <w:tcW w:w="0" w:type="auto"/>
          </w:tcPr>
          <w:p w14:paraId="4BD8134B" w14:textId="2474F1C9" w:rsidR="00F03958" w:rsidRPr="00883566" w:rsidRDefault="00F03958" w:rsidP="00AA241E">
            <w:pPr>
              <w:spacing w:before="240" w:after="120"/>
              <w:jc w:val="both"/>
              <w:rPr>
                <w:rFonts w:cs="Times New Roman"/>
                <w:b/>
                <w:bCs/>
                <w:color w:val="7030A0"/>
                <w:lang w:eastAsia="et-EE"/>
              </w:rPr>
            </w:pPr>
            <w:r w:rsidRPr="00883566">
              <w:rPr>
                <w:rFonts w:cs="Times New Roman"/>
                <w:b/>
                <w:bCs/>
                <w:color w:val="00B050"/>
                <w:lang w:eastAsia="et-EE"/>
              </w:rPr>
              <w:t>JAH, TTJA kavandab vastava kohustuse kehtestamist pärast otsuse vastu võtmist, vt alltoodud selgitusi</w:t>
            </w:r>
            <w:r w:rsidR="00175F02">
              <w:rPr>
                <w:rFonts w:cs="Times New Roman"/>
                <w:b/>
                <w:bCs/>
                <w:color w:val="00B050"/>
                <w:lang w:eastAsia="et-EE"/>
              </w:rPr>
              <w:t xml:space="preserve"> ja </w:t>
            </w:r>
            <w:r w:rsidR="008C159A">
              <w:rPr>
                <w:rFonts w:cs="Times New Roman"/>
                <w:b/>
                <w:bCs/>
                <w:color w:val="00B050"/>
                <w:lang w:eastAsia="et-EE"/>
              </w:rPr>
              <w:t xml:space="preserve">ptk. </w:t>
            </w:r>
            <w:r w:rsidR="00175F02">
              <w:rPr>
                <w:rFonts w:cs="Times New Roman"/>
                <w:b/>
                <w:bCs/>
                <w:color w:val="00B050"/>
                <w:lang w:eastAsia="et-EE"/>
              </w:rPr>
              <w:t>7.6.4</w:t>
            </w:r>
          </w:p>
        </w:tc>
        <w:tc>
          <w:tcPr>
            <w:tcW w:w="0" w:type="auto"/>
          </w:tcPr>
          <w:p w14:paraId="3B6908A7" w14:textId="4766120A" w:rsidR="00F03958" w:rsidRPr="00883566" w:rsidRDefault="00F03958" w:rsidP="00AA241E">
            <w:pPr>
              <w:spacing w:before="240" w:after="120"/>
              <w:jc w:val="both"/>
              <w:rPr>
                <w:rFonts w:cs="Times New Roman"/>
                <w:b/>
                <w:bCs/>
                <w:color w:val="7030A0"/>
                <w:lang w:eastAsia="et-EE"/>
              </w:rPr>
            </w:pPr>
            <w:r w:rsidRPr="00883566">
              <w:rPr>
                <w:rFonts w:cs="Times New Roman"/>
                <w:b/>
                <w:bCs/>
                <w:color w:val="00B050"/>
                <w:lang w:eastAsia="et-EE"/>
              </w:rPr>
              <w:t>JAH, TTJA kavandab vastava kohustuse kehtestamist pärast otsuse vastu võtmist, vt alltoodud selgitusi</w:t>
            </w:r>
            <w:r w:rsidR="00175F02">
              <w:rPr>
                <w:rFonts w:cs="Times New Roman"/>
                <w:b/>
                <w:bCs/>
                <w:color w:val="00B050"/>
                <w:lang w:eastAsia="et-EE"/>
              </w:rPr>
              <w:t xml:space="preserve"> ja </w:t>
            </w:r>
            <w:r w:rsidR="008C159A">
              <w:rPr>
                <w:rFonts w:cs="Times New Roman"/>
                <w:b/>
                <w:bCs/>
                <w:color w:val="00B050"/>
                <w:lang w:eastAsia="et-EE"/>
              </w:rPr>
              <w:t xml:space="preserve">ptk. </w:t>
            </w:r>
            <w:r w:rsidR="00175F02">
              <w:rPr>
                <w:rFonts w:cs="Times New Roman"/>
                <w:b/>
                <w:bCs/>
                <w:color w:val="00B050"/>
                <w:lang w:eastAsia="et-EE"/>
              </w:rPr>
              <w:t>7.6.4</w:t>
            </w:r>
          </w:p>
        </w:tc>
      </w:tr>
      <w:tr w:rsidR="00F03958" w:rsidRPr="006077AF" w14:paraId="216E312F" w14:textId="77777777">
        <w:tc>
          <w:tcPr>
            <w:tcW w:w="0" w:type="auto"/>
          </w:tcPr>
          <w:p w14:paraId="3C0C9CBB" w14:textId="48814269" w:rsidR="00F03958" w:rsidRPr="00883566" w:rsidRDefault="00F03958" w:rsidP="00AA241E">
            <w:pPr>
              <w:spacing w:before="240" w:after="120"/>
              <w:jc w:val="both"/>
              <w:rPr>
                <w:rFonts w:cs="Times New Roman"/>
                <w:b/>
                <w:bCs/>
                <w:lang w:eastAsia="et-EE"/>
              </w:rPr>
            </w:pPr>
            <w:r w:rsidRPr="00883566">
              <w:rPr>
                <w:rFonts w:cs="Times New Roman"/>
                <w:b/>
                <w:bCs/>
                <w:lang w:eastAsia="et-EE"/>
              </w:rPr>
              <w:t xml:space="preserve">d) On olemas jaehinnapiirang (vähemalt üks alltoodud punktides i – iii toodud tingimuse peab olema täidetud) või </w:t>
            </w:r>
            <w:r w:rsidR="00A3232C">
              <w:rPr>
                <w:rFonts w:cs="Times New Roman"/>
                <w:b/>
                <w:bCs/>
                <w:lang w:eastAsia="et-EE"/>
              </w:rPr>
              <w:t>valguskaabelvõrgu</w:t>
            </w:r>
            <w:r w:rsidRPr="00883566">
              <w:rPr>
                <w:rFonts w:cs="Times New Roman"/>
                <w:b/>
                <w:bCs/>
                <w:lang w:eastAsia="et-EE"/>
              </w:rPr>
              <w:t xml:space="preserve">  kasutuselevõtu majanduslik </w:t>
            </w:r>
            <w:r w:rsidRPr="00883566">
              <w:rPr>
                <w:rFonts w:cs="Times New Roman"/>
                <w:b/>
                <w:bCs/>
                <w:lang w:eastAsia="et-EE"/>
              </w:rPr>
              <w:lastRenderedPageBreak/>
              <w:t>otstarbekus on väike (alltoodud punkt iv)</w:t>
            </w:r>
          </w:p>
        </w:tc>
        <w:tc>
          <w:tcPr>
            <w:tcW w:w="0" w:type="auto"/>
          </w:tcPr>
          <w:p w14:paraId="4AE58E9F" w14:textId="4A571A53" w:rsidR="00F03958" w:rsidRPr="00883566" w:rsidRDefault="00F03958" w:rsidP="00AA241E">
            <w:pPr>
              <w:spacing w:before="240" w:after="120"/>
              <w:jc w:val="both"/>
              <w:rPr>
                <w:rFonts w:cs="Times New Roman"/>
                <w:b/>
                <w:bCs/>
                <w:lang w:eastAsia="et-EE"/>
              </w:rPr>
            </w:pPr>
            <w:r w:rsidRPr="00883566">
              <w:rPr>
                <w:rFonts w:cs="Times New Roman"/>
                <w:b/>
                <w:bCs/>
                <w:color w:val="00B050"/>
                <w:lang w:eastAsia="et-EE"/>
              </w:rPr>
              <w:lastRenderedPageBreak/>
              <w:t xml:space="preserve">JAH, kuna </w:t>
            </w:r>
            <w:r w:rsidR="00A3232C">
              <w:rPr>
                <w:rFonts w:cs="Times New Roman"/>
                <w:b/>
                <w:bCs/>
                <w:color w:val="00B050"/>
                <w:lang w:eastAsia="et-EE"/>
              </w:rPr>
              <w:t>valguskaabelvõrgu</w:t>
            </w:r>
            <w:r w:rsidRPr="00883566">
              <w:rPr>
                <w:rFonts w:cs="Times New Roman"/>
                <w:b/>
                <w:bCs/>
                <w:color w:val="00B050"/>
                <w:lang w:eastAsia="et-EE"/>
              </w:rPr>
              <w:t xml:space="preserve"> kasutuselevõtu majanduslik otstarbekus on väike, vt alltoodud punkti (iv) selgitusi</w:t>
            </w:r>
          </w:p>
        </w:tc>
        <w:tc>
          <w:tcPr>
            <w:tcW w:w="0" w:type="auto"/>
          </w:tcPr>
          <w:p w14:paraId="639D37AF" w14:textId="77777777" w:rsidR="00F03958" w:rsidRPr="00883566" w:rsidRDefault="00F03958" w:rsidP="00AA241E">
            <w:pPr>
              <w:spacing w:before="240" w:after="120"/>
              <w:jc w:val="both"/>
              <w:rPr>
                <w:rFonts w:cs="Times New Roman"/>
                <w:b/>
                <w:bCs/>
                <w:lang w:eastAsia="et-EE"/>
              </w:rPr>
            </w:pPr>
            <w:r w:rsidRPr="00883566">
              <w:rPr>
                <w:rFonts w:cs="Times New Roman"/>
                <w:b/>
                <w:bCs/>
                <w:color w:val="00B050"/>
                <w:lang w:eastAsia="et-EE"/>
              </w:rPr>
              <w:t>JAH, kuna eksisteerib reguleeritud ankurtoode, milleks on Telia sidekaablitaristule juurdepääsu hulgiteenused, vt alltoodud punkti (iii) selgitusi</w:t>
            </w:r>
          </w:p>
        </w:tc>
      </w:tr>
      <w:tr w:rsidR="00F03958" w:rsidRPr="00883566" w14:paraId="28C11474" w14:textId="77777777">
        <w:tc>
          <w:tcPr>
            <w:tcW w:w="0" w:type="auto"/>
          </w:tcPr>
          <w:p w14:paraId="1B618E2D" w14:textId="77777777" w:rsidR="00F03958" w:rsidRPr="00883566" w:rsidRDefault="00F03958" w:rsidP="00AA241E">
            <w:pPr>
              <w:spacing w:before="240" w:after="120"/>
              <w:jc w:val="both"/>
              <w:rPr>
                <w:rFonts w:cs="Times New Roman"/>
                <w:i/>
                <w:iCs/>
                <w:lang w:eastAsia="et-EE"/>
              </w:rPr>
            </w:pPr>
            <w:r w:rsidRPr="00883566">
              <w:rPr>
                <w:rFonts w:cs="Times New Roman"/>
                <w:i/>
                <w:iCs/>
                <w:lang w:eastAsia="et-EE"/>
              </w:rPr>
              <w:t>i) eksisteerib taristupõhine (sidevõrkude) konkurents, mis tuleneb jaeteenuste pakkumisest alternatiivse(te) taristu(te) kaudu, mida ei kontrolli MTE</w:t>
            </w:r>
          </w:p>
        </w:tc>
        <w:tc>
          <w:tcPr>
            <w:tcW w:w="0" w:type="auto"/>
          </w:tcPr>
          <w:p w14:paraId="08980D5F" w14:textId="77777777" w:rsidR="00F03958" w:rsidRPr="00883566" w:rsidRDefault="00F03958" w:rsidP="00AA241E">
            <w:pPr>
              <w:spacing w:before="240" w:after="120"/>
              <w:jc w:val="both"/>
              <w:rPr>
                <w:rFonts w:cs="Times New Roman"/>
                <w:i/>
                <w:iCs/>
                <w:color w:val="FF0000"/>
                <w:lang w:eastAsia="et-EE"/>
              </w:rPr>
            </w:pPr>
            <w:r w:rsidRPr="00883566">
              <w:rPr>
                <w:rFonts w:cs="Times New Roman"/>
                <w:i/>
                <w:iCs/>
                <w:color w:val="FF0000"/>
                <w:lang w:eastAsia="et-EE"/>
              </w:rPr>
              <w:t>EI, vt tabeli all toodud selgitusi</w:t>
            </w:r>
          </w:p>
        </w:tc>
        <w:tc>
          <w:tcPr>
            <w:tcW w:w="0" w:type="auto"/>
          </w:tcPr>
          <w:p w14:paraId="4C45B1C1" w14:textId="77777777" w:rsidR="00F03958" w:rsidRPr="00883566" w:rsidRDefault="00F03958" w:rsidP="00AA241E">
            <w:pPr>
              <w:spacing w:before="240" w:after="120"/>
              <w:jc w:val="both"/>
              <w:rPr>
                <w:rFonts w:cs="Times New Roman"/>
                <w:i/>
                <w:iCs/>
                <w:color w:val="FF0000"/>
                <w:lang w:eastAsia="et-EE"/>
              </w:rPr>
            </w:pPr>
            <w:r w:rsidRPr="00883566">
              <w:rPr>
                <w:rFonts w:cs="Times New Roman"/>
                <w:i/>
                <w:iCs/>
                <w:color w:val="FF0000"/>
                <w:lang w:eastAsia="et-EE"/>
              </w:rPr>
              <w:t>EI, vt tabeli all toodud selgitusi</w:t>
            </w:r>
          </w:p>
        </w:tc>
      </w:tr>
      <w:tr w:rsidR="00F03958" w:rsidRPr="00883566" w14:paraId="51A5C748" w14:textId="77777777">
        <w:tc>
          <w:tcPr>
            <w:tcW w:w="0" w:type="auto"/>
          </w:tcPr>
          <w:p w14:paraId="123A69BB" w14:textId="77777777" w:rsidR="00F03958" w:rsidRPr="00883566" w:rsidRDefault="00F03958" w:rsidP="00AA241E">
            <w:pPr>
              <w:spacing w:before="240" w:after="120"/>
              <w:jc w:val="both"/>
              <w:rPr>
                <w:rFonts w:cs="Times New Roman"/>
                <w:i/>
                <w:iCs/>
                <w:lang w:eastAsia="et-EE"/>
              </w:rPr>
            </w:pPr>
            <w:r w:rsidRPr="00883566">
              <w:rPr>
                <w:rFonts w:cs="Times New Roman"/>
                <w:i/>
                <w:iCs/>
                <w:lang w:eastAsia="et-EE"/>
              </w:rPr>
              <w:t>ii) geograafilisest uuringust tulenevad selged ja realistlikud kohustused alternatiivsete sidevõrkude kasutuselevõtuks, et hõlmata turu läbivaatamise perioodi jooksul märkimisväärne osa piirkonnast</w:t>
            </w:r>
          </w:p>
        </w:tc>
        <w:tc>
          <w:tcPr>
            <w:tcW w:w="0" w:type="auto"/>
          </w:tcPr>
          <w:p w14:paraId="65F6D843" w14:textId="77777777" w:rsidR="00F03958" w:rsidRPr="00883566" w:rsidRDefault="00F03958" w:rsidP="00AA241E">
            <w:pPr>
              <w:spacing w:before="240" w:after="120"/>
              <w:jc w:val="both"/>
              <w:rPr>
                <w:rFonts w:cs="Times New Roman"/>
                <w:i/>
                <w:iCs/>
                <w:lang w:eastAsia="et-EE"/>
              </w:rPr>
            </w:pPr>
            <w:r w:rsidRPr="00883566">
              <w:rPr>
                <w:rFonts w:cs="Times New Roman"/>
                <w:i/>
                <w:iCs/>
                <w:color w:val="FF0000"/>
                <w:lang w:eastAsia="et-EE"/>
              </w:rPr>
              <w:t>EI, vt tabeli all toodud selgitusi</w:t>
            </w:r>
          </w:p>
        </w:tc>
        <w:tc>
          <w:tcPr>
            <w:tcW w:w="0" w:type="auto"/>
          </w:tcPr>
          <w:p w14:paraId="49D37E6C" w14:textId="77777777" w:rsidR="00F03958" w:rsidRPr="00883566" w:rsidRDefault="00F03958" w:rsidP="00AA241E">
            <w:pPr>
              <w:spacing w:before="240" w:after="120"/>
              <w:jc w:val="both"/>
              <w:rPr>
                <w:rFonts w:cs="Times New Roman"/>
                <w:i/>
                <w:iCs/>
                <w:lang w:eastAsia="et-EE"/>
              </w:rPr>
            </w:pPr>
            <w:r w:rsidRPr="00883566">
              <w:rPr>
                <w:rFonts w:cs="Times New Roman"/>
                <w:i/>
                <w:iCs/>
                <w:color w:val="FF0000"/>
                <w:lang w:eastAsia="et-EE"/>
              </w:rPr>
              <w:t>EI, vt tabeli all toodud selgitusi</w:t>
            </w:r>
          </w:p>
        </w:tc>
      </w:tr>
      <w:tr w:rsidR="00F03958" w:rsidRPr="00883566" w14:paraId="018B83D7" w14:textId="77777777">
        <w:tc>
          <w:tcPr>
            <w:tcW w:w="0" w:type="auto"/>
          </w:tcPr>
          <w:p w14:paraId="5FDAEB06" w14:textId="77777777" w:rsidR="00F03958" w:rsidRPr="00883566" w:rsidRDefault="00F03958" w:rsidP="00AA241E">
            <w:pPr>
              <w:spacing w:before="240" w:after="120"/>
              <w:jc w:val="both"/>
              <w:rPr>
                <w:rFonts w:cs="Times New Roman"/>
                <w:i/>
                <w:iCs/>
                <w:lang w:eastAsia="et-EE"/>
              </w:rPr>
            </w:pPr>
            <w:r w:rsidRPr="00883566">
              <w:rPr>
                <w:rFonts w:cs="Times New Roman"/>
                <w:i/>
                <w:iCs/>
                <w:lang w:eastAsia="et-EE"/>
              </w:rPr>
              <w:t xml:space="preserve">iii) eksisteerib reguleeritud ankurtoode hulgitasandil </w:t>
            </w:r>
          </w:p>
        </w:tc>
        <w:tc>
          <w:tcPr>
            <w:tcW w:w="0" w:type="auto"/>
          </w:tcPr>
          <w:p w14:paraId="6C772529" w14:textId="510CFE21" w:rsidR="00F03958" w:rsidRPr="00883566" w:rsidRDefault="00DD2026" w:rsidP="00AA241E">
            <w:pPr>
              <w:spacing w:before="240" w:after="120"/>
              <w:jc w:val="both"/>
              <w:rPr>
                <w:rFonts w:cs="Times New Roman"/>
                <w:i/>
                <w:iCs/>
                <w:color w:val="FF0000"/>
                <w:lang w:eastAsia="et-EE"/>
              </w:rPr>
            </w:pPr>
            <w:r w:rsidRPr="00883566">
              <w:rPr>
                <w:rFonts w:cs="Times New Roman"/>
                <w:i/>
                <w:iCs/>
                <w:color w:val="FF0000"/>
                <w:lang w:eastAsia="et-EE"/>
              </w:rPr>
              <w:t>EI</w:t>
            </w:r>
            <w:r w:rsidR="000769CA" w:rsidRPr="00883566">
              <w:rPr>
                <w:rFonts w:cs="Times New Roman"/>
                <w:i/>
                <w:color w:val="FF0000"/>
                <w:lang w:eastAsia="et-EE"/>
              </w:rPr>
              <w:t xml:space="preserve">, vt </w:t>
            </w:r>
            <w:r w:rsidRPr="00883566">
              <w:rPr>
                <w:rFonts w:cs="Times New Roman"/>
                <w:i/>
                <w:iCs/>
                <w:color w:val="FF0000"/>
                <w:lang w:eastAsia="et-EE"/>
              </w:rPr>
              <w:t>tabel</w:t>
            </w:r>
            <w:r w:rsidR="000769CA" w:rsidRPr="00883566">
              <w:rPr>
                <w:rFonts w:cs="Times New Roman"/>
                <w:i/>
                <w:color w:val="FF0000"/>
                <w:lang w:eastAsia="et-EE"/>
              </w:rPr>
              <w:t xml:space="preserve"> all toodud selgitusi</w:t>
            </w:r>
          </w:p>
        </w:tc>
        <w:tc>
          <w:tcPr>
            <w:tcW w:w="0" w:type="auto"/>
          </w:tcPr>
          <w:p w14:paraId="31D989E2" w14:textId="77777777" w:rsidR="00F03958" w:rsidRPr="00883566" w:rsidRDefault="00F03958" w:rsidP="00AA241E">
            <w:pPr>
              <w:spacing w:before="240" w:after="120"/>
              <w:jc w:val="both"/>
              <w:rPr>
                <w:rFonts w:cs="Times New Roman"/>
                <w:i/>
                <w:iCs/>
                <w:color w:val="FF0000"/>
                <w:lang w:eastAsia="et-EE"/>
              </w:rPr>
            </w:pPr>
            <w:r w:rsidRPr="00883566">
              <w:rPr>
                <w:rFonts w:cs="Times New Roman"/>
                <w:i/>
                <w:iCs/>
                <w:color w:val="00B050"/>
                <w:lang w:eastAsia="et-EE"/>
              </w:rPr>
              <w:t>JAH, vt tabeli all toodud selgitusi</w:t>
            </w:r>
          </w:p>
        </w:tc>
      </w:tr>
      <w:tr w:rsidR="00F03958" w:rsidRPr="00883566" w14:paraId="149F789E" w14:textId="77777777">
        <w:tc>
          <w:tcPr>
            <w:tcW w:w="0" w:type="auto"/>
          </w:tcPr>
          <w:p w14:paraId="604D6F53" w14:textId="46F60F22" w:rsidR="00F03958" w:rsidRPr="00883566" w:rsidRDefault="00F03958" w:rsidP="00AA241E">
            <w:pPr>
              <w:spacing w:before="240" w:after="120"/>
              <w:jc w:val="both"/>
              <w:rPr>
                <w:rFonts w:cs="Times New Roman"/>
                <w:i/>
                <w:iCs/>
                <w:lang w:eastAsia="et-EE"/>
              </w:rPr>
            </w:pPr>
            <w:r w:rsidRPr="00883566">
              <w:rPr>
                <w:rFonts w:cs="Times New Roman"/>
                <w:i/>
                <w:iCs/>
                <w:lang w:eastAsia="et-EE"/>
              </w:rPr>
              <w:t xml:space="preserve">iv) </w:t>
            </w:r>
            <w:r w:rsidR="00A3232C">
              <w:rPr>
                <w:rFonts w:cs="Times New Roman"/>
                <w:i/>
                <w:iCs/>
                <w:lang w:eastAsia="et-EE"/>
              </w:rPr>
              <w:t>valguskaabelvõrgu</w:t>
            </w:r>
            <w:r w:rsidRPr="00883566">
              <w:rPr>
                <w:rFonts w:cs="Times New Roman"/>
                <w:i/>
                <w:iCs/>
                <w:lang w:eastAsia="et-EE"/>
              </w:rPr>
              <w:t xml:space="preserve">  kasutuselevõtu majanduslik otstarbekus on väike isegi siis, kui vastavas piirkonnas regulatsioon puuduks, näiteks hõreda asustustihedusega piirkondade puhul</w:t>
            </w:r>
          </w:p>
        </w:tc>
        <w:tc>
          <w:tcPr>
            <w:tcW w:w="0" w:type="auto"/>
          </w:tcPr>
          <w:p w14:paraId="15B4A10B" w14:textId="77777777" w:rsidR="00F03958" w:rsidRPr="00883566" w:rsidRDefault="00F03958" w:rsidP="00AA241E">
            <w:pPr>
              <w:spacing w:before="240" w:after="120"/>
              <w:jc w:val="both"/>
              <w:rPr>
                <w:rFonts w:cs="Times New Roman"/>
                <w:i/>
                <w:iCs/>
                <w:color w:val="FF0000"/>
                <w:lang w:eastAsia="et-EE"/>
              </w:rPr>
            </w:pPr>
            <w:r w:rsidRPr="00883566">
              <w:rPr>
                <w:rFonts w:cs="Times New Roman"/>
                <w:i/>
                <w:iCs/>
                <w:color w:val="00B050"/>
                <w:lang w:eastAsia="et-EE"/>
              </w:rPr>
              <w:t>JAH, vt tabeli all toodud selgitusi</w:t>
            </w:r>
          </w:p>
        </w:tc>
        <w:tc>
          <w:tcPr>
            <w:tcW w:w="0" w:type="auto"/>
          </w:tcPr>
          <w:p w14:paraId="4D92D26D" w14:textId="77777777" w:rsidR="00F03958" w:rsidRPr="00883566" w:rsidRDefault="00F03958" w:rsidP="00AA241E">
            <w:pPr>
              <w:spacing w:before="240" w:after="120"/>
              <w:jc w:val="both"/>
              <w:rPr>
                <w:rFonts w:cs="Times New Roman"/>
                <w:i/>
                <w:iCs/>
                <w:color w:val="0070C0"/>
                <w:lang w:eastAsia="et-EE"/>
              </w:rPr>
            </w:pPr>
            <w:r w:rsidRPr="00883566">
              <w:rPr>
                <w:rFonts w:cs="Times New Roman"/>
                <w:i/>
                <w:iCs/>
                <w:color w:val="FF0000"/>
                <w:lang w:eastAsia="et-EE"/>
              </w:rPr>
              <w:t xml:space="preserve">EI, vt tabel all toodud selgitusi </w:t>
            </w:r>
          </w:p>
        </w:tc>
      </w:tr>
    </w:tbl>
    <w:p w14:paraId="44E2F0C8" w14:textId="30CB0046" w:rsidR="00F03958" w:rsidRPr="00883566" w:rsidRDefault="00072F0F" w:rsidP="00AA241E">
      <w:pPr>
        <w:pStyle w:val="Pealdis"/>
        <w:keepNext/>
        <w:jc w:val="both"/>
        <w:rPr>
          <w:lang w:eastAsia="et-EE"/>
        </w:rPr>
      </w:pPr>
      <w:r>
        <w:t xml:space="preserve">Tabel </w:t>
      </w:r>
      <w:r>
        <w:fldChar w:fldCharType="begin"/>
      </w:r>
      <w:r>
        <w:instrText xml:space="preserve"> SEQ Tabel \* ARABIC </w:instrText>
      </w:r>
      <w:r>
        <w:fldChar w:fldCharType="separate"/>
      </w:r>
      <w:r w:rsidR="00247D84">
        <w:rPr>
          <w:noProof/>
        </w:rPr>
        <w:t>46</w:t>
      </w:r>
      <w:r>
        <w:fldChar w:fldCharType="end"/>
      </w:r>
      <w:r w:rsidR="00F03958" w:rsidRPr="00883566">
        <w:rPr>
          <w:lang w:eastAsia="et-EE"/>
        </w:rPr>
        <w:t xml:space="preserve"> EK 2024 kohustuste soovituse punkti 38 lõikude a – d koos alamlõikudega täitmise ülevaade</w:t>
      </w:r>
    </w:p>
    <w:p w14:paraId="513C0903" w14:textId="77777777" w:rsidR="00F03958" w:rsidRPr="00883566" w:rsidRDefault="00F03958" w:rsidP="00AA241E">
      <w:pPr>
        <w:spacing w:before="240" w:after="120"/>
        <w:jc w:val="both"/>
        <w:rPr>
          <w:rFonts w:cs="Times New Roman"/>
          <w:b/>
          <w:bCs/>
          <w:lang w:eastAsia="et-EE"/>
        </w:rPr>
      </w:pPr>
      <w:r w:rsidRPr="00883566">
        <w:rPr>
          <w:rFonts w:cs="Times New Roman"/>
          <w:b/>
          <w:bCs/>
          <w:lang w:eastAsia="et-EE"/>
        </w:rPr>
        <w:t>EK kohustuste soovituse punkt 38 lõikes d sätestatud tegurid ja punktis 40 sätestatud asjaolu, millest vähemalt ühe olemasolul, tuleks loobuda hulgituru 1 teenuste hindade reguleerimisest, on täidetud või mitte täidetud järgmiselt:</w:t>
      </w:r>
    </w:p>
    <w:p w14:paraId="0732A890" w14:textId="77777777" w:rsidR="00F03958" w:rsidRPr="00883566" w:rsidRDefault="00F03958" w:rsidP="00AA241E">
      <w:pPr>
        <w:spacing w:before="240" w:after="120"/>
        <w:ind w:left="720"/>
        <w:jc w:val="both"/>
        <w:rPr>
          <w:rFonts w:cs="Times New Roman"/>
          <w:lang w:eastAsia="et-EE"/>
        </w:rPr>
      </w:pPr>
      <w:r w:rsidRPr="00883566">
        <w:rPr>
          <w:rFonts w:cs="Times New Roman"/>
          <w:lang w:eastAsia="et-EE"/>
        </w:rPr>
        <w:t xml:space="preserve">i) </w:t>
      </w:r>
      <w:r w:rsidRPr="00883566">
        <w:rPr>
          <w:rFonts w:cs="Times New Roman"/>
          <w:b/>
          <w:bCs/>
          <w:lang w:eastAsia="et-EE"/>
        </w:rPr>
        <w:t>B piirkonna valguskaablivõrkudes puudub taristupõhine (erinevate valguskaablivõrkude vaheline) konkurents</w:t>
      </w:r>
      <w:r w:rsidRPr="00883566">
        <w:rPr>
          <w:rFonts w:cs="Times New Roman"/>
          <w:lang w:eastAsia="et-EE"/>
        </w:rPr>
        <w:t xml:space="preserve">, mis tuleneb jaeteenuste pakkumisest alternatiivse(te) taristu(te) (alternatiivsete valguskaablivõrkude) kaudu, mida ei kontrolli MTE, kuna </w:t>
      </w:r>
    </w:p>
    <w:p w14:paraId="3D794214" w14:textId="25E960EC" w:rsidR="00F03958" w:rsidRPr="00883566" w:rsidRDefault="00F03958" w:rsidP="00AA241E">
      <w:pPr>
        <w:spacing w:before="240" w:after="120"/>
        <w:ind w:left="1440"/>
        <w:jc w:val="both"/>
        <w:rPr>
          <w:rFonts w:cs="Times New Roman"/>
          <w:lang w:eastAsia="et-EE"/>
        </w:rPr>
      </w:pPr>
      <w:r w:rsidRPr="00883566">
        <w:rPr>
          <w:rFonts w:cs="Times New Roman"/>
          <w:lang w:eastAsia="et-EE"/>
        </w:rPr>
        <w:t xml:space="preserve">a) ainult ca 20% elu- ja mitteeluruumidest on kaetud kahe erineva sideettevõtja internetiühenduse liitumise võimalusega </w:t>
      </w:r>
      <w:r w:rsidR="00A3232C">
        <w:rPr>
          <w:rFonts w:cs="Times New Roman"/>
          <w:lang w:eastAsia="et-EE"/>
        </w:rPr>
        <w:t>valguskaabelvõrgu</w:t>
      </w:r>
      <w:r w:rsidRPr="00883566">
        <w:rPr>
          <w:rFonts w:cs="Times New Roman"/>
          <w:lang w:eastAsia="et-EE"/>
        </w:rPr>
        <w:t xml:space="preserve">s, vt </w:t>
      </w:r>
      <w:r w:rsidR="008C159A">
        <w:rPr>
          <w:rFonts w:cs="Times New Roman"/>
          <w:lang w:eastAsia="et-EE"/>
        </w:rPr>
        <w:t xml:space="preserve">ptk. </w:t>
      </w:r>
      <w:r w:rsidR="00C03EBC">
        <w:rPr>
          <w:rFonts w:cs="Times New Roman"/>
          <w:lang w:eastAsia="et-EE"/>
        </w:rPr>
        <w:t>2.</w:t>
      </w:r>
      <w:r w:rsidR="003315AD">
        <w:rPr>
          <w:rFonts w:cs="Times New Roman"/>
          <w:lang w:eastAsia="et-EE"/>
        </w:rPr>
        <w:t>3.</w:t>
      </w:r>
      <w:r w:rsidR="00175F02">
        <w:rPr>
          <w:rFonts w:cs="Times New Roman"/>
          <w:lang w:eastAsia="et-EE"/>
        </w:rPr>
        <w:t>5</w:t>
      </w:r>
      <w:r w:rsidRPr="00883566">
        <w:rPr>
          <w:rFonts w:cs="Times New Roman"/>
          <w:lang w:eastAsia="et-EE"/>
        </w:rPr>
        <w:t xml:space="preserve"> </w:t>
      </w:r>
      <w:r w:rsidR="009E53F2">
        <w:rPr>
          <w:rFonts w:cs="Times New Roman"/>
          <w:lang w:eastAsia="et-EE"/>
        </w:rPr>
        <w:t>T</w:t>
      </w:r>
      <w:r w:rsidRPr="00883566">
        <w:rPr>
          <w:rFonts w:cs="Times New Roman"/>
          <w:lang w:eastAsia="et-EE"/>
        </w:rPr>
        <w:t>abel</w:t>
      </w:r>
      <w:r w:rsidR="009E53F2">
        <w:rPr>
          <w:rFonts w:cs="Times New Roman"/>
          <w:lang w:eastAsia="et-EE"/>
        </w:rPr>
        <w:t xml:space="preserve"> 10</w:t>
      </w:r>
      <w:r w:rsidRPr="00883566">
        <w:rPr>
          <w:rFonts w:cs="Times New Roman"/>
          <w:lang w:eastAsia="et-EE"/>
        </w:rPr>
        <w:t xml:space="preserve"> ning siia hulka on loetud ka elu- ja mitteeluruumid, mis on kaetud ainult riigiabiga rajatud operaatorneutraalsete valguskaabli põhiste juurdepääsuvõrkude (sh Telia ei </w:t>
      </w:r>
      <w:r w:rsidRPr="00883566">
        <w:rPr>
          <w:rFonts w:cs="Times New Roman"/>
          <w:lang w:eastAsia="et-EE"/>
        </w:rPr>
        <w:lastRenderedPageBreak/>
        <w:t xml:space="preserve">ole käesoleva otsuse koostamise ajani rajanud ühtegi juurdepääsuvõrku riigiabiga) poolt, kus on kuni viiel sideettevõtjal võrdväärne juurdepääsu kliendiliini kiule; </w:t>
      </w:r>
    </w:p>
    <w:p w14:paraId="6FE8C1B8" w14:textId="70D8FBCA" w:rsidR="00F03958" w:rsidRPr="00883566" w:rsidRDefault="00F03958" w:rsidP="00AA241E">
      <w:pPr>
        <w:spacing w:before="240" w:after="120"/>
        <w:ind w:left="1440"/>
        <w:jc w:val="both"/>
        <w:rPr>
          <w:rFonts w:cs="Times New Roman"/>
          <w:lang w:eastAsia="et-EE"/>
        </w:rPr>
      </w:pPr>
      <w:r w:rsidRPr="00883566">
        <w:rPr>
          <w:rFonts w:cs="Times New Roman"/>
          <w:lang w:eastAsia="et-EE"/>
        </w:rPr>
        <w:t xml:space="preserve">b) Telia osakaal jaeklientide kasutuses internetiühendustest on ca </w:t>
      </w:r>
      <w:r w:rsidR="006C5EC9">
        <w:rPr>
          <w:rFonts w:cs="Times New Roman"/>
        </w:rPr>
        <w:t>…</w:t>
      </w:r>
      <w:r w:rsidR="006C5EC9" w:rsidRPr="00883566">
        <w:rPr>
          <w:rFonts w:cs="Times New Roman"/>
        </w:rPr>
        <w:t>*</w:t>
      </w:r>
      <w:r w:rsidRPr="00883566">
        <w:rPr>
          <w:rFonts w:cs="Times New Roman"/>
          <w:lang w:eastAsia="et-EE"/>
        </w:rPr>
        <w:t>%</w:t>
      </w:r>
      <w:r w:rsidR="004502D2">
        <w:rPr>
          <w:rFonts w:cs="Times New Roman"/>
          <w:lang w:eastAsia="et-EE"/>
        </w:rPr>
        <w:t xml:space="preserve">, vt </w:t>
      </w:r>
      <w:r w:rsidR="008C159A">
        <w:rPr>
          <w:rFonts w:cs="Times New Roman"/>
          <w:lang w:eastAsia="et-EE"/>
        </w:rPr>
        <w:t xml:space="preserve">ptk. </w:t>
      </w:r>
      <w:r w:rsidR="004502D2">
        <w:rPr>
          <w:rFonts w:cs="Times New Roman"/>
          <w:lang w:eastAsia="et-EE"/>
        </w:rPr>
        <w:t>2.</w:t>
      </w:r>
      <w:r w:rsidR="003315AD">
        <w:rPr>
          <w:rFonts w:cs="Times New Roman"/>
          <w:lang w:eastAsia="et-EE"/>
        </w:rPr>
        <w:t>3.</w:t>
      </w:r>
      <w:r w:rsidR="00175F02">
        <w:rPr>
          <w:rFonts w:cs="Times New Roman"/>
          <w:lang w:eastAsia="et-EE"/>
        </w:rPr>
        <w:t>5</w:t>
      </w:r>
      <w:r w:rsidR="004502D2" w:rsidRPr="00883566">
        <w:rPr>
          <w:rFonts w:cs="Times New Roman"/>
          <w:lang w:eastAsia="et-EE"/>
        </w:rPr>
        <w:t xml:space="preserve"> </w:t>
      </w:r>
      <w:r w:rsidR="004502D2">
        <w:rPr>
          <w:rFonts w:cs="Times New Roman"/>
          <w:lang w:eastAsia="et-EE"/>
        </w:rPr>
        <w:t>T</w:t>
      </w:r>
      <w:r w:rsidR="004502D2" w:rsidRPr="00883566">
        <w:rPr>
          <w:rFonts w:cs="Times New Roman"/>
          <w:lang w:eastAsia="et-EE"/>
        </w:rPr>
        <w:t>abel</w:t>
      </w:r>
      <w:r w:rsidR="004502D2">
        <w:rPr>
          <w:rFonts w:cs="Times New Roman"/>
          <w:lang w:eastAsia="et-EE"/>
        </w:rPr>
        <w:t xml:space="preserve"> 10</w:t>
      </w:r>
      <w:r w:rsidRPr="00883566">
        <w:rPr>
          <w:rFonts w:cs="Times New Roman"/>
          <w:lang w:eastAsia="et-EE"/>
        </w:rPr>
        <w:t>;</w:t>
      </w:r>
    </w:p>
    <w:p w14:paraId="4F5CA27C" w14:textId="77777777" w:rsidR="00F03958" w:rsidRPr="00883566" w:rsidRDefault="00F03958" w:rsidP="00AA241E">
      <w:pPr>
        <w:spacing w:before="240" w:after="120"/>
        <w:ind w:left="1440"/>
        <w:jc w:val="both"/>
        <w:rPr>
          <w:rFonts w:cs="Times New Roman"/>
          <w:lang w:eastAsia="et-EE"/>
        </w:rPr>
      </w:pPr>
      <w:r w:rsidRPr="00883566">
        <w:rPr>
          <w:rFonts w:cs="Times New Roman"/>
          <w:lang w:eastAsia="et-EE"/>
        </w:rPr>
        <w:t>b) ei ole ette näha, et need osakaalud järgmise turuanalüüsi kestval perioodile märkimisväärselt muutuks;</w:t>
      </w:r>
    </w:p>
    <w:p w14:paraId="2FD24597" w14:textId="77777777" w:rsidR="00F03958" w:rsidRPr="00883566" w:rsidRDefault="00F03958" w:rsidP="00AA241E">
      <w:pPr>
        <w:spacing w:before="240" w:after="120"/>
        <w:ind w:left="720"/>
        <w:jc w:val="both"/>
        <w:rPr>
          <w:rFonts w:cs="Times New Roman"/>
          <w:lang w:eastAsia="et-EE"/>
        </w:rPr>
      </w:pPr>
      <w:r w:rsidRPr="00883566">
        <w:rPr>
          <w:rFonts w:cs="Times New Roman"/>
          <w:lang w:eastAsia="et-EE"/>
        </w:rPr>
        <w:t xml:space="preserve">ii) </w:t>
      </w:r>
      <w:r w:rsidRPr="00883566">
        <w:rPr>
          <w:rFonts w:cs="Times New Roman"/>
          <w:b/>
          <w:bCs/>
          <w:lang w:eastAsia="et-EE"/>
        </w:rPr>
        <w:t>B piirkonnas puuduvad geograafilisest uuringust tulenevad selged ja realistlikud kohustused alternatiivsete valguskaablivõrkude kasutuselevõtuks, et hõlmata turu läbivaatamise perioodi jooksul märkimisväärne osa piirkonnast alternatiivsete valguskaablivõrkudega</w:t>
      </w:r>
      <w:r w:rsidRPr="00883566">
        <w:rPr>
          <w:rFonts w:cs="Times New Roman"/>
          <w:lang w:eastAsia="et-EE"/>
        </w:rPr>
        <w:t>, kuna</w:t>
      </w:r>
    </w:p>
    <w:p w14:paraId="30C483D4" w14:textId="77777777" w:rsidR="00F03958" w:rsidRPr="00883566" w:rsidRDefault="00F03958" w:rsidP="00AA241E">
      <w:pPr>
        <w:spacing w:before="240" w:after="120"/>
        <w:ind w:left="1440"/>
        <w:jc w:val="both"/>
        <w:rPr>
          <w:rFonts w:cs="Times New Roman"/>
          <w:lang w:eastAsia="et-EE"/>
        </w:rPr>
      </w:pPr>
      <w:r w:rsidRPr="00883566">
        <w:rPr>
          <w:rFonts w:cs="Times New Roman"/>
          <w:lang w:eastAsia="et-EE"/>
        </w:rPr>
        <w:t>a) riigiabiga rajatakse B piirkonnas valgete alades küll täiendavalt operaatorneutraalseid valguskaablivõrke, kuid nende kasutuselevõtu kiirus on madal, mistõttu ei hõlma need järgmise turuanalüüsini kestval perioodil märkimisväärset osa B piirkonnast ja</w:t>
      </w:r>
    </w:p>
    <w:p w14:paraId="7E022AE9" w14:textId="4DF92FD8" w:rsidR="00F03958" w:rsidRPr="00883566" w:rsidRDefault="00F03958" w:rsidP="00AA241E">
      <w:pPr>
        <w:spacing w:before="240" w:after="120"/>
        <w:ind w:left="1440"/>
        <w:jc w:val="both"/>
        <w:rPr>
          <w:rFonts w:cs="Times New Roman"/>
          <w:lang w:eastAsia="et-EE"/>
        </w:rPr>
      </w:pPr>
      <w:r w:rsidRPr="00883566">
        <w:rPr>
          <w:rFonts w:cs="Times New Roman"/>
          <w:lang w:eastAsia="et-EE"/>
        </w:rPr>
        <w:t xml:space="preserve">b) lisaks ei rajata neid B piirkonna elu- ja mitteeluruumideni, kus on olemas Telia valguskaablivõrk, kuna need ei kvalifitseerud riigiabi vajava valge alana, ehk riigiabiga rajatavate operaatorneutraalsete valguskaabli põhiste juurdepääsuvõrkude alusel ei ole ette näha sidevõrkude põhise konkurentsi survet Telia </w:t>
      </w:r>
      <w:r w:rsidR="00A3232C">
        <w:rPr>
          <w:rFonts w:cs="Times New Roman"/>
          <w:lang w:eastAsia="et-EE"/>
        </w:rPr>
        <w:t>valguskaabelvõrgu</w:t>
      </w:r>
      <w:r w:rsidRPr="00883566">
        <w:rPr>
          <w:rFonts w:cs="Times New Roman"/>
          <w:lang w:eastAsia="et-EE"/>
        </w:rPr>
        <w:t xml:space="preserve"> internetiühenduste teenustele;</w:t>
      </w:r>
    </w:p>
    <w:p w14:paraId="3435371D" w14:textId="77D4E8B9" w:rsidR="00F03958" w:rsidRPr="00883566" w:rsidRDefault="00F03958" w:rsidP="00AA241E">
      <w:pPr>
        <w:spacing w:before="240" w:after="120"/>
        <w:ind w:left="720"/>
        <w:jc w:val="both"/>
        <w:rPr>
          <w:rFonts w:cs="Times New Roman"/>
          <w:lang w:eastAsia="et-EE"/>
        </w:rPr>
      </w:pPr>
      <w:r w:rsidRPr="00883566">
        <w:rPr>
          <w:rFonts w:cs="Times New Roman"/>
          <w:lang w:eastAsia="et-EE"/>
        </w:rPr>
        <w:t xml:space="preserve">iii) </w:t>
      </w:r>
      <w:r w:rsidRPr="00883566">
        <w:rPr>
          <w:rFonts w:cs="Times New Roman"/>
          <w:b/>
          <w:bCs/>
          <w:lang w:eastAsia="et-EE"/>
        </w:rPr>
        <w:t xml:space="preserve">B piirkonna linnalistes </w:t>
      </w:r>
      <w:r w:rsidR="00C21844">
        <w:rPr>
          <w:rFonts w:cs="Times New Roman"/>
          <w:b/>
          <w:bCs/>
          <w:lang w:eastAsia="et-EE"/>
        </w:rPr>
        <w:t xml:space="preserve">ja maalistes </w:t>
      </w:r>
      <w:r w:rsidRPr="00883566">
        <w:rPr>
          <w:rFonts w:cs="Times New Roman"/>
          <w:b/>
          <w:bCs/>
          <w:lang w:eastAsia="et-EE"/>
        </w:rPr>
        <w:t xml:space="preserve">geograafiliste üksustes eksisteerib reguleeritud ankurtooted, </w:t>
      </w:r>
      <w:r w:rsidRPr="00883566">
        <w:rPr>
          <w:rFonts w:cs="Times New Roman"/>
          <w:lang w:eastAsia="et-EE"/>
        </w:rPr>
        <w:t>kuna</w:t>
      </w:r>
    </w:p>
    <w:p w14:paraId="789020C8" w14:textId="769C67B3" w:rsidR="00F03958" w:rsidRPr="00883566" w:rsidRDefault="00F03958" w:rsidP="00AA241E">
      <w:pPr>
        <w:spacing w:before="240" w:after="120"/>
        <w:ind w:left="1440"/>
        <w:jc w:val="both"/>
        <w:rPr>
          <w:rFonts w:cs="Times New Roman"/>
          <w:lang w:eastAsia="et-EE"/>
        </w:rPr>
      </w:pPr>
      <w:r w:rsidRPr="00883566">
        <w:rPr>
          <w:rFonts w:cs="Times New Roman"/>
          <w:lang w:eastAsia="et-EE"/>
        </w:rPr>
        <w:t xml:space="preserve">a) B piirkonnas Telia vaskpaarivõrgu põhised hulgituru 1 ja 3b teenused de-reguleeritakse linnalistes ja maalistes geograafilistes üksustes käesoleva otsuse </w:t>
      </w:r>
      <w:r w:rsidR="008C159A">
        <w:rPr>
          <w:rFonts w:cs="Times New Roman"/>
          <w:lang w:eastAsia="et-EE"/>
        </w:rPr>
        <w:t>ptk.-</w:t>
      </w:r>
      <w:r w:rsidRPr="00883566">
        <w:rPr>
          <w:rFonts w:cs="Times New Roman"/>
          <w:lang w:eastAsia="et-EE"/>
        </w:rPr>
        <w:t xml:space="preserve">st </w:t>
      </w:r>
      <w:r w:rsidR="00DD2026">
        <w:rPr>
          <w:rFonts w:cs="Times New Roman"/>
          <w:lang w:eastAsia="et-EE"/>
        </w:rPr>
        <w:t>7</w:t>
      </w:r>
      <w:r w:rsidR="00800781">
        <w:rPr>
          <w:rFonts w:cs="Times New Roman"/>
          <w:lang w:eastAsia="et-EE"/>
        </w:rPr>
        <w:t>.1.2</w:t>
      </w:r>
      <w:r w:rsidRPr="00883566">
        <w:rPr>
          <w:rFonts w:cs="Times New Roman"/>
          <w:lang w:eastAsia="et-EE"/>
        </w:rPr>
        <w:t xml:space="preserve"> ja </w:t>
      </w:r>
      <w:r w:rsidR="008C159A">
        <w:rPr>
          <w:rFonts w:cs="Times New Roman"/>
          <w:lang w:eastAsia="et-EE"/>
        </w:rPr>
        <w:t>ptk.-</w:t>
      </w:r>
      <w:r w:rsidRPr="00883566">
        <w:rPr>
          <w:rFonts w:cs="Times New Roman"/>
          <w:lang w:eastAsia="et-EE"/>
        </w:rPr>
        <w:t xml:space="preserve">st </w:t>
      </w:r>
      <w:r w:rsidR="00DD2026">
        <w:rPr>
          <w:rFonts w:cs="Times New Roman"/>
          <w:lang w:eastAsia="et-EE"/>
        </w:rPr>
        <w:t>8</w:t>
      </w:r>
      <w:r w:rsidR="00800781">
        <w:rPr>
          <w:rFonts w:cs="Times New Roman"/>
          <w:lang w:eastAsia="et-EE"/>
        </w:rPr>
        <w:t>.1.2</w:t>
      </w:r>
      <w:r w:rsidRPr="00883566">
        <w:rPr>
          <w:rFonts w:cs="Times New Roman"/>
          <w:lang w:eastAsia="et-EE"/>
        </w:rPr>
        <w:t xml:space="preserve"> lähtuvalt.</w:t>
      </w:r>
    </w:p>
    <w:p w14:paraId="4C46A346" w14:textId="77777777" w:rsidR="00F03958" w:rsidRPr="00883566" w:rsidRDefault="00F03958" w:rsidP="00AA241E">
      <w:pPr>
        <w:spacing w:before="240" w:after="120"/>
        <w:ind w:left="1440"/>
        <w:jc w:val="both"/>
        <w:rPr>
          <w:rFonts w:cs="Times New Roman"/>
          <w:lang w:eastAsia="et-EE"/>
        </w:rPr>
      </w:pPr>
      <w:r w:rsidRPr="00883566">
        <w:rPr>
          <w:rFonts w:cs="Times New Roman"/>
          <w:lang w:eastAsia="et-EE"/>
        </w:rPr>
        <w:t>b) B  piirkonna linnalistes ja maalistes geograafilistes üksustes ei paku ükski teine sideettevõtja oma sidevõrgu baasil EK 2024 kohustuse soovituse punktides 48-59 kirjeldatud kuluarvestusmetoodika (BU LRIC+) alusel kuludele orienteeritud hindadega hulgituru 1 või 3b teenuseid.</w:t>
      </w:r>
    </w:p>
    <w:p w14:paraId="4CF28FC4" w14:textId="001F6BB8" w:rsidR="00F03958" w:rsidRPr="00883566" w:rsidRDefault="00F03958" w:rsidP="00AA241E">
      <w:pPr>
        <w:spacing w:before="240" w:after="120"/>
        <w:ind w:left="1440"/>
        <w:jc w:val="both"/>
        <w:rPr>
          <w:rFonts w:cs="Times New Roman"/>
          <w:lang w:eastAsia="et-EE"/>
        </w:rPr>
      </w:pPr>
      <w:r w:rsidRPr="00883566">
        <w:rPr>
          <w:rFonts w:cs="Times New Roman"/>
          <w:lang w:eastAsia="et-EE"/>
        </w:rPr>
        <w:t>c) B piirkonna linnalistes geograafiliste üksustes toimib Telia sidekaablitaristule</w:t>
      </w:r>
      <w:r w:rsidR="00DD2026">
        <w:rPr>
          <w:rFonts w:cs="Times New Roman"/>
          <w:lang w:eastAsia="et-EE"/>
        </w:rPr>
        <w:t xml:space="preserve"> (sidetorudele ja -postidele)</w:t>
      </w:r>
      <w:r w:rsidRPr="00883566">
        <w:rPr>
          <w:rFonts w:cs="Times New Roman"/>
          <w:lang w:eastAsia="et-EE"/>
        </w:rPr>
        <w:t xml:space="preserve"> juurdepääsu hulgiteenused, mille hindadele kavandatakse kehtestada TTJA 2024 ST</w:t>
      </w:r>
      <w:r w:rsidR="001B7EC2">
        <w:rPr>
          <w:rFonts w:cs="Times New Roman"/>
          <w:lang w:eastAsia="et-EE"/>
        </w:rPr>
        <w:t>J</w:t>
      </w:r>
      <w:r w:rsidRPr="00883566">
        <w:rPr>
          <w:rFonts w:cs="Times New Roman"/>
          <w:lang w:eastAsia="et-EE"/>
        </w:rPr>
        <w:t xml:space="preserve"> hulgituru otsuse kavandi lisa 4 </w:t>
      </w:r>
      <w:r w:rsidR="008C159A">
        <w:rPr>
          <w:rFonts w:cs="Times New Roman"/>
          <w:lang w:eastAsia="et-EE"/>
        </w:rPr>
        <w:t xml:space="preserve">ptk. </w:t>
      </w:r>
      <w:r w:rsidRPr="00883566">
        <w:rPr>
          <w:rFonts w:cs="Times New Roman"/>
          <w:lang w:eastAsia="et-EE"/>
        </w:rPr>
        <w:t xml:space="preserve">6.4 kohaselt EK 2024 kohustuse soovituse punktide 48-59 kirjeldatud kuluarvestusmetoodika, piisavalt tõhusa reguleeritud ankurtootena järgmise </w:t>
      </w:r>
      <w:r w:rsidRPr="00883566">
        <w:rPr>
          <w:rFonts w:cs="Times New Roman"/>
          <w:lang w:eastAsia="et-EE"/>
        </w:rPr>
        <w:lastRenderedPageBreak/>
        <w:t xml:space="preserve">turuanalüüsini kestva perioodi jooksul, kuna tiheasustusega linnalistes geograafilistes üksustes on TTJA hinnangul teistel sideettevõtjatel majanduslikult tasuv omakapitalil (ilma riigiabita) ja Telia sidekaablitaristule juurdepääsu hulgiteenuste (mis on reguleeritud) baasil rajada märkimisväärses mahus valguskaablivõrke ja osutada nende baasil jaeteenuseid ning tõenäoliselt saavutatakse ka piisav mastaabisääst, et seeläbi osutada piisavat konkurentsi survet ja pakkuda tõendatavat jaehinnapiirangut Telia jaeteenustele. Samas B piirkonna maalistes üksustes kus elanike arv ja tihedus on madal, vt </w:t>
      </w:r>
      <w:r w:rsidR="008C159A">
        <w:rPr>
          <w:rFonts w:cs="Times New Roman"/>
          <w:lang w:eastAsia="et-EE"/>
        </w:rPr>
        <w:t xml:space="preserve">ptk. </w:t>
      </w:r>
      <w:r w:rsidR="004E04D2">
        <w:rPr>
          <w:rFonts w:cs="Times New Roman"/>
          <w:lang w:eastAsia="et-EE"/>
        </w:rPr>
        <w:t>2</w:t>
      </w:r>
      <w:r w:rsidR="00271948">
        <w:rPr>
          <w:rFonts w:cs="Times New Roman"/>
          <w:lang w:eastAsia="et-EE"/>
        </w:rPr>
        <w:t>.3.2</w:t>
      </w:r>
      <w:r w:rsidRPr="00883566">
        <w:rPr>
          <w:rFonts w:cs="Times New Roman"/>
          <w:lang w:eastAsia="et-EE"/>
        </w:rPr>
        <w:t xml:space="preserve"> Tabel</w:t>
      </w:r>
      <w:r w:rsidR="00271948">
        <w:rPr>
          <w:rFonts w:cs="Times New Roman"/>
          <w:lang w:eastAsia="et-EE"/>
        </w:rPr>
        <w:t xml:space="preserve"> 7</w:t>
      </w:r>
      <w:r w:rsidRPr="00883566">
        <w:rPr>
          <w:rFonts w:cs="Times New Roman"/>
          <w:lang w:eastAsia="et-EE"/>
        </w:rPr>
        <w:t xml:space="preserve">, ei ole TTJA hinnangul tõenäoline, et teised sideettevõtjad peaksid majanduslikult tasuvaks järgmise turuanalüüsini kestval perioodil omakapitalil (ilma riigiabita) ja Telia sidekaablitaristule juurdepääsu teenuste baasil rajada märkimisväärses mahus valguskaablivõrke ja osutada nende baasil jaeteenuseid, et saavutada piisavat mastaabisäästu, et seeläbi osutada piisavat konkurentsi survet ja pakkuda tõendatavat jaehinnapiirangut Telia jaeteenustele. </w:t>
      </w:r>
    </w:p>
    <w:p w14:paraId="10823C28" w14:textId="716B702A" w:rsidR="00F03958" w:rsidRPr="00883566" w:rsidRDefault="00F03958" w:rsidP="00AA241E">
      <w:pPr>
        <w:spacing w:before="240" w:after="120"/>
        <w:ind w:left="720"/>
        <w:jc w:val="both"/>
      </w:pPr>
      <w:r w:rsidRPr="00883566">
        <w:rPr>
          <w:rFonts w:cs="Times New Roman"/>
          <w:b/>
          <w:bCs/>
          <w:lang w:eastAsia="et-EE"/>
        </w:rPr>
        <w:t xml:space="preserve">iv) B piirkonna maalistes geograafilistes üksustes on </w:t>
      </w:r>
      <w:r w:rsidR="00A3232C">
        <w:rPr>
          <w:rFonts w:cs="Times New Roman"/>
          <w:b/>
          <w:bCs/>
          <w:lang w:eastAsia="et-EE"/>
        </w:rPr>
        <w:t>valguskaabelvõrgu</w:t>
      </w:r>
      <w:r w:rsidRPr="00883566">
        <w:rPr>
          <w:rFonts w:cs="Times New Roman"/>
          <w:b/>
          <w:bCs/>
          <w:lang w:eastAsia="et-EE"/>
        </w:rPr>
        <w:t xml:space="preserve"> kasutuselevõtu majanduslik otstarbekus väike isegi siis, kui vastavas piirkonnas regulatsioon puuduks, kuid linnalistes geograafilistes üksustes mitte</w:t>
      </w:r>
      <w:r w:rsidRPr="00883566">
        <w:rPr>
          <w:rFonts w:cs="Times New Roman"/>
          <w:lang w:eastAsia="et-EE"/>
        </w:rPr>
        <w:t>, kuna</w:t>
      </w:r>
      <w:r w:rsidRPr="00883566">
        <w:t xml:space="preserve"> </w:t>
      </w:r>
    </w:p>
    <w:p w14:paraId="6F4A77DC" w14:textId="09588D0F" w:rsidR="00F03958" w:rsidRPr="00883566" w:rsidRDefault="00F03958" w:rsidP="00AA241E">
      <w:pPr>
        <w:spacing w:before="240" w:after="120"/>
        <w:ind w:left="1440"/>
        <w:jc w:val="both"/>
        <w:rPr>
          <w:rFonts w:cs="Times New Roman"/>
          <w:lang w:eastAsia="et-EE"/>
        </w:rPr>
      </w:pPr>
      <w:r w:rsidRPr="00883566">
        <w:rPr>
          <w:rFonts w:cs="Times New Roman"/>
          <w:lang w:eastAsia="et-EE"/>
        </w:rPr>
        <w:t>b)</w:t>
      </w:r>
      <w:r w:rsidRPr="00883566">
        <w:rPr>
          <w:rFonts w:cs="Times New Roman"/>
          <w:b/>
          <w:bCs/>
          <w:lang w:eastAsia="et-EE"/>
        </w:rPr>
        <w:t xml:space="preserve"> </w:t>
      </w:r>
      <w:r w:rsidRPr="00883566">
        <w:rPr>
          <w:rFonts w:cs="Times New Roman"/>
          <w:lang w:eastAsia="et-EE"/>
        </w:rPr>
        <w:t xml:space="preserve">elanike tihedus maalistes geograafilistes üksustes on väga madal, ca 30 või vähem elanikku ühe ruutkilomeetri kohta, vt </w:t>
      </w:r>
      <w:r w:rsidR="008C159A">
        <w:rPr>
          <w:rFonts w:cs="Times New Roman"/>
          <w:lang w:eastAsia="et-EE"/>
        </w:rPr>
        <w:t xml:space="preserve">ptk. </w:t>
      </w:r>
      <w:r w:rsidR="00FD5646">
        <w:rPr>
          <w:rFonts w:cs="Times New Roman"/>
          <w:lang w:eastAsia="et-EE"/>
        </w:rPr>
        <w:t>2.3.2</w:t>
      </w:r>
      <w:r w:rsidRPr="00883566">
        <w:rPr>
          <w:rFonts w:cs="Times New Roman"/>
          <w:lang w:eastAsia="et-EE"/>
        </w:rPr>
        <w:t xml:space="preserve"> Tabel</w:t>
      </w:r>
      <w:r w:rsidR="00FD5646">
        <w:rPr>
          <w:rFonts w:cs="Times New Roman"/>
          <w:lang w:eastAsia="et-EE"/>
        </w:rPr>
        <w:t xml:space="preserve"> 7</w:t>
      </w:r>
      <w:r w:rsidRPr="00883566">
        <w:rPr>
          <w:rFonts w:cs="Times New Roman"/>
          <w:lang w:eastAsia="et-EE"/>
        </w:rPr>
        <w:t>, mistõttu ei ole seal majanduslikult otstarbekas erakapitali baasil rajada ja võtta kasutusele enamasti isegi ühte valguskaablivõrku, kuna jaetasandi sideteenuste osas ei eksisteeri piisavat nõudlust;</w:t>
      </w:r>
    </w:p>
    <w:p w14:paraId="16E52F02" w14:textId="77777777" w:rsidR="00F03958" w:rsidRPr="00883566" w:rsidRDefault="00F03958" w:rsidP="00AA241E">
      <w:pPr>
        <w:spacing w:before="240" w:after="120"/>
        <w:ind w:left="1440"/>
        <w:jc w:val="both"/>
        <w:rPr>
          <w:rFonts w:cs="Times New Roman"/>
          <w:lang w:eastAsia="et-EE"/>
        </w:rPr>
      </w:pPr>
      <w:r w:rsidRPr="00883566">
        <w:rPr>
          <w:rFonts w:cs="Times New Roman"/>
          <w:lang w:eastAsia="et-EE"/>
        </w:rPr>
        <w:t>a) elanike tihendus linnalistes geograafilistes üksustes on piisav, olenevalt üksusest vahemikus ca 300 kuni 1500 elanikku ühe ruutkilomeetri kohta, mistõttu on seal majanduslikult otstarbekas erakapitali baasil rajada ja võtta kasutusele vähemalt üks valguskaablivõrk, kuna jaetasandi sideteenuste osas eksisteerib piisav nõudlus.</w:t>
      </w:r>
    </w:p>
    <w:p w14:paraId="71490B68" w14:textId="77777777" w:rsidR="00F03958" w:rsidRPr="00883566" w:rsidRDefault="00F03958" w:rsidP="00AA241E">
      <w:pPr>
        <w:spacing w:before="240" w:after="120"/>
        <w:jc w:val="both"/>
        <w:rPr>
          <w:rFonts w:cs="Times New Roman"/>
          <w:b/>
          <w:bCs/>
          <w:lang w:eastAsia="et-EE"/>
        </w:rPr>
      </w:pPr>
    </w:p>
    <w:p w14:paraId="1A479104" w14:textId="77777777" w:rsidR="00F03958" w:rsidRPr="00883566" w:rsidRDefault="00F03958" w:rsidP="00AA241E">
      <w:pPr>
        <w:spacing w:before="240" w:after="120"/>
        <w:jc w:val="both"/>
        <w:rPr>
          <w:rFonts w:cs="Times New Roman"/>
          <w:b/>
          <w:bCs/>
          <w:u w:val="single"/>
          <w:lang w:eastAsia="et-EE"/>
        </w:rPr>
      </w:pPr>
      <w:r w:rsidRPr="00883566">
        <w:rPr>
          <w:rFonts w:cs="Times New Roman"/>
          <w:b/>
          <w:bCs/>
          <w:u w:val="single"/>
          <w:lang w:eastAsia="et-EE"/>
        </w:rPr>
        <w:t>Majandusliku jäljendatavuse test</w:t>
      </w:r>
    </w:p>
    <w:p w14:paraId="46930039" w14:textId="4CC492A3" w:rsidR="00F03958" w:rsidRPr="00883566" w:rsidRDefault="00F03958" w:rsidP="00AA241E">
      <w:pPr>
        <w:spacing w:before="240" w:after="120"/>
        <w:jc w:val="both"/>
        <w:rPr>
          <w:rFonts w:cs="Times New Roman"/>
          <w:lang w:eastAsia="et-EE"/>
        </w:rPr>
      </w:pPr>
      <w:r w:rsidRPr="00883566">
        <w:rPr>
          <w:rFonts w:cs="Times New Roman"/>
          <w:lang w:eastAsia="et-EE"/>
        </w:rPr>
        <w:t xml:space="preserve">Eeltoodust tulenevalt peab TTJA otstarbekaks ja proportsionaalseks kehtestada </w:t>
      </w:r>
      <w:r w:rsidR="00A3232C">
        <w:rPr>
          <w:rFonts w:cs="Times New Roman"/>
          <w:lang w:eastAsia="et-EE"/>
        </w:rPr>
        <w:t>valguskaabelvõrgu</w:t>
      </w:r>
      <w:r w:rsidRPr="00883566">
        <w:rPr>
          <w:rFonts w:cs="Times New Roman"/>
          <w:lang w:eastAsia="et-EE"/>
        </w:rPr>
        <w:t>s B piirkonna hulgituru</w:t>
      </w:r>
      <w:r w:rsidR="00ED396C">
        <w:rPr>
          <w:rFonts w:cs="Times New Roman"/>
          <w:lang w:eastAsia="et-EE"/>
        </w:rPr>
        <w:t>l</w:t>
      </w:r>
      <w:r w:rsidRPr="00883566">
        <w:rPr>
          <w:rFonts w:cs="Times New Roman"/>
          <w:lang w:eastAsia="et-EE"/>
        </w:rPr>
        <w:t xml:space="preserve"> 1 </w:t>
      </w:r>
      <w:r w:rsidR="00ED396C" w:rsidRPr="00883566">
        <w:rPr>
          <w:rFonts w:cs="Times New Roman"/>
          <w:lang w:eastAsia="et-EE"/>
        </w:rPr>
        <w:t xml:space="preserve">Telia </w:t>
      </w:r>
      <w:r w:rsidRPr="00883566">
        <w:rPr>
          <w:rFonts w:cs="Times New Roman"/>
          <w:lang w:eastAsia="et-EE"/>
        </w:rPr>
        <w:t>teenuste osas majandusliku jäljendatavuse testi kohustuse, mis peab olema kooskõlas EK 2024 kohustuste soovituses punktides 46 – 47 ja vastava soovituse lisas III esitatud suunistega. Samas</w:t>
      </w:r>
      <w:r w:rsidR="00294FEA">
        <w:rPr>
          <w:rFonts w:cs="Times New Roman"/>
          <w:lang w:eastAsia="et-EE"/>
        </w:rPr>
        <w:t xml:space="preserve"> võib</w:t>
      </w:r>
      <w:r w:rsidRPr="00883566">
        <w:rPr>
          <w:rFonts w:cs="Times New Roman"/>
          <w:lang w:eastAsia="et-EE"/>
        </w:rPr>
        <w:t xml:space="preserve"> majandusliku jäljendatavuse testi tingimuste välja töötamine</w:t>
      </w:r>
      <w:r w:rsidR="00294FEA">
        <w:rPr>
          <w:rFonts w:cs="Times New Roman"/>
          <w:lang w:eastAsia="et-EE"/>
        </w:rPr>
        <w:t xml:space="preserve"> vajada</w:t>
      </w:r>
      <w:r w:rsidRPr="00883566">
        <w:rPr>
          <w:rFonts w:cs="Times New Roman"/>
          <w:lang w:eastAsia="et-EE"/>
        </w:rPr>
        <w:t xml:space="preserve"> konsultatsioonifirmade kaasamist, millega võib kaasneda ka rahvusvahelise hanke menetlus. TTJA alustab vastava testi tingimuste välja töötamisega kohe pärast käesoleva otsuse kehtestamist ning rakendab need nii kiiresti kui võimalik.</w:t>
      </w:r>
    </w:p>
    <w:p w14:paraId="107C6646" w14:textId="77777777" w:rsidR="00F03958" w:rsidRPr="00883566" w:rsidRDefault="00F03958" w:rsidP="00AA241E">
      <w:pPr>
        <w:spacing w:before="240" w:after="120"/>
        <w:jc w:val="both"/>
        <w:rPr>
          <w:rFonts w:cs="Times New Roman"/>
          <w:b/>
          <w:bCs/>
          <w:lang w:eastAsia="et-EE"/>
        </w:rPr>
      </w:pPr>
    </w:p>
    <w:p w14:paraId="0F6C3D8F" w14:textId="77777777" w:rsidR="00F03958" w:rsidRPr="00883566" w:rsidRDefault="00F03958" w:rsidP="00AA241E">
      <w:pPr>
        <w:spacing w:before="240" w:after="120"/>
        <w:jc w:val="both"/>
        <w:rPr>
          <w:rFonts w:cs="Times New Roman"/>
          <w:b/>
          <w:bCs/>
          <w:u w:val="single"/>
          <w:lang w:eastAsia="et-EE"/>
        </w:rPr>
      </w:pPr>
      <w:r w:rsidRPr="00883566">
        <w:rPr>
          <w:rFonts w:cs="Times New Roman"/>
          <w:b/>
          <w:bCs/>
          <w:u w:val="single"/>
          <w:lang w:eastAsia="et-EE"/>
        </w:rPr>
        <w:t>Kokkuvõte</w:t>
      </w:r>
    </w:p>
    <w:p w14:paraId="46825E48" w14:textId="080F9418" w:rsidR="00F03958" w:rsidRPr="00883566" w:rsidRDefault="00F03958" w:rsidP="00AA241E">
      <w:pPr>
        <w:spacing w:before="240" w:after="120"/>
        <w:jc w:val="both"/>
        <w:rPr>
          <w:rFonts w:cs="Times New Roman"/>
          <w:b/>
          <w:bCs/>
          <w:lang w:eastAsia="et-EE"/>
        </w:rPr>
      </w:pPr>
      <w:r w:rsidRPr="00883566">
        <w:rPr>
          <w:rFonts w:cs="Times New Roman"/>
          <w:b/>
          <w:bCs/>
          <w:lang w:eastAsia="et-EE"/>
        </w:rPr>
        <w:t>Võttes arvesse eeltoodud TTJA</w:t>
      </w:r>
      <w:r w:rsidR="00AB4BEF">
        <w:rPr>
          <w:rFonts w:cs="Times New Roman"/>
          <w:b/>
          <w:bCs/>
          <w:lang w:eastAsia="et-EE"/>
        </w:rPr>
        <w:t xml:space="preserve"> ei</w:t>
      </w:r>
      <w:r w:rsidRPr="00883566">
        <w:rPr>
          <w:rFonts w:cs="Times New Roman"/>
          <w:b/>
          <w:bCs/>
          <w:lang w:eastAsia="et-EE"/>
        </w:rPr>
        <w:t xml:space="preserve"> kehtesta </w:t>
      </w:r>
      <w:r w:rsidR="00A3232C">
        <w:rPr>
          <w:rFonts w:cs="Times New Roman"/>
          <w:b/>
          <w:bCs/>
          <w:lang w:eastAsia="et-EE"/>
        </w:rPr>
        <w:t>valguskaabelvõrgu</w:t>
      </w:r>
      <w:r w:rsidRPr="00883566">
        <w:rPr>
          <w:rFonts w:cs="Times New Roman"/>
          <w:b/>
          <w:bCs/>
          <w:lang w:eastAsia="et-EE"/>
        </w:rPr>
        <w:t>s B piirkonna hulgituru</w:t>
      </w:r>
      <w:r w:rsidR="00294FEA">
        <w:rPr>
          <w:rFonts w:cs="Times New Roman"/>
          <w:b/>
          <w:bCs/>
          <w:lang w:eastAsia="et-EE"/>
        </w:rPr>
        <w:t>l</w:t>
      </w:r>
      <w:r w:rsidRPr="00883566">
        <w:rPr>
          <w:rFonts w:cs="Times New Roman"/>
          <w:b/>
          <w:bCs/>
          <w:lang w:eastAsia="et-EE"/>
        </w:rPr>
        <w:t xml:space="preserve"> 1 </w:t>
      </w:r>
      <w:r w:rsidR="00294FEA" w:rsidRPr="00883566">
        <w:rPr>
          <w:rFonts w:cs="Times New Roman"/>
          <w:b/>
          <w:bCs/>
          <w:lang w:eastAsia="et-EE"/>
        </w:rPr>
        <w:t xml:space="preserve">Telia </w:t>
      </w:r>
      <w:r w:rsidRPr="00883566">
        <w:rPr>
          <w:rFonts w:cs="Times New Roman"/>
          <w:b/>
          <w:bCs/>
          <w:lang w:eastAsia="et-EE"/>
        </w:rPr>
        <w:t>teenustele EK 2024 kohustuse soovituse punktides 48-59 kirjeldatud kuluarvestusmetoodika</w:t>
      </w:r>
      <w:r w:rsidR="00AB4BEF">
        <w:rPr>
          <w:rFonts w:cs="Times New Roman"/>
          <w:b/>
          <w:bCs/>
          <w:lang w:eastAsia="et-EE"/>
        </w:rPr>
        <w:t>t</w:t>
      </w:r>
      <w:r w:rsidRPr="00883566">
        <w:rPr>
          <w:rFonts w:cs="Times New Roman"/>
          <w:b/>
          <w:bCs/>
          <w:lang w:eastAsia="et-EE"/>
        </w:rPr>
        <w:t xml:space="preserve"> (BU LRIC+) </w:t>
      </w:r>
      <w:r w:rsidR="00AB4BEF">
        <w:rPr>
          <w:rFonts w:cs="Times New Roman"/>
          <w:b/>
          <w:bCs/>
          <w:lang w:eastAsia="et-EE"/>
        </w:rPr>
        <w:t>, vaid</w:t>
      </w:r>
      <w:r w:rsidRPr="00883566">
        <w:rPr>
          <w:rFonts w:cs="Times New Roman"/>
          <w:b/>
          <w:bCs/>
          <w:lang w:eastAsia="et-EE"/>
        </w:rPr>
        <w:t xml:space="preserve"> kavandab koheselt peale käesoleva otsuse kehtestamist alustada vastavate teenuste osas majandusliku jäljendatavuse testi </w:t>
      </w:r>
      <w:r w:rsidR="00A666F5" w:rsidRPr="00E671F9">
        <w:rPr>
          <w:rFonts w:cs="Times New Roman"/>
          <w:b/>
          <w:bCs/>
        </w:rPr>
        <w:t>põhjendatuse ja proportsionaalsuse analüüs</w:t>
      </w:r>
      <w:r w:rsidR="00A666F5" w:rsidRPr="00A666F5">
        <w:rPr>
          <w:rFonts w:cs="Times New Roman"/>
          <w:b/>
          <w:bCs/>
          <w:lang w:eastAsia="et-EE"/>
        </w:rPr>
        <w:t>iga</w:t>
      </w:r>
      <w:r w:rsidR="00A666F5">
        <w:rPr>
          <w:rFonts w:cs="Times New Roman"/>
          <w:b/>
          <w:bCs/>
          <w:lang w:eastAsia="et-EE"/>
        </w:rPr>
        <w:t xml:space="preserve">, </w:t>
      </w:r>
      <w:r w:rsidR="009B7B32">
        <w:rPr>
          <w:rFonts w:cs="Times New Roman"/>
          <w:b/>
          <w:bCs/>
          <w:lang w:eastAsia="et-EE"/>
        </w:rPr>
        <w:t>testi</w:t>
      </w:r>
      <w:r w:rsidR="00A666F5">
        <w:rPr>
          <w:rFonts w:cs="Times New Roman"/>
          <w:b/>
          <w:bCs/>
          <w:lang w:eastAsia="et-EE"/>
        </w:rPr>
        <w:t xml:space="preserve"> </w:t>
      </w:r>
      <w:r w:rsidRPr="00883566">
        <w:rPr>
          <w:rFonts w:cs="Times New Roman"/>
          <w:b/>
          <w:bCs/>
          <w:lang w:eastAsia="et-EE"/>
        </w:rPr>
        <w:t xml:space="preserve">tingimuste välja töötamisega ja </w:t>
      </w:r>
      <w:r w:rsidR="009B7B32">
        <w:rPr>
          <w:rFonts w:cs="Times New Roman"/>
          <w:b/>
          <w:bCs/>
          <w:lang w:eastAsia="et-EE"/>
        </w:rPr>
        <w:t>testi</w:t>
      </w:r>
      <w:r w:rsidR="00A666F5">
        <w:rPr>
          <w:rFonts w:cs="Times New Roman"/>
          <w:b/>
          <w:bCs/>
          <w:lang w:eastAsia="et-EE"/>
        </w:rPr>
        <w:t xml:space="preserve"> </w:t>
      </w:r>
      <w:r w:rsidRPr="00883566">
        <w:rPr>
          <w:rFonts w:cs="Times New Roman"/>
          <w:b/>
          <w:bCs/>
          <w:lang w:eastAsia="et-EE"/>
        </w:rPr>
        <w:t>rakenda</w:t>
      </w:r>
      <w:r w:rsidR="00A666F5">
        <w:rPr>
          <w:rFonts w:cs="Times New Roman"/>
          <w:b/>
          <w:bCs/>
          <w:lang w:eastAsia="et-EE"/>
        </w:rPr>
        <w:t>misega</w:t>
      </w:r>
      <w:r w:rsidRPr="00883566">
        <w:rPr>
          <w:rFonts w:cs="Times New Roman"/>
          <w:b/>
          <w:bCs/>
          <w:lang w:eastAsia="et-EE"/>
        </w:rPr>
        <w:t xml:space="preserve"> nii kiiresti kui võimalik. Seniks jäävad </w:t>
      </w:r>
      <w:r w:rsidR="00A3232C">
        <w:rPr>
          <w:rFonts w:cs="Times New Roman"/>
          <w:b/>
          <w:bCs/>
          <w:lang w:eastAsia="et-EE"/>
        </w:rPr>
        <w:t>valguskaabelvõrgu</w:t>
      </w:r>
      <w:r w:rsidRPr="00883566">
        <w:rPr>
          <w:rFonts w:cs="Times New Roman"/>
          <w:b/>
          <w:bCs/>
          <w:lang w:eastAsia="et-EE"/>
        </w:rPr>
        <w:t>s B piirkonna hulgituru</w:t>
      </w:r>
      <w:r w:rsidR="00294FEA">
        <w:rPr>
          <w:rFonts w:cs="Times New Roman"/>
          <w:b/>
          <w:bCs/>
          <w:lang w:eastAsia="et-EE"/>
        </w:rPr>
        <w:t>l</w:t>
      </w:r>
      <w:r w:rsidRPr="00883566">
        <w:rPr>
          <w:rFonts w:cs="Times New Roman"/>
          <w:b/>
          <w:bCs/>
          <w:lang w:eastAsia="et-EE"/>
        </w:rPr>
        <w:t xml:space="preserve"> 1 </w:t>
      </w:r>
      <w:r w:rsidR="00294FEA" w:rsidRPr="00883566">
        <w:rPr>
          <w:rFonts w:cs="Times New Roman"/>
          <w:b/>
          <w:bCs/>
          <w:lang w:eastAsia="et-EE"/>
        </w:rPr>
        <w:t xml:space="preserve">Telia </w:t>
      </w:r>
      <w:r w:rsidRPr="00883566">
        <w:rPr>
          <w:rFonts w:cs="Times New Roman"/>
          <w:b/>
          <w:bCs/>
          <w:lang w:eastAsia="et-EE"/>
        </w:rPr>
        <w:t>teenustele kehtima samad hinnakohustused, mis on sätestatud TTJA 2017 hulgituru 1 otsuses.</w:t>
      </w:r>
    </w:p>
    <w:p w14:paraId="1267C700" w14:textId="77777777" w:rsidR="00F03958" w:rsidRPr="00883566" w:rsidRDefault="00F03958" w:rsidP="00AA241E">
      <w:pPr>
        <w:spacing w:before="240" w:after="120"/>
        <w:jc w:val="both"/>
        <w:rPr>
          <w:rFonts w:cs="Times New Roman"/>
          <w:b/>
          <w:bCs/>
          <w:lang w:eastAsia="et-EE"/>
        </w:rPr>
      </w:pPr>
    </w:p>
    <w:p w14:paraId="324A127C" w14:textId="17D5C5E0" w:rsidR="00F03958" w:rsidRPr="00883566" w:rsidRDefault="00F03958" w:rsidP="009805E1">
      <w:pPr>
        <w:pStyle w:val="Pealkiri3"/>
      </w:pPr>
      <w:bookmarkStart w:id="1030" w:name="_Toc174710854"/>
      <w:r w:rsidRPr="00883566">
        <w:t>Hinnakohustuse kehtestamine</w:t>
      </w:r>
      <w:bookmarkEnd w:id="1030"/>
    </w:p>
    <w:p w14:paraId="5EB3DD76" w14:textId="77777777" w:rsidR="00F03958" w:rsidRPr="00883566" w:rsidRDefault="00F03958" w:rsidP="00AA241E">
      <w:pPr>
        <w:spacing w:before="120" w:after="120"/>
        <w:jc w:val="both"/>
        <w:rPr>
          <w:rFonts w:cs="Times New Roman"/>
        </w:rPr>
      </w:pPr>
    </w:p>
    <w:p w14:paraId="4B3F4934" w14:textId="05F87849" w:rsidR="00B33975" w:rsidRPr="00883566" w:rsidRDefault="00F03958" w:rsidP="00AA241E">
      <w:pPr>
        <w:spacing w:line="259" w:lineRule="auto"/>
        <w:jc w:val="both"/>
        <w:rPr>
          <w:rFonts w:cs="Times New Roman"/>
          <w:lang w:eastAsia="en-US"/>
        </w:rPr>
      </w:pPr>
      <w:r w:rsidRPr="00883566">
        <w:rPr>
          <w:rFonts w:cs="Times New Roman"/>
        </w:rPr>
        <w:t xml:space="preserve">Käesoleva otsuse koostamise ajal kehtivad üleriigiliselt Telia </w:t>
      </w:r>
      <w:r w:rsidR="00532579">
        <w:rPr>
          <w:rFonts w:cs="Times New Roman"/>
        </w:rPr>
        <w:t>vaskpaar</w:t>
      </w:r>
      <w:r w:rsidRPr="00883566">
        <w:rPr>
          <w:rFonts w:cs="Times New Roman"/>
        </w:rPr>
        <w:t xml:space="preserve">- ja valguskaabelvõrgus Telia hulgituru 1 teenustele hinnakohustused TTJA 2017 hulgituru 1 otsuse lisa 1 </w:t>
      </w:r>
      <w:r w:rsidR="008C159A">
        <w:rPr>
          <w:rFonts w:cs="Times New Roman"/>
        </w:rPr>
        <w:t xml:space="preserve">ptk. </w:t>
      </w:r>
      <w:r w:rsidRPr="00883566">
        <w:rPr>
          <w:rFonts w:cs="Times New Roman"/>
        </w:rPr>
        <w:t xml:space="preserve">6.5.4 alusel. Lähtudes käesoleva otsuse </w:t>
      </w:r>
      <w:r w:rsidR="008C159A">
        <w:rPr>
          <w:rFonts w:cs="Times New Roman"/>
        </w:rPr>
        <w:t>ptk.-</w:t>
      </w:r>
      <w:r w:rsidRPr="00883566">
        <w:rPr>
          <w:rFonts w:cs="Times New Roman"/>
        </w:rPr>
        <w:t xml:space="preserve">st </w:t>
      </w:r>
      <w:r w:rsidR="004E04D2">
        <w:rPr>
          <w:rFonts w:cs="Times New Roman"/>
        </w:rPr>
        <w:t>7</w:t>
      </w:r>
      <w:r w:rsidR="00CB631C">
        <w:rPr>
          <w:rFonts w:cs="Times New Roman"/>
        </w:rPr>
        <w:t>.1.2</w:t>
      </w:r>
      <w:r w:rsidRPr="00883566">
        <w:rPr>
          <w:rFonts w:cs="Times New Roman"/>
        </w:rPr>
        <w:t xml:space="preserve"> tunnistatakse TTJA 2017 hulgituru 1 otsus ja selles kehtestatud </w:t>
      </w:r>
      <w:r w:rsidR="00532FD2" w:rsidRPr="00883566">
        <w:rPr>
          <w:rFonts w:cs="Times New Roman"/>
        </w:rPr>
        <w:t xml:space="preserve">Telia </w:t>
      </w:r>
      <w:r w:rsidRPr="00883566">
        <w:rPr>
          <w:rFonts w:cs="Times New Roman"/>
        </w:rPr>
        <w:t>kohustused kehtetuks</w:t>
      </w:r>
      <w:r w:rsidR="00175F02">
        <w:rPr>
          <w:rFonts w:cs="Times New Roman"/>
        </w:rPr>
        <w:t>.</w:t>
      </w:r>
      <w:r w:rsidR="00532FD2" w:rsidRPr="00532FD2">
        <w:rPr>
          <w:rFonts w:cs="Times New Roman"/>
        </w:rPr>
        <w:t xml:space="preserve"> </w:t>
      </w:r>
      <w:r w:rsidR="00532FD2" w:rsidRPr="00883566">
        <w:rPr>
          <w:rFonts w:cs="Times New Roman"/>
        </w:rPr>
        <w:t xml:space="preserve">Käesolevas </w:t>
      </w:r>
      <w:r w:rsidR="00532FD2">
        <w:rPr>
          <w:rFonts w:cs="Times New Roman"/>
        </w:rPr>
        <w:t>peatükis</w:t>
      </w:r>
      <w:r w:rsidR="00532FD2" w:rsidRPr="00883566">
        <w:rPr>
          <w:rFonts w:cs="Times New Roman"/>
        </w:rPr>
        <w:t xml:space="preserve"> kehtestatavad kohustused on suunatud </w:t>
      </w:r>
      <w:r w:rsidR="00532FD2">
        <w:rPr>
          <w:rFonts w:cs="Times New Roman"/>
        </w:rPr>
        <w:t xml:space="preserve"> </w:t>
      </w:r>
      <w:r w:rsidR="004E07DD">
        <w:rPr>
          <w:rFonts w:cs="Times New Roman"/>
        </w:rPr>
        <w:t xml:space="preserve">konkurentsi soodustavate </w:t>
      </w:r>
      <w:r w:rsidR="00532FD2">
        <w:rPr>
          <w:rFonts w:cs="Times New Roman"/>
        </w:rPr>
        <w:t>hindade tagamisele valguskaabelvõrgu B</w:t>
      </w:r>
      <w:r w:rsidR="00532FD2" w:rsidRPr="00883566">
        <w:rPr>
          <w:rFonts w:cs="Times New Roman"/>
        </w:rPr>
        <w:t xml:space="preserve"> piirkonna</w:t>
      </w:r>
      <w:r w:rsidR="00532FD2">
        <w:rPr>
          <w:rFonts w:cs="Times New Roman"/>
        </w:rPr>
        <w:t xml:space="preserve"> hulgituru</w:t>
      </w:r>
      <w:r w:rsidR="003A140A">
        <w:rPr>
          <w:rFonts w:cs="Times New Roman"/>
        </w:rPr>
        <w:t>l</w:t>
      </w:r>
      <w:r w:rsidR="00532FD2">
        <w:rPr>
          <w:rFonts w:cs="Times New Roman"/>
        </w:rPr>
        <w:t xml:space="preserve"> 1 </w:t>
      </w:r>
      <w:r w:rsidR="00851892">
        <w:rPr>
          <w:rFonts w:cs="Times New Roman"/>
        </w:rPr>
        <w:t xml:space="preserve">Telia </w:t>
      </w:r>
      <w:r w:rsidR="00F20E53">
        <w:rPr>
          <w:rFonts w:cs="Times New Roman"/>
        </w:rPr>
        <w:t>osuta</w:t>
      </w:r>
      <w:r w:rsidR="000C3D28">
        <w:rPr>
          <w:rFonts w:cs="Times New Roman"/>
        </w:rPr>
        <w:t xml:space="preserve">tavate </w:t>
      </w:r>
      <w:r w:rsidR="00532FD2">
        <w:rPr>
          <w:rFonts w:cs="Times New Roman"/>
        </w:rPr>
        <w:t xml:space="preserve">teenuste </w:t>
      </w:r>
      <w:r w:rsidR="0057779A">
        <w:rPr>
          <w:rFonts w:cs="Times New Roman"/>
        </w:rPr>
        <w:t>osas</w:t>
      </w:r>
      <w:r w:rsidR="00532FD2" w:rsidRPr="00883566">
        <w:rPr>
          <w:rFonts w:cs="Times New Roman"/>
        </w:rPr>
        <w:t>.</w:t>
      </w:r>
      <w:r w:rsidRPr="00883566">
        <w:rPr>
          <w:rFonts w:cs="Times New Roman"/>
        </w:rPr>
        <w:t xml:space="preserve"> </w:t>
      </w:r>
      <w:r w:rsidR="00B33975" w:rsidRPr="00883566">
        <w:rPr>
          <w:rFonts w:cs="Times New Roman"/>
        </w:rPr>
        <w:t>TTJA on kohustuste järjepidevuse tagamiseks lähtunud käesoleva otsuse koostamise ajal kehtiva TTJA 2017 hulgituru 1 otsuses sätestatud kohustustest neid vajadusel muutes ja/või täiendades.</w:t>
      </w:r>
    </w:p>
    <w:p w14:paraId="07942A20" w14:textId="7D77BA16" w:rsidR="00F03958" w:rsidRPr="00883566" w:rsidRDefault="00F03958" w:rsidP="00AA241E">
      <w:pPr>
        <w:jc w:val="both"/>
        <w:rPr>
          <w:rFonts w:cs="Times New Roman"/>
        </w:rPr>
      </w:pPr>
      <w:r w:rsidRPr="00883566">
        <w:rPr>
          <w:rFonts w:cs="Times New Roman"/>
        </w:rPr>
        <w:t xml:space="preserve">Võttes arvesse TTJA 2017 hulgituru 1 otsuses sätestatud kohustusi ja tutvunud uut EK 2024 kohustuste soovitusega ning TTJA 2021 hulgituru 1 otsuse eelnõus ja TTJA 2023 hulgituru 1 otsuse eelnõus kajastatud sideettevõtjate arvamustega võimalike konkurentsiprobleemide osas, leiab TTJA, et </w:t>
      </w:r>
      <w:r w:rsidR="00A666F5">
        <w:rPr>
          <w:rFonts w:cs="Times New Roman"/>
        </w:rPr>
        <w:t xml:space="preserve">võib </w:t>
      </w:r>
      <w:r w:rsidR="001E30F8">
        <w:rPr>
          <w:rFonts w:cs="Times New Roman"/>
        </w:rPr>
        <w:t>olla põhjendatud</w:t>
      </w:r>
      <w:r w:rsidRPr="00883566">
        <w:rPr>
          <w:rFonts w:cs="Times New Roman"/>
        </w:rPr>
        <w:t xml:space="preserve"> kehtestada</w:t>
      </w:r>
      <w:r w:rsidR="00A666F5">
        <w:rPr>
          <w:rFonts w:cs="Times New Roman"/>
        </w:rPr>
        <w:t xml:space="preserve"> pärast käesoleva otsuse vastu võtmist</w:t>
      </w:r>
      <w:r w:rsidRPr="00883566">
        <w:rPr>
          <w:rFonts w:cs="Times New Roman"/>
        </w:rPr>
        <w:t xml:space="preserve"> </w:t>
      </w:r>
      <w:r w:rsidR="00A3232C">
        <w:rPr>
          <w:rFonts w:cs="Times New Roman"/>
        </w:rPr>
        <w:t>valguskaabelvõrgu</w:t>
      </w:r>
      <w:r w:rsidRPr="00883566">
        <w:rPr>
          <w:rFonts w:cs="Times New Roman"/>
        </w:rPr>
        <w:t>s B piirkonna hulgituru</w:t>
      </w:r>
      <w:r w:rsidR="0022058E">
        <w:rPr>
          <w:rFonts w:cs="Times New Roman"/>
        </w:rPr>
        <w:t>l</w:t>
      </w:r>
      <w:r w:rsidRPr="00883566">
        <w:rPr>
          <w:rFonts w:cs="Times New Roman"/>
        </w:rPr>
        <w:t xml:space="preserve"> 1 </w:t>
      </w:r>
      <w:r w:rsidR="0022058E">
        <w:rPr>
          <w:rFonts w:cs="Times New Roman"/>
        </w:rPr>
        <w:t xml:space="preserve">Telia </w:t>
      </w:r>
      <w:r w:rsidRPr="00883566">
        <w:rPr>
          <w:rFonts w:cs="Times New Roman"/>
        </w:rPr>
        <w:t xml:space="preserve">teenustele erinevaid ja uusi hinnakohustusi võrreldes käesoleva otsuse ajal kehtivas TTJA 2017 hulgituru 1 otsuse lisa 1 </w:t>
      </w:r>
      <w:r w:rsidR="008C159A">
        <w:rPr>
          <w:rFonts w:cs="Times New Roman"/>
        </w:rPr>
        <w:t>ptk.-</w:t>
      </w:r>
      <w:r w:rsidRPr="00883566">
        <w:rPr>
          <w:rFonts w:cs="Times New Roman"/>
        </w:rPr>
        <w:t>s 6.5.4 sätestatud hinnakohustustega</w:t>
      </w:r>
      <w:r w:rsidR="00A666F5">
        <w:rPr>
          <w:rFonts w:cs="Times New Roman"/>
        </w:rPr>
        <w:t>, kui vastav analüüs seda kinnitab, vt. t</w:t>
      </w:r>
      <w:r w:rsidR="00F0604E">
        <w:rPr>
          <w:rFonts w:cs="Times New Roman"/>
        </w:rPr>
        <w:t>äpsemalt</w:t>
      </w:r>
      <w:r w:rsidR="00A666F5">
        <w:rPr>
          <w:rFonts w:cs="Times New Roman"/>
        </w:rPr>
        <w:t xml:space="preserve"> ptk 7.6.3</w:t>
      </w:r>
      <w:r w:rsidRPr="00883566">
        <w:rPr>
          <w:rFonts w:cs="Times New Roman"/>
        </w:rPr>
        <w:t>.</w:t>
      </w:r>
    </w:p>
    <w:p w14:paraId="5A20C5D2" w14:textId="5FEBE08E" w:rsidR="00F03958" w:rsidRPr="00883566" w:rsidRDefault="00F03958" w:rsidP="00AA241E">
      <w:pPr>
        <w:jc w:val="both"/>
        <w:rPr>
          <w:rFonts w:cs="Times New Roman"/>
        </w:rPr>
      </w:pPr>
      <w:r w:rsidRPr="00883566">
        <w:rPr>
          <w:rFonts w:cs="Times New Roman"/>
        </w:rPr>
        <w:t>TTJA hinnangul on Telial olemas pii</w:t>
      </w:r>
      <w:r w:rsidR="00A666F5">
        <w:rPr>
          <w:rFonts w:cs="Times New Roman"/>
        </w:rPr>
        <w:t>s</w:t>
      </w:r>
      <w:r w:rsidRPr="00883566">
        <w:rPr>
          <w:rFonts w:cs="Times New Roman"/>
        </w:rPr>
        <w:t xml:space="preserve">av ressurss ja varasem hinnakohustuste täitmise kogemus, mistõttu ei ole  käesoleva otsusega </w:t>
      </w:r>
      <w:r w:rsidR="003669D4">
        <w:rPr>
          <w:rFonts w:cs="Times New Roman"/>
        </w:rPr>
        <w:t>kehtestatavad</w:t>
      </w:r>
      <w:r w:rsidR="003669D4" w:rsidRPr="00883566">
        <w:rPr>
          <w:rFonts w:cs="Times New Roman"/>
        </w:rPr>
        <w:t xml:space="preserve"> </w:t>
      </w:r>
      <w:r w:rsidRPr="00883566">
        <w:rPr>
          <w:rFonts w:cs="Times New Roman"/>
        </w:rPr>
        <w:t>hinnakohustused Telial liigselt koormavad.</w:t>
      </w:r>
    </w:p>
    <w:p w14:paraId="5FE30DE1" w14:textId="77777777" w:rsidR="00F03958" w:rsidRPr="00883566" w:rsidRDefault="00F03958" w:rsidP="00AA241E">
      <w:pPr>
        <w:spacing w:before="120" w:after="120"/>
        <w:jc w:val="both"/>
        <w:rPr>
          <w:rFonts w:cs="Times New Roman"/>
        </w:rPr>
      </w:pPr>
    </w:p>
    <w:p w14:paraId="24986B3F" w14:textId="1C227C5A" w:rsidR="00F03958" w:rsidRPr="00D17F96" w:rsidRDefault="00F03958" w:rsidP="00AA241E">
      <w:pPr>
        <w:autoSpaceDE w:val="0"/>
        <w:autoSpaceDN w:val="0"/>
        <w:adjustRightInd w:val="0"/>
        <w:spacing w:before="120" w:after="120" w:line="240" w:lineRule="auto"/>
        <w:jc w:val="both"/>
        <w:rPr>
          <w:b/>
          <w:lang w:eastAsia="et-EE"/>
        </w:rPr>
      </w:pPr>
      <w:r w:rsidRPr="00D17F96">
        <w:rPr>
          <w:b/>
          <w:lang w:eastAsia="et-EE"/>
        </w:rPr>
        <w:t>TTJA kehtesta</w:t>
      </w:r>
      <w:r w:rsidR="00F0604E">
        <w:rPr>
          <w:b/>
          <w:lang w:eastAsia="et-EE"/>
        </w:rPr>
        <w:t>b</w:t>
      </w:r>
      <w:r w:rsidRPr="00D17F96">
        <w:rPr>
          <w:b/>
          <w:lang w:eastAsia="et-EE"/>
        </w:rPr>
        <w:t xml:space="preserve"> </w:t>
      </w:r>
      <w:r w:rsidR="00A3232C" w:rsidRPr="00D17F96">
        <w:rPr>
          <w:b/>
          <w:lang w:eastAsia="et-EE"/>
        </w:rPr>
        <w:t>valguskaabelvõrgu</w:t>
      </w:r>
      <w:r w:rsidRPr="00D17F96">
        <w:rPr>
          <w:b/>
          <w:lang w:eastAsia="et-EE"/>
        </w:rPr>
        <w:t xml:space="preserve">s B </w:t>
      </w:r>
      <w:r w:rsidRPr="00D17F96">
        <w:rPr>
          <w:b/>
          <w:bCs/>
          <w:lang w:eastAsia="et-EE"/>
        </w:rPr>
        <w:t>piirkonna</w:t>
      </w:r>
      <w:r w:rsidRPr="00D17F96">
        <w:rPr>
          <w:b/>
          <w:lang w:eastAsia="et-EE"/>
        </w:rPr>
        <w:t xml:space="preserve"> </w:t>
      </w:r>
      <w:r w:rsidRPr="00D17F96">
        <w:rPr>
          <w:b/>
          <w:bCs/>
          <w:lang w:eastAsia="et-EE"/>
        </w:rPr>
        <w:t>hulgituru</w:t>
      </w:r>
      <w:r w:rsidR="00AA00F0" w:rsidRPr="00D17F96">
        <w:rPr>
          <w:b/>
          <w:bCs/>
          <w:lang w:eastAsia="et-EE"/>
        </w:rPr>
        <w:t>l</w:t>
      </w:r>
      <w:r w:rsidRPr="00D17F96">
        <w:rPr>
          <w:b/>
          <w:bCs/>
          <w:lang w:eastAsia="et-EE"/>
        </w:rPr>
        <w:t xml:space="preserve"> 1 </w:t>
      </w:r>
      <w:r w:rsidR="00AA00F0" w:rsidRPr="00D17F96">
        <w:rPr>
          <w:b/>
          <w:bCs/>
          <w:lang w:eastAsia="et-EE"/>
        </w:rPr>
        <w:t>Telia</w:t>
      </w:r>
      <w:r w:rsidRPr="00D17F96">
        <w:rPr>
          <w:b/>
          <w:lang w:eastAsia="et-EE"/>
        </w:rPr>
        <w:t xml:space="preserve"> teenustele otsuse peatükis </w:t>
      </w:r>
      <w:r w:rsidR="004E04D2" w:rsidRPr="00D17F96">
        <w:rPr>
          <w:b/>
          <w:lang w:eastAsia="et-EE"/>
        </w:rPr>
        <w:t>7.6.2</w:t>
      </w:r>
      <w:r w:rsidRPr="00D17F96">
        <w:rPr>
          <w:b/>
          <w:lang w:eastAsia="et-EE"/>
        </w:rPr>
        <w:t xml:space="preserve">  kirjeldatud konkurentsiprobleemide vältimiseks ning lõppkasutajate huvide kaitseks ESS § 50 l</w:t>
      </w:r>
      <w:r w:rsidR="00F166AB">
        <w:rPr>
          <w:b/>
          <w:lang w:eastAsia="et-EE"/>
        </w:rPr>
        <w:t>õi</w:t>
      </w:r>
      <w:r w:rsidRPr="00D17F96">
        <w:rPr>
          <w:b/>
          <w:lang w:eastAsia="et-EE"/>
        </w:rPr>
        <w:t>g</w:t>
      </w:r>
      <w:r w:rsidR="00F166AB">
        <w:rPr>
          <w:b/>
          <w:lang w:eastAsia="et-EE"/>
        </w:rPr>
        <w:t>e</w:t>
      </w:r>
      <w:r w:rsidRPr="00D17F96">
        <w:rPr>
          <w:b/>
          <w:lang w:eastAsia="et-EE"/>
        </w:rPr>
        <w:t xml:space="preserve"> 1 punktis 4 sätestatud kulude eraldi arvestuse kohustuse ning ESS § 50 lg 1 punktis 7 sätestatud kuludele orienteeritud tasudega seotud kohustuse</w:t>
      </w:r>
      <w:r w:rsidR="002E17CD">
        <w:rPr>
          <w:b/>
          <w:lang w:eastAsia="et-EE"/>
        </w:rPr>
        <w:t xml:space="preserve"> järgmiselt:</w:t>
      </w:r>
    </w:p>
    <w:p w14:paraId="58CEB768" w14:textId="195E9DD9" w:rsidR="00F03958" w:rsidRPr="00D17F96" w:rsidRDefault="00F03958" w:rsidP="00AA241E">
      <w:pPr>
        <w:numPr>
          <w:ilvl w:val="0"/>
          <w:numId w:val="50"/>
        </w:numPr>
        <w:autoSpaceDE w:val="0"/>
        <w:autoSpaceDN w:val="0"/>
        <w:adjustRightInd w:val="0"/>
        <w:spacing w:before="120" w:after="120" w:line="240" w:lineRule="auto"/>
        <w:jc w:val="both"/>
        <w:rPr>
          <w:b/>
          <w:lang w:eastAsia="et-EE"/>
        </w:rPr>
      </w:pPr>
      <w:r w:rsidRPr="00D17F96">
        <w:rPr>
          <w:b/>
          <w:lang w:eastAsia="et-EE"/>
        </w:rPr>
        <w:lastRenderedPageBreak/>
        <w:t>Telia peab rakendama teistele sideettevõtjatele ja enda üksustele osutatavate</w:t>
      </w:r>
      <w:r w:rsidR="006A4D1A" w:rsidRPr="00D17F96">
        <w:rPr>
          <w:rFonts w:cs="Times New Roman"/>
          <w:b/>
          <w:bCs/>
        </w:rPr>
        <w:t xml:space="preserve"> peatükis 7.3.5 kohustatud</w:t>
      </w:r>
      <w:r w:rsidRPr="00D17F96">
        <w:rPr>
          <w:b/>
          <w:lang w:eastAsia="et-EE"/>
        </w:rPr>
        <w:t xml:space="preserve"> </w:t>
      </w:r>
      <w:r w:rsidR="00441AA6">
        <w:rPr>
          <w:b/>
          <w:lang w:eastAsia="et-EE"/>
        </w:rPr>
        <w:t>juurdepääsu</w:t>
      </w:r>
      <w:r w:rsidRPr="00D17F96">
        <w:rPr>
          <w:b/>
          <w:lang w:eastAsia="et-EE"/>
        </w:rPr>
        <w:t xml:space="preserve"> teenuste kulude eraldi arvestamiseks otsuse lisas </w:t>
      </w:r>
      <w:r w:rsidR="004D37DE" w:rsidRPr="00D17F96">
        <w:rPr>
          <w:b/>
          <w:lang w:eastAsia="et-EE"/>
        </w:rPr>
        <w:t>2</w:t>
      </w:r>
      <w:r w:rsidRPr="00D17F96">
        <w:rPr>
          <w:b/>
          <w:lang w:eastAsia="et-EE"/>
        </w:rPr>
        <w:t xml:space="preserve"> toodud TD HC FDC meetodit;</w:t>
      </w:r>
    </w:p>
    <w:p w14:paraId="0D5EE8E6" w14:textId="4CF17AB3" w:rsidR="00F03958" w:rsidRPr="00D17F96" w:rsidRDefault="00F03958" w:rsidP="00AA241E">
      <w:pPr>
        <w:numPr>
          <w:ilvl w:val="0"/>
          <w:numId w:val="50"/>
        </w:numPr>
        <w:tabs>
          <w:tab w:val="num" w:pos="720"/>
        </w:tabs>
        <w:autoSpaceDE w:val="0"/>
        <w:autoSpaceDN w:val="0"/>
        <w:adjustRightInd w:val="0"/>
        <w:spacing w:before="120" w:after="120" w:line="240" w:lineRule="auto"/>
        <w:ind w:left="1264" w:hanging="357"/>
        <w:jc w:val="both"/>
        <w:rPr>
          <w:b/>
          <w:lang w:eastAsia="et-EE"/>
        </w:rPr>
      </w:pPr>
      <w:r w:rsidRPr="00D17F96">
        <w:rPr>
          <w:b/>
          <w:lang w:eastAsia="et-EE"/>
        </w:rPr>
        <w:t>Telia peab rakendama teistele sideettevõtjatele osutavatele</w:t>
      </w:r>
      <w:r w:rsidR="00977FD6" w:rsidRPr="00D17F96">
        <w:rPr>
          <w:b/>
          <w:lang w:eastAsia="et-EE"/>
        </w:rPr>
        <w:t xml:space="preserve"> </w:t>
      </w:r>
      <w:r w:rsidR="00977FD6" w:rsidRPr="00D17F96">
        <w:rPr>
          <w:rFonts w:cs="Times New Roman"/>
          <w:b/>
          <w:bCs/>
        </w:rPr>
        <w:t>peatükis 7.3.5 kohustatud</w:t>
      </w:r>
      <w:r w:rsidRPr="00D17F96">
        <w:rPr>
          <w:b/>
          <w:lang w:eastAsia="et-EE"/>
        </w:rPr>
        <w:t xml:space="preserve"> </w:t>
      </w:r>
      <w:r w:rsidR="00441AA6">
        <w:rPr>
          <w:b/>
          <w:lang w:eastAsia="et-EE"/>
        </w:rPr>
        <w:t>juurdepääsu</w:t>
      </w:r>
      <w:r w:rsidRPr="00D17F96">
        <w:rPr>
          <w:b/>
          <w:lang w:eastAsia="et-EE"/>
        </w:rPr>
        <w:t xml:space="preserve"> teenustele hindasid, mis ei ole kõrgemad kui otsuse lisas </w:t>
      </w:r>
      <w:r w:rsidR="004D37DE" w:rsidRPr="00D17F96">
        <w:rPr>
          <w:b/>
          <w:lang w:eastAsia="et-EE"/>
        </w:rPr>
        <w:t>2</w:t>
      </w:r>
      <w:r w:rsidRPr="00D17F96">
        <w:rPr>
          <w:b/>
          <w:lang w:eastAsia="et-EE"/>
        </w:rPr>
        <w:t xml:space="preserve"> toodud TD HC FDC meetodi põhised kuludele orienteeritud hinnad;</w:t>
      </w:r>
    </w:p>
    <w:p w14:paraId="0D198A69" w14:textId="0EB254FB" w:rsidR="00F03958" w:rsidRPr="00D17F96" w:rsidRDefault="00F03958" w:rsidP="00AA241E">
      <w:pPr>
        <w:numPr>
          <w:ilvl w:val="0"/>
          <w:numId w:val="50"/>
        </w:numPr>
        <w:tabs>
          <w:tab w:val="num" w:pos="720"/>
        </w:tabs>
        <w:autoSpaceDE w:val="0"/>
        <w:autoSpaceDN w:val="0"/>
        <w:adjustRightInd w:val="0"/>
        <w:spacing w:before="120" w:after="120" w:line="240" w:lineRule="auto"/>
        <w:ind w:left="1264" w:hanging="357"/>
        <w:jc w:val="both"/>
        <w:rPr>
          <w:b/>
          <w:lang w:eastAsia="et-EE"/>
        </w:rPr>
      </w:pPr>
      <w:r w:rsidRPr="00D17F96">
        <w:rPr>
          <w:b/>
          <w:lang w:eastAsia="et-EE"/>
        </w:rPr>
        <w:t xml:space="preserve">Telia võib rakendada </w:t>
      </w:r>
      <w:r w:rsidR="00977FD6" w:rsidRPr="00D17F96">
        <w:rPr>
          <w:rFonts w:cs="Times New Roman"/>
          <w:b/>
          <w:bCs/>
        </w:rPr>
        <w:t>peatükis 7.3.5 kohustatud</w:t>
      </w:r>
      <w:r w:rsidR="00977FD6" w:rsidRPr="00D17F96">
        <w:rPr>
          <w:b/>
          <w:lang w:eastAsia="et-EE"/>
        </w:rPr>
        <w:t xml:space="preserve"> </w:t>
      </w:r>
      <w:r w:rsidR="00441AA6">
        <w:rPr>
          <w:b/>
          <w:lang w:eastAsia="et-EE"/>
        </w:rPr>
        <w:t>juurdepääsu</w:t>
      </w:r>
      <w:r w:rsidRPr="00D17F96">
        <w:rPr>
          <w:b/>
          <w:lang w:eastAsia="et-EE"/>
        </w:rPr>
        <w:t xml:space="preserve"> teenustele allahindluseid, kui need on tegevuspõhised;</w:t>
      </w:r>
    </w:p>
    <w:p w14:paraId="27DFA33B" w14:textId="19C85A18" w:rsidR="00F03958" w:rsidRPr="00D17F96" w:rsidRDefault="00F03958" w:rsidP="00AA241E">
      <w:pPr>
        <w:numPr>
          <w:ilvl w:val="0"/>
          <w:numId w:val="50"/>
        </w:numPr>
        <w:tabs>
          <w:tab w:val="num" w:pos="720"/>
        </w:tabs>
        <w:autoSpaceDE w:val="0"/>
        <w:autoSpaceDN w:val="0"/>
        <w:adjustRightInd w:val="0"/>
        <w:spacing w:before="120" w:after="120" w:line="240" w:lineRule="auto"/>
        <w:ind w:left="1264" w:hanging="357"/>
        <w:jc w:val="both"/>
        <w:rPr>
          <w:b/>
          <w:lang w:eastAsia="et-EE"/>
        </w:rPr>
      </w:pPr>
      <w:r w:rsidRPr="00D17F96">
        <w:rPr>
          <w:b/>
          <w:lang w:eastAsia="et-EE"/>
        </w:rPr>
        <w:t xml:space="preserve">Telia võib rakendada </w:t>
      </w:r>
      <w:r w:rsidR="00977FD6" w:rsidRPr="00D17F96">
        <w:rPr>
          <w:rFonts w:cs="Times New Roman"/>
          <w:b/>
          <w:bCs/>
        </w:rPr>
        <w:t>peatükis 7.3.5 kohustatud</w:t>
      </w:r>
      <w:r w:rsidR="00977FD6" w:rsidRPr="00D17F96">
        <w:rPr>
          <w:b/>
          <w:lang w:eastAsia="et-EE"/>
        </w:rPr>
        <w:t xml:space="preserve"> </w:t>
      </w:r>
      <w:r w:rsidR="00441AA6">
        <w:rPr>
          <w:b/>
          <w:lang w:eastAsia="et-EE"/>
        </w:rPr>
        <w:t>juurdepääsu</w:t>
      </w:r>
      <w:r w:rsidRPr="00D17F96">
        <w:rPr>
          <w:b/>
          <w:lang w:eastAsia="et-EE"/>
        </w:rPr>
        <w:t xml:space="preserve"> teenustele erinevaid hindasid, kui need on põhjendatud kvaliteedi erinevustega ja/või piirkondlike iseärasustega;</w:t>
      </w:r>
    </w:p>
    <w:p w14:paraId="4985D40B" w14:textId="3A116AA5" w:rsidR="00F03958" w:rsidRPr="00D17F96" w:rsidRDefault="00F03958" w:rsidP="00AA241E">
      <w:pPr>
        <w:numPr>
          <w:ilvl w:val="0"/>
          <w:numId w:val="50"/>
        </w:numPr>
        <w:tabs>
          <w:tab w:val="num" w:pos="720"/>
        </w:tabs>
        <w:autoSpaceDE w:val="0"/>
        <w:autoSpaceDN w:val="0"/>
        <w:adjustRightInd w:val="0"/>
        <w:spacing w:before="120" w:after="120" w:line="240" w:lineRule="auto"/>
        <w:ind w:left="1264" w:hanging="357"/>
        <w:jc w:val="both"/>
        <w:rPr>
          <w:b/>
          <w:lang w:eastAsia="et-EE"/>
        </w:rPr>
      </w:pPr>
      <w:r w:rsidRPr="00D17F96">
        <w:rPr>
          <w:b/>
          <w:lang w:eastAsia="et-EE"/>
        </w:rPr>
        <w:t xml:space="preserve">Telia peab </w:t>
      </w:r>
      <w:r w:rsidR="00977FD6" w:rsidRPr="00D17F96">
        <w:rPr>
          <w:rFonts w:cs="Times New Roman"/>
          <w:b/>
          <w:bCs/>
        </w:rPr>
        <w:t>peatükis 7.3.5 kohustatud</w:t>
      </w:r>
      <w:r w:rsidR="00977FD6" w:rsidRPr="00D17F96">
        <w:rPr>
          <w:b/>
          <w:lang w:eastAsia="et-EE"/>
        </w:rPr>
        <w:t xml:space="preserve"> </w:t>
      </w:r>
      <w:r w:rsidR="00441AA6">
        <w:rPr>
          <w:b/>
          <w:lang w:eastAsia="et-EE"/>
        </w:rPr>
        <w:t>juurdepääsu</w:t>
      </w:r>
      <w:r w:rsidRPr="00D17F96">
        <w:rPr>
          <w:b/>
          <w:lang w:eastAsia="et-EE"/>
        </w:rPr>
        <w:t xml:space="preserve">  kasutamiseks vajalikele teenustele (sealhulgas </w:t>
      </w:r>
      <w:r w:rsidR="002A05CA">
        <w:rPr>
          <w:b/>
          <w:lang w:eastAsia="et-EE"/>
        </w:rPr>
        <w:t xml:space="preserve">seadmete </w:t>
      </w:r>
      <w:proofErr w:type="spellStart"/>
      <w:r w:rsidRPr="00D17F96">
        <w:rPr>
          <w:b/>
          <w:lang w:eastAsia="et-EE"/>
        </w:rPr>
        <w:t>ühispaiknemisele</w:t>
      </w:r>
      <w:proofErr w:type="spellEnd"/>
      <w:r w:rsidR="002A05CA">
        <w:rPr>
          <w:b/>
          <w:lang w:eastAsia="et-EE"/>
        </w:rPr>
        <w:t xml:space="preserve"> ning</w:t>
      </w:r>
      <w:r w:rsidRPr="00D17F96">
        <w:rPr>
          <w:b/>
          <w:lang w:eastAsia="et-EE"/>
        </w:rPr>
        <w:t xml:space="preserve"> tugisüsteemidele ja tarkvarasüsteemidele</w:t>
      </w:r>
      <w:r w:rsidR="002A05CA">
        <w:rPr>
          <w:b/>
          <w:lang w:eastAsia="et-EE"/>
        </w:rPr>
        <w:t xml:space="preserve"> juurdepääsule</w:t>
      </w:r>
      <w:r w:rsidRPr="00D17F96">
        <w:rPr>
          <w:b/>
          <w:lang w:eastAsia="et-EE"/>
        </w:rPr>
        <w:t xml:space="preserve">), samuti liitumisteenustele hindade arvestamisel tagama, et teenuse hind ei sisaldaks selle teenuse osutamiseks mittevajalikke kulusid ja teenusele omistatakse ainult need kulud, mis on teenuse osutamiseks otstarbekad ja efektiivsed, sealjuures on lubatud põhjendatud tulukus kooskõlas otsuse lisa </w:t>
      </w:r>
      <w:r w:rsidR="004D37DE" w:rsidRPr="00D17F96">
        <w:rPr>
          <w:b/>
          <w:lang w:eastAsia="et-EE"/>
        </w:rPr>
        <w:t>2</w:t>
      </w:r>
      <w:r w:rsidRPr="00D17F96">
        <w:rPr>
          <w:b/>
          <w:lang w:eastAsia="et-EE"/>
        </w:rPr>
        <w:t xml:space="preserve"> punktiga 4.3;</w:t>
      </w:r>
    </w:p>
    <w:p w14:paraId="2E247A05" w14:textId="6941786C" w:rsidR="00F03958" w:rsidRPr="00D17F96" w:rsidRDefault="00F03958" w:rsidP="00AA241E">
      <w:pPr>
        <w:numPr>
          <w:ilvl w:val="0"/>
          <w:numId w:val="50"/>
        </w:numPr>
        <w:tabs>
          <w:tab w:val="num" w:pos="720"/>
        </w:tabs>
        <w:autoSpaceDE w:val="0"/>
        <w:autoSpaceDN w:val="0"/>
        <w:adjustRightInd w:val="0"/>
        <w:spacing w:before="120" w:after="120" w:line="240" w:lineRule="auto"/>
        <w:ind w:left="1264" w:hanging="357"/>
        <w:jc w:val="both"/>
        <w:rPr>
          <w:b/>
          <w:lang w:eastAsia="et-EE"/>
        </w:rPr>
      </w:pPr>
      <w:r w:rsidRPr="00D17F96">
        <w:rPr>
          <w:b/>
          <w:lang w:eastAsia="et-EE"/>
        </w:rPr>
        <w:t xml:space="preserve">Telia ei või </w:t>
      </w:r>
      <w:r w:rsidR="00977FD6" w:rsidRPr="00D17F96">
        <w:rPr>
          <w:rFonts w:cs="Times New Roman"/>
          <w:b/>
          <w:bCs/>
        </w:rPr>
        <w:t>peatükis 7.3.5 kohustatud</w:t>
      </w:r>
      <w:r w:rsidR="00977FD6" w:rsidRPr="00D17F96">
        <w:rPr>
          <w:b/>
          <w:lang w:eastAsia="et-EE"/>
        </w:rPr>
        <w:t xml:space="preserve"> </w:t>
      </w:r>
      <w:r w:rsidR="00441AA6">
        <w:rPr>
          <w:b/>
          <w:lang w:eastAsia="et-EE"/>
        </w:rPr>
        <w:t>juurdepääsu</w:t>
      </w:r>
      <w:r w:rsidR="00977FD6" w:rsidRPr="00D17F96">
        <w:rPr>
          <w:b/>
          <w:lang w:eastAsia="et-EE"/>
        </w:rPr>
        <w:t xml:space="preserve"> teenuste </w:t>
      </w:r>
      <w:r w:rsidRPr="00D17F96">
        <w:rPr>
          <w:b/>
          <w:lang w:eastAsia="et-EE"/>
        </w:rPr>
        <w:t xml:space="preserve">liitumishindadesse arvestada </w:t>
      </w:r>
      <w:r w:rsidR="00194148">
        <w:rPr>
          <w:b/>
          <w:lang w:eastAsia="et-EE"/>
        </w:rPr>
        <w:t>põhivara kulumit ja põhivaralt arvestatavat põhjendatud tulukust</w:t>
      </w:r>
      <w:r w:rsidRPr="00D17F96">
        <w:rPr>
          <w:b/>
          <w:lang w:eastAsia="et-EE"/>
        </w:rPr>
        <w:t>;</w:t>
      </w:r>
    </w:p>
    <w:p w14:paraId="4869EB5B" w14:textId="187094E9" w:rsidR="00F03958" w:rsidRPr="00D17F96" w:rsidRDefault="00F03958" w:rsidP="00AA241E">
      <w:pPr>
        <w:numPr>
          <w:ilvl w:val="0"/>
          <w:numId w:val="50"/>
        </w:numPr>
        <w:tabs>
          <w:tab w:val="num" w:pos="720"/>
        </w:tabs>
        <w:autoSpaceDE w:val="0"/>
        <w:autoSpaceDN w:val="0"/>
        <w:adjustRightInd w:val="0"/>
        <w:spacing w:before="120" w:after="120" w:line="240" w:lineRule="auto"/>
        <w:ind w:left="1264" w:hanging="357"/>
        <w:jc w:val="both"/>
        <w:rPr>
          <w:b/>
          <w:lang w:eastAsia="et-EE"/>
        </w:rPr>
      </w:pPr>
      <w:r w:rsidRPr="00D17F96">
        <w:rPr>
          <w:b/>
          <w:lang w:eastAsia="et-EE"/>
        </w:rPr>
        <w:t xml:space="preserve">Telia peab regulaarselt vähemalt üks kord aastas </w:t>
      </w:r>
      <w:r w:rsidR="00977FD6" w:rsidRPr="00D17F96">
        <w:rPr>
          <w:rFonts w:cs="Times New Roman"/>
          <w:b/>
          <w:bCs/>
        </w:rPr>
        <w:t>peatükis 7.3.5 kohustatud</w:t>
      </w:r>
      <w:r w:rsidR="00977FD6" w:rsidRPr="00D17F96">
        <w:rPr>
          <w:b/>
          <w:lang w:eastAsia="et-EE"/>
        </w:rPr>
        <w:t xml:space="preserve"> </w:t>
      </w:r>
      <w:r w:rsidR="00441AA6">
        <w:rPr>
          <w:b/>
          <w:lang w:eastAsia="et-EE"/>
        </w:rPr>
        <w:t>juurdepääsu</w:t>
      </w:r>
      <w:r w:rsidRPr="00D17F96">
        <w:rPr>
          <w:b/>
          <w:lang w:eastAsia="et-EE"/>
        </w:rPr>
        <w:t xml:space="preserve"> teenuste hinnad ümber arvestama lähtudes viimase majandusaasta kuludest</w:t>
      </w:r>
      <w:r w:rsidR="00B33975" w:rsidRPr="00D17F96">
        <w:rPr>
          <w:b/>
          <w:bCs/>
          <w:lang w:eastAsia="et-EE"/>
        </w:rPr>
        <w:t>.</w:t>
      </w:r>
    </w:p>
    <w:p w14:paraId="2276DE39" w14:textId="77777777" w:rsidR="00F03958" w:rsidRPr="00D17F96" w:rsidRDefault="00F03958" w:rsidP="00AA241E">
      <w:pPr>
        <w:spacing w:before="120" w:after="120"/>
        <w:jc w:val="both"/>
        <w:rPr>
          <w:rFonts w:cs="Times New Roman"/>
        </w:rPr>
      </w:pPr>
    </w:p>
    <w:p w14:paraId="3044A3FB" w14:textId="5DF79D09" w:rsidR="00CA4680" w:rsidRPr="00D17F96" w:rsidRDefault="00CA4680" w:rsidP="00AA241E">
      <w:pPr>
        <w:spacing w:before="240" w:after="120"/>
        <w:jc w:val="both"/>
        <w:rPr>
          <w:rFonts w:cs="Times New Roman"/>
          <w:b/>
          <w:bCs/>
          <w:lang w:eastAsia="et-EE"/>
        </w:rPr>
      </w:pPr>
      <w:r w:rsidRPr="00D17F96">
        <w:rPr>
          <w:rFonts w:cs="Times New Roman"/>
          <w:b/>
          <w:bCs/>
          <w:lang w:eastAsia="et-EE"/>
        </w:rPr>
        <w:t xml:space="preserve">TTJA kavandab </w:t>
      </w:r>
      <w:r w:rsidR="0082692D" w:rsidRPr="00D17F96">
        <w:rPr>
          <w:rFonts w:cs="Times New Roman"/>
          <w:b/>
          <w:bCs/>
          <w:lang w:eastAsia="et-EE"/>
        </w:rPr>
        <w:t xml:space="preserve">koheselt peale käesoleva otsuse kehtestamist alustada </w:t>
      </w:r>
      <w:r w:rsidRPr="00D17F96">
        <w:rPr>
          <w:rFonts w:cs="Times New Roman"/>
          <w:b/>
          <w:bCs/>
          <w:lang w:eastAsia="et-EE"/>
        </w:rPr>
        <w:t xml:space="preserve">EK 2024 kohustuste soovituses sätestatud </w:t>
      </w:r>
      <w:r w:rsidR="0082692D" w:rsidRPr="00D17F96">
        <w:rPr>
          <w:rFonts w:cs="Times New Roman"/>
          <w:b/>
          <w:bCs/>
          <w:lang w:eastAsia="et-EE"/>
        </w:rPr>
        <w:t>majandusliku jäljendatavuse</w:t>
      </w:r>
      <w:r w:rsidR="00D13B7C" w:rsidRPr="00D17F96">
        <w:rPr>
          <w:rFonts w:cs="Times New Roman"/>
          <w:b/>
          <w:bCs/>
          <w:lang w:eastAsia="et-EE"/>
        </w:rPr>
        <w:t xml:space="preserve"> testi metoodika </w:t>
      </w:r>
      <w:r w:rsidRPr="00D17F96">
        <w:rPr>
          <w:rFonts w:cs="Times New Roman"/>
          <w:b/>
          <w:bCs/>
          <w:lang w:eastAsia="et-EE"/>
        </w:rPr>
        <w:t>välja töötami</w:t>
      </w:r>
      <w:r w:rsidR="004A54A9" w:rsidRPr="00D17F96">
        <w:rPr>
          <w:rFonts w:cs="Times New Roman"/>
          <w:b/>
          <w:bCs/>
          <w:lang w:eastAsia="et-EE"/>
        </w:rPr>
        <w:t>se</w:t>
      </w:r>
      <w:r w:rsidR="00D13B7C" w:rsidRPr="00D17F96">
        <w:rPr>
          <w:rFonts w:cs="Times New Roman"/>
          <w:b/>
          <w:bCs/>
          <w:lang w:eastAsia="et-EE"/>
        </w:rPr>
        <w:t>ga</w:t>
      </w:r>
      <w:r w:rsidRPr="00D17F96">
        <w:rPr>
          <w:rFonts w:cs="Times New Roman"/>
          <w:b/>
          <w:bCs/>
          <w:lang w:eastAsia="et-EE"/>
        </w:rPr>
        <w:t xml:space="preserve"> </w:t>
      </w:r>
      <w:r w:rsidR="00D17F96" w:rsidRPr="00D17F96">
        <w:rPr>
          <w:rFonts w:cs="Times New Roman"/>
          <w:b/>
          <w:bCs/>
        </w:rPr>
        <w:t>peatükis 7.3.5 kohustatud</w:t>
      </w:r>
      <w:r w:rsidR="00D17F96" w:rsidRPr="00D17F96">
        <w:rPr>
          <w:rFonts w:cs="Times New Roman"/>
          <w:b/>
          <w:bCs/>
          <w:lang w:eastAsia="et-EE"/>
        </w:rPr>
        <w:t xml:space="preserve"> </w:t>
      </w:r>
      <w:r w:rsidR="004A54A9" w:rsidRPr="00D17F96">
        <w:rPr>
          <w:rFonts w:cs="Times New Roman"/>
          <w:b/>
          <w:bCs/>
          <w:lang w:eastAsia="et-EE"/>
        </w:rPr>
        <w:t>hulgituru 1</w:t>
      </w:r>
      <w:r w:rsidRPr="00D17F96">
        <w:rPr>
          <w:rFonts w:cs="Times New Roman"/>
          <w:b/>
          <w:bCs/>
          <w:lang w:eastAsia="et-EE"/>
        </w:rPr>
        <w:t xml:space="preserve"> </w:t>
      </w:r>
      <w:r w:rsidR="003851AA" w:rsidRPr="00D17F96">
        <w:rPr>
          <w:rFonts w:cs="Times New Roman"/>
          <w:b/>
          <w:bCs/>
          <w:lang w:eastAsia="et-EE"/>
        </w:rPr>
        <w:t xml:space="preserve">teenuste </w:t>
      </w:r>
      <w:r w:rsidRPr="00D17F96">
        <w:rPr>
          <w:rFonts w:cs="Times New Roman"/>
          <w:b/>
          <w:bCs/>
          <w:lang w:eastAsia="et-EE"/>
        </w:rPr>
        <w:t xml:space="preserve">hinnaarvestuse jaoks. Eelnevalt teostatakse uue metoodika kehtestamise põhjendatuse </w:t>
      </w:r>
      <w:r w:rsidR="007C4570" w:rsidRPr="00D17F96">
        <w:rPr>
          <w:rFonts w:cs="Times New Roman"/>
          <w:b/>
          <w:bCs/>
          <w:lang w:eastAsia="et-EE"/>
        </w:rPr>
        <w:t xml:space="preserve">ja proportsionaalsuse </w:t>
      </w:r>
      <w:r w:rsidRPr="00D17F96">
        <w:rPr>
          <w:rFonts w:cs="Times New Roman"/>
          <w:b/>
          <w:bCs/>
          <w:lang w:eastAsia="et-EE"/>
        </w:rPr>
        <w:t>analüüs, sh võttes arvesse selle rakendamise</w:t>
      </w:r>
      <w:r w:rsidR="00A27E53" w:rsidRPr="00D17F96">
        <w:rPr>
          <w:rFonts w:cs="Times New Roman"/>
          <w:b/>
          <w:bCs/>
          <w:lang w:eastAsia="et-EE"/>
        </w:rPr>
        <w:t>ga kaasnevat</w:t>
      </w:r>
      <w:r w:rsidRPr="00D17F96">
        <w:rPr>
          <w:rFonts w:cs="Times New Roman"/>
          <w:b/>
          <w:bCs/>
          <w:lang w:eastAsia="et-EE"/>
        </w:rPr>
        <w:t xml:space="preserve"> </w:t>
      </w:r>
      <w:r w:rsidR="00F228F5" w:rsidRPr="00D17F96">
        <w:rPr>
          <w:rFonts w:cs="Times New Roman"/>
          <w:b/>
          <w:bCs/>
          <w:lang w:eastAsia="et-EE"/>
        </w:rPr>
        <w:t xml:space="preserve">koormust ja </w:t>
      </w:r>
      <w:r w:rsidRPr="00D17F96">
        <w:rPr>
          <w:rFonts w:cs="Times New Roman"/>
          <w:b/>
          <w:bCs/>
          <w:lang w:eastAsia="et-EE"/>
        </w:rPr>
        <w:t>kulusid</w:t>
      </w:r>
      <w:r w:rsidR="00A27E53" w:rsidRPr="00D17F96">
        <w:rPr>
          <w:rFonts w:cs="Times New Roman"/>
          <w:b/>
          <w:bCs/>
          <w:lang w:eastAsia="et-EE"/>
        </w:rPr>
        <w:t xml:space="preserve"> </w:t>
      </w:r>
      <w:r w:rsidR="00253BEB" w:rsidRPr="00D17F96">
        <w:rPr>
          <w:rFonts w:cs="Times New Roman"/>
          <w:b/>
          <w:bCs/>
          <w:lang w:eastAsia="et-EE"/>
        </w:rPr>
        <w:t>ning mõju turule</w:t>
      </w:r>
      <w:r w:rsidRPr="00D17F96">
        <w:rPr>
          <w:rFonts w:cs="Times New Roman"/>
          <w:b/>
          <w:bCs/>
          <w:lang w:eastAsia="et-EE"/>
        </w:rPr>
        <w:t xml:space="preserve">. </w:t>
      </w:r>
    </w:p>
    <w:p w14:paraId="0EA0D513" w14:textId="77777777" w:rsidR="00F03958" w:rsidRPr="00883566" w:rsidRDefault="00F03958" w:rsidP="00AA241E">
      <w:pPr>
        <w:spacing w:before="240" w:after="120"/>
        <w:jc w:val="both"/>
        <w:rPr>
          <w:rFonts w:cs="Times New Roman"/>
          <w:b/>
          <w:bCs/>
          <w:i/>
          <w:iCs/>
          <w:lang w:eastAsia="et-EE"/>
        </w:rPr>
      </w:pPr>
    </w:p>
    <w:p w14:paraId="4B1AED61" w14:textId="168227DD" w:rsidR="00F03958" w:rsidRPr="00883566" w:rsidRDefault="00F03958" w:rsidP="00AA241E">
      <w:pPr>
        <w:pStyle w:val="Pealkiri2"/>
        <w:jc w:val="both"/>
      </w:pPr>
      <w:r>
        <w:t xml:space="preserve"> </w:t>
      </w:r>
      <w:bookmarkStart w:id="1031" w:name="_Toc174710855"/>
      <w:r w:rsidRPr="00883566">
        <w:t>Kohustuste tähtajad</w:t>
      </w:r>
      <w:bookmarkEnd w:id="1031"/>
    </w:p>
    <w:p w14:paraId="7C3949A1" w14:textId="4E6865B2" w:rsidR="00F03958" w:rsidRPr="00883566" w:rsidRDefault="00F03958" w:rsidP="00AA241E">
      <w:pPr>
        <w:spacing w:before="120" w:after="120" w:line="240" w:lineRule="auto"/>
        <w:jc w:val="both"/>
        <w:rPr>
          <w:rFonts w:cs="Times New Roman"/>
          <w:lang w:eastAsia="et-EE"/>
        </w:rPr>
      </w:pPr>
      <w:r w:rsidRPr="00883566">
        <w:rPr>
          <w:rFonts w:cs="Times New Roman"/>
        </w:rPr>
        <w:t>Vastavalt ESS § 49 lõikele 4 annab TTJA mõistliku tähtaja märkimisväärse turujõuga ettevõtjaks tunnistatud isikule märkimisväärse turujõuga ettevõtjaks tunnistamise otsuse</w:t>
      </w:r>
      <w:r w:rsidR="00EB4398">
        <w:rPr>
          <w:rFonts w:cs="Times New Roman"/>
        </w:rPr>
        <w:t>s</w:t>
      </w:r>
      <w:r w:rsidRPr="00883566">
        <w:rPr>
          <w:rFonts w:cs="Times New Roman"/>
        </w:rPr>
        <w:t xml:space="preserve"> sätestatud kohustuste täitmiseks.</w:t>
      </w:r>
    </w:p>
    <w:p w14:paraId="3CCAA5C4" w14:textId="6B57D10D" w:rsidR="00A4390E" w:rsidRPr="005F6AAC" w:rsidRDefault="00A4390E" w:rsidP="00AA241E">
      <w:pPr>
        <w:spacing w:before="120" w:after="120" w:line="240" w:lineRule="auto"/>
        <w:jc w:val="both"/>
        <w:rPr>
          <w:rFonts w:cs="Times New Roman"/>
          <w:b/>
          <w:bCs/>
          <w:lang w:eastAsia="et-EE"/>
        </w:rPr>
      </w:pPr>
      <w:r w:rsidRPr="005F6AAC">
        <w:rPr>
          <w:rFonts w:cs="Times New Roman"/>
          <w:b/>
          <w:bCs/>
          <w:lang w:eastAsia="et-EE"/>
        </w:rPr>
        <w:t>TTJA nõuab Telialt</w:t>
      </w:r>
      <w:r>
        <w:rPr>
          <w:rFonts w:cs="Times New Roman"/>
          <w:b/>
          <w:bCs/>
          <w:lang w:eastAsia="et-EE"/>
        </w:rPr>
        <w:t xml:space="preserve"> valguskaablivõrgus B piirkonna </w:t>
      </w:r>
      <w:r w:rsidRPr="005F6AAC">
        <w:rPr>
          <w:rFonts w:cs="Times New Roman"/>
          <w:b/>
          <w:bCs/>
          <w:lang w:eastAsia="et-EE"/>
        </w:rPr>
        <w:t xml:space="preserve">hulgituru </w:t>
      </w:r>
      <w:r>
        <w:rPr>
          <w:rFonts w:cs="Times New Roman"/>
          <w:b/>
          <w:bCs/>
          <w:lang w:eastAsia="et-EE"/>
        </w:rPr>
        <w:t>1</w:t>
      </w:r>
      <w:r w:rsidR="00F73E30">
        <w:rPr>
          <w:rFonts w:cs="Times New Roman"/>
          <w:b/>
          <w:bCs/>
          <w:lang w:eastAsia="et-EE"/>
        </w:rPr>
        <w:t xml:space="preserve"> teenuste osas</w:t>
      </w:r>
      <w:r w:rsidRPr="005F6AAC">
        <w:rPr>
          <w:rFonts w:cs="Times New Roman"/>
          <w:b/>
          <w:bCs/>
          <w:lang w:eastAsia="et-EE"/>
        </w:rPr>
        <w:t xml:space="preserve"> otsuse peatükkides </w:t>
      </w:r>
      <w:r w:rsidR="00EB0C95">
        <w:rPr>
          <w:rFonts w:cs="Times New Roman"/>
          <w:b/>
          <w:bCs/>
          <w:lang w:eastAsia="et-EE"/>
        </w:rPr>
        <w:t>7</w:t>
      </w:r>
      <w:r>
        <w:rPr>
          <w:rFonts w:cs="Times New Roman"/>
          <w:b/>
          <w:bCs/>
          <w:lang w:eastAsia="et-EE"/>
        </w:rPr>
        <w:t xml:space="preserve">.3.5, </w:t>
      </w:r>
      <w:r w:rsidR="00EB0C95">
        <w:rPr>
          <w:rFonts w:cs="Times New Roman"/>
          <w:b/>
          <w:bCs/>
          <w:lang w:eastAsia="et-EE"/>
        </w:rPr>
        <w:t>7</w:t>
      </w:r>
      <w:r>
        <w:rPr>
          <w:rFonts w:cs="Times New Roman"/>
          <w:b/>
          <w:bCs/>
          <w:lang w:eastAsia="et-EE"/>
        </w:rPr>
        <w:t xml:space="preserve">.4.10, </w:t>
      </w:r>
      <w:r w:rsidR="00EB0C95">
        <w:rPr>
          <w:rFonts w:cs="Times New Roman"/>
          <w:b/>
          <w:bCs/>
          <w:lang w:eastAsia="et-EE"/>
        </w:rPr>
        <w:t>7</w:t>
      </w:r>
      <w:r>
        <w:rPr>
          <w:rFonts w:cs="Times New Roman"/>
          <w:b/>
          <w:bCs/>
          <w:lang w:eastAsia="et-EE"/>
        </w:rPr>
        <w:t xml:space="preserve">.5.5, </w:t>
      </w:r>
      <w:r w:rsidR="00EB0C95">
        <w:rPr>
          <w:rFonts w:cs="Times New Roman"/>
          <w:b/>
          <w:bCs/>
          <w:lang w:eastAsia="et-EE"/>
        </w:rPr>
        <w:t>7</w:t>
      </w:r>
      <w:r>
        <w:rPr>
          <w:rFonts w:cs="Times New Roman"/>
          <w:b/>
          <w:bCs/>
          <w:lang w:eastAsia="et-EE"/>
        </w:rPr>
        <w:t>.6.4</w:t>
      </w:r>
      <w:r w:rsidRPr="005F6AAC">
        <w:rPr>
          <w:rFonts w:cs="Times New Roman"/>
          <w:b/>
          <w:bCs/>
          <w:lang w:eastAsia="et-EE"/>
        </w:rPr>
        <w:t xml:space="preserve"> kehtestatud kohustuste täitmist alates </w:t>
      </w:r>
      <w:r w:rsidR="00C27383">
        <w:rPr>
          <w:rFonts w:cs="Times New Roman"/>
          <w:b/>
          <w:bCs/>
          <w:lang w:eastAsia="et-EE"/>
        </w:rPr>
        <w:t xml:space="preserve">käesoleva </w:t>
      </w:r>
      <w:r w:rsidRPr="005F6AAC">
        <w:rPr>
          <w:rFonts w:cs="Times New Roman"/>
          <w:b/>
          <w:bCs/>
          <w:lang w:eastAsia="et-EE"/>
        </w:rPr>
        <w:t xml:space="preserve">otsuse vastu võtmise kalendripäevale järgneva </w:t>
      </w:r>
      <w:r w:rsidR="0097740A">
        <w:rPr>
          <w:rFonts w:cs="Times New Roman"/>
          <w:b/>
          <w:bCs/>
          <w:lang w:eastAsia="et-EE"/>
        </w:rPr>
        <w:t>viienda</w:t>
      </w:r>
      <w:r w:rsidR="0097740A" w:rsidRPr="005F6AAC">
        <w:rPr>
          <w:rFonts w:cs="Times New Roman"/>
          <w:b/>
          <w:bCs/>
          <w:lang w:eastAsia="et-EE"/>
        </w:rPr>
        <w:t xml:space="preserve"> </w:t>
      </w:r>
      <w:r w:rsidRPr="005F6AAC">
        <w:rPr>
          <w:rFonts w:cs="Times New Roman"/>
          <w:b/>
          <w:bCs/>
          <w:lang w:eastAsia="et-EE"/>
        </w:rPr>
        <w:t>kuu 1. kalendripäevast</w:t>
      </w:r>
      <w:r w:rsidR="00D45A51">
        <w:rPr>
          <w:rFonts w:cs="Times New Roman"/>
          <w:b/>
          <w:bCs/>
          <w:lang w:eastAsia="et-EE"/>
        </w:rPr>
        <w:t xml:space="preserve">, kui nimetatud </w:t>
      </w:r>
      <w:r w:rsidR="00A125A6">
        <w:rPr>
          <w:rFonts w:cs="Times New Roman"/>
          <w:b/>
          <w:bCs/>
          <w:lang w:eastAsia="et-EE"/>
        </w:rPr>
        <w:t>peatükkides ei ole sätestatud muud tähtaeg</w:t>
      </w:r>
      <w:r w:rsidRPr="005F6AAC">
        <w:rPr>
          <w:rFonts w:cs="Times New Roman"/>
          <w:b/>
          <w:bCs/>
          <w:lang w:eastAsia="et-EE"/>
        </w:rPr>
        <w:t xml:space="preserve">.  </w:t>
      </w:r>
    </w:p>
    <w:p w14:paraId="454628D8" w14:textId="4FB70CD7" w:rsidR="00F03958" w:rsidRPr="00883566" w:rsidRDefault="00F03958" w:rsidP="00AA241E">
      <w:pPr>
        <w:spacing w:before="120" w:after="120" w:line="240" w:lineRule="auto"/>
        <w:jc w:val="both"/>
        <w:rPr>
          <w:rFonts w:cs="Times New Roman"/>
          <w:lang w:eastAsia="et-EE"/>
        </w:rPr>
      </w:pPr>
      <w:r w:rsidRPr="00883566">
        <w:rPr>
          <w:rFonts w:cs="Times New Roman"/>
        </w:rPr>
        <w:lastRenderedPageBreak/>
        <w:t>Tähtaegade määramisel on TTJA arvestanud, et need on kehtestatavate kohustuste täitmiseks põhjendatud ja piisavad. Telial on olemas tehnilised võimalused ning varasem kogemus hulgituru</w:t>
      </w:r>
      <w:r w:rsidR="00A4390E">
        <w:rPr>
          <w:rFonts w:cs="Times New Roman"/>
        </w:rPr>
        <w:t> 1</w:t>
      </w:r>
      <w:r w:rsidRPr="00883566">
        <w:rPr>
          <w:rFonts w:cs="Times New Roman"/>
        </w:rPr>
        <w:t xml:space="preserve"> koosseisu kuuluvate hulgiteenuste osutamisel koos läbipaistvus-, mittediskrimineerimise-, juurdepääsu- ning hinnakohustuste täitmisega.   </w:t>
      </w:r>
    </w:p>
    <w:p w14:paraId="2F99BBBD" w14:textId="77777777" w:rsidR="00F03958" w:rsidRPr="00883566" w:rsidRDefault="00F03958" w:rsidP="00AA241E">
      <w:pPr>
        <w:jc w:val="both"/>
        <w:rPr>
          <w:rFonts w:cs="Times New Roman"/>
          <w:lang w:eastAsia="et-EE"/>
        </w:rPr>
      </w:pPr>
      <w:r w:rsidRPr="00883566">
        <w:rPr>
          <w:rFonts w:cs="Times New Roman"/>
        </w:rPr>
        <w:t>Võttes arvesse eeltoodut, ei ole kohustuste täitmise tähtaeg Teliale ülemääraselt koormav.</w:t>
      </w:r>
    </w:p>
    <w:p w14:paraId="37C41043" w14:textId="70CB6BF8" w:rsidR="00A4390E" w:rsidRPr="005F6AAC" w:rsidRDefault="00A4390E" w:rsidP="00AA241E">
      <w:pPr>
        <w:spacing w:before="120" w:after="120" w:line="240" w:lineRule="auto"/>
        <w:jc w:val="both"/>
        <w:rPr>
          <w:rFonts w:cs="Times New Roman"/>
          <w:b/>
          <w:bCs/>
          <w:lang w:eastAsia="et-EE"/>
        </w:rPr>
      </w:pPr>
      <w:r>
        <w:rPr>
          <w:rFonts w:cs="Times New Roman"/>
          <w:b/>
          <w:bCs/>
        </w:rPr>
        <w:t>K</w:t>
      </w:r>
      <w:r w:rsidRPr="005F6AAC">
        <w:rPr>
          <w:rFonts w:cs="Times New Roman"/>
          <w:b/>
          <w:bCs/>
        </w:rPr>
        <w:t xml:space="preserve">äesoleva otsuse </w:t>
      </w:r>
      <w:r>
        <w:rPr>
          <w:rFonts w:cs="Times New Roman"/>
          <w:b/>
          <w:bCs/>
        </w:rPr>
        <w:t>koostamisel ajal</w:t>
      </w:r>
      <w:r w:rsidRPr="005F6AAC">
        <w:rPr>
          <w:rFonts w:cs="Times New Roman"/>
          <w:b/>
          <w:bCs/>
        </w:rPr>
        <w:t xml:space="preserve"> kehtivad </w:t>
      </w:r>
      <w:r w:rsidRPr="00D040CC">
        <w:rPr>
          <w:rFonts w:cs="Times New Roman"/>
          <w:b/>
          <w:bCs/>
        </w:rPr>
        <w:t>TTJA 16.06.17 otsusest nr 1-10/17-22</w:t>
      </w:r>
      <w:r>
        <w:rPr>
          <w:rFonts w:cs="Times New Roman"/>
          <w:b/>
          <w:bCs/>
        </w:rPr>
        <w:t xml:space="preserve">8 (TTJA 2017 hulgituru </w:t>
      </w:r>
      <w:r w:rsidR="004340F0">
        <w:rPr>
          <w:rFonts w:cs="Times New Roman"/>
          <w:b/>
          <w:bCs/>
        </w:rPr>
        <w:t>1</w:t>
      </w:r>
      <w:r>
        <w:rPr>
          <w:rFonts w:cs="Times New Roman"/>
          <w:b/>
          <w:bCs/>
        </w:rPr>
        <w:t xml:space="preserve"> otsusest)</w:t>
      </w:r>
      <w:r w:rsidRPr="005F6AAC">
        <w:rPr>
          <w:rFonts w:cs="Times New Roman"/>
          <w:b/>
          <w:bCs/>
        </w:rPr>
        <w:t xml:space="preserve"> tulenevad Telia kohustused muutuvad </w:t>
      </w:r>
      <w:r w:rsidR="002A4099" w:rsidRPr="005F6AAC">
        <w:rPr>
          <w:rFonts w:cs="Times New Roman"/>
          <w:b/>
          <w:bCs/>
          <w:lang w:eastAsia="et-EE"/>
        </w:rPr>
        <w:t xml:space="preserve">alates </w:t>
      </w:r>
      <w:r w:rsidR="00C27383">
        <w:rPr>
          <w:rFonts w:cs="Times New Roman"/>
          <w:b/>
          <w:bCs/>
          <w:lang w:eastAsia="et-EE"/>
        </w:rPr>
        <w:t xml:space="preserve">käesoleva </w:t>
      </w:r>
      <w:r w:rsidR="002A4099" w:rsidRPr="005F6AAC">
        <w:rPr>
          <w:rFonts w:cs="Times New Roman"/>
          <w:b/>
          <w:bCs/>
          <w:lang w:eastAsia="et-EE"/>
        </w:rPr>
        <w:t xml:space="preserve">otsuse vastu võtmise kalendripäevale järgneva </w:t>
      </w:r>
      <w:r w:rsidR="002A4099">
        <w:rPr>
          <w:rFonts w:cs="Times New Roman"/>
          <w:b/>
          <w:bCs/>
          <w:lang w:eastAsia="et-EE"/>
        </w:rPr>
        <w:t>viienda</w:t>
      </w:r>
      <w:r w:rsidR="002A4099" w:rsidRPr="005F6AAC">
        <w:rPr>
          <w:rFonts w:cs="Times New Roman"/>
          <w:b/>
          <w:bCs/>
          <w:lang w:eastAsia="et-EE"/>
        </w:rPr>
        <w:t xml:space="preserve"> kuu 1. kalendripäevast</w:t>
      </w:r>
      <w:r w:rsidR="002A4099" w:rsidRPr="005F6AAC">
        <w:rPr>
          <w:rFonts w:cs="Times New Roman"/>
          <w:b/>
          <w:bCs/>
        </w:rPr>
        <w:t xml:space="preserve"> </w:t>
      </w:r>
      <w:r w:rsidRPr="005F6AAC">
        <w:rPr>
          <w:rFonts w:cs="Times New Roman"/>
          <w:b/>
          <w:bCs/>
        </w:rPr>
        <w:t>kehtetuks</w:t>
      </w:r>
      <w:r>
        <w:rPr>
          <w:rFonts w:cs="Times New Roman"/>
          <w:b/>
          <w:bCs/>
        </w:rPr>
        <w:t xml:space="preserve">, vt </w:t>
      </w:r>
      <w:r w:rsidR="008A5D71">
        <w:rPr>
          <w:rFonts w:cs="Times New Roman"/>
          <w:b/>
          <w:bCs/>
        </w:rPr>
        <w:t xml:space="preserve">ka </w:t>
      </w:r>
      <w:r w:rsidR="008C159A">
        <w:rPr>
          <w:rFonts w:cs="Times New Roman"/>
          <w:b/>
          <w:bCs/>
        </w:rPr>
        <w:t xml:space="preserve">ptk. </w:t>
      </w:r>
      <w:r w:rsidR="00EC193A">
        <w:rPr>
          <w:rFonts w:cs="Times New Roman"/>
          <w:b/>
          <w:bCs/>
        </w:rPr>
        <w:t>7</w:t>
      </w:r>
      <w:r>
        <w:rPr>
          <w:rFonts w:cs="Times New Roman"/>
          <w:b/>
          <w:bCs/>
        </w:rPr>
        <w:t>.1.2</w:t>
      </w:r>
      <w:r w:rsidRPr="005F6AAC">
        <w:rPr>
          <w:rFonts w:cs="Times New Roman"/>
          <w:b/>
          <w:bCs/>
        </w:rPr>
        <w:t xml:space="preserve">.  </w:t>
      </w:r>
    </w:p>
    <w:p w14:paraId="77B0A291" w14:textId="77777777" w:rsidR="00A4390E" w:rsidRPr="00883566" w:rsidRDefault="00A4390E" w:rsidP="00AA241E">
      <w:pPr>
        <w:jc w:val="both"/>
        <w:rPr>
          <w:rFonts w:cs="Times New Roman"/>
          <w:lang w:eastAsia="et-EE"/>
        </w:rPr>
      </w:pPr>
      <w:r w:rsidRPr="00883566">
        <w:rPr>
          <w:rFonts w:cs="Times New Roman"/>
        </w:rPr>
        <w:t>Vastavalt  ESS § 49 lõikele 7 võib märkimisväärse turujõuga ettevõtja määramata jätmise otsuse tegemisel TTJA kehtestada tingimusi seoses kehtivate juurdepääsu lepingutega, andes nende täitmiseks mõistliku tähtaja.</w:t>
      </w:r>
    </w:p>
    <w:p w14:paraId="4E5998C6" w14:textId="3A57EC62" w:rsidR="00A4390E" w:rsidRPr="00883566" w:rsidRDefault="00000AC2" w:rsidP="00AA241E">
      <w:pPr>
        <w:pStyle w:val="Loendilik"/>
        <w:spacing w:before="120" w:after="120"/>
        <w:ind w:left="0"/>
        <w:jc w:val="both"/>
        <w:rPr>
          <w:rFonts w:cs="Times New Roman"/>
          <w:b/>
          <w:bCs/>
        </w:rPr>
      </w:pPr>
      <w:r w:rsidRPr="00883566">
        <w:rPr>
          <w:rFonts w:cs="Times New Roman"/>
          <w:b/>
          <w:bCs/>
        </w:rPr>
        <w:t xml:space="preserve">Telia </w:t>
      </w:r>
      <w:r w:rsidR="00A4390E" w:rsidRPr="00883566">
        <w:rPr>
          <w:rFonts w:cs="Times New Roman"/>
          <w:b/>
          <w:bCs/>
        </w:rPr>
        <w:t xml:space="preserve">ei tohi käesoleva otsuse kehtestamise kuupäeval </w:t>
      </w:r>
      <w:r w:rsidR="00714DC7">
        <w:rPr>
          <w:rFonts w:cs="Times New Roman"/>
          <w:b/>
          <w:bCs/>
        </w:rPr>
        <w:t xml:space="preserve">kehtivaid </w:t>
      </w:r>
      <w:r w:rsidR="00A4390E" w:rsidRPr="00883566">
        <w:rPr>
          <w:rFonts w:cs="Times New Roman"/>
          <w:b/>
          <w:bCs/>
        </w:rPr>
        <w:t xml:space="preserve">hulgitasandil </w:t>
      </w:r>
      <w:r w:rsidR="00532579">
        <w:rPr>
          <w:rFonts w:cs="Times New Roman"/>
          <w:b/>
          <w:bCs/>
        </w:rPr>
        <w:t>vaskpaar</w:t>
      </w:r>
      <w:r w:rsidR="00A4390E" w:rsidRPr="00883566">
        <w:rPr>
          <w:rFonts w:cs="Times New Roman"/>
          <w:b/>
          <w:bCs/>
        </w:rPr>
        <w:t xml:space="preserve">võrgus </w:t>
      </w:r>
      <w:r w:rsidR="00327750">
        <w:rPr>
          <w:rFonts w:cs="Times New Roman"/>
          <w:b/>
          <w:bCs/>
        </w:rPr>
        <w:t>kliendiliinile</w:t>
      </w:r>
      <w:r w:rsidR="00A4390E" w:rsidRPr="00883566">
        <w:rPr>
          <w:rFonts w:cs="Times New Roman"/>
          <w:b/>
          <w:bCs/>
        </w:rPr>
        <w:t xml:space="preserve"> juurdepääsu võimaldavaid lepinguid ning hulgitasandil </w:t>
      </w:r>
      <w:r w:rsidR="00A4390E">
        <w:rPr>
          <w:rFonts w:cs="Times New Roman"/>
          <w:b/>
          <w:bCs/>
        </w:rPr>
        <w:t>valguskaabelvõrgu</w:t>
      </w:r>
      <w:r w:rsidR="00A4390E" w:rsidRPr="00883566">
        <w:rPr>
          <w:rFonts w:cs="Times New Roman"/>
          <w:b/>
          <w:bCs/>
        </w:rPr>
        <w:t xml:space="preserve">s A piirkonna </w:t>
      </w:r>
      <w:r w:rsidR="00714DC7">
        <w:rPr>
          <w:rFonts w:cs="Times New Roman"/>
          <w:b/>
          <w:bCs/>
        </w:rPr>
        <w:t>kliendiliinidele</w:t>
      </w:r>
      <w:r w:rsidR="00A4390E" w:rsidRPr="00883566">
        <w:rPr>
          <w:rFonts w:cs="Times New Roman"/>
          <w:b/>
          <w:bCs/>
        </w:rPr>
        <w:t xml:space="preserve"> juurdepääsu võimaldavaid lepinguid muuta ega lõpetada 160 tööpäeva (ca 8 kuud) alates käesoleva otsuse kehtima hakkamisest ning teavitama vastavate lepingute lõpetamisest lepingu osapooli ette vähemalt 140 tööpäeva (ca 7 kuud)</w:t>
      </w:r>
      <w:r>
        <w:rPr>
          <w:rFonts w:cs="Times New Roman"/>
          <w:b/>
          <w:bCs/>
        </w:rPr>
        <w:t>,</w:t>
      </w:r>
      <w:r w:rsidRPr="00000AC2">
        <w:rPr>
          <w:rFonts w:cs="Times New Roman"/>
          <w:b/>
          <w:bCs/>
        </w:rPr>
        <w:t xml:space="preserve"> </w:t>
      </w:r>
      <w:r>
        <w:rPr>
          <w:rFonts w:cs="Times New Roman"/>
          <w:b/>
          <w:bCs/>
        </w:rPr>
        <w:t>vt ka ptk. 7.1.2</w:t>
      </w:r>
      <w:r w:rsidRPr="005F6AAC">
        <w:rPr>
          <w:rFonts w:cs="Times New Roman"/>
          <w:b/>
          <w:bCs/>
        </w:rPr>
        <w:t xml:space="preserve">.  </w:t>
      </w:r>
      <w:r w:rsidR="00A4390E" w:rsidRPr="00883566">
        <w:rPr>
          <w:rFonts w:cs="Times New Roman"/>
          <w:b/>
          <w:bCs/>
        </w:rPr>
        <w:t>.</w:t>
      </w:r>
    </w:p>
    <w:p w14:paraId="0A79C2F8" w14:textId="77777777" w:rsidR="00A4390E" w:rsidRDefault="00A4390E" w:rsidP="00AA241E">
      <w:pPr>
        <w:spacing w:before="120" w:after="120" w:line="240" w:lineRule="auto"/>
        <w:jc w:val="both"/>
        <w:rPr>
          <w:rFonts w:cs="Times New Roman"/>
        </w:rPr>
      </w:pPr>
    </w:p>
    <w:p w14:paraId="060BD6F3" w14:textId="77777777" w:rsidR="00F03958" w:rsidRPr="00883566" w:rsidRDefault="00F03958" w:rsidP="00AA241E">
      <w:pPr>
        <w:spacing w:before="240" w:after="120"/>
        <w:jc w:val="both"/>
        <w:rPr>
          <w:rFonts w:cs="Times New Roman"/>
          <w:b/>
          <w:bCs/>
          <w:lang w:eastAsia="et-EE"/>
        </w:rPr>
      </w:pPr>
    </w:p>
    <w:p w14:paraId="0F41D08E" w14:textId="77777777" w:rsidR="00F03958" w:rsidRPr="00883566" w:rsidRDefault="00F03958" w:rsidP="00AA241E">
      <w:pPr>
        <w:pStyle w:val="Loendilik"/>
        <w:keepNext/>
        <w:keepLines/>
        <w:numPr>
          <w:ilvl w:val="0"/>
          <w:numId w:val="3"/>
        </w:numPr>
        <w:spacing w:before="160" w:after="80"/>
        <w:ind w:left="576" w:hanging="576"/>
        <w:contextualSpacing w:val="0"/>
        <w:jc w:val="both"/>
        <w:outlineLvl w:val="1"/>
        <w:rPr>
          <w:rFonts w:eastAsiaTheme="majorEastAsia" w:cstheme="majorBidi"/>
          <w:b/>
          <w:vanish/>
          <w:color w:val="000000" w:themeColor="text1"/>
        </w:rPr>
      </w:pPr>
      <w:bookmarkStart w:id="1032" w:name="_Toc174096248"/>
      <w:bookmarkStart w:id="1033" w:name="_Toc174618597"/>
      <w:bookmarkStart w:id="1034" w:name="_Toc174627659"/>
      <w:bookmarkStart w:id="1035" w:name="_Toc174705083"/>
      <w:bookmarkStart w:id="1036" w:name="_Toc174710856"/>
      <w:bookmarkEnd w:id="1032"/>
      <w:bookmarkEnd w:id="1033"/>
      <w:bookmarkEnd w:id="1034"/>
      <w:bookmarkEnd w:id="1035"/>
      <w:bookmarkEnd w:id="1036"/>
    </w:p>
    <w:p w14:paraId="6AEA901E" w14:textId="77777777" w:rsidR="00F03958" w:rsidRPr="00883566" w:rsidRDefault="00F03958" w:rsidP="00AA241E">
      <w:pPr>
        <w:pStyle w:val="Loendilik"/>
        <w:keepNext/>
        <w:keepLines/>
        <w:numPr>
          <w:ilvl w:val="1"/>
          <w:numId w:val="3"/>
        </w:numPr>
        <w:spacing w:before="160" w:after="80"/>
        <w:contextualSpacing w:val="0"/>
        <w:jc w:val="both"/>
        <w:outlineLvl w:val="1"/>
        <w:rPr>
          <w:rFonts w:eastAsiaTheme="majorEastAsia" w:cstheme="majorBidi"/>
          <w:b/>
          <w:vanish/>
          <w:color w:val="000000" w:themeColor="text1"/>
        </w:rPr>
      </w:pPr>
      <w:bookmarkStart w:id="1037" w:name="_Toc174094647"/>
      <w:bookmarkStart w:id="1038" w:name="_Toc174094914"/>
      <w:bookmarkStart w:id="1039" w:name="_Toc174095180"/>
      <w:bookmarkStart w:id="1040" w:name="_Toc174095445"/>
      <w:bookmarkStart w:id="1041" w:name="_Toc174095983"/>
      <w:bookmarkStart w:id="1042" w:name="_Toc174096249"/>
      <w:bookmarkStart w:id="1043" w:name="_Toc174536140"/>
      <w:bookmarkStart w:id="1044" w:name="_Toc174617241"/>
      <w:bookmarkStart w:id="1045" w:name="_Toc174618598"/>
      <w:bookmarkStart w:id="1046" w:name="_Toc174627660"/>
      <w:bookmarkStart w:id="1047" w:name="_Toc174705084"/>
      <w:bookmarkStart w:id="1048" w:name="_Toc174709628"/>
      <w:bookmarkStart w:id="1049" w:name="_Toc174710857"/>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43A7BDC1" w14:textId="21217A96" w:rsidR="00F03958" w:rsidRPr="00883566" w:rsidRDefault="003C5344" w:rsidP="00AA241E">
      <w:pPr>
        <w:pStyle w:val="Pealkiri1"/>
      </w:pPr>
      <w:bookmarkStart w:id="1050" w:name="_Toc174710858"/>
      <w:r>
        <w:t>H</w:t>
      </w:r>
      <w:r w:rsidR="00AC06C8">
        <w:t>ULGITURG</w:t>
      </w:r>
      <w:r w:rsidR="00F03958" w:rsidRPr="00883566">
        <w:t xml:space="preserve"> 3b </w:t>
      </w:r>
      <w:r w:rsidR="00AC06C8">
        <w:t>KOHUSTUSED</w:t>
      </w:r>
      <w:bookmarkEnd w:id="1050"/>
    </w:p>
    <w:p w14:paraId="44C8A657" w14:textId="77777777" w:rsidR="00B331FB" w:rsidRPr="00B331FB" w:rsidRDefault="00B331FB" w:rsidP="00AA241E">
      <w:pPr>
        <w:pStyle w:val="Loendilik"/>
        <w:numPr>
          <w:ilvl w:val="0"/>
          <w:numId w:val="81"/>
        </w:numPr>
        <w:spacing w:before="240" w:after="240"/>
        <w:contextualSpacing w:val="0"/>
        <w:jc w:val="both"/>
        <w:outlineLvl w:val="1"/>
        <w:rPr>
          <w:b/>
          <w:iCs/>
          <w:vanish/>
        </w:rPr>
      </w:pPr>
      <w:bookmarkStart w:id="1051" w:name="_Toc174536142"/>
      <w:bookmarkStart w:id="1052" w:name="_Toc174617243"/>
      <w:bookmarkStart w:id="1053" w:name="_Toc174618600"/>
      <w:bookmarkStart w:id="1054" w:name="_Toc174627662"/>
      <w:bookmarkStart w:id="1055" w:name="_Toc174705086"/>
      <w:bookmarkStart w:id="1056" w:name="_Toc174709630"/>
      <w:bookmarkStart w:id="1057" w:name="_Toc174710859"/>
      <w:bookmarkEnd w:id="1051"/>
      <w:bookmarkEnd w:id="1052"/>
      <w:bookmarkEnd w:id="1053"/>
      <w:bookmarkEnd w:id="1054"/>
      <w:bookmarkEnd w:id="1055"/>
      <w:bookmarkEnd w:id="1056"/>
      <w:bookmarkEnd w:id="1057"/>
    </w:p>
    <w:p w14:paraId="4D0867A9" w14:textId="7B70B2A8" w:rsidR="007F34C6" w:rsidRPr="00C35E8D" w:rsidRDefault="007F34C6" w:rsidP="00AA241E">
      <w:pPr>
        <w:pStyle w:val="Pealkiri2"/>
        <w:jc w:val="both"/>
      </w:pPr>
      <w:bookmarkStart w:id="1058" w:name="_Toc174710860"/>
      <w:r w:rsidRPr="00B331FB">
        <w:t>Sissejuhatus</w:t>
      </w:r>
      <w:bookmarkEnd w:id="1058"/>
    </w:p>
    <w:p w14:paraId="26370889" w14:textId="77777777" w:rsidR="00F03958" w:rsidRPr="00883566" w:rsidRDefault="00F03958" w:rsidP="00AA241E">
      <w:pPr>
        <w:spacing w:line="259" w:lineRule="auto"/>
        <w:jc w:val="both"/>
        <w:rPr>
          <w:rFonts w:cs="Times New Roman"/>
        </w:rPr>
      </w:pPr>
      <w:r w:rsidRPr="00883566">
        <w:rPr>
          <w:rFonts w:cs="Times New Roman"/>
        </w:rPr>
        <w:t>ESS § 46 lõike 2 kohaselt, kui sideettevõtja tunnistatakse MTE-ks siis kehtestab TTJA sideettevõtjatel ühe või mitu asjakohast kohust sellel turul, millel sideettevõtja MTE-ks tunnistati.</w:t>
      </w:r>
    </w:p>
    <w:p w14:paraId="284F451D" w14:textId="77777777" w:rsidR="00F03958" w:rsidRPr="00883566" w:rsidRDefault="00F03958" w:rsidP="00AA241E">
      <w:pPr>
        <w:spacing w:line="259" w:lineRule="auto"/>
        <w:jc w:val="both"/>
        <w:rPr>
          <w:rFonts w:cs="Times New Roman"/>
        </w:rPr>
      </w:pPr>
      <w:r w:rsidRPr="00883566">
        <w:rPr>
          <w:rFonts w:cs="Times New Roman"/>
        </w:rPr>
        <w:t>ESS § 49 lõike 6 ja 7 kohaselt, kui TTJA teeb turuanalüüsi alusel kindlaks, et vastaval turul toimib konkurents, siis tunnistab TTJA vastaval turul eelnevad MTE-ks tunnistamise ja MTE-</w:t>
      </w:r>
      <w:proofErr w:type="spellStart"/>
      <w:r w:rsidRPr="00883566">
        <w:rPr>
          <w:rFonts w:cs="Times New Roman"/>
        </w:rPr>
        <w:t>le</w:t>
      </w:r>
      <w:proofErr w:type="spellEnd"/>
      <w:r w:rsidRPr="00883566">
        <w:rPr>
          <w:rFonts w:cs="Times New Roman"/>
        </w:rPr>
        <w:t xml:space="preserve"> kohustuste kehtestamise otsused kehtetuks, andes nendel turgudel MTE-</w:t>
      </w:r>
      <w:proofErr w:type="spellStart"/>
      <w:r w:rsidRPr="00883566">
        <w:rPr>
          <w:rFonts w:cs="Times New Roman"/>
        </w:rPr>
        <w:t>le</w:t>
      </w:r>
      <w:proofErr w:type="spellEnd"/>
      <w:r w:rsidRPr="00883566">
        <w:rPr>
          <w:rFonts w:cs="Times New Roman"/>
        </w:rPr>
        <w:t xml:space="preserve"> sõlmitud juurdepääsulepingute muutmise või lõpetamise õiguse osas mõistliku tähtaja.</w:t>
      </w:r>
    </w:p>
    <w:p w14:paraId="041B3F1B" w14:textId="54958C72" w:rsidR="00F03958" w:rsidRPr="00883566" w:rsidRDefault="00F03958" w:rsidP="00AA241E">
      <w:pPr>
        <w:spacing w:line="259" w:lineRule="auto"/>
        <w:jc w:val="both"/>
        <w:rPr>
          <w:rFonts w:cs="Times New Roman"/>
        </w:rPr>
      </w:pPr>
      <w:r w:rsidRPr="00883566">
        <w:rPr>
          <w:rFonts w:cs="Times New Roman"/>
        </w:rPr>
        <w:t xml:space="preserve">Käesoleva otsuse </w:t>
      </w:r>
      <w:r w:rsidR="008C159A">
        <w:rPr>
          <w:rFonts w:cs="Times New Roman"/>
        </w:rPr>
        <w:t>ptk.-</w:t>
      </w:r>
      <w:r w:rsidRPr="00883566">
        <w:rPr>
          <w:rFonts w:cs="Times New Roman"/>
        </w:rPr>
        <w:t xml:space="preserve">s </w:t>
      </w:r>
      <w:r w:rsidR="00A84BF3">
        <w:rPr>
          <w:rFonts w:cs="Times New Roman"/>
        </w:rPr>
        <w:t>6.2.2.3</w:t>
      </w:r>
      <w:r w:rsidRPr="00883566">
        <w:rPr>
          <w:rFonts w:cs="Times New Roman"/>
        </w:rPr>
        <w:t xml:space="preserve"> tunnistati Telia MTE-ks </w:t>
      </w:r>
      <w:r w:rsidR="00A3232C">
        <w:rPr>
          <w:rFonts w:cs="Times New Roman"/>
        </w:rPr>
        <w:t>valguskaabelvõrgu</w:t>
      </w:r>
      <w:r w:rsidRPr="00883566">
        <w:rPr>
          <w:rFonts w:cs="Times New Roman"/>
        </w:rPr>
        <w:t xml:space="preserve">s B piirkonna hulgiturul 3b. Käesoleva otsuse koostamise ajal on Telia määratud TTJA 2017 hulgituru 3b otsuse alusel MTE-ks ja kehtestatud kohustusi Telia hulgituru 3b teenustele Telia üleriigilise ulatusega </w:t>
      </w:r>
      <w:r w:rsidR="00532579">
        <w:rPr>
          <w:rFonts w:cs="Times New Roman"/>
        </w:rPr>
        <w:t>vaskpaar</w:t>
      </w:r>
      <w:r w:rsidRPr="00883566">
        <w:rPr>
          <w:rFonts w:cs="Times New Roman"/>
        </w:rPr>
        <w:t xml:space="preserve">- ja </w:t>
      </w:r>
      <w:r w:rsidR="00A3232C">
        <w:rPr>
          <w:rFonts w:cs="Times New Roman"/>
        </w:rPr>
        <w:t>valguskaabelvõrgu</w:t>
      </w:r>
      <w:r w:rsidRPr="00883566">
        <w:rPr>
          <w:rFonts w:cs="Times New Roman"/>
        </w:rPr>
        <w:t>s.</w:t>
      </w:r>
    </w:p>
    <w:p w14:paraId="2450B2EC" w14:textId="61112557" w:rsidR="00F03958" w:rsidRPr="00883566" w:rsidRDefault="00F03958" w:rsidP="00AA241E">
      <w:pPr>
        <w:spacing w:line="259" w:lineRule="auto"/>
        <w:jc w:val="both"/>
        <w:rPr>
          <w:rFonts w:cs="Times New Roman"/>
          <w:b/>
          <w:bCs/>
        </w:rPr>
      </w:pPr>
      <w:r w:rsidRPr="00883566">
        <w:rPr>
          <w:rFonts w:cs="Times New Roman"/>
          <w:b/>
          <w:bCs/>
        </w:rPr>
        <w:t xml:space="preserve">Võttes arvesse eeltoodut tuvastatakse ja määratakse järgnevalt mõistlikud ja proportsionaalsed kohustused Teliale käesoleva otsuses piiritletud </w:t>
      </w:r>
      <w:r w:rsidR="00A3232C">
        <w:rPr>
          <w:rFonts w:cs="Times New Roman"/>
          <w:b/>
          <w:bCs/>
        </w:rPr>
        <w:t>valguskaabelvõrgu</w:t>
      </w:r>
      <w:r w:rsidRPr="00883566">
        <w:rPr>
          <w:rFonts w:cs="Times New Roman"/>
          <w:b/>
          <w:bCs/>
        </w:rPr>
        <w:t xml:space="preserve">s B piirkonna hulgiturul 3b ja tühistatakse TTJA 2017 hulgituru 3b otsuse alusel Teliale </w:t>
      </w:r>
      <w:r w:rsidRPr="00883566">
        <w:rPr>
          <w:rFonts w:cs="Times New Roman"/>
          <w:b/>
          <w:bCs/>
        </w:rPr>
        <w:lastRenderedPageBreak/>
        <w:t xml:space="preserve">määratud kohustused Telia </w:t>
      </w:r>
      <w:r w:rsidR="00AD1150">
        <w:rPr>
          <w:rFonts w:cs="Times New Roman"/>
          <w:b/>
          <w:bCs/>
        </w:rPr>
        <w:t>vaskpaar</w:t>
      </w:r>
      <w:r w:rsidRPr="00883566">
        <w:rPr>
          <w:rFonts w:cs="Times New Roman"/>
          <w:b/>
          <w:bCs/>
        </w:rPr>
        <w:t xml:space="preserve">võrgus üleriigiliselt ja </w:t>
      </w:r>
      <w:r w:rsidR="00A3232C">
        <w:rPr>
          <w:rFonts w:cs="Times New Roman"/>
          <w:b/>
          <w:bCs/>
        </w:rPr>
        <w:t>valguskaabelvõrgu</w:t>
      </w:r>
      <w:r w:rsidRPr="00883566">
        <w:rPr>
          <w:rFonts w:cs="Times New Roman"/>
          <w:b/>
          <w:bCs/>
        </w:rPr>
        <w:t>s A piirkonnas, seejuures andes nendes piirkondades ja võrkudes Teliale hulgituru 3b teenuste osutamise lepingute muutmise ja lõpetamise õiguse osas mõistliku tähtaja.</w:t>
      </w:r>
    </w:p>
    <w:p w14:paraId="46ECBF7B" w14:textId="77777777" w:rsidR="00F03958" w:rsidRDefault="00F03958" w:rsidP="00AA241E">
      <w:pPr>
        <w:spacing w:line="259" w:lineRule="auto"/>
        <w:jc w:val="both"/>
        <w:rPr>
          <w:rFonts w:cs="Times New Roman"/>
        </w:rPr>
      </w:pPr>
    </w:p>
    <w:p w14:paraId="76471A14" w14:textId="77777777" w:rsidR="00011EB3" w:rsidRPr="00883566" w:rsidRDefault="00011EB3" w:rsidP="00AA241E">
      <w:pPr>
        <w:spacing w:line="259" w:lineRule="auto"/>
        <w:jc w:val="both"/>
        <w:rPr>
          <w:rFonts w:cs="Times New Roman"/>
        </w:rPr>
      </w:pPr>
    </w:p>
    <w:p w14:paraId="72DAC16C" w14:textId="77777777" w:rsidR="0062048B" w:rsidRPr="0062048B" w:rsidRDefault="0062048B"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1059" w:name="_Toc174094649"/>
      <w:bookmarkStart w:id="1060" w:name="_Toc174094916"/>
      <w:bookmarkStart w:id="1061" w:name="_Toc174095182"/>
      <w:bookmarkStart w:id="1062" w:name="_Toc174095447"/>
      <w:bookmarkStart w:id="1063" w:name="_Toc174095985"/>
      <w:bookmarkStart w:id="1064" w:name="_Toc174096251"/>
      <w:bookmarkStart w:id="1065" w:name="_Toc174536144"/>
      <w:bookmarkStart w:id="1066" w:name="_Toc174617245"/>
      <w:bookmarkStart w:id="1067" w:name="_Toc174618602"/>
      <w:bookmarkStart w:id="1068" w:name="_Toc174627664"/>
      <w:bookmarkStart w:id="1069" w:name="_Toc174705088"/>
      <w:bookmarkStart w:id="1070" w:name="_Toc174709632"/>
      <w:bookmarkStart w:id="1071" w:name="_Toc174710861"/>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73D6DA20" w14:textId="77777777" w:rsidR="0062048B" w:rsidRPr="0062048B" w:rsidRDefault="0062048B"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1072" w:name="_Toc174094650"/>
      <w:bookmarkStart w:id="1073" w:name="_Toc174094917"/>
      <w:bookmarkStart w:id="1074" w:name="_Toc174095183"/>
      <w:bookmarkStart w:id="1075" w:name="_Toc174095448"/>
      <w:bookmarkStart w:id="1076" w:name="_Toc174095986"/>
      <w:bookmarkStart w:id="1077" w:name="_Toc174096252"/>
      <w:bookmarkStart w:id="1078" w:name="_Toc174536145"/>
      <w:bookmarkStart w:id="1079" w:name="_Toc174617246"/>
      <w:bookmarkStart w:id="1080" w:name="_Toc174618603"/>
      <w:bookmarkStart w:id="1081" w:name="_Toc174627665"/>
      <w:bookmarkStart w:id="1082" w:name="_Toc174705089"/>
      <w:bookmarkStart w:id="1083" w:name="_Toc174709633"/>
      <w:bookmarkStart w:id="1084" w:name="_Toc174710862"/>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14:paraId="44A232C3" w14:textId="77777777" w:rsidR="004562BE" w:rsidRPr="004562BE" w:rsidRDefault="004562BE" w:rsidP="00AA241E">
      <w:pPr>
        <w:pStyle w:val="Loendilik"/>
        <w:keepNext/>
        <w:keepLines/>
        <w:numPr>
          <w:ilvl w:val="0"/>
          <w:numId w:val="109"/>
        </w:numPr>
        <w:spacing w:before="240" w:after="240" w:line="360" w:lineRule="auto"/>
        <w:contextualSpacing w:val="0"/>
        <w:jc w:val="both"/>
        <w:outlineLvl w:val="2"/>
        <w:rPr>
          <w:rFonts w:eastAsia="Calibri" w:cstheme="majorBidi"/>
          <w:bCs/>
          <w:i/>
          <w:iCs/>
          <w:vanish/>
          <w:color w:val="000000" w:themeColor="text1"/>
          <w:lang w:eastAsia="en-US"/>
        </w:rPr>
      </w:pPr>
      <w:bookmarkStart w:id="1085" w:name="_Toc174618604"/>
      <w:bookmarkStart w:id="1086" w:name="_Toc174627666"/>
      <w:bookmarkStart w:id="1087" w:name="_Toc174705090"/>
      <w:bookmarkStart w:id="1088" w:name="_Toc174710863"/>
      <w:bookmarkEnd w:id="1085"/>
      <w:bookmarkEnd w:id="1086"/>
      <w:bookmarkEnd w:id="1087"/>
      <w:bookmarkEnd w:id="1088"/>
    </w:p>
    <w:p w14:paraId="276A5BE1" w14:textId="77777777" w:rsidR="004562BE" w:rsidRPr="004562BE" w:rsidRDefault="004562BE" w:rsidP="00AA241E">
      <w:pPr>
        <w:pStyle w:val="Loendilik"/>
        <w:keepNext/>
        <w:keepLines/>
        <w:numPr>
          <w:ilvl w:val="1"/>
          <w:numId w:val="109"/>
        </w:numPr>
        <w:spacing w:before="240" w:after="240" w:line="360" w:lineRule="auto"/>
        <w:contextualSpacing w:val="0"/>
        <w:jc w:val="both"/>
        <w:outlineLvl w:val="2"/>
        <w:rPr>
          <w:rFonts w:eastAsia="Calibri" w:cstheme="majorBidi"/>
          <w:bCs/>
          <w:i/>
          <w:iCs/>
          <w:vanish/>
          <w:color w:val="000000" w:themeColor="text1"/>
          <w:lang w:eastAsia="en-US"/>
        </w:rPr>
      </w:pPr>
      <w:bookmarkStart w:id="1089" w:name="_Toc174617248"/>
      <w:bookmarkStart w:id="1090" w:name="_Toc174618605"/>
      <w:bookmarkStart w:id="1091" w:name="_Toc174627667"/>
      <w:bookmarkStart w:id="1092" w:name="_Toc174705091"/>
      <w:bookmarkStart w:id="1093" w:name="_Toc174709635"/>
      <w:bookmarkStart w:id="1094" w:name="_Toc174710864"/>
      <w:bookmarkEnd w:id="1089"/>
      <w:bookmarkEnd w:id="1090"/>
      <w:bookmarkEnd w:id="1091"/>
      <w:bookmarkEnd w:id="1092"/>
      <w:bookmarkEnd w:id="1093"/>
      <w:bookmarkEnd w:id="1094"/>
    </w:p>
    <w:p w14:paraId="037AB0EC" w14:textId="1EF86655" w:rsidR="00F03958" w:rsidRPr="00883566" w:rsidRDefault="0007135D" w:rsidP="009805E1">
      <w:pPr>
        <w:pStyle w:val="Pealkiri3"/>
      </w:pPr>
      <w:bookmarkStart w:id="1095" w:name="_Toc174710865"/>
      <w:r>
        <w:t>Hulgiturg</w:t>
      </w:r>
      <w:r w:rsidR="00F03958" w:rsidRPr="00883566">
        <w:t xml:space="preserve"> 3b kohustuste subjekt ja objekt</w:t>
      </w:r>
      <w:bookmarkEnd w:id="1095"/>
    </w:p>
    <w:p w14:paraId="14E1FC0B" w14:textId="77777777" w:rsidR="00F03958" w:rsidRPr="00883566" w:rsidRDefault="00F03958" w:rsidP="00AA241E">
      <w:pPr>
        <w:pStyle w:val="Loendilik"/>
        <w:spacing w:before="120" w:after="120"/>
        <w:ind w:left="0"/>
        <w:jc w:val="both"/>
        <w:rPr>
          <w:rFonts w:cs="Times New Roman"/>
        </w:rPr>
      </w:pPr>
    </w:p>
    <w:p w14:paraId="3C8EEF37" w14:textId="219CCA0E" w:rsidR="00F03958" w:rsidRPr="00883566" w:rsidRDefault="00F03958" w:rsidP="00AA241E">
      <w:pPr>
        <w:pStyle w:val="Loendilik"/>
        <w:spacing w:before="120" w:after="120"/>
        <w:ind w:left="0"/>
        <w:jc w:val="both"/>
        <w:rPr>
          <w:rFonts w:cs="Times New Roman"/>
        </w:rPr>
      </w:pPr>
      <w:r w:rsidRPr="00883566">
        <w:rPr>
          <w:rFonts w:cs="Times New Roman"/>
        </w:rPr>
        <w:t xml:space="preserve">Telia hulgituru 3b teenused on käesoleva otsuse koostame ajal valdkonnaspetsiifiliselt reguleeritud TTJA 2017 hulgituru 3b otsuse alusel üleriigilise ulatusega </w:t>
      </w:r>
      <w:r w:rsidR="00532579">
        <w:rPr>
          <w:rFonts w:cs="Times New Roman"/>
        </w:rPr>
        <w:t>vaskpaar</w:t>
      </w:r>
      <w:r w:rsidRPr="00883566">
        <w:rPr>
          <w:rFonts w:cs="Times New Roman"/>
        </w:rPr>
        <w:t xml:space="preserve">- ja </w:t>
      </w:r>
      <w:r w:rsidR="00A3232C">
        <w:rPr>
          <w:rFonts w:cs="Times New Roman"/>
        </w:rPr>
        <w:t>valguskaabelvõrgu</w:t>
      </w:r>
      <w:r w:rsidRPr="00883566">
        <w:rPr>
          <w:rFonts w:cs="Times New Roman"/>
        </w:rPr>
        <w:t xml:space="preserve">s. </w:t>
      </w:r>
    </w:p>
    <w:p w14:paraId="527BD3D1" w14:textId="77777777" w:rsidR="00F03958" w:rsidRPr="00883566" w:rsidRDefault="00F03958" w:rsidP="00AA241E">
      <w:pPr>
        <w:pStyle w:val="Loendilik"/>
        <w:spacing w:before="120" w:after="120"/>
        <w:ind w:left="0"/>
        <w:jc w:val="both"/>
        <w:rPr>
          <w:rFonts w:cs="Times New Roman"/>
        </w:rPr>
      </w:pPr>
    </w:p>
    <w:p w14:paraId="7379D3A9" w14:textId="77777777" w:rsidR="00F03958" w:rsidRPr="00883566" w:rsidRDefault="00F03958" w:rsidP="00AA241E">
      <w:pPr>
        <w:pStyle w:val="Loendilik"/>
        <w:spacing w:before="120" w:after="120"/>
        <w:ind w:left="0"/>
        <w:jc w:val="both"/>
        <w:rPr>
          <w:rFonts w:cs="Times New Roman"/>
        </w:rPr>
      </w:pPr>
      <w:r w:rsidRPr="00883566">
        <w:rPr>
          <w:rFonts w:cs="Times New Roman"/>
        </w:rPr>
        <w:t>Käesolevas otsuses jaotati hulgiturg 3b kolmeks alamturuks ning tuvastati, et nendes alamturgudel eksisteerivad erinevad konkurentstingimused, mistõttu määrati MTE ainult osadel alamturgudel järgmiselt:</w:t>
      </w:r>
    </w:p>
    <w:p w14:paraId="23B9F953" w14:textId="4862EB0C" w:rsidR="00F03958" w:rsidRPr="00883566" w:rsidRDefault="00F03958" w:rsidP="00CE3B0B">
      <w:pPr>
        <w:pStyle w:val="Loendilik"/>
        <w:spacing w:before="120" w:after="120"/>
        <w:jc w:val="both"/>
        <w:rPr>
          <w:rFonts w:cs="Times New Roman"/>
        </w:rPr>
      </w:pPr>
      <w:r w:rsidRPr="00883566">
        <w:rPr>
          <w:rFonts w:cs="Times New Roman"/>
        </w:rPr>
        <w:t xml:space="preserve">1) </w:t>
      </w:r>
      <w:r w:rsidR="00183BEB">
        <w:rPr>
          <w:rFonts w:cs="Times New Roman"/>
        </w:rPr>
        <w:t>vaskkaabli</w:t>
      </w:r>
      <w:r w:rsidRPr="00883566">
        <w:rPr>
          <w:rFonts w:cs="Times New Roman"/>
        </w:rPr>
        <w:t xml:space="preserve">- ja </w:t>
      </w:r>
      <w:r w:rsidR="00183BEB">
        <w:rPr>
          <w:rFonts w:cs="Times New Roman"/>
        </w:rPr>
        <w:t>mobiilsidevõr</w:t>
      </w:r>
      <w:r w:rsidRPr="00883566">
        <w:rPr>
          <w:rFonts w:cs="Times New Roman"/>
        </w:rPr>
        <w:t xml:space="preserve">gus üleriigiline hulgiturg 3b – </w:t>
      </w:r>
      <w:r w:rsidR="00384776">
        <w:rPr>
          <w:rFonts w:cs="Times New Roman"/>
        </w:rPr>
        <w:t xml:space="preserve">kuna sellele </w:t>
      </w:r>
      <w:r w:rsidR="00403478">
        <w:rPr>
          <w:rFonts w:cs="Times New Roman"/>
        </w:rPr>
        <w:t xml:space="preserve">järgneval </w:t>
      </w:r>
      <w:r w:rsidR="00183BEB">
        <w:rPr>
          <w:rFonts w:cs="Times New Roman"/>
        </w:rPr>
        <w:t>vaskkaabli</w:t>
      </w:r>
      <w:r w:rsidR="00D8036F" w:rsidRPr="00D8036F">
        <w:rPr>
          <w:rFonts w:cs="Times New Roman"/>
        </w:rPr>
        <w:t xml:space="preserve">- ja </w:t>
      </w:r>
      <w:r w:rsidR="00183BEB">
        <w:rPr>
          <w:rFonts w:cs="Times New Roman"/>
        </w:rPr>
        <w:t>mobiilsidevõr</w:t>
      </w:r>
      <w:r w:rsidR="00D8036F" w:rsidRPr="00D8036F">
        <w:rPr>
          <w:rFonts w:cs="Times New Roman"/>
        </w:rPr>
        <w:t>gu internetiühenduste üleriigili</w:t>
      </w:r>
      <w:r w:rsidR="00D8036F">
        <w:rPr>
          <w:rFonts w:cs="Times New Roman"/>
        </w:rPr>
        <w:t>s</w:t>
      </w:r>
      <w:r w:rsidR="00D8036F" w:rsidRPr="00D8036F">
        <w:rPr>
          <w:rFonts w:cs="Times New Roman"/>
        </w:rPr>
        <w:t>e</w:t>
      </w:r>
      <w:r w:rsidR="00D8036F">
        <w:rPr>
          <w:rFonts w:cs="Times New Roman"/>
        </w:rPr>
        <w:t>l</w:t>
      </w:r>
      <w:r w:rsidR="00D8036F" w:rsidRPr="00D8036F">
        <w:rPr>
          <w:rFonts w:cs="Times New Roman"/>
        </w:rPr>
        <w:t xml:space="preserve"> jaetur</w:t>
      </w:r>
      <w:r w:rsidR="00D8036F">
        <w:rPr>
          <w:rFonts w:cs="Times New Roman"/>
        </w:rPr>
        <w:t>ul</w:t>
      </w:r>
      <w:r w:rsidR="00D8036F" w:rsidRPr="00D8036F">
        <w:rPr>
          <w:rFonts w:cs="Times New Roman"/>
        </w:rPr>
        <w:t xml:space="preserve"> </w:t>
      </w:r>
      <w:r w:rsidRPr="00883566">
        <w:rPr>
          <w:rFonts w:cs="Times New Roman"/>
        </w:rPr>
        <w:t>eksisteerib piisavalt tõhus konkurents</w:t>
      </w:r>
      <w:r w:rsidR="00D8036F">
        <w:rPr>
          <w:rFonts w:cs="Times New Roman"/>
        </w:rPr>
        <w:t>, siis</w:t>
      </w:r>
      <w:r w:rsidR="00C80E35">
        <w:rPr>
          <w:rFonts w:cs="Times New Roman"/>
        </w:rPr>
        <w:t xml:space="preserve"> </w:t>
      </w:r>
      <w:r w:rsidR="009F554A">
        <w:rPr>
          <w:rFonts w:cs="Times New Roman"/>
        </w:rPr>
        <w:t xml:space="preserve">teostati vastava hulgituru osas kolme kriteeriumi test ja tuvastati, et vastaval hulgiturul </w:t>
      </w:r>
      <w:r w:rsidR="00C80E35">
        <w:rPr>
          <w:rFonts w:cs="Times New Roman"/>
        </w:rPr>
        <w:t xml:space="preserve">valdkonnaspetsiifilise regulatsiooni vajadus puudub ja </w:t>
      </w:r>
      <w:r w:rsidRPr="00883566">
        <w:rPr>
          <w:rFonts w:cs="Times New Roman"/>
        </w:rPr>
        <w:t xml:space="preserve">MTE-t ei määratud, vt </w:t>
      </w:r>
      <w:r w:rsidR="008C159A">
        <w:rPr>
          <w:rFonts w:cs="Times New Roman"/>
        </w:rPr>
        <w:t xml:space="preserve">ptk. </w:t>
      </w:r>
      <w:r w:rsidR="007A4451">
        <w:rPr>
          <w:rFonts w:cs="Times New Roman"/>
        </w:rPr>
        <w:t>6.1.1</w:t>
      </w:r>
      <w:r w:rsidR="00175F02">
        <w:rPr>
          <w:rFonts w:cs="Times New Roman"/>
        </w:rPr>
        <w:t>.</w:t>
      </w:r>
      <w:r w:rsidR="007A4451">
        <w:rPr>
          <w:rFonts w:cs="Times New Roman"/>
        </w:rPr>
        <w:t>8</w:t>
      </w:r>
      <w:r w:rsidRPr="00883566">
        <w:rPr>
          <w:rFonts w:cs="Times New Roman"/>
        </w:rPr>
        <w:t>;</w:t>
      </w:r>
    </w:p>
    <w:p w14:paraId="309EB39B" w14:textId="578E7AE7" w:rsidR="00F03958" w:rsidRPr="00883566" w:rsidRDefault="00F03958" w:rsidP="00CE3B0B">
      <w:pPr>
        <w:pStyle w:val="Loendilik"/>
        <w:spacing w:before="120" w:after="120"/>
        <w:jc w:val="both"/>
        <w:rPr>
          <w:rFonts w:cs="Times New Roman"/>
        </w:rPr>
      </w:pPr>
      <w:r w:rsidRPr="00883566">
        <w:rPr>
          <w:rFonts w:cs="Times New Roman"/>
        </w:rPr>
        <w:t xml:space="preserve">2) </w:t>
      </w:r>
      <w:r w:rsidR="00A3232C">
        <w:rPr>
          <w:rFonts w:cs="Times New Roman"/>
        </w:rPr>
        <w:t>valguskaabelvõrgu</w:t>
      </w:r>
      <w:r w:rsidRPr="00883566">
        <w:rPr>
          <w:rFonts w:cs="Times New Roman"/>
        </w:rPr>
        <w:t xml:space="preserve">s A piirkonna hulgiturg 3b – </w:t>
      </w:r>
      <w:r w:rsidR="00D203A4">
        <w:rPr>
          <w:rFonts w:cs="Times New Roman"/>
        </w:rPr>
        <w:t xml:space="preserve">kuna sellele järgneval </w:t>
      </w:r>
      <w:r w:rsidR="00BC484B">
        <w:rPr>
          <w:rFonts w:cs="Times New Roman"/>
        </w:rPr>
        <w:t>v</w:t>
      </w:r>
      <w:r w:rsidR="00BC484B" w:rsidRPr="00BC484B">
        <w:rPr>
          <w:rFonts w:cs="Times New Roman"/>
        </w:rPr>
        <w:t>alguskaabelvõrgu internetiühenduste A piirkonna jaetur</w:t>
      </w:r>
      <w:r w:rsidR="00BC484B">
        <w:rPr>
          <w:rFonts w:cs="Times New Roman"/>
        </w:rPr>
        <w:t>ul</w:t>
      </w:r>
      <w:r w:rsidR="00BC484B" w:rsidRPr="00BC484B">
        <w:rPr>
          <w:rFonts w:cs="Times New Roman"/>
        </w:rPr>
        <w:t xml:space="preserve"> </w:t>
      </w:r>
      <w:r w:rsidRPr="00883566">
        <w:rPr>
          <w:rFonts w:cs="Times New Roman"/>
        </w:rPr>
        <w:t>eksisteerib piisavalt tõhus konkurents</w:t>
      </w:r>
      <w:r w:rsidR="00BC484B">
        <w:rPr>
          <w:rFonts w:cs="Times New Roman"/>
        </w:rPr>
        <w:t xml:space="preserve">, siis </w:t>
      </w:r>
      <w:r w:rsidR="00B654D1">
        <w:rPr>
          <w:rFonts w:cs="Times New Roman"/>
        </w:rPr>
        <w:t xml:space="preserve">teostati vastava hulgituru osas kolme kriteeriumi test ja tuvastati, et vastaval hulgiturul </w:t>
      </w:r>
      <w:proofErr w:type="spellStart"/>
      <w:r w:rsidR="00BC484B">
        <w:rPr>
          <w:rFonts w:cs="Times New Roman"/>
        </w:rPr>
        <w:t>valdkonnasptsiifilise</w:t>
      </w:r>
      <w:proofErr w:type="spellEnd"/>
      <w:r w:rsidR="00BC484B">
        <w:rPr>
          <w:rFonts w:cs="Times New Roman"/>
        </w:rPr>
        <w:t xml:space="preserve"> regulatsiooni vajadus puudub</w:t>
      </w:r>
      <w:r w:rsidRPr="00883566">
        <w:rPr>
          <w:rFonts w:cs="Times New Roman"/>
        </w:rPr>
        <w:t xml:space="preserve"> ja MTE-t ei määratud, vt </w:t>
      </w:r>
      <w:r w:rsidR="008C159A">
        <w:rPr>
          <w:rFonts w:cs="Times New Roman"/>
        </w:rPr>
        <w:t xml:space="preserve">ptk. </w:t>
      </w:r>
      <w:r w:rsidR="007A4451">
        <w:rPr>
          <w:rFonts w:cs="Times New Roman"/>
        </w:rPr>
        <w:t>6.1.2.8</w:t>
      </w:r>
      <w:r w:rsidRPr="00883566">
        <w:rPr>
          <w:rFonts w:cs="Times New Roman"/>
        </w:rPr>
        <w:t>;</w:t>
      </w:r>
    </w:p>
    <w:p w14:paraId="535CFB9A" w14:textId="65D57DFE" w:rsidR="00F03958" w:rsidRPr="00883566" w:rsidRDefault="00F03958" w:rsidP="00CE3B0B">
      <w:pPr>
        <w:pStyle w:val="Loendilik"/>
        <w:spacing w:before="120" w:after="120"/>
        <w:jc w:val="both"/>
        <w:rPr>
          <w:rFonts w:cs="Times New Roman"/>
        </w:rPr>
      </w:pPr>
      <w:r w:rsidRPr="00883566">
        <w:rPr>
          <w:rFonts w:cs="Times New Roman"/>
        </w:rPr>
        <w:t xml:space="preserve">3) </w:t>
      </w:r>
      <w:r w:rsidR="00A3232C">
        <w:rPr>
          <w:rFonts w:cs="Times New Roman"/>
        </w:rPr>
        <w:t>valguskaabelvõrgu</w:t>
      </w:r>
      <w:r w:rsidRPr="00883566">
        <w:rPr>
          <w:rFonts w:cs="Times New Roman"/>
        </w:rPr>
        <w:t xml:space="preserve">s B piirkonna hulgiturg 3b – </w:t>
      </w:r>
      <w:r w:rsidR="00A2636A">
        <w:rPr>
          <w:rFonts w:cs="Times New Roman"/>
        </w:rPr>
        <w:t xml:space="preserve">kuna sellele järgneval </w:t>
      </w:r>
      <w:r w:rsidR="00B518D3">
        <w:rPr>
          <w:rFonts w:cs="Times New Roman"/>
        </w:rPr>
        <w:t>v</w:t>
      </w:r>
      <w:r w:rsidR="00B518D3" w:rsidRPr="00B518D3">
        <w:rPr>
          <w:rFonts w:cs="Times New Roman"/>
        </w:rPr>
        <w:t>alguskaabelvõrgu internetiühenduste B piirkonna jaetur</w:t>
      </w:r>
      <w:r w:rsidR="00B518D3">
        <w:rPr>
          <w:rFonts w:cs="Times New Roman"/>
        </w:rPr>
        <w:t>ul</w:t>
      </w:r>
      <w:r w:rsidR="00B518D3" w:rsidRPr="00B518D3">
        <w:rPr>
          <w:rFonts w:cs="Times New Roman"/>
        </w:rPr>
        <w:t xml:space="preserve"> </w:t>
      </w:r>
      <w:r w:rsidRPr="00883566">
        <w:rPr>
          <w:rFonts w:cs="Times New Roman"/>
        </w:rPr>
        <w:t>puudub piisavalt tõhus konkurents</w:t>
      </w:r>
      <w:r w:rsidR="003E5F33">
        <w:rPr>
          <w:rFonts w:cs="Times New Roman"/>
        </w:rPr>
        <w:t xml:space="preserve">, siis </w:t>
      </w:r>
      <w:r w:rsidR="00B654D1">
        <w:rPr>
          <w:rFonts w:cs="Times New Roman"/>
        </w:rPr>
        <w:t>teostati vastava hulgituru osas kolme kriteeriumi test ja tuvastati, et vastav hulgiturg on vastuvõtlik valdkonnaspetsiifilisele regulatsioonile ja turuanalüüsi alusel</w:t>
      </w:r>
      <w:r w:rsidR="00A52786">
        <w:rPr>
          <w:rFonts w:cs="Times New Roman"/>
        </w:rPr>
        <w:t xml:space="preserve"> </w:t>
      </w:r>
      <w:r w:rsidRPr="00883566">
        <w:rPr>
          <w:rFonts w:cs="Times New Roman"/>
        </w:rPr>
        <w:t xml:space="preserve">tunnistati MTE-ks Telia, vt </w:t>
      </w:r>
      <w:r w:rsidR="008C159A">
        <w:rPr>
          <w:rFonts w:cs="Times New Roman"/>
        </w:rPr>
        <w:t xml:space="preserve">ptk. </w:t>
      </w:r>
      <w:r w:rsidR="007A4451">
        <w:rPr>
          <w:rFonts w:cs="Times New Roman"/>
        </w:rPr>
        <w:t>6.2.2.3</w:t>
      </w:r>
      <w:r w:rsidRPr="00883566">
        <w:rPr>
          <w:rFonts w:cs="Times New Roman"/>
        </w:rPr>
        <w:t>.</w:t>
      </w:r>
    </w:p>
    <w:p w14:paraId="312D28ED" w14:textId="77777777" w:rsidR="00F03958" w:rsidRPr="00883566" w:rsidRDefault="00F03958" w:rsidP="00AA241E">
      <w:pPr>
        <w:pStyle w:val="Loendilik"/>
        <w:spacing w:before="120" w:after="120"/>
        <w:ind w:left="0"/>
        <w:jc w:val="both"/>
        <w:rPr>
          <w:rFonts w:cs="Times New Roman"/>
          <w:b/>
        </w:rPr>
      </w:pPr>
    </w:p>
    <w:p w14:paraId="2C87C7BE" w14:textId="564E1CF8" w:rsidR="00F03958" w:rsidRPr="00883566" w:rsidRDefault="00F03958" w:rsidP="00AA241E">
      <w:pPr>
        <w:pStyle w:val="Loendilik"/>
        <w:spacing w:before="120" w:after="120"/>
        <w:ind w:left="0"/>
        <w:jc w:val="both"/>
        <w:rPr>
          <w:rFonts w:cs="Times New Roman"/>
        </w:rPr>
      </w:pPr>
      <w:r w:rsidRPr="00883566">
        <w:rPr>
          <w:rFonts w:cs="Times New Roman"/>
          <w:b/>
        </w:rPr>
        <w:t xml:space="preserve">Eeltoodust tulenevalt on käesolevas otsuses kehtestatavad kohustused suunatud </w:t>
      </w:r>
      <w:r w:rsidR="00A3232C">
        <w:rPr>
          <w:rFonts w:cs="Times New Roman"/>
          <w:b/>
        </w:rPr>
        <w:t>valguskaabelvõrgu</w:t>
      </w:r>
      <w:r w:rsidRPr="00883566">
        <w:rPr>
          <w:rFonts w:cs="Times New Roman"/>
          <w:b/>
        </w:rPr>
        <w:t>s B piirkonnas hulgituru 3b MTE-</w:t>
      </w:r>
      <w:proofErr w:type="spellStart"/>
      <w:r w:rsidRPr="00883566">
        <w:rPr>
          <w:rFonts w:cs="Times New Roman"/>
          <w:b/>
        </w:rPr>
        <w:t>le</w:t>
      </w:r>
      <w:proofErr w:type="spellEnd"/>
      <w:r w:rsidRPr="00883566">
        <w:rPr>
          <w:rFonts w:cs="Times New Roman"/>
          <w:b/>
        </w:rPr>
        <w:t xml:space="preserve"> (Teliale). </w:t>
      </w:r>
      <w:r w:rsidR="00183BEB">
        <w:rPr>
          <w:rFonts w:cs="Times New Roman"/>
          <w:b/>
        </w:rPr>
        <w:t>Vaskkaabli</w:t>
      </w:r>
      <w:r w:rsidRPr="00883566">
        <w:rPr>
          <w:rFonts w:cs="Times New Roman"/>
          <w:b/>
        </w:rPr>
        <w:t xml:space="preserve">- ja </w:t>
      </w:r>
      <w:r w:rsidR="00183BEB">
        <w:rPr>
          <w:rFonts w:cs="Times New Roman"/>
          <w:b/>
        </w:rPr>
        <w:t>mobiilsidevõr</w:t>
      </w:r>
      <w:r w:rsidRPr="00883566">
        <w:rPr>
          <w:rFonts w:cs="Times New Roman"/>
          <w:b/>
        </w:rPr>
        <w:t xml:space="preserve">gus üleriigilisel hulgiturul 3b ja </w:t>
      </w:r>
      <w:r w:rsidR="00A3232C">
        <w:rPr>
          <w:rFonts w:cs="Times New Roman"/>
          <w:b/>
        </w:rPr>
        <w:t>valguskaabelvõrgu</w:t>
      </w:r>
      <w:r w:rsidRPr="00883566">
        <w:rPr>
          <w:rFonts w:cs="Times New Roman"/>
          <w:b/>
        </w:rPr>
        <w:t xml:space="preserve"> A piirkonna hulgiturul 3b MTE-</w:t>
      </w:r>
      <w:proofErr w:type="spellStart"/>
      <w:r w:rsidRPr="00883566">
        <w:rPr>
          <w:rFonts w:cs="Times New Roman"/>
          <w:b/>
        </w:rPr>
        <w:t>le</w:t>
      </w:r>
      <w:proofErr w:type="spellEnd"/>
      <w:r w:rsidRPr="00883566">
        <w:rPr>
          <w:rFonts w:cs="Times New Roman"/>
          <w:b/>
        </w:rPr>
        <w:t xml:space="preserve"> (Teliale) kohustusi ei kehtestata ja olemasoleva</w:t>
      </w:r>
      <w:r w:rsidR="008111B2">
        <w:rPr>
          <w:rFonts w:cs="Times New Roman"/>
          <w:b/>
        </w:rPr>
        <w:t>d</w:t>
      </w:r>
      <w:r w:rsidRPr="00883566">
        <w:rPr>
          <w:rFonts w:cs="Times New Roman"/>
          <w:b/>
        </w:rPr>
        <w:t xml:space="preserve"> </w:t>
      </w:r>
      <w:r w:rsidR="008111B2">
        <w:rPr>
          <w:rFonts w:cs="Times New Roman"/>
          <w:b/>
        </w:rPr>
        <w:t>(TTJA 2017 hulgituru 3b otsus) kohustused</w:t>
      </w:r>
      <w:r w:rsidR="008111B2" w:rsidRPr="00883566">
        <w:rPr>
          <w:rFonts w:cs="Times New Roman"/>
          <w:b/>
        </w:rPr>
        <w:t xml:space="preserve"> </w:t>
      </w:r>
      <w:r w:rsidRPr="00883566">
        <w:rPr>
          <w:rFonts w:cs="Times New Roman"/>
          <w:b/>
        </w:rPr>
        <w:t xml:space="preserve">tunnistatakse kehtetuks, vt </w:t>
      </w:r>
      <w:r w:rsidR="008C159A">
        <w:rPr>
          <w:rFonts w:cs="Times New Roman"/>
          <w:b/>
        </w:rPr>
        <w:t xml:space="preserve">ptk. </w:t>
      </w:r>
      <w:r w:rsidR="00720316">
        <w:rPr>
          <w:rFonts w:cs="Times New Roman"/>
          <w:b/>
        </w:rPr>
        <w:t>8.</w:t>
      </w:r>
      <w:r w:rsidR="001D606C">
        <w:rPr>
          <w:rFonts w:cs="Times New Roman"/>
          <w:b/>
        </w:rPr>
        <w:t>1.</w:t>
      </w:r>
      <w:r w:rsidR="00720316">
        <w:rPr>
          <w:rFonts w:cs="Times New Roman"/>
          <w:b/>
        </w:rPr>
        <w:t>2</w:t>
      </w:r>
      <w:r w:rsidRPr="00883566">
        <w:rPr>
          <w:rFonts w:cs="Times New Roman"/>
          <w:b/>
        </w:rPr>
        <w:t>.</w:t>
      </w:r>
    </w:p>
    <w:p w14:paraId="70068DFA" w14:textId="77777777" w:rsidR="00F03958" w:rsidRPr="00883566" w:rsidRDefault="00F03958" w:rsidP="00AA241E">
      <w:pPr>
        <w:pStyle w:val="Loendilik"/>
        <w:spacing w:before="120" w:after="120"/>
        <w:ind w:left="0"/>
        <w:jc w:val="both"/>
        <w:rPr>
          <w:rFonts w:cs="Times New Roman"/>
        </w:rPr>
      </w:pPr>
    </w:p>
    <w:p w14:paraId="46819460" w14:textId="244F2BB1" w:rsidR="00F03958" w:rsidRPr="00883566" w:rsidRDefault="00D23E7C" w:rsidP="00AA241E">
      <w:pPr>
        <w:pStyle w:val="Loendilik"/>
        <w:spacing w:before="120" w:after="120"/>
        <w:ind w:left="0"/>
        <w:jc w:val="both"/>
        <w:rPr>
          <w:rFonts w:cs="Times New Roman"/>
        </w:rPr>
      </w:pPr>
      <w:r>
        <w:rPr>
          <w:rFonts w:cs="Times New Roman"/>
          <w:b/>
          <w:bCs/>
        </w:rPr>
        <w:t>Hulgit</w:t>
      </w:r>
      <w:r w:rsidRPr="00883566">
        <w:rPr>
          <w:rFonts w:cs="Times New Roman"/>
          <w:b/>
          <w:bCs/>
        </w:rPr>
        <w:t xml:space="preserve">urg </w:t>
      </w:r>
      <w:r w:rsidR="00F03958" w:rsidRPr="00883566">
        <w:rPr>
          <w:rFonts w:cs="Times New Roman"/>
          <w:b/>
          <w:bCs/>
        </w:rPr>
        <w:t xml:space="preserve">3b kohustuste subjektiks on Telia ja objektiks </w:t>
      </w:r>
      <w:r w:rsidR="00A3232C">
        <w:rPr>
          <w:rFonts w:cs="Times New Roman"/>
          <w:b/>
          <w:bCs/>
        </w:rPr>
        <w:t>valguskaabelvõrgu</w:t>
      </w:r>
      <w:r w:rsidR="00F03958" w:rsidRPr="00883566">
        <w:rPr>
          <w:rFonts w:cs="Times New Roman"/>
          <w:b/>
          <w:bCs/>
        </w:rPr>
        <w:t xml:space="preserve"> B piirkonna hulgituru 3b teenused, milleks on Telia</w:t>
      </w:r>
      <w:r w:rsidR="00F03958" w:rsidRPr="00883566">
        <w:rPr>
          <w:rFonts w:cs="Times New Roman"/>
          <w:b/>
        </w:rPr>
        <w:t xml:space="preserve"> </w:t>
      </w:r>
      <w:r w:rsidR="00A3232C">
        <w:rPr>
          <w:rFonts w:cs="Times New Roman"/>
          <w:b/>
        </w:rPr>
        <w:t>valguskaabelvõrgu</w:t>
      </w:r>
      <w:r w:rsidR="00F03958" w:rsidRPr="00883566">
        <w:rPr>
          <w:rFonts w:cs="Times New Roman"/>
          <w:b/>
        </w:rPr>
        <w:t xml:space="preserve">s (nii ülekande-, kui ka </w:t>
      </w:r>
      <w:r w:rsidR="00F03958" w:rsidRPr="00883566">
        <w:rPr>
          <w:rFonts w:cs="Times New Roman"/>
          <w:b/>
        </w:rPr>
        <w:lastRenderedPageBreak/>
        <w:t xml:space="preserve">juurdepääsuvõrgu) </w:t>
      </w:r>
      <w:r w:rsidR="00F03958" w:rsidRPr="00883566">
        <w:rPr>
          <w:rFonts w:cs="Times New Roman"/>
          <w:b/>
          <w:bCs/>
        </w:rPr>
        <w:t>lairibaühendus</w:t>
      </w:r>
      <w:r w:rsidR="006F3085">
        <w:rPr>
          <w:rFonts w:cs="Times New Roman"/>
          <w:b/>
          <w:bCs/>
        </w:rPr>
        <w:t>t</w:t>
      </w:r>
      <w:r w:rsidR="00F03958" w:rsidRPr="00883566">
        <w:rPr>
          <w:rFonts w:cs="Times New Roman"/>
          <w:b/>
          <w:bCs/>
        </w:rPr>
        <w:t>ele</w:t>
      </w:r>
      <w:r w:rsidR="00F03958" w:rsidRPr="00883566">
        <w:rPr>
          <w:rFonts w:cs="Times New Roman"/>
          <w:b/>
        </w:rPr>
        <w:t xml:space="preserve"> keskse juurdepääsu </w:t>
      </w:r>
      <w:r w:rsidR="00F03958" w:rsidRPr="00883566">
        <w:rPr>
          <w:rFonts w:cs="Times New Roman"/>
          <w:b/>
          <w:bCs/>
        </w:rPr>
        <w:t>osutamine</w:t>
      </w:r>
      <w:r w:rsidR="00F03958" w:rsidRPr="00883566">
        <w:rPr>
          <w:rFonts w:cs="Times New Roman"/>
          <w:b/>
        </w:rPr>
        <w:t xml:space="preserve"> piirkonnas B, koos selleks vajalike tugiteenustega.</w:t>
      </w:r>
    </w:p>
    <w:p w14:paraId="7425F7B8" w14:textId="77777777" w:rsidR="00F03958" w:rsidRPr="00883566" w:rsidRDefault="00F03958" w:rsidP="00AA241E">
      <w:pPr>
        <w:pStyle w:val="Loendilik"/>
        <w:spacing w:before="120" w:after="120"/>
        <w:ind w:left="0"/>
        <w:jc w:val="both"/>
        <w:rPr>
          <w:rFonts w:cs="Times New Roman"/>
          <w:lang w:eastAsia="en-US"/>
        </w:rPr>
      </w:pPr>
    </w:p>
    <w:p w14:paraId="6F9D4DAB" w14:textId="77777777" w:rsidR="00F03958" w:rsidRPr="00883566" w:rsidRDefault="00F03958" w:rsidP="00AA241E">
      <w:pPr>
        <w:pStyle w:val="Loendilik"/>
        <w:spacing w:before="120" w:after="120"/>
        <w:ind w:left="0"/>
        <w:jc w:val="both"/>
        <w:rPr>
          <w:rFonts w:cs="Times New Roman"/>
          <w:lang w:eastAsia="en-US"/>
        </w:rPr>
      </w:pPr>
      <w:r w:rsidRPr="00883566">
        <w:rPr>
          <w:rFonts w:cs="Times New Roman"/>
        </w:rPr>
        <w:t>Käesoleva otsuse koostamise ajal osutab Telia hulgiturul 3b teenust nimega lairibaressursiteenus 3.0</w:t>
      </w:r>
      <w:r w:rsidRPr="00883566">
        <w:rPr>
          <w:rStyle w:val="Allmrkuseviide"/>
          <w:rFonts w:eastAsiaTheme="minorHAnsi" w:cs="Times New Roman"/>
          <w:lang w:eastAsia="en-US"/>
        </w:rPr>
        <w:footnoteReference w:id="195"/>
      </w:r>
      <w:r w:rsidRPr="00883566">
        <w:rPr>
          <w:rFonts w:cs="Times New Roman"/>
        </w:rPr>
        <w:t xml:space="preserve"> (edaspidi ka </w:t>
      </w:r>
      <w:r w:rsidRPr="00883566">
        <w:rPr>
          <w:rFonts w:cs="Times New Roman"/>
          <w:i/>
        </w:rPr>
        <w:t>LRT 3.0</w:t>
      </w:r>
      <w:r w:rsidRPr="00883566">
        <w:rPr>
          <w:rFonts w:cs="Times New Roman"/>
        </w:rPr>
        <w:t>), mille teenustingimuste</w:t>
      </w:r>
      <w:r w:rsidRPr="00883566">
        <w:rPr>
          <w:rStyle w:val="Allmrkuseviide"/>
          <w:rFonts w:eastAsiaTheme="minorHAnsi" w:cs="Times New Roman"/>
          <w:lang w:eastAsia="en-US"/>
        </w:rPr>
        <w:footnoteReference w:id="196"/>
      </w:r>
      <w:r w:rsidRPr="00883566">
        <w:rPr>
          <w:rFonts w:cs="Times New Roman"/>
        </w:rPr>
        <w:t xml:space="preserve"> kohaselt on sideettevõtjatel võimalus ühendada oma sidevõrk Telia sidevõrguga 1 GB või 10 GB liidese abil riiklikul või kohalikul tasandil ning saada Ethernet VLAN (</w:t>
      </w:r>
      <w:r w:rsidRPr="00883566">
        <w:rPr>
          <w:rFonts w:cs="Times New Roman"/>
          <w:i/>
        </w:rPr>
        <w:t xml:space="preserve">Virtual </w:t>
      </w:r>
      <w:proofErr w:type="spellStart"/>
      <w:r w:rsidRPr="00883566">
        <w:rPr>
          <w:rFonts w:cs="Times New Roman"/>
          <w:i/>
        </w:rPr>
        <w:t>Local</w:t>
      </w:r>
      <w:proofErr w:type="spellEnd"/>
      <w:r w:rsidRPr="00883566">
        <w:rPr>
          <w:rFonts w:cs="Times New Roman"/>
          <w:i/>
        </w:rPr>
        <w:t xml:space="preserve"> Area Network</w:t>
      </w:r>
      <w:r w:rsidRPr="00883566">
        <w:rPr>
          <w:rFonts w:cs="Times New Roman"/>
        </w:rPr>
        <w:t>) punktist punkti (</w:t>
      </w:r>
      <w:proofErr w:type="spellStart"/>
      <w:r w:rsidRPr="00883566">
        <w:rPr>
          <w:rFonts w:cs="Times New Roman"/>
          <w:i/>
        </w:rPr>
        <w:t>point</w:t>
      </w:r>
      <w:proofErr w:type="spellEnd"/>
      <w:r w:rsidRPr="00883566">
        <w:rPr>
          <w:rFonts w:cs="Times New Roman"/>
          <w:i/>
        </w:rPr>
        <w:t xml:space="preserve"> </w:t>
      </w:r>
      <w:proofErr w:type="spellStart"/>
      <w:r w:rsidRPr="00883566">
        <w:rPr>
          <w:rFonts w:cs="Times New Roman"/>
          <w:i/>
        </w:rPr>
        <w:t>to</w:t>
      </w:r>
      <w:proofErr w:type="spellEnd"/>
      <w:r w:rsidRPr="00883566">
        <w:rPr>
          <w:rFonts w:cs="Times New Roman"/>
          <w:i/>
        </w:rPr>
        <w:t xml:space="preserve"> </w:t>
      </w:r>
      <w:proofErr w:type="spellStart"/>
      <w:r w:rsidRPr="00883566">
        <w:rPr>
          <w:rFonts w:cs="Times New Roman"/>
          <w:i/>
        </w:rPr>
        <w:t>point</w:t>
      </w:r>
      <w:proofErr w:type="spellEnd"/>
      <w:r w:rsidRPr="00883566">
        <w:rPr>
          <w:rFonts w:cs="Times New Roman"/>
        </w:rPr>
        <w:t>) ühendus sideettevõtja sidevõrgu liidese ja Telia sidevõrgu lõpp-punkti vahel, mis võimaldab sideettevõtjal osutada oma lõppkasutajatele erinevaid lairibateenuseid sh internetiühenduse jaeteenust, vt ka Joonist 1.</w:t>
      </w:r>
    </w:p>
    <w:p w14:paraId="00B994D5" w14:textId="77777777" w:rsidR="00F03958" w:rsidRPr="00883566" w:rsidRDefault="00F03958" w:rsidP="00AA241E">
      <w:pPr>
        <w:pStyle w:val="Loendilik"/>
        <w:spacing w:before="120" w:after="120"/>
        <w:ind w:left="0"/>
        <w:jc w:val="both"/>
        <w:rPr>
          <w:rFonts w:cs="Times New Roman"/>
          <w:lang w:eastAsia="en-US"/>
        </w:rPr>
      </w:pPr>
    </w:p>
    <w:p w14:paraId="6A8F5EA8" w14:textId="77777777" w:rsidR="00F03958" w:rsidRPr="00883566" w:rsidRDefault="00F03958" w:rsidP="00AA241E">
      <w:pPr>
        <w:pStyle w:val="Loendilik"/>
        <w:spacing w:before="120" w:after="120"/>
        <w:ind w:left="0"/>
        <w:jc w:val="both"/>
        <w:rPr>
          <w:rFonts w:cs="Times New Roman"/>
        </w:rPr>
      </w:pPr>
      <w:r w:rsidRPr="00883566">
        <w:rPr>
          <w:noProof/>
        </w:rPr>
        <w:drawing>
          <wp:inline distT="0" distB="0" distL="0" distR="0" wp14:anchorId="0B46B68C" wp14:editId="32D5BF4C">
            <wp:extent cx="5602360" cy="3486150"/>
            <wp:effectExtent l="19050" t="19050" r="17780" b="19050"/>
            <wp:docPr id="432058476" name="Pilt 4320584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1"/>
                    <pic:cNvPicPr/>
                  </pic:nvPicPr>
                  <pic:blipFill>
                    <a:blip r:embed="rId45">
                      <a:extLst>
                        <a:ext uri="{53640926-AAD7-44D8-BBD7-CCE9431645EC}">
                          <a14:shadowObscured xmlns:arto="http://schemas.microsoft.com/office/word/2006/arto" xmlns:a14="http://schemas.microsoft.com/office/drawing/2010/main" xmlns:a16="http://schemas.microsoft.com/office/drawing/2014/main" xmlns:w="http://schemas.openxmlformats.org/wordprocessingml/2006/main" xmlns:w10="urn:schemas-microsoft-com:office:word" xmlns:v="urn:schemas-microsoft-com:vml" xmlns:o="urn:schemas-microsoft-com:office:office" xmlns="" xmlns:c="http://schemas.openxmlformats.org/drawingml/2006/chart"/>
                        </a:ext>
                      </a:extLst>
                    </a:blip>
                    <a:srcRect l="30603" t="25061" r="14914" b="14667"/>
                    <a:stretch>
                      <a:fillRect/>
                    </a:stretch>
                  </pic:blipFill>
                  <pic:spPr>
                    <a:xfrm>
                      <a:off x="0" y="0"/>
                      <a:ext cx="5602360" cy="3486150"/>
                    </a:xfrm>
                    <a:prstGeom prst="rect">
                      <a:avLst/>
                    </a:prstGeom>
                  </pic:spPr>
                </pic:pic>
              </a:graphicData>
            </a:graphic>
          </wp:inline>
        </w:drawing>
      </w:r>
    </w:p>
    <w:p w14:paraId="192F447A" w14:textId="26E4996A" w:rsidR="00F03958" w:rsidRPr="00883566" w:rsidRDefault="00F03958" w:rsidP="00AA241E">
      <w:pPr>
        <w:pStyle w:val="Pealdis"/>
        <w:jc w:val="both"/>
      </w:pPr>
      <w:r w:rsidRPr="00883566">
        <w:t xml:space="preserve">Joonis </w:t>
      </w:r>
      <w:r w:rsidRPr="00883566">
        <w:fldChar w:fldCharType="begin"/>
      </w:r>
      <w:r w:rsidRPr="00883566">
        <w:instrText xml:space="preserve"> SEQ Joonis \* ARABIC </w:instrText>
      </w:r>
      <w:r w:rsidRPr="00883566">
        <w:fldChar w:fldCharType="separate"/>
      </w:r>
      <w:r w:rsidR="00E5522B">
        <w:rPr>
          <w:noProof/>
        </w:rPr>
        <w:t>25</w:t>
      </w:r>
      <w:r w:rsidRPr="00883566">
        <w:fldChar w:fldCharType="end"/>
      </w:r>
      <w:r w:rsidRPr="00883566">
        <w:t xml:space="preserve">. </w:t>
      </w:r>
      <w:r w:rsidRPr="00883566">
        <w:rPr>
          <w:b w:val="0"/>
          <w:bCs w:val="0"/>
        </w:rPr>
        <w:t>Telia osutatava hulgituru 3b teenuse funktsionaalne joonis</w:t>
      </w:r>
    </w:p>
    <w:p w14:paraId="4562BB69" w14:textId="77777777" w:rsidR="00F03958" w:rsidRPr="00883566" w:rsidRDefault="00F03958" w:rsidP="00AA241E">
      <w:pPr>
        <w:jc w:val="both"/>
        <w:rPr>
          <w:rFonts w:cs="Times New Roman"/>
        </w:rPr>
      </w:pPr>
    </w:p>
    <w:p w14:paraId="77BC82BC" w14:textId="77777777" w:rsidR="00F03958" w:rsidRPr="00883566" w:rsidRDefault="00F03958" w:rsidP="00AA241E">
      <w:pPr>
        <w:jc w:val="both"/>
        <w:rPr>
          <w:rFonts w:cs="Times New Roman"/>
        </w:rPr>
      </w:pPr>
    </w:p>
    <w:p w14:paraId="15F04D1A" w14:textId="77777777" w:rsidR="00F03958" w:rsidRPr="00883566" w:rsidRDefault="00F03958" w:rsidP="00AA241E">
      <w:pPr>
        <w:jc w:val="both"/>
        <w:rPr>
          <w:rFonts w:cs="Times New Roman"/>
        </w:rPr>
      </w:pPr>
    </w:p>
    <w:p w14:paraId="3ECA9A04" w14:textId="204BAFD2" w:rsidR="00F03958" w:rsidRPr="00883566" w:rsidRDefault="00F03958" w:rsidP="009805E1">
      <w:pPr>
        <w:pStyle w:val="Pealkiri3"/>
      </w:pPr>
      <w:bookmarkStart w:id="1096" w:name="_Toc174710866"/>
      <w:r w:rsidRPr="00883566">
        <w:lastRenderedPageBreak/>
        <w:t>TTJA 2017 hulgituru 3b otsuse ja selles kehtestatud kohustuste kehtetuks tunnistamine</w:t>
      </w:r>
      <w:bookmarkEnd w:id="1096"/>
    </w:p>
    <w:p w14:paraId="34F3D2A7" w14:textId="174BA2E8" w:rsidR="00074A13" w:rsidRPr="00883566" w:rsidRDefault="00074A13" w:rsidP="00AA241E">
      <w:pPr>
        <w:pStyle w:val="Loendilik"/>
        <w:spacing w:before="120" w:after="120"/>
        <w:ind w:left="0"/>
        <w:jc w:val="both"/>
        <w:rPr>
          <w:rFonts w:cs="Times New Roman"/>
        </w:rPr>
      </w:pPr>
      <w:r w:rsidRPr="00883566">
        <w:rPr>
          <w:rFonts w:cs="Times New Roman"/>
        </w:rPr>
        <w:t>Käesoleva otsuse koostamise ajal on Telia hulgituru 3b t</w:t>
      </w:r>
      <w:r>
        <w:rPr>
          <w:rFonts w:cs="Times New Roman"/>
        </w:rPr>
        <w:t>eenused</w:t>
      </w:r>
      <w:r w:rsidRPr="00883566">
        <w:rPr>
          <w:rFonts w:cs="Times New Roman"/>
        </w:rPr>
        <w:t xml:space="preserve"> reguleeritud (sh hind) TTJA 2017 otsusega</w:t>
      </w:r>
      <w:r w:rsidRPr="00883566">
        <w:rPr>
          <w:rFonts w:cs="Times New Roman"/>
          <w:vertAlign w:val="superscript"/>
        </w:rPr>
        <w:footnoteReference w:id="197"/>
      </w:r>
      <w:r w:rsidRPr="00883566">
        <w:rPr>
          <w:rFonts w:cs="Times New Roman"/>
        </w:rPr>
        <w:t xml:space="preserve">. </w:t>
      </w:r>
    </w:p>
    <w:p w14:paraId="01D31A64" w14:textId="77777777" w:rsidR="00074A13" w:rsidRDefault="00074A13" w:rsidP="00AA241E">
      <w:pPr>
        <w:pStyle w:val="Loendilik"/>
        <w:spacing w:before="120" w:after="120"/>
        <w:ind w:left="0"/>
        <w:jc w:val="both"/>
        <w:rPr>
          <w:rFonts w:cs="Times New Roman"/>
        </w:rPr>
      </w:pPr>
    </w:p>
    <w:p w14:paraId="1B1075E2" w14:textId="68E043AA" w:rsidR="00FC2ADB" w:rsidRPr="00883566" w:rsidRDefault="00FC2ADB" w:rsidP="00FC2ADB">
      <w:pPr>
        <w:pStyle w:val="Loendilik"/>
        <w:spacing w:before="120" w:after="120"/>
        <w:ind w:left="0"/>
        <w:jc w:val="both"/>
        <w:rPr>
          <w:rFonts w:cs="Times New Roman"/>
          <w:b/>
          <w:bCs/>
        </w:rPr>
      </w:pPr>
      <w:r w:rsidRPr="00883566">
        <w:rPr>
          <w:rFonts w:cs="Times New Roman"/>
          <w:b/>
          <w:bCs/>
        </w:rPr>
        <w:t xml:space="preserve">Käesoleva otsusega tunnistatakse TTJA 2017 hulgituru </w:t>
      </w:r>
      <w:r>
        <w:rPr>
          <w:rFonts w:cs="Times New Roman"/>
          <w:b/>
          <w:bCs/>
        </w:rPr>
        <w:t>3b</w:t>
      </w:r>
      <w:r w:rsidRPr="00883566">
        <w:rPr>
          <w:rFonts w:cs="Times New Roman"/>
          <w:b/>
          <w:bCs/>
        </w:rPr>
        <w:t xml:space="preserve"> otsus koos selles Teliale kehtestatud kohustustega kehtetuks alates käesoleva otsuse kehtima hakkamisest. </w:t>
      </w:r>
      <w:r>
        <w:rPr>
          <w:rFonts w:cs="Times New Roman"/>
          <w:b/>
          <w:bCs/>
        </w:rPr>
        <w:t xml:space="preserve">Kuna käesoleva otsusega vase- ja mobiilsidevõrgu hulgiturul 3b ja </w:t>
      </w:r>
      <w:r w:rsidRPr="00D5222A">
        <w:rPr>
          <w:rFonts w:cs="Times New Roman"/>
          <w:b/>
          <w:bCs/>
        </w:rPr>
        <w:t>valguskaabli</w:t>
      </w:r>
      <w:r>
        <w:rPr>
          <w:rFonts w:cs="Times New Roman"/>
          <w:b/>
          <w:bCs/>
        </w:rPr>
        <w:t>võrgu</w:t>
      </w:r>
      <w:r w:rsidRPr="00D5222A">
        <w:rPr>
          <w:rFonts w:cs="Times New Roman"/>
          <w:b/>
          <w:bCs/>
        </w:rPr>
        <w:t xml:space="preserve"> A piirkonna hulgitur</w:t>
      </w:r>
      <w:r>
        <w:rPr>
          <w:rFonts w:cs="Times New Roman"/>
          <w:b/>
          <w:bCs/>
        </w:rPr>
        <w:t>ul 3b</w:t>
      </w:r>
      <w:r w:rsidRPr="00D5222A">
        <w:rPr>
          <w:rFonts w:cs="Times New Roman"/>
          <w:b/>
          <w:bCs/>
        </w:rPr>
        <w:t xml:space="preserve"> </w:t>
      </w:r>
      <w:r>
        <w:rPr>
          <w:rFonts w:cs="Times New Roman"/>
          <w:b/>
          <w:bCs/>
        </w:rPr>
        <w:t xml:space="preserve">Teliat enam MTE-ks ei tunnistatud, siis kaovad Telial TTJA 2017 hulgituru 3b otsuse kohased kohustused osutada </w:t>
      </w:r>
      <w:r w:rsidR="00532579">
        <w:rPr>
          <w:rFonts w:cs="Times New Roman"/>
          <w:b/>
          <w:bCs/>
        </w:rPr>
        <w:t>vaskpaar</w:t>
      </w:r>
      <w:r>
        <w:rPr>
          <w:rFonts w:cs="Times New Roman"/>
          <w:b/>
          <w:bCs/>
        </w:rPr>
        <w:t xml:space="preserve">võrgus üleriigiliselt ja valguskaablivõrgus A piirkonnas hulgituru </w:t>
      </w:r>
      <w:r w:rsidR="00324426">
        <w:rPr>
          <w:rFonts w:cs="Times New Roman"/>
          <w:b/>
          <w:bCs/>
        </w:rPr>
        <w:t>3b</w:t>
      </w:r>
      <w:r>
        <w:rPr>
          <w:rFonts w:cs="Times New Roman"/>
          <w:b/>
          <w:bCs/>
        </w:rPr>
        <w:t xml:space="preserve"> teenuseid läbipaistvalt, mittediskrimineerivalt ja kuludele orienteeritud hindadega. TTJA 2017 hulgituru </w:t>
      </w:r>
      <w:r w:rsidR="00324426">
        <w:rPr>
          <w:rFonts w:cs="Times New Roman"/>
          <w:b/>
          <w:bCs/>
        </w:rPr>
        <w:t>3b</w:t>
      </w:r>
      <w:r>
        <w:rPr>
          <w:rFonts w:cs="Times New Roman"/>
          <w:b/>
          <w:bCs/>
        </w:rPr>
        <w:t xml:space="preserve"> otsuse kohased Telia kohustused valguskaablivõrgu B piirkonnas asendatakse käesoleva otsuse kohustustega </w:t>
      </w:r>
      <w:r w:rsidR="008C159A">
        <w:rPr>
          <w:rFonts w:cs="Times New Roman"/>
          <w:b/>
          <w:bCs/>
        </w:rPr>
        <w:t>ptk.-</w:t>
      </w:r>
      <w:r>
        <w:rPr>
          <w:rFonts w:cs="Times New Roman"/>
          <w:b/>
          <w:bCs/>
        </w:rPr>
        <w:t xml:space="preserve">des </w:t>
      </w:r>
      <w:r w:rsidR="00324426">
        <w:rPr>
          <w:rFonts w:cs="Times New Roman"/>
          <w:b/>
          <w:bCs/>
        </w:rPr>
        <w:t>8</w:t>
      </w:r>
      <w:r>
        <w:rPr>
          <w:rFonts w:cs="Times New Roman"/>
          <w:b/>
          <w:bCs/>
        </w:rPr>
        <w:t xml:space="preserve">.3.5, </w:t>
      </w:r>
      <w:r w:rsidR="00324426">
        <w:rPr>
          <w:rFonts w:cs="Times New Roman"/>
          <w:b/>
          <w:bCs/>
        </w:rPr>
        <w:t>8</w:t>
      </w:r>
      <w:r>
        <w:rPr>
          <w:rFonts w:cs="Times New Roman"/>
          <w:b/>
          <w:bCs/>
        </w:rPr>
        <w:t xml:space="preserve">.4.10, </w:t>
      </w:r>
      <w:r w:rsidR="00324426">
        <w:rPr>
          <w:rFonts w:cs="Times New Roman"/>
          <w:b/>
          <w:bCs/>
        </w:rPr>
        <w:t>8</w:t>
      </w:r>
      <w:r>
        <w:rPr>
          <w:rFonts w:cs="Times New Roman"/>
          <w:b/>
          <w:bCs/>
        </w:rPr>
        <w:t xml:space="preserve">.5.5 ja </w:t>
      </w:r>
      <w:r w:rsidR="00324426">
        <w:rPr>
          <w:rFonts w:cs="Times New Roman"/>
          <w:b/>
          <w:bCs/>
        </w:rPr>
        <w:t>8</w:t>
      </w:r>
      <w:r>
        <w:rPr>
          <w:rFonts w:cs="Times New Roman"/>
          <w:b/>
          <w:bCs/>
        </w:rPr>
        <w:t>.6.4.</w:t>
      </w:r>
    </w:p>
    <w:p w14:paraId="6187175F" w14:textId="77777777" w:rsidR="00FC2ADB" w:rsidRPr="00883566" w:rsidRDefault="00FC2ADB" w:rsidP="00FC2ADB">
      <w:pPr>
        <w:pStyle w:val="Loendilik"/>
        <w:spacing w:before="120" w:after="120"/>
        <w:ind w:left="0"/>
        <w:jc w:val="both"/>
        <w:rPr>
          <w:rFonts w:cs="Times New Roman"/>
        </w:rPr>
      </w:pPr>
    </w:p>
    <w:p w14:paraId="1698812A" w14:textId="77777777" w:rsidR="00FC2ADB" w:rsidRPr="00883566" w:rsidRDefault="00FC2ADB" w:rsidP="00FC2ADB">
      <w:pPr>
        <w:pStyle w:val="Loendilik"/>
        <w:spacing w:before="120" w:after="120"/>
        <w:ind w:left="0"/>
        <w:jc w:val="both"/>
        <w:rPr>
          <w:rFonts w:cs="Times New Roman"/>
        </w:rPr>
      </w:pPr>
      <w:r w:rsidRPr="00883566">
        <w:rPr>
          <w:rFonts w:cs="Times New Roman"/>
        </w:rPr>
        <w:t xml:space="preserve">Vastavalt ESS § 49 lõikele 6, kui TTJA tunnistab mõne olemasoleva MTE-ks tunnistamise otsuse kehtetuks võib TTJA kehtestada tingimusi seoses kehtivate juurdepääsulepingutega, andes nende täitmiseks mõistliku tähtaja. </w:t>
      </w:r>
    </w:p>
    <w:p w14:paraId="739FE014" w14:textId="77777777" w:rsidR="00FC2ADB" w:rsidRPr="00883566" w:rsidRDefault="00FC2ADB" w:rsidP="00FC2ADB">
      <w:pPr>
        <w:pStyle w:val="Loendilik"/>
        <w:spacing w:before="120" w:after="120"/>
        <w:ind w:left="0"/>
        <w:jc w:val="both"/>
        <w:rPr>
          <w:rFonts w:cs="Times New Roman"/>
        </w:rPr>
      </w:pPr>
    </w:p>
    <w:p w14:paraId="57644577" w14:textId="60D0FC26" w:rsidR="00FC2ADB" w:rsidRPr="00883566" w:rsidRDefault="00FC2ADB" w:rsidP="00FC2ADB">
      <w:pPr>
        <w:pStyle w:val="Loendilik"/>
        <w:spacing w:before="120" w:after="120"/>
        <w:ind w:left="0"/>
        <w:jc w:val="both"/>
        <w:rPr>
          <w:rFonts w:cs="Times New Roman"/>
          <w:b/>
          <w:bCs/>
        </w:rPr>
      </w:pPr>
      <w:r>
        <w:rPr>
          <w:rFonts w:cs="Times New Roman"/>
          <w:b/>
          <w:bCs/>
        </w:rPr>
        <w:t xml:space="preserve">Kuna vase- ja mobiilsidevõrgu hulgituru </w:t>
      </w:r>
      <w:r w:rsidR="00570C64">
        <w:rPr>
          <w:rFonts w:cs="Times New Roman"/>
          <w:b/>
          <w:bCs/>
        </w:rPr>
        <w:t>3b</w:t>
      </w:r>
      <w:r>
        <w:rPr>
          <w:rFonts w:cs="Times New Roman"/>
          <w:b/>
          <w:bCs/>
        </w:rPr>
        <w:t xml:space="preserve"> ja </w:t>
      </w:r>
      <w:r w:rsidRPr="00D5222A">
        <w:rPr>
          <w:rFonts w:cs="Times New Roman"/>
          <w:b/>
          <w:bCs/>
        </w:rPr>
        <w:t>valguskaabli</w:t>
      </w:r>
      <w:r>
        <w:rPr>
          <w:rFonts w:cs="Times New Roman"/>
          <w:b/>
          <w:bCs/>
        </w:rPr>
        <w:t xml:space="preserve">võrgu </w:t>
      </w:r>
      <w:r w:rsidRPr="00D5222A">
        <w:rPr>
          <w:rFonts w:cs="Times New Roman"/>
          <w:b/>
          <w:bCs/>
        </w:rPr>
        <w:t>A piirkonna hulgitur</w:t>
      </w:r>
      <w:r>
        <w:rPr>
          <w:rFonts w:cs="Times New Roman"/>
          <w:b/>
          <w:bCs/>
        </w:rPr>
        <w:t xml:space="preserve">u </w:t>
      </w:r>
      <w:r w:rsidR="00324426">
        <w:rPr>
          <w:rFonts w:cs="Times New Roman"/>
          <w:b/>
          <w:bCs/>
        </w:rPr>
        <w:t>3b</w:t>
      </w:r>
      <w:r>
        <w:rPr>
          <w:rFonts w:cs="Times New Roman"/>
          <w:b/>
          <w:bCs/>
        </w:rPr>
        <w:t xml:space="preserve"> teenuste osas</w:t>
      </w:r>
      <w:r w:rsidRPr="00D5222A">
        <w:rPr>
          <w:rFonts w:cs="Times New Roman"/>
          <w:b/>
          <w:bCs/>
        </w:rPr>
        <w:t xml:space="preserve"> </w:t>
      </w:r>
      <w:r>
        <w:rPr>
          <w:rFonts w:cs="Times New Roman"/>
          <w:b/>
          <w:bCs/>
        </w:rPr>
        <w:t>Telia kohustused tunnistatakse käesoleva otsusega kehtetuks, siis ESS § 49 lõikest 6 lähtudes</w:t>
      </w:r>
      <w:r w:rsidRPr="00883566">
        <w:rPr>
          <w:rFonts w:cs="Times New Roman"/>
          <w:b/>
          <w:bCs/>
        </w:rPr>
        <w:t xml:space="preserve"> ei tohi Telia käesoleva otsuse kehtestamise kuupäeval </w:t>
      </w:r>
      <w:r>
        <w:rPr>
          <w:rFonts w:cs="Times New Roman"/>
          <w:b/>
          <w:bCs/>
        </w:rPr>
        <w:t>kehtivaid</w:t>
      </w:r>
      <w:r w:rsidRPr="00883566">
        <w:rPr>
          <w:rFonts w:cs="Times New Roman"/>
          <w:b/>
          <w:bCs/>
        </w:rPr>
        <w:t xml:space="preserve"> </w:t>
      </w:r>
      <w:r>
        <w:rPr>
          <w:rFonts w:cs="Times New Roman"/>
          <w:b/>
          <w:bCs/>
        </w:rPr>
        <w:t xml:space="preserve">hulgituru </w:t>
      </w:r>
      <w:r w:rsidR="00324426">
        <w:rPr>
          <w:rFonts w:cs="Times New Roman"/>
          <w:b/>
          <w:bCs/>
        </w:rPr>
        <w:t>3b</w:t>
      </w:r>
      <w:r>
        <w:rPr>
          <w:rFonts w:cs="Times New Roman"/>
          <w:b/>
          <w:bCs/>
        </w:rPr>
        <w:t xml:space="preserve"> teenuste </w:t>
      </w:r>
      <w:r w:rsidRPr="00883566">
        <w:rPr>
          <w:rFonts w:cs="Times New Roman"/>
          <w:b/>
          <w:bCs/>
        </w:rPr>
        <w:t xml:space="preserve"> </w:t>
      </w:r>
      <w:r>
        <w:rPr>
          <w:rFonts w:cs="Times New Roman"/>
          <w:b/>
          <w:bCs/>
        </w:rPr>
        <w:t xml:space="preserve">lepinguid </w:t>
      </w:r>
      <w:r w:rsidR="00532579">
        <w:rPr>
          <w:rFonts w:cs="Times New Roman"/>
          <w:b/>
          <w:bCs/>
        </w:rPr>
        <w:t>vaskpaar</w:t>
      </w:r>
      <w:r w:rsidRPr="00883566">
        <w:rPr>
          <w:rFonts w:cs="Times New Roman"/>
          <w:b/>
          <w:bCs/>
        </w:rPr>
        <w:t>võrgus</w:t>
      </w:r>
      <w:r>
        <w:rPr>
          <w:rFonts w:cs="Times New Roman"/>
          <w:b/>
          <w:bCs/>
        </w:rPr>
        <w:t xml:space="preserve"> üleriigiliselt</w:t>
      </w:r>
      <w:r w:rsidRPr="00883566">
        <w:rPr>
          <w:rFonts w:cs="Times New Roman"/>
          <w:b/>
          <w:bCs/>
        </w:rPr>
        <w:t xml:space="preserve"> ning </w:t>
      </w:r>
      <w:r>
        <w:rPr>
          <w:rFonts w:cs="Times New Roman"/>
          <w:b/>
          <w:bCs/>
        </w:rPr>
        <w:t>valguskaabelvõrgu</w:t>
      </w:r>
      <w:r w:rsidRPr="00883566">
        <w:rPr>
          <w:rFonts w:cs="Times New Roman"/>
          <w:b/>
          <w:bCs/>
        </w:rPr>
        <w:t>s A piirkonna</w:t>
      </w:r>
      <w:r>
        <w:rPr>
          <w:rFonts w:cs="Times New Roman"/>
          <w:b/>
          <w:bCs/>
        </w:rPr>
        <w:t>s</w:t>
      </w:r>
      <w:r w:rsidRPr="00883566">
        <w:rPr>
          <w:rFonts w:cs="Times New Roman"/>
          <w:b/>
          <w:bCs/>
        </w:rPr>
        <w:t xml:space="preserve"> muuta ega lõpetada 160 tööpäeva (ca 8 kuud) alates käesoleva otsuse kehtima hakkamisest ning teavitama vastavate lepingute lõpetamisest lepingu osapooli ette vähemalt 140 tööpäeva (ca 7 kuud).</w:t>
      </w:r>
    </w:p>
    <w:p w14:paraId="7D834E70" w14:textId="77777777" w:rsidR="00F03958" w:rsidRPr="00883566" w:rsidRDefault="00F03958" w:rsidP="00AA241E">
      <w:pPr>
        <w:pStyle w:val="Loendilik"/>
        <w:spacing w:before="120" w:after="120"/>
        <w:ind w:left="0"/>
        <w:jc w:val="both"/>
        <w:rPr>
          <w:rFonts w:cs="Times New Roman"/>
        </w:rPr>
      </w:pPr>
    </w:p>
    <w:p w14:paraId="12164F19" w14:textId="77777777" w:rsidR="00F642BB" w:rsidRDefault="00F642BB" w:rsidP="00AA241E">
      <w:pPr>
        <w:pStyle w:val="Loendilik"/>
        <w:spacing w:before="120" w:after="120"/>
        <w:ind w:left="0"/>
        <w:jc w:val="both"/>
        <w:rPr>
          <w:rFonts w:cs="Times New Roman"/>
          <w:b/>
          <w:bCs/>
        </w:rPr>
      </w:pPr>
    </w:p>
    <w:p w14:paraId="13156239" w14:textId="08F2135D" w:rsidR="00F03958" w:rsidRPr="00883566" w:rsidRDefault="0007135D" w:rsidP="00AA241E">
      <w:pPr>
        <w:pStyle w:val="Pealkiri2"/>
        <w:jc w:val="both"/>
      </w:pPr>
      <w:bookmarkStart w:id="1097" w:name="_Toc215466502"/>
      <w:bookmarkStart w:id="1098" w:name="_Toc216228055"/>
      <w:bookmarkStart w:id="1099" w:name="_Toc457983650"/>
      <w:bookmarkStart w:id="1100" w:name="_Toc464639356"/>
      <w:bookmarkStart w:id="1101" w:name="_Toc470614558"/>
      <w:bookmarkStart w:id="1102" w:name="_Toc472597881"/>
      <w:bookmarkStart w:id="1103" w:name="_Toc35339841"/>
      <w:bookmarkStart w:id="1104" w:name="_Toc66262825"/>
      <w:bookmarkStart w:id="1105" w:name="_Toc151026074"/>
      <w:bookmarkStart w:id="1106" w:name="_Toc174710867"/>
      <w:r>
        <w:t>Hulgiturg</w:t>
      </w:r>
      <w:r w:rsidR="00F03958" w:rsidRPr="00883566">
        <w:t xml:space="preserve"> 3b kohustuste eesmärk</w:t>
      </w:r>
      <w:bookmarkEnd w:id="1097"/>
      <w:bookmarkEnd w:id="1098"/>
      <w:bookmarkEnd w:id="1099"/>
      <w:r w:rsidR="00263CA5">
        <w:t>,</w:t>
      </w:r>
      <w:r w:rsidR="00F03958" w:rsidRPr="00883566">
        <w:t xml:space="preserve"> alused</w:t>
      </w:r>
      <w:bookmarkEnd w:id="1100"/>
      <w:bookmarkEnd w:id="1101"/>
      <w:bookmarkEnd w:id="1102"/>
      <w:bookmarkEnd w:id="1103"/>
      <w:bookmarkEnd w:id="1104"/>
      <w:bookmarkEnd w:id="1105"/>
      <w:r w:rsidR="00263CA5">
        <w:t xml:space="preserve"> ja ajalugu</w:t>
      </w:r>
      <w:bookmarkEnd w:id="1106"/>
    </w:p>
    <w:p w14:paraId="586CEF3B" w14:textId="77777777" w:rsidR="00C8798B" w:rsidRPr="00C8798B" w:rsidRDefault="00C8798B"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1107" w:name="_Toc174094654"/>
      <w:bookmarkStart w:id="1108" w:name="_Toc174094921"/>
      <w:bookmarkStart w:id="1109" w:name="_Toc174095187"/>
      <w:bookmarkStart w:id="1110" w:name="_Toc174095452"/>
      <w:bookmarkStart w:id="1111" w:name="_Toc174095990"/>
      <w:bookmarkStart w:id="1112" w:name="_Toc174096256"/>
      <w:bookmarkStart w:id="1113" w:name="_Toc174536152"/>
      <w:bookmarkStart w:id="1114" w:name="_Toc174617252"/>
      <w:bookmarkStart w:id="1115" w:name="_Toc174618609"/>
      <w:bookmarkStart w:id="1116" w:name="_Toc174627671"/>
      <w:bookmarkStart w:id="1117" w:name="_Toc174705095"/>
      <w:bookmarkStart w:id="1118" w:name="_Toc174709639"/>
      <w:bookmarkStart w:id="1119" w:name="_Toc174710868"/>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14:paraId="7DB5C2A3" w14:textId="0CA60726" w:rsidR="00F03958" w:rsidRPr="00883566" w:rsidRDefault="00F03958" w:rsidP="009805E1">
      <w:pPr>
        <w:pStyle w:val="Pealkiri3"/>
      </w:pPr>
      <w:bookmarkStart w:id="1120" w:name="_Toc174710869"/>
      <w:r w:rsidRPr="00883566">
        <w:t>Kohustuste eesmärk</w:t>
      </w:r>
      <w:bookmarkEnd w:id="1120"/>
    </w:p>
    <w:p w14:paraId="40F8E578" w14:textId="77777777" w:rsidR="00F03958" w:rsidRPr="00883566" w:rsidRDefault="00F03958" w:rsidP="00AA241E">
      <w:pPr>
        <w:spacing w:line="259" w:lineRule="auto"/>
        <w:jc w:val="both"/>
        <w:rPr>
          <w:rFonts w:cs="Times New Roman"/>
          <w:lang w:eastAsia="et-EE"/>
        </w:rPr>
      </w:pPr>
      <w:r w:rsidRPr="00883566">
        <w:rPr>
          <w:rFonts w:cs="Times New Roman"/>
          <w:lang w:eastAsia="en-US"/>
        </w:rPr>
        <w:t xml:space="preserve">Sideteenuse turgudel </w:t>
      </w:r>
      <w:r w:rsidRPr="00883566">
        <w:rPr>
          <w:rFonts w:cs="Times New Roman"/>
        </w:rPr>
        <w:t xml:space="preserve">valdkonnaspetsiifilise </w:t>
      </w:r>
      <w:r w:rsidRPr="00883566">
        <w:rPr>
          <w:rFonts w:cs="Times New Roman"/>
          <w:lang w:eastAsia="en-US"/>
        </w:rPr>
        <w:t xml:space="preserve">regulatsiooni kehtestamise eesmärk on tagada konkurentsi soodustamisega sideteenuse osutajate paljusus, nende võrdne ja mittediskrimineeriv </w:t>
      </w:r>
      <w:r w:rsidRPr="00883566">
        <w:rPr>
          <w:rFonts w:cs="Times New Roman"/>
          <w:lang w:eastAsia="en-US"/>
        </w:rPr>
        <w:lastRenderedPageBreak/>
        <w:t>kohtlemine ning osutatavate teenuste kvaliteet ja kättesaadavus lõppkasutajatele</w:t>
      </w:r>
      <w:r w:rsidRPr="00883566">
        <w:rPr>
          <w:rFonts w:cs="Times New Roman"/>
          <w:vertAlign w:val="superscript"/>
          <w:lang w:eastAsia="en-US"/>
        </w:rPr>
        <w:footnoteReference w:id="198"/>
      </w:r>
      <w:r w:rsidRPr="00883566">
        <w:rPr>
          <w:rFonts w:cs="Times New Roman"/>
          <w:lang w:eastAsia="en-US"/>
        </w:rPr>
        <w:t>. MTE-</w:t>
      </w:r>
      <w:proofErr w:type="spellStart"/>
      <w:r w:rsidRPr="00883566">
        <w:rPr>
          <w:rFonts w:cs="Times New Roman"/>
          <w:lang w:eastAsia="en-US"/>
        </w:rPr>
        <w:t>le</w:t>
      </w:r>
      <w:proofErr w:type="spellEnd"/>
      <w:r w:rsidRPr="00883566">
        <w:rPr>
          <w:rFonts w:cs="Times New Roman"/>
          <w:lang w:eastAsia="en-US"/>
        </w:rPr>
        <w:t xml:space="preserve"> kohustuste kehtestamine on suunatud konkurentsiprobleemide vältimisele, </w:t>
      </w:r>
      <w:r w:rsidRPr="00883566">
        <w:rPr>
          <w:rFonts w:cs="Times New Roman"/>
          <w:lang w:eastAsia="et-EE"/>
        </w:rPr>
        <w:t>konkurentsi edendamisele elektroonilise side ja sellega seotud teenuste osutamisel, sideteenust turu arengule ning sideteenuste kasutajate kaitsele. Kohustuste kehtestamisel järgitakse objektiivseid, läbipaistvaid, mittediskrimineerivaid ja proportsionaalseid reguleerimispõhimõtteid, muu hulgas</w:t>
      </w:r>
      <w:r w:rsidRPr="00883566">
        <w:rPr>
          <w:rStyle w:val="Allmrkuseviide"/>
          <w:rFonts w:cs="Times New Roman"/>
          <w:lang w:eastAsia="et-EE"/>
        </w:rPr>
        <w:footnoteReference w:id="199"/>
      </w:r>
      <w:r w:rsidRPr="00883566">
        <w:rPr>
          <w:rFonts w:cs="Times New Roman"/>
          <w:lang w:eastAsia="et-EE"/>
        </w:rPr>
        <w:t xml:space="preserve">: </w:t>
      </w:r>
    </w:p>
    <w:p w14:paraId="278808FB" w14:textId="77777777" w:rsidR="00F03958" w:rsidRPr="00883566" w:rsidRDefault="00F03958" w:rsidP="00E671F9">
      <w:pPr>
        <w:rPr>
          <w:rFonts w:cs="Times New Roman"/>
          <w:lang w:eastAsia="et-EE"/>
        </w:rPr>
      </w:pPr>
      <w:r w:rsidRPr="00883566">
        <w:rPr>
          <w:rFonts w:cs="Times New Roman"/>
        </w:rPr>
        <w:t>1) edendatakse regulatsiooni ettenähtavust, tagades ühetaolise regulatiivse lähenemise ka regulatsiooni muutmise järel;</w:t>
      </w:r>
      <w:r w:rsidRPr="00883566">
        <w:br/>
      </w:r>
      <w:r w:rsidRPr="00883566">
        <w:rPr>
          <w:rFonts w:cs="Times New Roman"/>
        </w:rPr>
        <w:t>2) tagatakse sideettevõtjate võrdne ja mittediskrimineeriv kohtlemine;</w:t>
      </w:r>
      <w:r w:rsidRPr="00883566">
        <w:br/>
      </w:r>
      <w:r w:rsidRPr="00883566">
        <w:rPr>
          <w:rFonts w:cs="Times New Roman"/>
        </w:rPr>
        <w:t>3) edendatakse taristupõhist konkurentsi;</w:t>
      </w:r>
      <w:r w:rsidRPr="00883566">
        <w:br/>
      </w:r>
      <w:r w:rsidRPr="00883566">
        <w:rPr>
          <w:rFonts w:cs="Times New Roman"/>
        </w:rPr>
        <w:t>4) soodustatakse sidevõrkudesse ja muudesse elektroonilise side taristu objektidesse investeerimist, toetatakse uuendusi ning kaitstakse investeeringuid;</w:t>
      </w:r>
      <w:r w:rsidRPr="00883566">
        <w:br/>
      </w:r>
      <w:r w:rsidRPr="00883566">
        <w:rPr>
          <w:rFonts w:cs="Times New Roman"/>
        </w:rPr>
        <w:t>5) arvestatakse valitsevat konkurentsi ja lõppkasutajate paiknemise eripära teenustele juurdepääsul;</w:t>
      </w:r>
      <w:r w:rsidRPr="00883566">
        <w:br/>
      </w:r>
      <w:r w:rsidRPr="00883566">
        <w:rPr>
          <w:rFonts w:cs="Times New Roman"/>
        </w:rPr>
        <w:t>6) kehtestatakse kohustusi ainult tõhusa ja jätkusuutliku konkurentsi puudumisel;</w:t>
      </w:r>
    </w:p>
    <w:p w14:paraId="28CD5D9A" w14:textId="77777777" w:rsidR="00F03958" w:rsidRPr="00883566" w:rsidRDefault="00F03958" w:rsidP="00E671F9">
      <w:pPr>
        <w:rPr>
          <w:rFonts w:cs="Times New Roman"/>
          <w:lang w:eastAsia="et-EE"/>
        </w:rPr>
      </w:pPr>
      <w:r w:rsidRPr="00883566">
        <w:rPr>
          <w:rFonts w:cs="Times New Roman"/>
        </w:rPr>
        <w:t>7) juhindutakse tehnoloogilise neutraalsuse põhimõttest.</w:t>
      </w:r>
    </w:p>
    <w:p w14:paraId="698C9D4E" w14:textId="77777777" w:rsidR="00F03958" w:rsidRPr="00883566" w:rsidRDefault="00F03958" w:rsidP="00AA241E">
      <w:pPr>
        <w:spacing w:line="259" w:lineRule="auto"/>
        <w:jc w:val="both"/>
        <w:rPr>
          <w:rFonts w:cs="Times New Roman"/>
          <w:lang w:eastAsia="en-US"/>
        </w:rPr>
      </w:pPr>
    </w:p>
    <w:p w14:paraId="527BBAA9" w14:textId="77777777" w:rsidR="00F03958" w:rsidRPr="00883566" w:rsidRDefault="00F03958" w:rsidP="00AA241E">
      <w:pPr>
        <w:spacing w:line="259" w:lineRule="auto"/>
        <w:jc w:val="both"/>
        <w:rPr>
          <w:rFonts w:cs="Times New Roman"/>
          <w:lang w:eastAsia="en-US"/>
        </w:rPr>
      </w:pPr>
      <w:r w:rsidRPr="00883566">
        <w:rPr>
          <w:rFonts w:cs="Times New Roman"/>
          <w:lang w:eastAsia="en-US"/>
        </w:rPr>
        <w:t>Kuivõrd ennetava (</w:t>
      </w:r>
      <w:r w:rsidRPr="00883566">
        <w:rPr>
          <w:rFonts w:cs="Times New Roman"/>
          <w:i/>
          <w:lang w:eastAsia="en-US"/>
        </w:rPr>
        <w:t>ex ante)</w:t>
      </w:r>
      <w:r w:rsidRPr="00883566">
        <w:rPr>
          <w:rFonts w:cs="Times New Roman"/>
          <w:lang w:eastAsia="en-US"/>
        </w:rPr>
        <w:t xml:space="preserve"> </w:t>
      </w:r>
      <w:r w:rsidRPr="00883566">
        <w:rPr>
          <w:rFonts w:cs="Times New Roman"/>
        </w:rPr>
        <w:t>valdkonnaspetsiifiliste kohustuste</w:t>
      </w:r>
      <w:r w:rsidRPr="00883566">
        <w:rPr>
          <w:rFonts w:cs="Times New Roman"/>
          <w:lang w:eastAsia="en-US"/>
        </w:rPr>
        <w:t xml:space="preserve"> kehtestamine</w:t>
      </w:r>
      <w:r w:rsidRPr="00883566">
        <w:rPr>
          <w:rFonts w:cs="Times New Roman"/>
        </w:rPr>
        <w:t xml:space="preserve"> MTE-</w:t>
      </w:r>
      <w:proofErr w:type="spellStart"/>
      <w:r w:rsidRPr="00883566">
        <w:rPr>
          <w:rFonts w:cs="Times New Roman"/>
        </w:rPr>
        <w:t>le</w:t>
      </w:r>
      <w:proofErr w:type="spellEnd"/>
      <w:r w:rsidRPr="00883566">
        <w:rPr>
          <w:rFonts w:cs="Times New Roman"/>
          <w:lang w:eastAsia="en-US"/>
        </w:rPr>
        <w:t xml:space="preserve"> ei sisalda endas hinnangut sellele, kas </w:t>
      </w:r>
      <w:r w:rsidRPr="00883566">
        <w:rPr>
          <w:rFonts w:cs="Times New Roman"/>
        </w:rPr>
        <w:t>MTE</w:t>
      </w:r>
      <w:r w:rsidRPr="00883566">
        <w:rPr>
          <w:rFonts w:cs="Times New Roman"/>
          <w:lang w:eastAsia="en-US"/>
        </w:rPr>
        <w:t xml:space="preserve"> on pannud toime õiguserikkumise ning oluline on üksnes kindlaks teha, kas tema turujõud annab talle võime käituda märgatavas ulatuses sõltumatuna konkurentidest, lepingupartneritest ja lõppkasutajatest</w:t>
      </w:r>
      <w:r w:rsidRPr="00883566">
        <w:rPr>
          <w:rFonts w:cs="Times New Roman"/>
          <w:vertAlign w:val="superscript"/>
          <w:lang w:eastAsia="en-US"/>
        </w:rPr>
        <w:footnoteReference w:id="200"/>
      </w:r>
      <w:r w:rsidRPr="00883566">
        <w:rPr>
          <w:rFonts w:cs="Times New Roman"/>
          <w:lang w:eastAsia="en-US"/>
        </w:rPr>
        <w:t xml:space="preserve">, siis tuleb ka piiritletud sideturul esineda võivaid konkurentsiprobleeme hinnata ennekõike kui potentsiaalseid konkurentsiprobleeme ning selgitada välja, kas niisugused konkurentsiprobleemid võivad turu konkurentsiolukorrast tingituna praktikas realiseeruda. </w:t>
      </w:r>
    </w:p>
    <w:p w14:paraId="6FB4D2DD" w14:textId="77777777" w:rsidR="00F03958" w:rsidRPr="00883566" w:rsidRDefault="00F03958" w:rsidP="00AA241E">
      <w:pPr>
        <w:spacing w:line="259" w:lineRule="auto"/>
        <w:jc w:val="both"/>
        <w:rPr>
          <w:rFonts w:cs="Times New Roman"/>
          <w:lang w:eastAsia="en-US"/>
        </w:rPr>
      </w:pPr>
    </w:p>
    <w:p w14:paraId="070A5097" w14:textId="77777777" w:rsidR="00F03958" w:rsidRPr="00C8798B" w:rsidRDefault="00F03958" w:rsidP="009805E1">
      <w:pPr>
        <w:pStyle w:val="Pealkiri3"/>
      </w:pPr>
      <w:bookmarkStart w:id="1122" w:name="_Toc174710870"/>
      <w:r w:rsidRPr="00C8798B">
        <w:t>Kohustuste kehtestamise alused</w:t>
      </w:r>
      <w:bookmarkEnd w:id="1122"/>
    </w:p>
    <w:p w14:paraId="31C25E57" w14:textId="77777777" w:rsidR="00F03958" w:rsidRPr="00883566" w:rsidRDefault="00F03958" w:rsidP="00AA241E">
      <w:pPr>
        <w:spacing w:line="259" w:lineRule="auto"/>
        <w:jc w:val="both"/>
        <w:rPr>
          <w:rFonts w:cs="Times New Roman"/>
          <w:lang w:eastAsia="en-US"/>
        </w:rPr>
      </w:pPr>
      <w:r w:rsidRPr="00883566">
        <w:rPr>
          <w:rFonts w:cs="Times New Roman"/>
          <w:lang w:eastAsia="en-US"/>
        </w:rPr>
        <w:t>MTE-</w:t>
      </w:r>
      <w:proofErr w:type="spellStart"/>
      <w:r w:rsidRPr="00883566">
        <w:rPr>
          <w:rFonts w:cs="Times New Roman"/>
          <w:lang w:eastAsia="en-US"/>
        </w:rPr>
        <w:t>le</w:t>
      </w:r>
      <w:proofErr w:type="spellEnd"/>
      <w:r w:rsidRPr="00883566">
        <w:rPr>
          <w:rFonts w:cs="Times New Roman"/>
          <w:lang w:eastAsia="en-US"/>
        </w:rPr>
        <w:t xml:space="preserve"> kohustuse kehtestamisel lähtub TTJA ettevõtja suhtes ESS §-des 48</w:t>
      </w:r>
      <w:r w:rsidRPr="00883566">
        <w:rPr>
          <w:rFonts w:cs="Times New Roman"/>
          <w:vertAlign w:val="superscript"/>
          <w:lang w:eastAsia="en-US"/>
        </w:rPr>
        <w:t xml:space="preserve">1 </w:t>
      </w:r>
      <w:r w:rsidRPr="00883566">
        <w:rPr>
          <w:rFonts w:cs="Times New Roman"/>
          <w:lang w:eastAsia="en-US"/>
        </w:rPr>
        <w:t>– 66 sätestatust, kehtestades ettevõtjale ühe või mitu asjakohast kohustust sellel sideteenuse turul, millel sideettevõtja kohta on tehtud ettepanek tunnistada ta MTE-ks. Kohustuse valikul arvestab TTJA muuhulgas EK elektroonilise side turgu puudutavate soovituste ja seisukohtadega ning EL sideturu regulaatorite koostöös kujundatud vastava praktikaga</w:t>
      </w:r>
      <w:r w:rsidRPr="00883566">
        <w:rPr>
          <w:rFonts w:cs="Times New Roman"/>
          <w:vertAlign w:val="superscript"/>
          <w:lang w:eastAsia="en-US"/>
        </w:rPr>
        <w:footnoteReference w:id="201"/>
      </w:r>
      <w:r w:rsidRPr="00883566">
        <w:rPr>
          <w:rFonts w:cs="Times New Roman"/>
        </w:rPr>
        <w:t>, sh Euroopa Sideameti (BEREC) juhiste ja raportitega</w:t>
      </w:r>
      <w:r w:rsidRPr="00883566">
        <w:rPr>
          <w:rFonts w:cs="Times New Roman"/>
          <w:lang w:eastAsia="en-US"/>
        </w:rPr>
        <w:t>.</w:t>
      </w:r>
    </w:p>
    <w:p w14:paraId="08A9ECE7" w14:textId="77777777" w:rsidR="00F03958" w:rsidRPr="00883566" w:rsidRDefault="00F03958" w:rsidP="00AA241E">
      <w:pPr>
        <w:spacing w:line="259" w:lineRule="auto"/>
        <w:jc w:val="both"/>
        <w:rPr>
          <w:rFonts w:cs="Times New Roman"/>
          <w:lang w:eastAsia="en-US"/>
        </w:rPr>
      </w:pPr>
      <w:bookmarkStart w:id="1123" w:name="_Hlk25150957"/>
      <w:r w:rsidRPr="00883566">
        <w:rPr>
          <w:rFonts w:cs="Times New Roman"/>
        </w:rPr>
        <w:lastRenderedPageBreak/>
        <w:t>Kohustused</w:t>
      </w:r>
      <w:r w:rsidRPr="00883566" w:rsidDel="00FD69FD">
        <w:rPr>
          <w:rFonts w:cs="Times New Roman"/>
        </w:rPr>
        <w:t xml:space="preserve"> </w:t>
      </w:r>
      <w:bookmarkEnd w:id="1123"/>
      <w:r w:rsidRPr="00883566">
        <w:rPr>
          <w:rFonts w:cs="Times New Roman"/>
        </w:rPr>
        <w:t>h</w:t>
      </w:r>
      <w:r w:rsidRPr="00883566">
        <w:rPr>
          <w:rFonts w:cs="Times New Roman"/>
          <w:lang w:eastAsia="en-US"/>
        </w:rPr>
        <w:t>ulgituru</w:t>
      </w:r>
      <w:r w:rsidRPr="00883566">
        <w:rPr>
          <w:rFonts w:cs="Times New Roman"/>
        </w:rPr>
        <w:t xml:space="preserve"> 3b</w:t>
      </w:r>
      <w:r w:rsidRPr="00883566">
        <w:rPr>
          <w:rFonts w:cs="Times New Roman"/>
          <w:lang w:eastAsia="en-US"/>
        </w:rPr>
        <w:t xml:space="preserve"> </w:t>
      </w:r>
      <w:r w:rsidRPr="00883566">
        <w:rPr>
          <w:rFonts w:cs="Times New Roman"/>
        </w:rPr>
        <w:t>teenuste osas</w:t>
      </w:r>
      <w:r w:rsidRPr="00883566">
        <w:rPr>
          <w:rFonts w:cs="Times New Roman"/>
          <w:lang w:eastAsia="en-US"/>
        </w:rPr>
        <w:t xml:space="preserve"> saab jaotada järgmiselt: </w:t>
      </w:r>
      <w:r w:rsidRPr="00883566">
        <w:rPr>
          <w:rFonts w:cs="Times New Roman"/>
        </w:rPr>
        <w:t xml:space="preserve">teenustele </w:t>
      </w:r>
      <w:r w:rsidRPr="00883566">
        <w:rPr>
          <w:rFonts w:cs="Times New Roman"/>
          <w:lang w:eastAsia="en-US"/>
        </w:rPr>
        <w:t>juurdepääsukohustused</w:t>
      </w:r>
      <w:r w:rsidRPr="00883566">
        <w:rPr>
          <w:rFonts w:cs="Times New Roman"/>
          <w:vertAlign w:val="superscript"/>
          <w:lang w:eastAsia="en-US"/>
        </w:rPr>
        <w:footnoteReference w:id="202"/>
      </w:r>
      <w:r w:rsidRPr="00883566">
        <w:rPr>
          <w:rFonts w:cs="Times New Roman"/>
          <w:lang w:eastAsia="en-US"/>
        </w:rPr>
        <w:t xml:space="preserve">, </w:t>
      </w:r>
      <w:r w:rsidRPr="00883566">
        <w:rPr>
          <w:rFonts w:cs="Times New Roman"/>
        </w:rPr>
        <w:t xml:space="preserve">teenuste </w:t>
      </w:r>
      <w:r w:rsidRPr="00883566">
        <w:rPr>
          <w:rFonts w:cs="Times New Roman"/>
          <w:lang w:eastAsia="en-US"/>
        </w:rPr>
        <w:t>osutamisega seotud mittediskrimineerimise kohustused</w:t>
      </w:r>
      <w:r w:rsidRPr="00883566">
        <w:rPr>
          <w:rFonts w:cs="Times New Roman"/>
          <w:vertAlign w:val="superscript"/>
          <w:lang w:eastAsia="en-US"/>
        </w:rPr>
        <w:footnoteReference w:id="203"/>
      </w:r>
      <w:r w:rsidRPr="00883566">
        <w:rPr>
          <w:rFonts w:cs="Times New Roman"/>
        </w:rPr>
        <w:t>,</w:t>
      </w:r>
      <w:r w:rsidRPr="00883566">
        <w:rPr>
          <w:rFonts w:cs="Times New Roman"/>
          <w:lang w:eastAsia="en-US"/>
        </w:rPr>
        <w:t xml:space="preserve"> </w:t>
      </w:r>
      <w:r w:rsidRPr="00883566">
        <w:rPr>
          <w:rFonts w:cs="Times New Roman"/>
        </w:rPr>
        <w:t xml:space="preserve">teenuste </w:t>
      </w:r>
      <w:r w:rsidRPr="00883566">
        <w:rPr>
          <w:rFonts w:cs="Times New Roman"/>
          <w:lang w:eastAsia="en-US"/>
        </w:rPr>
        <w:t>läbipaistvuse kohustused</w:t>
      </w:r>
      <w:r w:rsidRPr="00883566">
        <w:rPr>
          <w:rFonts w:cs="Times New Roman"/>
          <w:vertAlign w:val="superscript"/>
          <w:lang w:eastAsia="en-US"/>
        </w:rPr>
        <w:footnoteReference w:id="204"/>
      </w:r>
      <w:r w:rsidRPr="00883566">
        <w:rPr>
          <w:rFonts w:cs="Times New Roman"/>
          <w:lang w:eastAsia="en-US"/>
        </w:rPr>
        <w:t xml:space="preserve"> ning </w:t>
      </w:r>
      <w:r w:rsidRPr="00883566">
        <w:rPr>
          <w:rFonts w:cs="Times New Roman"/>
        </w:rPr>
        <w:t xml:space="preserve">teenuste </w:t>
      </w:r>
      <w:r w:rsidRPr="00883566">
        <w:rPr>
          <w:rFonts w:cs="Times New Roman"/>
          <w:lang w:eastAsia="en-US"/>
        </w:rPr>
        <w:t>hinnaga seotud kohustused</w:t>
      </w:r>
      <w:r w:rsidRPr="00883566">
        <w:rPr>
          <w:rFonts w:cs="Times New Roman"/>
          <w:vertAlign w:val="superscript"/>
          <w:lang w:eastAsia="en-US"/>
        </w:rPr>
        <w:footnoteReference w:id="205"/>
      </w:r>
      <w:r w:rsidRPr="00883566">
        <w:rPr>
          <w:rFonts w:cs="Times New Roman"/>
          <w:lang w:eastAsia="en-US"/>
        </w:rPr>
        <w:t>.</w:t>
      </w:r>
    </w:p>
    <w:p w14:paraId="79F1FD5B" w14:textId="77777777" w:rsidR="00F03958" w:rsidRPr="00883566" w:rsidRDefault="00F03958" w:rsidP="00AA241E">
      <w:pPr>
        <w:spacing w:line="259" w:lineRule="auto"/>
        <w:jc w:val="both"/>
        <w:rPr>
          <w:rFonts w:cs="Times New Roman"/>
          <w:lang w:eastAsia="en-US"/>
        </w:rPr>
      </w:pPr>
      <w:r w:rsidRPr="00883566">
        <w:rPr>
          <w:rFonts w:cs="Times New Roman"/>
        </w:rPr>
        <w:t>ESS § 46 kohaselt arvestatakse MTE-</w:t>
      </w:r>
      <w:proofErr w:type="spellStart"/>
      <w:r w:rsidRPr="00883566">
        <w:rPr>
          <w:rFonts w:cs="Times New Roman"/>
        </w:rPr>
        <w:t>le</w:t>
      </w:r>
      <w:proofErr w:type="spellEnd"/>
      <w:r w:rsidRPr="00883566">
        <w:rPr>
          <w:rFonts w:cs="Times New Roman"/>
        </w:rPr>
        <w:t xml:space="preserve"> kohustusi määrates EK ja BEREC-i (Euroopa Sideameti) soovituste ja suunistega, neist peamised on järgmised:</w:t>
      </w:r>
    </w:p>
    <w:p w14:paraId="5391890A" w14:textId="77777777" w:rsidR="00F03958" w:rsidRPr="00883566" w:rsidRDefault="00F03958" w:rsidP="00E671F9">
      <w:pPr>
        <w:pStyle w:val="Loendilik"/>
        <w:numPr>
          <w:ilvl w:val="0"/>
          <w:numId w:val="133"/>
        </w:numPr>
        <w:spacing w:after="0" w:line="259" w:lineRule="auto"/>
        <w:jc w:val="both"/>
        <w:rPr>
          <w:rFonts w:cs="Times New Roman"/>
        </w:rPr>
      </w:pPr>
      <w:r w:rsidRPr="00883566">
        <w:rPr>
          <w:rFonts w:cs="Times New Roman"/>
        </w:rPr>
        <w:t xml:space="preserve">EK soovitus (EL) 2024/539, 6. veebruar 2024, </w:t>
      </w:r>
      <w:proofErr w:type="spellStart"/>
      <w:r w:rsidRPr="00883566">
        <w:rPr>
          <w:rFonts w:cs="Times New Roman"/>
        </w:rPr>
        <w:t>gigabitiühenduvuse</w:t>
      </w:r>
      <w:proofErr w:type="spellEnd"/>
      <w:r w:rsidRPr="00883566">
        <w:rPr>
          <w:rFonts w:cs="Times New Roman"/>
        </w:rPr>
        <w:t xml:space="preserve"> regulatiivse edendamise kohta (edaspidi ka EK 2024 kohustuste soovitus</w:t>
      </w:r>
      <w:r w:rsidRPr="00883566">
        <w:rPr>
          <w:rFonts w:cs="Times New Roman"/>
          <w:vertAlign w:val="superscript"/>
        </w:rPr>
        <w:footnoteReference w:id="206"/>
      </w:r>
      <w:r w:rsidRPr="00883566">
        <w:rPr>
          <w:rFonts w:cs="Times New Roman"/>
        </w:rPr>
        <w:t>);</w:t>
      </w:r>
    </w:p>
    <w:p w14:paraId="11431D93" w14:textId="77777777" w:rsidR="00F03958" w:rsidRPr="00883566" w:rsidRDefault="00F03958" w:rsidP="00E671F9">
      <w:pPr>
        <w:pStyle w:val="Loendilik"/>
        <w:numPr>
          <w:ilvl w:val="0"/>
          <w:numId w:val="133"/>
        </w:numPr>
        <w:spacing w:after="0" w:line="259" w:lineRule="auto"/>
        <w:ind w:left="714" w:hanging="357"/>
        <w:jc w:val="both"/>
        <w:rPr>
          <w:rFonts w:cs="Times New Roman"/>
        </w:rPr>
      </w:pPr>
      <w:r w:rsidRPr="00883566">
        <w:rPr>
          <w:rFonts w:cs="Times New Roman"/>
        </w:rPr>
        <w:t>Selgitavad märkused</w:t>
      </w:r>
      <w:r w:rsidRPr="00883566">
        <w:rPr>
          <w:rFonts w:cs="Times New Roman"/>
          <w:vertAlign w:val="superscript"/>
        </w:rPr>
        <w:footnoteReference w:id="207"/>
      </w:r>
      <w:r w:rsidRPr="00883566">
        <w:rPr>
          <w:rFonts w:cs="Times New Roman"/>
        </w:rPr>
        <w:t xml:space="preserve"> EK 2024 kohustuste soovitusele (edaspidi ka EK 2024 kohustuste soovituse selgitavad märkused);</w:t>
      </w:r>
    </w:p>
    <w:p w14:paraId="56D25B2E" w14:textId="77777777" w:rsidR="00F03958" w:rsidRPr="00883566" w:rsidRDefault="00F03958" w:rsidP="00E671F9">
      <w:pPr>
        <w:numPr>
          <w:ilvl w:val="0"/>
          <w:numId w:val="133"/>
        </w:numPr>
        <w:spacing w:after="0" w:line="259" w:lineRule="auto"/>
        <w:ind w:left="714" w:hanging="357"/>
        <w:contextualSpacing/>
        <w:jc w:val="both"/>
        <w:rPr>
          <w:rFonts w:cs="Times New Roman"/>
          <w:lang w:eastAsia="en-US"/>
        </w:rPr>
      </w:pPr>
      <w:r w:rsidRPr="00883566">
        <w:rPr>
          <w:rFonts w:cs="Times New Roman"/>
        </w:rPr>
        <w:t>BEREC-i (Euroopa Sideameti) suunised läbipaistvuskohustustega seotud standardpakkumise miinimumnõuete kohta</w:t>
      </w:r>
      <w:r w:rsidRPr="00883566">
        <w:rPr>
          <w:rFonts w:eastAsiaTheme="minorHAnsi" w:cs="Times New Roman"/>
          <w:vertAlign w:val="superscript"/>
          <w:lang w:eastAsia="en-US"/>
        </w:rPr>
        <w:footnoteReference w:id="208"/>
      </w:r>
      <w:r w:rsidRPr="00883566">
        <w:rPr>
          <w:rFonts w:cs="Times New Roman"/>
        </w:rPr>
        <w:t xml:space="preserve">, </w:t>
      </w:r>
      <w:proofErr w:type="spellStart"/>
      <w:r w:rsidRPr="00883566">
        <w:rPr>
          <w:rFonts w:cs="Times New Roman"/>
        </w:rPr>
        <w:t>BoR</w:t>
      </w:r>
      <w:proofErr w:type="spellEnd"/>
      <w:r w:rsidRPr="00883566">
        <w:rPr>
          <w:rFonts w:cs="Times New Roman"/>
        </w:rPr>
        <w:t xml:space="preserve"> (19) 238.</w:t>
      </w:r>
    </w:p>
    <w:p w14:paraId="5F00D830" w14:textId="77777777" w:rsidR="00F03958" w:rsidRPr="00883566" w:rsidRDefault="00F03958" w:rsidP="00E671F9">
      <w:pPr>
        <w:numPr>
          <w:ilvl w:val="0"/>
          <w:numId w:val="133"/>
        </w:numPr>
        <w:spacing w:after="0" w:line="259" w:lineRule="auto"/>
        <w:ind w:left="714" w:hanging="357"/>
        <w:contextualSpacing/>
        <w:jc w:val="both"/>
        <w:rPr>
          <w:rFonts w:cs="Times New Roman"/>
          <w:lang w:eastAsia="en-US"/>
        </w:rPr>
      </w:pPr>
      <w:r w:rsidRPr="00883566">
        <w:rPr>
          <w:rFonts w:cs="Times New Roman"/>
          <w:lang w:eastAsia="en-US"/>
        </w:rPr>
        <w:t>BEREC-i (Euroopa Sideameti) ühine seisukoht mis käsitleb hulgituru</w:t>
      </w:r>
      <w:r w:rsidRPr="00883566">
        <w:rPr>
          <w:rFonts w:cs="Times New Roman"/>
        </w:rPr>
        <w:t xml:space="preserve"> 3b</w:t>
      </w:r>
      <w:r w:rsidRPr="00883566">
        <w:rPr>
          <w:rFonts w:cs="Times New Roman"/>
          <w:lang w:eastAsia="en-US"/>
        </w:rPr>
        <w:t xml:space="preserve"> </w:t>
      </w:r>
      <w:r w:rsidRPr="00883566">
        <w:rPr>
          <w:rFonts w:cs="Times New Roman"/>
        </w:rPr>
        <w:t>toodetele valdkonnaspetsiifiliste</w:t>
      </w:r>
      <w:r w:rsidRPr="00883566">
        <w:rPr>
          <w:rFonts w:cs="Times New Roman"/>
          <w:lang w:eastAsia="en-US"/>
        </w:rPr>
        <w:t xml:space="preserve"> kohustuste kehtestamise parimaid tavasid</w:t>
      </w:r>
      <w:r w:rsidRPr="00883566">
        <w:rPr>
          <w:rFonts w:cs="Times New Roman"/>
          <w:vertAlign w:val="superscript"/>
          <w:lang w:eastAsia="en-US"/>
        </w:rPr>
        <w:footnoteReference w:id="209"/>
      </w:r>
      <w:r w:rsidRPr="00883566">
        <w:rPr>
          <w:rFonts w:cs="Times New Roman"/>
          <w:lang w:eastAsia="en-US"/>
        </w:rPr>
        <w:t xml:space="preserve">, </w:t>
      </w:r>
      <w:proofErr w:type="spellStart"/>
      <w:r w:rsidRPr="00883566">
        <w:rPr>
          <w:rFonts w:cs="Times New Roman"/>
          <w:lang w:eastAsia="en-US"/>
        </w:rPr>
        <w:t>BoR</w:t>
      </w:r>
      <w:proofErr w:type="spellEnd"/>
      <w:r w:rsidRPr="00883566">
        <w:rPr>
          <w:rFonts w:cs="Times New Roman"/>
          <w:lang w:eastAsia="en-US"/>
        </w:rPr>
        <w:t xml:space="preserve"> (12) 128;</w:t>
      </w:r>
      <w:r w:rsidRPr="00883566">
        <w:rPr>
          <w:rFonts w:cs="Times New Roman"/>
        </w:rPr>
        <w:t xml:space="preserve"> </w:t>
      </w:r>
    </w:p>
    <w:p w14:paraId="3E729988" w14:textId="77777777" w:rsidR="00F03958" w:rsidRPr="00883566" w:rsidRDefault="00F03958" w:rsidP="00E671F9">
      <w:pPr>
        <w:numPr>
          <w:ilvl w:val="0"/>
          <w:numId w:val="133"/>
        </w:numPr>
        <w:spacing w:after="0" w:line="259" w:lineRule="auto"/>
        <w:ind w:left="714" w:hanging="357"/>
        <w:contextualSpacing/>
        <w:jc w:val="both"/>
        <w:rPr>
          <w:rFonts w:cs="Times New Roman"/>
          <w:lang w:eastAsia="en-US"/>
        </w:rPr>
      </w:pPr>
      <w:r w:rsidRPr="00883566">
        <w:rPr>
          <w:rFonts w:cs="Times New Roman"/>
        </w:rPr>
        <w:t>EK soovitus 2005/698/EÜ</w:t>
      </w:r>
      <w:r w:rsidRPr="00883566">
        <w:rPr>
          <w:rFonts w:eastAsiaTheme="minorHAnsi" w:cs="Times New Roman"/>
          <w:vertAlign w:val="superscript"/>
          <w:lang w:eastAsia="en-US"/>
        </w:rPr>
        <w:footnoteReference w:id="210"/>
      </w:r>
      <w:r w:rsidRPr="00883566">
        <w:rPr>
          <w:rFonts w:cs="Times New Roman"/>
        </w:rPr>
        <w:t>, 19. september 2005, raamatupidamise lahususe ja kuluarvestussüsteemide kohta vastavalt elektroonilist sidet reguleerivale raamistikule.</w:t>
      </w:r>
    </w:p>
    <w:p w14:paraId="4D78C60E" w14:textId="77777777" w:rsidR="00F03958" w:rsidRPr="00883566" w:rsidRDefault="00F03958" w:rsidP="00AA241E">
      <w:pPr>
        <w:spacing w:line="259" w:lineRule="auto"/>
        <w:ind w:left="720"/>
        <w:contextualSpacing/>
        <w:jc w:val="both"/>
        <w:rPr>
          <w:rFonts w:cs="Times New Roman"/>
          <w:lang w:eastAsia="en-US"/>
        </w:rPr>
      </w:pPr>
    </w:p>
    <w:p w14:paraId="35F71A92" w14:textId="77777777" w:rsidR="00263CA5" w:rsidRPr="00883566" w:rsidRDefault="00263CA5" w:rsidP="009805E1">
      <w:pPr>
        <w:pStyle w:val="Pealkiri3"/>
      </w:pPr>
      <w:bookmarkStart w:id="1124" w:name="_Toc174710871"/>
      <w:r>
        <w:t>Kehtivad k</w:t>
      </w:r>
      <w:r w:rsidRPr="00883566">
        <w:t>ohustuse</w:t>
      </w:r>
      <w:r>
        <w:t>d</w:t>
      </w:r>
      <w:r w:rsidRPr="00883566">
        <w:t xml:space="preserve"> </w:t>
      </w:r>
      <w:r>
        <w:t>ja nende muutmise ajalugu</w:t>
      </w:r>
      <w:bookmarkEnd w:id="1124"/>
    </w:p>
    <w:p w14:paraId="5A93B3C4" w14:textId="05A735B1" w:rsidR="00AC15CF" w:rsidRPr="00883566" w:rsidRDefault="00AC15CF" w:rsidP="00AA241E">
      <w:pPr>
        <w:pStyle w:val="Loendilik"/>
        <w:spacing w:before="120" w:after="120"/>
        <w:ind w:left="0"/>
        <w:jc w:val="both"/>
        <w:rPr>
          <w:rFonts w:cs="Times New Roman"/>
        </w:rPr>
      </w:pPr>
      <w:r w:rsidRPr="00883566">
        <w:rPr>
          <w:rFonts w:cs="Times New Roman"/>
        </w:rPr>
        <w:t>Käesoleva otsuse koostamise ajal on Telia hulgituru 3b t</w:t>
      </w:r>
      <w:r>
        <w:rPr>
          <w:rFonts w:cs="Times New Roman"/>
        </w:rPr>
        <w:t>eenused</w:t>
      </w:r>
      <w:r w:rsidRPr="00883566">
        <w:rPr>
          <w:rFonts w:cs="Times New Roman"/>
        </w:rPr>
        <w:t xml:space="preserve"> reguleeritud (sh hind) TTJA 2017</w:t>
      </w:r>
      <w:r w:rsidR="000372C7">
        <w:rPr>
          <w:rFonts w:cs="Times New Roman"/>
        </w:rPr>
        <w:t xml:space="preserve"> hulgituru 3b</w:t>
      </w:r>
      <w:r w:rsidRPr="00883566">
        <w:rPr>
          <w:rFonts w:cs="Times New Roman"/>
        </w:rPr>
        <w:t xml:space="preserve"> otsusega</w:t>
      </w:r>
      <w:r w:rsidRPr="00883566">
        <w:rPr>
          <w:rFonts w:cs="Times New Roman"/>
          <w:vertAlign w:val="superscript"/>
        </w:rPr>
        <w:footnoteReference w:id="211"/>
      </w:r>
      <w:r w:rsidRPr="00883566">
        <w:rPr>
          <w:rFonts w:cs="Times New Roman"/>
        </w:rPr>
        <w:t xml:space="preserve">. </w:t>
      </w:r>
    </w:p>
    <w:p w14:paraId="372A2AB5" w14:textId="77777777" w:rsidR="00AC15CF" w:rsidRDefault="00AC15CF" w:rsidP="00AA241E">
      <w:pPr>
        <w:pStyle w:val="Loendilik"/>
        <w:spacing w:before="120" w:after="120"/>
        <w:ind w:left="0"/>
        <w:jc w:val="both"/>
        <w:rPr>
          <w:rFonts w:cs="Times New Roman"/>
        </w:rPr>
      </w:pPr>
    </w:p>
    <w:p w14:paraId="05AD40F4" w14:textId="0D0BCE9B" w:rsidR="00F03958" w:rsidRPr="00883566" w:rsidRDefault="00F03958" w:rsidP="00AA241E">
      <w:pPr>
        <w:pStyle w:val="Loendilik"/>
        <w:spacing w:before="120" w:after="120"/>
        <w:ind w:left="0"/>
        <w:jc w:val="both"/>
        <w:rPr>
          <w:rFonts w:cs="Times New Roman"/>
        </w:rPr>
      </w:pPr>
      <w:r w:rsidRPr="00883566">
        <w:rPr>
          <w:rFonts w:cs="Times New Roman"/>
        </w:rPr>
        <w:lastRenderedPageBreak/>
        <w:t>2021 aasta algul koostas TTJA hulgituru 3b osas uue analüüsi ja otsuse eelnõu (edaspidi ka TTJA 2021 hulgituru 3b</w:t>
      </w:r>
      <w:bookmarkStart w:id="1125" w:name="_Hlk124928712"/>
      <w:r w:rsidRPr="00883566">
        <w:rPr>
          <w:rFonts w:cs="Times New Roman"/>
        </w:rPr>
        <w:t xml:space="preserve"> otsuse eelnõu</w:t>
      </w:r>
      <w:bookmarkEnd w:id="1125"/>
      <w:r w:rsidRPr="00883566">
        <w:rPr>
          <w:rFonts w:cs="Times New Roman"/>
          <w:vertAlign w:val="superscript"/>
        </w:rPr>
        <w:footnoteReference w:id="212"/>
      </w:r>
      <w:r w:rsidRPr="00883566">
        <w:rPr>
          <w:rFonts w:cs="Times New Roman"/>
        </w:rPr>
        <w:t>), milles kavandati jätta Telia nimetatud turul MTE-ks ja jätta Telia hulgituru 3b toodete osas kehtima TTJA 2017 hulgituru 3b otsuses sätestatud kohustused mõningate täiendustega. Nimetatud TTJA 2021 hulgituru 3b  otsuse eelnõu osas avaldas Euroopa Komisjon tõsiseid kahtlusi, eelkõige internetiühenduste jaeturu geograafilise piiritlemise osas</w:t>
      </w:r>
      <w:r w:rsidRPr="00883566">
        <w:rPr>
          <w:rFonts w:cs="Times New Roman"/>
          <w:vertAlign w:val="superscript"/>
        </w:rPr>
        <w:footnoteReference w:id="213"/>
      </w:r>
      <w:r w:rsidRPr="00883566">
        <w:rPr>
          <w:rFonts w:cs="Times New Roman"/>
        </w:rPr>
        <w:t xml:space="preserve">  ja TTJA võttis eelnõu tagasi.</w:t>
      </w:r>
      <w:r w:rsidRPr="00883566">
        <w:rPr>
          <w:rFonts w:cs="Times New Roman"/>
          <w:lang w:eastAsia="en-US"/>
        </w:rPr>
        <w:t xml:space="preserve"> </w:t>
      </w:r>
      <w:r w:rsidRPr="00883566">
        <w:rPr>
          <w:rFonts w:cs="Times New Roman"/>
        </w:rPr>
        <w:t xml:space="preserve">Käesolevas kohustuste kehtestamise analüüsis on arvestatud </w:t>
      </w:r>
      <w:bookmarkStart w:id="1126" w:name="_Hlk125116804"/>
      <w:r w:rsidRPr="00883566">
        <w:rPr>
          <w:rFonts w:cs="Times New Roman"/>
        </w:rPr>
        <w:t>ka TTJA 2021 hulgituru 3b otsuse eelnõus</w:t>
      </w:r>
      <w:bookmarkEnd w:id="1126"/>
      <w:r w:rsidRPr="00883566">
        <w:rPr>
          <w:rFonts w:cs="Times New Roman"/>
        </w:rPr>
        <w:t xml:space="preserve"> sideettevõtjate poolt välja toodud võimalikke konkurentsiprobleeme ning hinnatud nende jätkuvat asjakohasust ning mõju konkurentsile.</w:t>
      </w:r>
    </w:p>
    <w:p w14:paraId="62A1780D" w14:textId="77777777" w:rsidR="00F03958" w:rsidRPr="00883566" w:rsidRDefault="00F03958" w:rsidP="00AA241E">
      <w:pPr>
        <w:pStyle w:val="Loendilik"/>
        <w:spacing w:before="120" w:after="120"/>
        <w:ind w:left="0"/>
        <w:jc w:val="both"/>
        <w:rPr>
          <w:rFonts w:cs="Times New Roman"/>
        </w:rPr>
      </w:pPr>
    </w:p>
    <w:p w14:paraId="67877964" w14:textId="7B50467D" w:rsidR="00F03958" w:rsidRPr="00883566" w:rsidRDefault="00F03958" w:rsidP="00AA241E">
      <w:pPr>
        <w:pStyle w:val="Loendilik"/>
        <w:spacing w:before="120" w:after="120"/>
        <w:ind w:left="0"/>
        <w:jc w:val="both"/>
        <w:rPr>
          <w:rFonts w:cs="Times New Roman"/>
        </w:rPr>
      </w:pPr>
      <w:r w:rsidRPr="00883566">
        <w:rPr>
          <w:rFonts w:cs="Times New Roman"/>
        </w:rPr>
        <w:t>2023 aastal koostas TTJA hulgituru 3b osas uue analüüsi ja otsuse eelnõu (edaspidi ka TTJA 2023 hulgituru 3b otsuse eelnõu</w:t>
      </w:r>
      <w:r w:rsidRPr="00883566">
        <w:rPr>
          <w:rStyle w:val="Allmrkuseviide"/>
          <w:rFonts w:cs="Times New Roman"/>
        </w:rPr>
        <w:footnoteReference w:id="214"/>
      </w:r>
      <w:r w:rsidRPr="00883566">
        <w:rPr>
          <w:rFonts w:cs="Times New Roman"/>
        </w:rPr>
        <w:t>), milles TTJA piiritles internetiühenduse jaeturu ja sellest tulenevalt ka hulgituru 3b geograafiliselt kõrgema konkurentsiga A ja madalama konkurentsiga B piirkondadeks ning kavandas A piirkonna hulgiturul 3b valdkonnaspetsiifilise</w:t>
      </w:r>
      <w:r w:rsidR="000372C7">
        <w:rPr>
          <w:rFonts w:cs="Times New Roman"/>
        </w:rPr>
        <w:t xml:space="preserve"> regulatsiooni lõpetada ja vastavad</w:t>
      </w:r>
      <w:r w:rsidRPr="00883566">
        <w:rPr>
          <w:rFonts w:cs="Times New Roman"/>
        </w:rPr>
        <w:t xml:space="preserve"> kohustused tühistada ning B piirkonna hulgiturul 3b </w:t>
      </w:r>
      <w:r w:rsidR="000372C7">
        <w:rPr>
          <w:rFonts w:cs="Times New Roman"/>
        </w:rPr>
        <w:t xml:space="preserve">valdkonnaspetsiifilise regulatsiooniga ja </w:t>
      </w:r>
      <w:r w:rsidRPr="00883566">
        <w:rPr>
          <w:rFonts w:cs="Times New Roman"/>
        </w:rPr>
        <w:t>vastavate kohustustega jätkata. Nimetatud TTJA 2023 hulgituru 3b otsusega seotud TTJA 2023 hulgituru 1 otsuse eelnõu osas olid Euroopa Komisjonil tõsised kahtlused, eelkõige MTE määramata jätmise osas hulgituru 1 piirkonnas B, seetõttu võttis  TTJA hulgiturgude 1 ja 3b otsuse eelnõud koos tagasi. Käesolevas kohustuste kehtestamise analüüsis on arvestatud ka TTJA 2023 hulgituru 3b otsuse eelnõus sideettevõtjate poolt välja toodud võimalikke konkurentsiprobleeme ning hinnatud nende jätkuvat asjakohasust ning mõju konkurentsile.</w:t>
      </w:r>
    </w:p>
    <w:p w14:paraId="5348D608" w14:textId="77777777" w:rsidR="00F03958" w:rsidRPr="00883566" w:rsidRDefault="00F03958" w:rsidP="00AA241E">
      <w:pPr>
        <w:spacing w:line="259" w:lineRule="auto"/>
        <w:contextualSpacing/>
        <w:jc w:val="both"/>
        <w:rPr>
          <w:rFonts w:cs="Times New Roman"/>
        </w:rPr>
      </w:pPr>
    </w:p>
    <w:p w14:paraId="2C47CF8B" w14:textId="79C09EE5" w:rsidR="00F03958" w:rsidRPr="00883566" w:rsidRDefault="00F03958" w:rsidP="00AA241E">
      <w:pPr>
        <w:spacing w:before="120" w:after="120"/>
        <w:jc w:val="both"/>
        <w:rPr>
          <w:rFonts w:cs="Times New Roman"/>
          <w:lang w:eastAsia="et-EE"/>
        </w:rPr>
      </w:pPr>
    </w:p>
    <w:p w14:paraId="59F1CAC8" w14:textId="0163CE89" w:rsidR="00F03958" w:rsidRPr="00883566" w:rsidRDefault="00F03958" w:rsidP="00AA241E">
      <w:pPr>
        <w:pStyle w:val="Pealkiri2"/>
        <w:jc w:val="both"/>
      </w:pPr>
      <w:bookmarkStart w:id="1127" w:name="_Toc212974431"/>
      <w:bookmarkStart w:id="1128" w:name="_Toc213122159"/>
      <w:bookmarkStart w:id="1129" w:name="_Toc213140780"/>
      <w:bookmarkStart w:id="1130" w:name="_Toc215466505"/>
      <w:bookmarkStart w:id="1131" w:name="_Toc216228058"/>
      <w:bookmarkStart w:id="1132" w:name="_Toc457983652"/>
      <w:bookmarkStart w:id="1133" w:name="_Toc464639357"/>
      <w:bookmarkStart w:id="1134" w:name="_Toc470614559"/>
      <w:bookmarkStart w:id="1135" w:name="_Toc472597882"/>
      <w:bookmarkStart w:id="1136" w:name="_Toc35339842"/>
      <w:bookmarkStart w:id="1137" w:name="_Toc66262826"/>
      <w:bookmarkStart w:id="1138" w:name="_Toc151026076"/>
      <w:bookmarkStart w:id="1139" w:name="_Toc174710872"/>
      <w:r w:rsidRPr="00883566">
        <w:t>Juurdepääsu kohustused</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2BFD38D8" w14:textId="77777777" w:rsidR="00F03958" w:rsidRPr="00883566" w:rsidRDefault="00F03958" w:rsidP="00AA241E">
      <w:pPr>
        <w:jc w:val="both"/>
        <w:rPr>
          <w:lang w:eastAsia="en-US"/>
        </w:rPr>
      </w:pPr>
    </w:p>
    <w:p w14:paraId="2C7A764F" w14:textId="7B35FAF1" w:rsidR="00F03958" w:rsidRPr="00883566" w:rsidRDefault="00F03958" w:rsidP="00AA241E">
      <w:pPr>
        <w:spacing w:line="259" w:lineRule="auto"/>
        <w:jc w:val="both"/>
        <w:rPr>
          <w:rFonts w:cs="Times New Roman"/>
          <w:lang w:eastAsia="en-US"/>
        </w:rPr>
      </w:pPr>
      <w:r w:rsidRPr="00883566">
        <w:rPr>
          <w:rFonts w:cs="Times New Roman"/>
        </w:rPr>
        <w:t xml:space="preserve">Käesoleva otsuse koostamise ajal kehtivad Telia hulgituru 3b teenustele juurdepääsu kohustused TTJA 2017 hulgituru 3b otsuse alusel. Lähtudes käesoleva otsuse </w:t>
      </w:r>
      <w:r w:rsidR="008C159A">
        <w:rPr>
          <w:rFonts w:cs="Times New Roman"/>
        </w:rPr>
        <w:t>ptk.-</w:t>
      </w:r>
      <w:r w:rsidRPr="00883566">
        <w:rPr>
          <w:rFonts w:cs="Times New Roman"/>
        </w:rPr>
        <w:t xml:space="preserve">st </w:t>
      </w:r>
      <w:r w:rsidR="001D606C">
        <w:rPr>
          <w:rFonts w:cs="Times New Roman"/>
        </w:rPr>
        <w:t>8.1.2</w:t>
      </w:r>
      <w:r w:rsidRPr="00883566">
        <w:rPr>
          <w:rFonts w:cs="Times New Roman"/>
        </w:rPr>
        <w:t xml:space="preserve"> tunnistatakse TTJA 2017 hulgituru 3b otsus ja selles kehtestatud kohustused kehtetuks. Käesolevas otsuses kehtestatavad kohustused on suunatud Telia </w:t>
      </w:r>
      <w:r w:rsidR="00A3232C">
        <w:rPr>
          <w:rFonts w:cs="Times New Roman"/>
        </w:rPr>
        <w:t>valguskaabelvõrgu</w:t>
      </w:r>
      <w:r w:rsidRPr="00883566">
        <w:rPr>
          <w:rFonts w:cs="Times New Roman"/>
        </w:rPr>
        <w:t xml:space="preserve">s (nii ülekande-, kui ka juurdepääsuvõrgu) lairibaühendusele keskse juurdepääsu osutamisele piirkonnas B. Järgnevalt analüüsitakse ja tuvastatakse konkurentsiprobleemide vältimiseks ja konkurentsi edendamiseks asjakohaste kohustused võttes arvesse TTJA 2017 hulgituru 3b otsuses sätestatud kohustusi, uut EK 2024 kohustuste soovitust ning TTJA 2021 hulgituru 3b otsuse eelnõus ja TTJA 2023 hulgituru </w:t>
      </w:r>
      <w:r w:rsidRPr="00883566">
        <w:rPr>
          <w:rFonts w:cs="Times New Roman"/>
        </w:rPr>
        <w:lastRenderedPageBreak/>
        <w:t>3b otsuse eelnõus kajastatud sideettevõtjate arvamusi võimalike konkurentsiprobleemide osas. TTJA hinnangul on kohustuste järjepidevuse tagamiseks mõistlik ja proportsionaalne lähtuda TTJA 2017 hulgituru 3b otsuses sätestatud kohustustest neid vajadusel muutes ja/või täiendades.</w:t>
      </w:r>
    </w:p>
    <w:p w14:paraId="7119853F" w14:textId="1A84F826" w:rsidR="00F03958" w:rsidRPr="00883566" w:rsidRDefault="00F03958" w:rsidP="00AA241E">
      <w:pPr>
        <w:spacing w:line="259" w:lineRule="auto"/>
        <w:jc w:val="both"/>
        <w:rPr>
          <w:rFonts w:cs="Times New Roman"/>
          <w:lang w:eastAsia="en-US"/>
        </w:rPr>
      </w:pPr>
      <w:r w:rsidRPr="00883566">
        <w:rPr>
          <w:rFonts w:cs="Times New Roman"/>
        </w:rPr>
        <w:t xml:space="preserve">Täpsemalt kehtivad Teliale käesoleva otsuse koostamise ajal TTJA 2017 hulgituru 3b otsuse lisa 1 </w:t>
      </w:r>
      <w:r w:rsidR="008C159A">
        <w:rPr>
          <w:rFonts w:cs="Times New Roman"/>
        </w:rPr>
        <w:t xml:space="preserve">ptk. </w:t>
      </w:r>
      <w:r w:rsidRPr="00883566">
        <w:rPr>
          <w:rFonts w:cs="Times New Roman"/>
        </w:rPr>
        <w:t>6.2.4 alusel järgmised juurdepääsu kohustused:</w:t>
      </w:r>
    </w:p>
    <w:p w14:paraId="7B19A5D6" w14:textId="77777777" w:rsidR="00F03958" w:rsidRPr="00883566" w:rsidRDefault="00F03958" w:rsidP="00AA241E">
      <w:pPr>
        <w:spacing w:line="259" w:lineRule="auto"/>
        <w:jc w:val="both"/>
        <w:rPr>
          <w:rFonts w:cs="Times New Roman"/>
          <w:lang w:eastAsia="en-US"/>
        </w:rPr>
      </w:pPr>
    </w:p>
    <w:p w14:paraId="21FC0EEF" w14:textId="77777777" w:rsidR="00F03958" w:rsidRPr="00883566" w:rsidRDefault="00F03958" w:rsidP="00AA241E">
      <w:pPr>
        <w:numPr>
          <w:ilvl w:val="0"/>
          <w:numId w:val="6"/>
        </w:numPr>
        <w:spacing w:before="120" w:after="120" w:line="240" w:lineRule="auto"/>
        <w:ind w:left="785"/>
        <w:jc w:val="both"/>
        <w:rPr>
          <w:i/>
          <w:iCs/>
          <w:lang w:eastAsia="et-EE"/>
        </w:rPr>
      </w:pPr>
      <w:r w:rsidRPr="00883566">
        <w:rPr>
          <w:i/>
          <w:iCs/>
        </w:rPr>
        <w:t xml:space="preserve">TJA otsustab lairiba juurdepääsu hulgiturul juurdepääsust keeldumise vältimiseks, sideteenuste turgudel konkurentsi moonutamise takistamise ärahoidmiseks ning lõppkasutajate huvide kaitseks kohustada Teliat: </w:t>
      </w:r>
    </w:p>
    <w:p w14:paraId="5DD5BAF8" w14:textId="77777777" w:rsidR="00F03958" w:rsidRPr="00883566" w:rsidRDefault="00F03958" w:rsidP="00AA241E">
      <w:pPr>
        <w:numPr>
          <w:ilvl w:val="0"/>
          <w:numId w:val="18"/>
        </w:numPr>
        <w:spacing w:before="120" w:after="120" w:line="240" w:lineRule="auto"/>
        <w:jc w:val="both"/>
        <w:rPr>
          <w:i/>
          <w:iCs/>
          <w:lang w:eastAsia="et-EE"/>
        </w:rPr>
      </w:pPr>
      <w:r w:rsidRPr="00883566">
        <w:rPr>
          <w:i/>
          <w:iCs/>
          <w:lang w:eastAsia="et-EE"/>
        </w:rPr>
        <w:t>pidama heas usus läbirääkimisi sideettevõtjatega, kes taotlevad lairibaühendusele juurdepääsu hulgiteenust</w:t>
      </w:r>
      <w:r w:rsidRPr="00883566">
        <w:rPr>
          <w:i/>
          <w:iCs/>
          <w:vertAlign w:val="superscript"/>
          <w:lang w:eastAsia="et-EE"/>
        </w:rPr>
        <w:footnoteReference w:id="215"/>
      </w:r>
      <w:r w:rsidRPr="00883566">
        <w:rPr>
          <w:i/>
          <w:iCs/>
          <w:lang w:eastAsia="et-EE"/>
        </w:rPr>
        <w:t>;</w:t>
      </w:r>
    </w:p>
    <w:p w14:paraId="6B729542" w14:textId="202A33BB" w:rsidR="00F03958" w:rsidRPr="00883566" w:rsidRDefault="00F03958" w:rsidP="00AA241E">
      <w:pPr>
        <w:spacing w:before="120" w:after="120"/>
        <w:ind w:left="1134" w:hanging="425"/>
        <w:jc w:val="both"/>
        <w:rPr>
          <w:i/>
          <w:iCs/>
          <w:lang w:eastAsia="et-EE"/>
        </w:rPr>
      </w:pPr>
      <w:r w:rsidRPr="00883566">
        <w:rPr>
          <w:i/>
          <w:iCs/>
          <w:lang w:eastAsia="et-EE"/>
        </w:rPr>
        <w:t xml:space="preserve">2) </w:t>
      </w:r>
      <w:r w:rsidRPr="00883566">
        <w:rPr>
          <w:i/>
          <w:iCs/>
          <w:lang w:eastAsia="et-EE"/>
        </w:rPr>
        <w:tab/>
        <w:t>võimaldama hulgitasandil lairibaühendusele juurdepääsu</w:t>
      </w:r>
      <w:r w:rsidRPr="00883566">
        <w:rPr>
          <w:i/>
          <w:iCs/>
          <w:vertAlign w:val="superscript"/>
          <w:lang w:eastAsia="et-EE"/>
        </w:rPr>
        <w:footnoteReference w:id="216"/>
      </w:r>
      <w:r w:rsidRPr="00883566">
        <w:rPr>
          <w:i/>
          <w:iCs/>
          <w:lang w:eastAsia="et-EE"/>
        </w:rPr>
        <w:t xml:space="preserve"> füüsiliselt kindlaks määratud juurdepääsupunkti kaudu kõigile sidevõrgu lõpp-punktidele (vt joonis 4</w:t>
      </w:r>
      <w:r w:rsidR="00E5522B">
        <w:rPr>
          <w:i/>
          <w:iCs/>
          <w:lang w:eastAsia="et-EE"/>
        </w:rPr>
        <w:t>?</w:t>
      </w:r>
      <w:r w:rsidRPr="00883566">
        <w:rPr>
          <w:i/>
          <w:iCs/>
          <w:lang w:eastAsia="et-EE"/>
        </w:rPr>
        <w:t>);</w:t>
      </w:r>
    </w:p>
    <w:p w14:paraId="25D4E4A9" w14:textId="77777777" w:rsidR="00F03958" w:rsidRPr="00883566" w:rsidRDefault="00F03958" w:rsidP="00AA241E">
      <w:pPr>
        <w:spacing w:before="120" w:after="120"/>
        <w:ind w:left="1134" w:hanging="425"/>
        <w:jc w:val="both"/>
        <w:rPr>
          <w:i/>
          <w:iCs/>
          <w:lang w:eastAsia="et-EE"/>
        </w:rPr>
      </w:pPr>
      <w:r w:rsidRPr="00883566">
        <w:rPr>
          <w:i/>
          <w:iCs/>
          <w:lang w:eastAsia="et-EE"/>
        </w:rPr>
        <w:t xml:space="preserve">3) </w:t>
      </w:r>
      <w:r w:rsidRPr="00883566">
        <w:rPr>
          <w:i/>
          <w:iCs/>
          <w:lang w:eastAsia="et-EE"/>
        </w:rPr>
        <w:tab/>
        <w:t>võimaldama lairibaühendusele juurdepääsu hulgiteenuse koostalituseks hädavajalikele tehnilistele liidestele, protokollidele ja muudele võtmetehnoloogiatele juurdepääsu</w:t>
      </w:r>
      <w:r w:rsidRPr="00883566">
        <w:rPr>
          <w:i/>
          <w:iCs/>
          <w:vertAlign w:val="superscript"/>
          <w:lang w:eastAsia="et-EE"/>
        </w:rPr>
        <w:footnoteReference w:id="217"/>
      </w:r>
      <w:r w:rsidRPr="00883566">
        <w:rPr>
          <w:i/>
          <w:iCs/>
          <w:lang w:eastAsia="et-EE"/>
        </w:rPr>
        <w:t>;</w:t>
      </w:r>
    </w:p>
    <w:p w14:paraId="7354FF95" w14:textId="77777777" w:rsidR="00F03958" w:rsidRPr="00883566" w:rsidRDefault="00F03958" w:rsidP="00AA241E">
      <w:pPr>
        <w:spacing w:before="120" w:after="120"/>
        <w:ind w:left="1134" w:hanging="425"/>
        <w:jc w:val="both"/>
        <w:rPr>
          <w:i/>
          <w:iCs/>
          <w:lang w:eastAsia="et-EE"/>
        </w:rPr>
      </w:pPr>
      <w:r w:rsidRPr="00883566">
        <w:rPr>
          <w:i/>
          <w:iCs/>
          <w:lang w:eastAsia="et-EE"/>
        </w:rPr>
        <w:t>4) võimaldama lairibaühendusele juurdepääsu hulgiteenuse tarbimiseks vajalikku ühispaiknemist või muid ühiskasutuse viise, sealhulgas seadmemajutust</w:t>
      </w:r>
      <w:r w:rsidRPr="00883566">
        <w:rPr>
          <w:i/>
          <w:iCs/>
          <w:vertAlign w:val="superscript"/>
          <w:lang w:eastAsia="et-EE"/>
        </w:rPr>
        <w:footnoteReference w:id="218"/>
      </w:r>
      <w:r w:rsidRPr="00883566">
        <w:rPr>
          <w:i/>
          <w:iCs/>
          <w:lang w:eastAsia="et-EE"/>
        </w:rPr>
        <w:t>;</w:t>
      </w:r>
    </w:p>
    <w:p w14:paraId="1EDDEF51" w14:textId="77777777" w:rsidR="00F03958" w:rsidRPr="00883566" w:rsidRDefault="00F03958" w:rsidP="00AA241E">
      <w:pPr>
        <w:spacing w:before="120" w:after="120"/>
        <w:ind w:left="1134" w:hanging="425"/>
        <w:jc w:val="both"/>
        <w:rPr>
          <w:i/>
          <w:iCs/>
          <w:lang w:eastAsia="et-EE"/>
        </w:rPr>
      </w:pPr>
      <w:r w:rsidRPr="00883566">
        <w:rPr>
          <w:i/>
          <w:iCs/>
          <w:lang w:eastAsia="et-EE"/>
        </w:rPr>
        <w:t xml:space="preserve">5) võimaldama lairibaühendusele juurdepääsu hulgiteenuse jaoks vajalikele tugisüsteemidele ja/või tarkvarasüsteemidele, sealhulgas nimetatud teenuste eeltellimise, tellimise, tehnilise hoolduse ja remondi teabesüsteemidele juurdepääsu </w:t>
      </w:r>
      <w:r w:rsidRPr="00883566">
        <w:rPr>
          <w:i/>
          <w:iCs/>
          <w:vertAlign w:val="superscript"/>
          <w:lang w:eastAsia="et-EE"/>
        </w:rPr>
        <w:footnoteReference w:id="219"/>
      </w:r>
      <w:r w:rsidRPr="00883566">
        <w:rPr>
          <w:i/>
          <w:iCs/>
          <w:lang w:eastAsia="et-EE"/>
        </w:rPr>
        <w:t>.</w:t>
      </w:r>
    </w:p>
    <w:p w14:paraId="4332B764" w14:textId="77777777" w:rsidR="00F03958" w:rsidRPr="00883566" w:rsidRDefault="00F03958" w:rsidP="00AA241E">
      <w:pPr>
        <w:spacing w:before="120" w:after="120"/>
        <w:jc w:val="both"/>
        <w:rPr>
          <w:i/>
          <w:iCs/>
          <w:lang w:eastAsia="et-EE"/>
        </w:rPr>
      </w:pPr>
    </w:p>
    <w:p w14:paraId="0BB23D51" w14:textId="77777777" w:rsidR="00F03958" w:rsidRPr="00883566" w:rsidRDefault="00F03958" w:rsidP="00AA241E">
      <w:pPr>
        <w:spacing w:before="120" w:after="120"/>
        <w:jc w:val="both"/>
        <w:rPr>
          <w:i/>
          <w:iCs/>
          <w:lang w:eastAsia="et-EE"/>
        </w:rPr>
      </w:pPr>
      <w:r w:rsidRPr="00883566">
        <w:rPr>
          <w:noProof/>
        </w:rPr>
        <w:lastRenderedPageBreak/>
        <w:drawing>
          <wp:inline distT="0" distB="0" distL="0" distR="0" wp14:anchorId="4D18A76B" wp14:editId="45DB816C">
            <wp:extent cx="5991860" cy="3695700"/>
            <wp:effectExtent l="0" t="0" r="8890" b="0"/>
            <wp:docPr id="432058477" name="Pilt 43205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57"/>
                    <pic:cNvPicPr/>
                  </pic:nvPicPr>
                  <pic:blipFill>
                    <a:blip r:embed="rId46">
                      <a:extLst>
                        <a:ext uri="{28A0092B-C50C-407E-A947-70E740481C1C}">
                          <a14:useLocalDpi xmlns:a14="http://schemas.microsoft.com/office/drawing/2010/main" val="0"/>
                        </a:ext>
                      </a:extLst>
                    </a:blip>
                    <a:stretch>
                      <a:fillRect/>
                    </a:stretch>
                  </pic:blipFill>
                  <pic:spPr>
                    <a:xfrm>
                      <a:off x="0" y="0"/>
                      <a:ext cx="5991860" cy="3695700"/>
                    </a:xfrm>
                    <a:prstGeom prst="rect">
                      <a:avLst/>
                    </a:prstGeom>
                  </pic:spPr>
                </pic:pic>
              </a:graphicData>
            </a:graphic>
          </wp:inline>
        </w:drawing>
      </w:r>
    </w:p>
    <w:p w14:paraId="4FE6F290" w14:textId="3C2C556F" w:rsidR="00F03958" w:rsidRPr="00883566" w:rsidRDefault="00F03958" w:rsidP="00AA241E">
      <w:pPr>
        <w:pStyle w:val="Pealdis"/>
        <w:ind w:left="567"/>
        <w:jc w:val="both"/>
        <w:rPr>
          <w:i/>
          <w:iCs/>
          <w:lang w:eastAsia="et-EE"/>
        </w:rPr>
      </w:pPr>
      <w:r w:rsidRPr="00883566">
        <w:rPr>
          <w:i/>
          <w:iCs/>
        </w:rPr>
        <w:t xml:space="preserve">Joonis </w:t>
      </w:r>
      <w:r w:rsidRPr="00883566">
        <w:rPr>
          <w:i/>
          <w:iCs/>
        </w:rPr>
        <w:fldChar w:fldCharType="begin"/>
      </w:r>
      <w:r w:rsidRPr="00883566">
        <w:rPr>
          <w:i/>
          <w:iCs/>
        </w:rPr>
        <w:instrText xml:space="preserve"> SEQ Joonis \* ARABIC </w:instrText>
      </w:r>
      <w:r w:rsidRPr="00883566">
        <w:rPr>
          <w:i/>
          <w:iCs/>
        </w:rPr>
        <w:fldChar w:fldCharType="separate"/>
      </w:r>
      <w:r w:rsidR="00E5522B">
        <w:rPr>
          <w:i/>
          <w:iCs/>
          <w:noProof/>
        </w:rPr>
        <w:t>26</w:t>
      </w:r>
      <w:r w:rsidRPr="00883566">
        <w:rPr>
          <w:i/>
          <w:iCs/>
          <w:noProof/>
        </w:rPr>
        <w:fldChar w:fldCharType="end"/>
      </w:r>
      <w:r w:rsidRPr="00883566">
        <w:rPr>
          <w:b w:val="0"/>
          <w:bCs w:val="0"/>
          <w:i/>
          <w:iCs/>
        </w:rPr>
        <w:t>. Lairibaühendusele juurdepääsu hulgiteenuse kirjeldus</w:t>
      </w:r>
    </w:p>
    <w:p w14:paraId="69F4699C" w14:textId="77777777" w:rsidR="00F03958" w:rsidRPr="00883566" w:rsidRDefault="00F03958" w:rsidP="00AA241E">
      <w:pPr>
        <w:numPr>
          <w:ilvl w:val="0"/>
          <w:numId w:val="6"/>
        </w:numPr>
        <w:spacing w:before="120" w:after="120" w:line="240" w:lineRule="auto"/>
        <w:ind w:left="785"/>
        <w:jc w:val="both"/>
        <w:rPr>
          <w:i/>
          <w:iCs/>
          <w:lang w:eastAsia="et-EE"/>
        </w:rPr>
      </w:pPr>
      <w:r w:rsidRPr="00883566">
        <w:rPr>
          <w:i/>
          <w:iCs/>
        </w:rPr>
        <w:t xml:space="preserve">Tulenevalt ESS § 64 lõige 2 on sideettevõtja, kelle suhtes on TJA kehtestanud juurdepääsu kohustuse, kohustatud juurdepääsu kohustuse täitmisel vastavalt kohustuse iseloomule täitma järgmisi nõudeid: </w:t>
      </w:r>
    </w:p>
    <w:p w14:paraId="608463B5" w14:textId="77777777" w:rsidR="00F03958" w:rsidRPr="00883566" w:rsidRDefault="00F03958" w:rsidP="00AA241E">
      <w:pPr>
        <w:numPr>
          <w:ilvl w:val="0"/>
          <w:numId w:val="53"/>
        </w:numPr>
        <w:spacing w:before="120" w:after="120" w:line="240" w:lineRule="auto"/>
        <w:jc w:val="both"/>
        <w:rPr>
          <w:i/>
          <w:iCs/>
          <w:lang w:eastAsia="et-EE"/>
        </w:rPr>
      </w:pPr>
      <w:r w:rsidRPr="00883566">
        <w:rPr>
          <w:i/>
          <w:iCs/>
        </w:rPr>
        <w:t>võimaldama kasutada võrgu seadmeid, ehitisi ning liinirajatisi võrdsetel tingimustel ja kvaliteediga, millega ta seda osutab oma ema- ja tütarettevõtjale, klientidele või äripartneritele;</w:t>
      </w:r>
    </w:p>
    <w:p w14:paraId="51F1EF05" w14:textId="77777777" w:rsidR="00F03958" w:rsidRPr="00883566" w:rsidRDefault="00F03958" w:rsidP="00AA241E">
      <w:pPr>
        <w:numPr>
          <w:ilvl w:val="0"/>
          <w:numId w:val="53"/>
        </w:numPr>
        <w:spacing w:before="120" w:after="120" w:line="240" w:lineRule="auto"/>
        <w:jc w:val="both"/>
        <w:rPr>
          <w:i/>
          <w:iCs/>
          <w:lang w:eastAsia="et-EE"/>
        </w:rPr>
      </w:pPr>
      <w:r w:rsidRPr="00883566">
        <w:rPr>
          <w:i/>
          <w:iCs/>
        </w:rPr>
        <w:t>võimaldama juurdepääsuks taotluse esitanud ettevõtjal saada juurdepääsuks vajalikku teavet;</w:t>
      </w:r>
    </w:p>
    <w:p w14:paraId="496B6B9B" w14:textId="77777777" w:rsidR="00F03958" w:rsidRPr="00883566" w:rsidRDefault="00F03958" w:rsidP="00AA241E">
      <w:pPr>
        <w:numPr>
          <w:ilvl w:val="0"/>
          <w:numId w:val="53"/>
        </w:numPr>
        <w:spacing w:before="120" w:after="120" w:line="240" w:lineRule="auto"/>
        <w:jc w:val="both"/>
        <w:rPr>
          <w:i/>
          <w:iCs/>
          <w:lang w:eastAsia="et-EE"/>
        </w:rPr>
      </w:pPr>
      <w:r w:rsidRPr="00883566">
        <w:rPr>
          <w:i/>
          <w:iCs/>
        </w:rPr>
        <w:t>kasutama juurdepääsuga seoses saadud teavet üksnes vastava teenuse osutamiseks ning mitte avaldama seda kolmandatele isikutele, kaasa arvatud oma koostööpartneritele ja tütarettevõtjatele, kui seaduses ei ole sätestatud teisiti;</w:t>
      </w:r>
    </w:p>
    <w:p w14:paraId="390BFC84" w14:textId="77777777" w:rsidR="00F03958" w:rsidRPr="00883566" w:rsidRDefault="00F03958" w:rsidP="00AA241E">
      <w:pPr>
        <w:numPr>
          <w:ilvl w:val="0"/>
          <w:numId w:val="53"/>
        </w:numPr>
        <w:spacing w:before="120" w:after="120" w:line="240" w:lineRule="auto"/>
        <w:jc w:val="both"/>
        <w:rPr>
          <w:i/>
          <w:iCs/>
          <w:lang w:eastAsia="et-EE"/>
        </w:rPr>
      </w:pPr>
      <w:r w:rsidRPr="00883566">
        <w:rPr>
          <w:i/>
          <w:iCs/>
        </w:rPr>
        <w:t>mitte piirama oma klientide juurdepääsu teise sideettevõtja poolt osutatavatele teenustele.</w:t>
      </w:r>
    </w:p>
    <w:p w14:paraId="1BE31A50" w14:textId="77777777" w:rsidR="00F03958" w:rsidRPr="00883566" w:rsidRDefault="00F03958" w:rsidP="00AA241E">
      <w:pPr>
        <w:spacing w:line="259" w:lineRule="auto"/>
        <w:jc w:val="both"/>
        <w:rPr>
          <w:rFonts w:cs="Times New Roman"/>
          <w:lang w:eastAsia="en-US"/>
        </w:rPr>
      </w:pPr>
    </w:p>
    <w:p w14:paraId="7275380A" w14:textId="77777777" w:rsidR="00F03958" w:rsidRPr="00883566" w:rsidRDefault="00F03958" w:rsidP="00AA241E">
      <w:pPr>
        <w:spacing w:line="259" w:lineRule="auto"/>
        <w:jc w:val="both"/>
        <w:rPr>
          <w:rFonts w:eastAsiaTheme="majorEastAsia" w:cstheme="majorBidi"/>
          <w:i/>
        </w:rPr>
      </w:pPr>
      <w:bookmarkStart w:id="1140" w:name="_Toc212974432"/>
      <w:bookmarkStart w:id="1141" w:name="_Toc213122160"/>
      <w:bookmarkStart w:id="1142" w:name="_Toc213140781"/>
      <w:bookmarkStart w:id="1143" w:name="_Toc215466506"/>
      <w:bookmarkStart w:id="1144" w:name="_Toc216228059"/>
      <w:bookmarkStart w:id="1145" w:name="_Toc457983653"/>
      <w:bookmarkStart w:id="1146" w:name="_Toc464639358"/>
      <w:bookmarkStart w:id="1147" w:name="_Toc470614560"/>
      <w:bookmarkStart w:id="1148" w:name="_Toc472597883"/>
      <w:bookmarkStart w:id="1149" w:name="_Toc35339843"/>
      <w:bookmarkStart w:id="1150" w:name="_Toc66262827"/>
      <w:bookmarkStart w:id="1151" w:name="_Toc151026077"/>
    </w:p>
    <w:p w14:paraId="15AE8092" w14:textId="77777777" w:rsidR="00C8798B" w:rsidRPr="00C8798B" w:rsidRDefault="00C8798B"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1152" w:name="_Toc174094658"/>
      <w:bookmarkStart w:id="1153" w:name="_Toc174094925"/>
      <w:bookmarkStart w:id="1154" w:name="_Toc174095191"/>
      <w:bookmarkStart w:id="1155" w:name="_Toc174095456"/>
      <w:bookmarkStart w:id="1156" w:name="_Toc174095994"/>
      <w:bookmarkStart w:id="1157" w:name="_Toc174096260"/>
      <w:bookmarkStart w:id="1158" w:name="_Toc174536157"/>
      <w:bookmarkStart w:id="1159" w:name="_Toc174617257"/>
      <w:bookmarkStart w:id="1160" w:name="_Toc174618614"/>
      <w:bookmarkStart w:id="1161" w:name="_Toc174627676"/>
      <w:bookmarkStart w:id="1162" w:name="_Toc174705100"/>
      <w:bookmarkStart w:id="1163" w:name="_Toc174709644"/>
      <w:bookmarkStart w:id="1164" w:name="_Toc174710873"/>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15F3D4B1" w14:textId="5741E301" w:rsidR="00F03958" w:rsidRPr="00883566" w:rsidRDefault="00F03958" w:rsidP="009805E1">
      <w:pPr>
        <w:pStyle w:val="Pealkiri3"/>
      </w:pPr>
      <w:bookmarkStart w:id="1165" w:name="_Toc174710874"/>
      <w:r w:rsidRPr="00883566">
        <w:t>Juurdepääsu kohustuste eesmärk</w:t>
      </w:r>
      <w:bookmarkEnd w:id="1140"/>
      <w:bookmarkEnd w:id="1141"/>
      <w:bookmarkEnd w:id="1142"/>
      <w:bookmarkEnd w:id="1143"/>
      <w:bookmarkEnd w:id="1144"/>
      <w:bookmarkEnd w:id="1145"/>
      <w:r w:rsidRPr="00883566">
        <w:t xml:space="preserve"> ja alused</w:t>
      </w:r>
      <w:bookmarkEnd w:id="1146"/>
      <w:bookmarkEnd w:id="1147"/>
      <w:bookmarkEnd w:id="1148"/>
      <w:bookmarkEnd w:id="1149"/>
      <w:bookmarkEnd w:id="1150"/>
      <w:bookmarkEnd w:id="1151"/>
      <w:bookmarkEnd w:id="1165"/>
    </w:p>
    <w:p w14:paraId="463343EC" w14:textId="77777777" w:rsidR="00F03958" w:rsidRPr="00883566" w:rsidRDefault="00F03958" w:rsidP="00AA241E">
      <w:pPr>
        <w:jc w:val="both"/>
      </w:pPr>
    </w:p>
    <w:p w14:paraId="37C1825C" w14:textId="08B6B9C5" w:rsidR="00F03958" w:rsidRPr="00883566" w:rsidRDefault="00F03958" w:rsidP="00AA241E">
      <w:pPr>
        <w:spacing w:line="259" w:lineRule="auto"/>
        <w:jc w:val="both"/>
        <w:rPr>
          <w:rFonts w:cs="Times New Roman"/>
          <w:lang w:eastAsia="en-US"/>
        </w:rPr>
      </w:pPr>
      <w:r w:rsidRPr="00883566">
        <w:rPr>
          <w:rFonts w:cs="Times New Roman"/>
          <w:lang w:eastAsia="en-US"/>
        </w:rPr>
        <w:lastRenderedPageBreak/>
        <w:t xml:space="preserve">Juurdepääsu kohustus on suunatud alltoodud peatükis </w:t>
      </w:r>
      <w:r w:rsidR="001D606C">
        <w:rPr>
          <w:rFonts w:cs="Times New Roman"/>
          <w:lang w:eastAsia="en-US"/>
        </w:rPr>
        <w:t>8.3</w:t>
      </w:r>
      <w:r w:rsidRPr="00883566">
        <w:rPr>
          <w:rFonts w:cs="Times New Roman"/>
          <w:lang w:eastAsia="en-US"/>
        </w:rPr>
        <w:t xml:space="preserve">.2 kirjeldatud </w:t>
      </w:r>
      <w:r w:rsidRPr="00883566">
        <w:rPr>
          <w:rFonts w:cs="Times New Roman"/>
        </w:rPr>
        <w:t xml:space="preserve">sidevõrgule </w:t>
      </w:r>
      <w:r w:rsidRPr="00883566">
        <w:rPr>
          <w:rFonts w:cs="Times New Roman"/>
          <w:lang w:eastAsia="en-US"/>
        </w:rPr>
        <w:t>juurdepääsust keeldumise ja viivitamisega seotud konkurentsiprobleemide vältimisele. Juurdepääsu kohustuste eesmärk on edendada konkurentsi elektroonilise side ja sellega seotud teenuste osutamisel, tõkestades sideteenuste turgudel konkurentsi moonutamine või takistamine ning kaitstes kliente eelkõige teenuste valiku osas</w:t>
      </w:r>
      <w:r w:rsidRPr="00883566">
        <w:rPr>
          <w:rFonts w:cs="Times New Roman"/>
          <w:vertAlign w:val="superscript"/>
          <w:lang w:eastAsia="en-US"/>
        </w:rPr>
        <w:footnoteReference w:id="220"/>
      </w:r>
      <w:r w:rsidRPr="00883566">
        <w:rPr>
          <w:rFonts w:cs="Times New Roman"/>
          <w:lang w:eastAsia="en-US"/>
        </w:rPr>
        <w:t>. Juurdepääsu kohustused tagavad alternatiivsetele sideettevõtjatele juurdepääsu MTE sidevõrgu</w:t>
      </w:r>
      <w:r w:rsidRPr="00883566">
        <w:rPr>
          <w:rFonts w:cs="Times New Roman"/>
        </w:rPr>
        <w:t>le</w:t>
      </w:r>
      <w:r w:rsidRPr="00883566">
        <w:rPr>
          <w:rFonts w:cs="Times New Roman"/>
          <w:lang w:eastAsia="en-US"/>
        </w:rPr>
        <w:t xml:space="preserve"> eesmärgiga pakkuda konkurentsi sideteenuste jaeturgudel. </w:t>
      </w:r>
    </w:p>
    <w:p w14:paraId="15B2E428" w14:textId="77777777" w:rsidR="00F03958" w:rsidRPr="00883566" w:rsidRDefault="00F03958" w:rsidP="00AA241E">
      <w:pPr>
        <w:spacing w:line="259" w:lineRule="auto"/>
        <w:jc w:val="both"/>
        <w:rPr>
          <w:rFonts w:cs="Times New Roman"/>
          <w:lang w:eastAsia="en-US"/>
        </w:rPr>
      </w:pPr>
      <w:r w:rsidRPr="00883566">
        <w:rPr>
          <w:rFonts w:cs="Times New Roman"/>
          <w:lang w:eastAsia="en-US"/>
        </w:rPr>
        <w:t>TTJA võib MTE-</w:t>
      </w:r>
      <w:proofErr w:type="spellStart"/>
      <w:r w:rsidRPr="00883566">
        <w:rPr>
          <w:rFonts w:cs="Times New Roman"/>
          <w:lang w:eastAsia="en-US"/>
        </w:rPr>
        <w:t>le</w:t>
      </w:r>
      <w:proofErr w:type="spellEnd"/>
      <w:r w:rsidRPr="00883566">
        <w:rPr>
          <w:rFonts w:cs="Times New Roman"/>
          <w:lang w:eastAsia="en-US"/>
        </w:rPr>
        <w:t xml:space="preserve"> kehtestada kohustuse rahuldada alternatiivse sideettevõtja mõistlik taotlus juurdepääsuks konkreetsetele võrguelementidele ja võrguga seotud vahenditele ja võimaldada nende kasutamine vastavalt ESS §-le 51, kui juurdepääsust keeldumine või juurdepääs ebamõistlikel tingimustel takistab konkurentsi arengut jaemüügi tasandil või on lõppkasutajate huve kahjustav</w:t>
      </w:r>
      <w:r w:rsidRPr="00883566">
        <w:rPr>
          <w:rFonts w:cs="Times New Roman"/>
          <w:vertAlign w:val="superscript"/>
          <w:lang w:eastAsia="en-US"/>
        </w:rPr>
        <w:footnoteReference w:id="221"/>
      </w:r>
      <w:r w:rsidRPr="00883566">
        <w:rPr>
          <w:rFonts w:cs="Times New Roman"/>
          <w:lang w:eastAsia="en-US"/>
        </w:rPr>
        <w:t>.</w:t>
      </w:r>
    </w:p>
    <w:p w14:paraId="0AE7991E" w14:textId="77777777" w:rsidR="00F03958" w:rsidRPr="00883566" w:rsidRDefault="00F03958" w:rsidP="00AA241E">
      <w:pPr>
        <w:spacing w:line="259" w:lineRule="auto"/>
        <w:jc w:val="both"/>
        <w:rPr>
          <w:rFonts w:cs="Times New Roman"/>
          <w:lang w:eastAsia="en-US"/>
        </w:rPr>
      </w:pPr>
      <w:r w:rsidRPr="00883566">
        <w:rPr>
          <w:rFonts w:cs="Times New Roman"/>
        </w:rPr>
        <w:t xml:space="preserve">ESS § 51 kohustuse raames võib TTJA </w:t>
      </w:r>
      <w:proofErr w:type="spellStart"/>
      <w:r w:rsidRPr="00883566">
        <w:rPr>
          <w:rFonts w:cs="Times New Roman"/>
        </w:rPr>
        <w:t>MTE-lt</w:t>
      </w:r>
      <w:proofErr w:type="spellEnd"/>
      <w:r w:rsidRPr="00883566">
        <w:rPr>
          <w:rFonts w:cs="Times New Roman"/>
        </w:rPr>
        <w:t xml:space="preserve"> muu hulgas nõuda:</w:t>
      </w:r>
    </w:p>
    <w:p w14:paraId="71E9CB6B"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sideettevõtjatele juurdepääsu võimaldamist konkreetsetele võrguelementidele või -vahenditele, sealhulgas täielikku või jagatud juurdepääsu kliendiliinile ja alamkliendiliinile;</w:t>
      </w:r>
    </w:p>
    <w:p w14:paraId="312DB891"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teisele sideettevõtjale juurdepääsu võimaldamist aktiivse või virtuaalse sidevõrgu elementidele ja teenustele;</w:t>
      </w:r>
    </w:p>
    <w:p w14:paraId="420E4D58"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F73FAF">
        <w:rPr>
          <w:rFonts w:cs="Times New Roman"/>
        </w:rPr>
        <w:t>teisele sideettevõtjale kohustusliku juurdepääsu võimaldamist ehitistele, olenemata sellest, kas kohustuse poolt mõjutatavad varad on turuanalüüsi kohaselt asjaomase turu osa, tingimusel et kohustus on vajalik ja proportsionaalne käesoleva seaduse §-s 134 sätestatud eesmärkide saavutamiseks</w:t>
      </w:r>
      <w:r w:rsidRPr="00883566">
        <w:rPr>
          <w:rFonts w:cs="Times New Roman"/>
        </w:rPr>
        <w:t>;</w:t>
      </w:r>
    </w:p>
    <w:p w14:paraId="39BA0B6D"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heas usus läbirääkimist sideettevõtjatega, kes nõuavad juurdepääsu;</w:t>
      </w:r>
    </w:p>
    <w:p w14:paraId="31552200"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lubatud juurdepääsu jätkuvat võimaldamist;</w:t>
      </w:r>
    </w:p>
    <w:p w14:paraId="2A0625D4"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teatud teenuste osutamist hulgimüügi korras sideettevõtjatele nende teenuste edasimüümise eesmärgil;</w:t>
      </w:r>
    </w:p>
    <w:p w14:paraId="48E608F6"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 xml:space="preserve">teenuste või </w:t>
      </w:r>
      <w:proofErr w:type="spellStart"/>
      <w:r w:rsidRPr="00883566">
        <w:rPr>
          <w:rFonts w:cs="Times New Roman"/>
        </w:rPr>
        <w:t>virtuaalvõrguteenuste</w:t>
      </w:r>
      <w:proofErr w:type="spellEnd"/>
      <w:r w:rsidRPr="00883566">
        <w:rPr>
          <w:rFonts w:cs="Times New Roman"/>
        </w:rPr>
        <w:t xml:space="preserve"> koostalitluseks hädavajalikele tehnilistele liidestele, protokollidele ja muudele võtmetehnoloogiatele avatud juurdepääsu võimaldamist;</w:t>
      </w:r>
    </w:p>
    <w:p w14:paraId="3BF2A221"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ühispaiknemise või muude ühiskasutuse viiside pakkumist, sealhulgas kaablikanalisatsiooni, hoonete ja mastide ühiskasutuse võimaldamist;</w:t>
      </w:r>
    </w:p>
    <w:p w14:paraId="6642A0E1" w14:textId="416A74DB"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 xml:space="preserve">lõppkasutajatele </w:t>
      </w:r>
      <w:proofErr w:type="spellStart"/>
      <w:r w:rsidRPr="00883566">
        <w:rPr>
          <w:rFonts w:cs="Times New Roman"/>
        </w:rPr>
        <w:t>läbivühendatavusel</w:t>
      </w:r>
      <w:proofErr w:type="spellEnd"/>
      <w:r w:rsidRPr="00883566">
        <w:rPr>
          <w:rFonts w:cs="Times New Roman"/>
        </w:rPr>
        <w:t xml:space="preserve"> põhinevate teenuste koostalitlusvõime tagamiseks vajalike teenuste, sealhulgas taipvõrguteenuseks ja mobiil</w:t>
      </w:r>
      <w:r w:rsidR="0008366A">
        <w:rPr>
          <w:rFonts w:cs="Times New Roman"/>
        </w:rPr>
        <w:t>side</w:t>
      </w:r>
      <w:r w:rsidRPr="00883566">
        <w:rPr>
          <w:rFonts w:cs="Times New Roman"/>
        </w:rPr>
        <w:t>võrkude rändlusteenuseks vajalike vahendite pakkumist;</w:t>
      </w:r>
    </w:p>
    <w:p w14:paraId="2522D03A"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teenuste osutamisel õiglase konkurentsi tagamiseks vajalikele tugisüsteemidele või samalaadsetele tarkvarasüsteemidele juurdepääsu pakkumist;</w:t>
      </w:r>
    </w:p>
    <w:p w14:paraId="439AF78B"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võrkude või võrguvahendite sidumist;</w:t>
      </w:r>
    </w:p>
    <w:p w14:paraId="2B176B5C" w14:textId="77777777" w:rsidR="00F03958" w:rsidRPr="00883566" w:rsidRDefault="00F03958" w:rsidP="00AA241E">
      <w:pPr>
        <w:numPr>
          <w:ilvl w:val="0"/>
          <w:numId w:val="12"/>
        </w:numPr>
        <w:spacing w:line="259" w:lineRule="auto"/>
        <w:ind w:left="641" w:hanging="357"/>
        <w:contextualSpacing/>
        <w:jc w:val="both"/>
        <w:rPr>
          <w:rFonts w:cs="Times New Roman"/>
          <w:lang w:eastAsia="en-US"/>
        </w:rPr>
      </w:pPr>
      <w:r w:rsidRPr="00883566">
        <w:rPr>
          <w:rFonts w:cs="Times New Roman"/>
        </w:rPr>
        <w:t>juurdepääsu seotud teenusele.</w:t>
      </w:r>
    </w:p>
    <w:p w14:paraId="3C7E766C" w14:textId="77777777" w:rsidR="00F03958" w:rsidRPr="00883566" w:rsidRDefault="00F03958" w:rsidP="00AA241E">
      <w:pPr>
        <w:spacing w:line="259" w:lineRule="auto"/>
        <w:ind w:left="641"/>
        <w:contextualSpacing/>
        <w:jc w:val="both"/>
        <w:rPr>
          <w:rFonts w:cs="Times New Roman"/>
          <w:lang w:eastAsia="en-US"/>
        </w:rPr>
      </w:pPr>
    </w:p>
    <w:p w14:paraId="5A91EA72" w14:textId="77777777" w:rsidR="00F03958" w:rsidRPr="00883566" w:rsidRDefault="00F03958" w:rsidP="00AA241E">
      <w:pPr>
        <w:spacing w:line="259" w:lineRule="auto"/>
        <w:jc w:val="both"/>
        <w:rPr>
          <w:rFonts w:cs="Times New Roman"/>
          <w:lang w:eastAsia="en-US"/>
        </w:rPr>
      </w:pPr>
      <w:r w:rsidRPr="00883566">
        <w:rPr>
          <w:rFonts w:cs="Times New Roman"/>
          <w:lang w:eastAsia="en-US"/>
        </w:rPr>
        <w:t>TTJA võib eelnimetatud kohustuse kehtestamisel täpsustada kohustuse täitmise viisi</w:t>
      </w:r>
      <w:r w:rsidRPr="00883566">
        <w:rPr>
          <w:rFonts w:cs="Times New Roman"/>
          <w:vertAlign w:val="superscript"/>
          <w:lang w:eastAsia="en-US"/>
        </w:rPr>
        <w:footnoteReference w:id="222"/>
      </w:r>
      <w:r w:rsidRPr="00883566">
        <w:rPr>
          <w:rFonts w:cs="Times New Roman"/>
          <w:lang w:eastAsia="en-US"/>
        </w:rPr>
        <w:t>.</w:t>
      </w:r>
    </w:p>
    <w:p w14:paraId="2ADBEFC2" w14:textId="77777777" w:rsidR="00F03958" w:rsidRPr="00883566" w:rsidRDefault="00F03958" w:rsidP="00AA241E">
      <w:pPr>
        <w:spacing w:line="259" w:lineRule="auto"/>
        <w:jc w:val="both"/>
        <w:rPr>
          <w:rFonts w:cs="Times New Roman"/>
          <w:lang w:eastAsia="en-US"/>
        </w:rPr>
      </w:pPr>
      <w:r w:rsidRPr="00883566">
        <w:rPr>
          <w:rFonts w:cs="Times New Roman"/>
        </w:rPr>
        <w:lastRenderedPageBreak/>
        <w:t>Kaaludes, kas eeltoodud ESS § 51 lõikes 1 sätestatud juurdepääsu kohustuste kehtestamine on vajalik ja proportsionaalne seoses ESS §-s 134 sätestatud eesmärkidega, analüüsib TTJA, kas lõppkasutaja huvides tegutsedes piisab tuvastatud probleemi lahendamiseks muul viisil juurdepääsust hulgimüügiteenustele kas samal või seonduval hulgiturul</w:t>
      </w:r>
      <w:r w:rsidRPr="00883566">
        <w:rPr>
          <w:rStyle w:val="Allmrkuseviide"/>
          <w:rFonts w:eastAsiaTheme="minorHAnsi" w:cs="Times New Roman"/>
          <w:lang w:eastAsia="en-US"/>
        </w:rPr>
        <w:footnoteReference w:id="223"/>
      </w:r>
      <w:r w:rsidRPr="00883566">
        <w:rPr>
          <w:rFonts w:cs="Times New Roman"/>
        </w:rPr>
        <w:t>. Nimetatud analüüs hõlmab ärilisi juurdepääsu pakkumisi, ESS-i 6. peatükis sätestatud juurdepääsu või kehtivat või kavandatavat juurdepääsu muudele hulgimüügisisenditele. Sellise analüüsi teostamisel hindab TTJA eelkõige järgmisi asjaolusid</w:t>
      </w:r>
      <w:r w:rsidRPr="00883566">
        <w:rPr>
          <w:rStyle w:val="Allmrkuseviide"/>
          <w:rFonts w:eastAsiaTheme="minorHAnsi" w:cs="Times New Roman"/>
          <w:lang w:eastAsia="en-US"/>
        </w:rPr>
        <w:footnoteReference w:id="224"/>
      </w:r>
      <w:r w:rsidRPr="00883566">
        <w:rPr>
          <w:rFonts w:cs="Times New Roman"/>
        </w:rPr>
        <w:t>:</w:t>
      </w:r>
    </w:p>
    <w:p w14:paraId="52899EDF" w14:textId="77777777" w:rsidR="00F03958" w:rsidRPr="00883566" w:rsidRDefault="00F03958" w:rsidP="00AA241E">
      <w:pPr>
        <w:spacing w:line="259" w:lineRule="auto"/>
        <w:ind w:left="720"/>
        <w:jc w:val="both"/>
        <w:rPr>
          <w:rFonts w:cs="Times New Roman"/>
          <w:lang w:eastAsia="en-US"/>
        </w:rPr>
      </w:pPr>
      <w:r w:rsidRPr="00883566">
        <w:rPr>
          <w:rFonts w:cs="Times New Roman"/>
        </w:rPr>
        <w:t>1) konkureerivate vahendite kasutamise või paigaldamise tehniline ja majanduslik teostatavus, pidades silmas turu arengu tempot ja võttes arvesse asjasse puutuva sidumise või juurdepääsu laadi ja liiki, sealhulgas kaablikanalisatsioonile juurdepääsu teostatavust;</w:t>
      </w:r>
    </w:p>
    <w:p w14:paraId="04A0B01A" w14:textId="77777777" w:rsidR="00F03958" w:rsidRPr="00883566" w:rsidRDefault="00F03958" w:rsidP="00AA241E">
      <w:pPr>
        <w:spacing w:line="259" w:lineRule="auto"/>
        <w:ind w:left="720"/>
        <w:jc w:val="both"/>
        <w:rPr>
          <w:rFonts w:cs="Times New Roman"/>
          <w:lang w:eastAsia="en-US"/>
        </w:rPr>
      </w:pPr>
      <w:r w:rsidRPr="00883566">
        <w:rPr>
          <w:rFonts w:cs="Times New Roman"/>
        </w:rPr>
        <w:t>2) eeldatav tehnoloogiline areng, mis mõjutab sidevõrkude projekteerimist ja haldamist;</w:t>
      </w:r>
    </w:p>
    <w:p w14:paraId="239075D1" w14:textId="77777777" w:rsidR="00F03958" w:rsidRPr="00883566" w:rsidRDefault="00F03958" w:rsidP="00AA241E">
      <w:pPr>
        <w:spacing w:line="259" w:lineRule="auto"/>
        <w:ind w:left="720"/>
        <w:jc w:val="both"/>
        <w:rPr>
          <w:rFonts w:cs="Times New Roman"/>
          <w:lang w:eastAsia="en-US"/>
        </w:rPr>
      </w:pPr>
      <w:r w:rsidRPr="00883566">
        <w:rPr>
          <w:rFonts w:cs="Times New Roman"/>
        </w:rPr>
        <w:t>3) vajadus tagada tehnoloogiline neutraalsus, mis võimaldab sideettevõtjal oma sidevõrku ise projekteerida ja hallata;</w:t>
      </w:r>
    </w:p>
    <w:p w14:paraId="78049862" w14:textId="77777777" w:rsidR="00F03958" w:rsidRPr="00883566" w:rsidRDefault="00F03958" w:rsidP="00AA241E">
      <w:pPr>
        <w:spacing w:line="259" w:lineRule="auto"/>
        <w:ind w:left="720"/>
        <w:jc w:val="both"/>
        <w:rPr>
          <w:rFonts w:cs="Times New Roman"/>
          <w:lang w:eastAsia="en-US"/>
        </w:rPr>
      </w:pPr>
      <w:r w:rsidRPr="00883566">
        <w:rPr>
          <w:rFonts w:cs="Times New Roman"/>
        </w:rPr>
        <w:t>4) kavandatava juurdepääsu pakkumise teostatavus, võrreldes kasutatavate mahtudega;</w:t>
      </w:r>
      <w:r w:rsidRPr="00883566">
        <w:br/>
      </w:r>
      <w:r w:rsidRPr="00883566">
        <w:rPr>
          <w:rFonts w:cs="Times New Roman"/>
        </w:rPr>
        <w:t>5) vahendi omaniku esialgse investeeringu suurus, võttes arvesse tehtud riiklikke investeeringuid, sealhulgas investeeringuid väga suure läbilaskevõimega sidevõrkudesse, ja investeerimisega kaasnevaid riske;</w:t>
      </w:r>
      <w:r w:rsidRPr="00883566">
        <w:br/>
      </w:r>
      <w:r w:rsidRPr="00883566">
        <w:rPr>
          <w:rFonts w:cs="Times New Roman"/>
        </w:rPr>
        <w:t>6) vajadus kaitsta konkurentsi pikema aja jooksul, pöörates eelkõige tähelepanu majanduslikult tõhusal taristul põhinevale konkurentsile ja seda toetavatele uutele ärimudelitele;</w:t>
      </w:r>
      <w:r w:rsidRPr="00883566">
        <w:br/>
      </w:r>
      <w:r w:rsidRPr="00883566">
        <w:rPr>
          <w:rFonts w:cs="Times New Roman"/>
        </w:rPr>
        <w:t>7) vajadus luua toimiv konkurents jaemüügi tasandil ja lõppkasutajate õiguste kaitse tagamine;</w:t>
      </w:r>
      <w:r w:rsidRPr="00883566">
        <w:br/>
      </w:r>
      <w:r w:rsidRPr="00883566">
        <w:rPr>
          <w:rFonts w:cs="Times New Roman"/>
        </w:rPr>
        <w:t>8) asjasse puutuvad intellektuaalse omandi õigused;</w:t>
      </w:r>
      <w:r w:rsidRPr="00883566">
        <w:br/>
      </w:r>
      <w:r w:rsidRPr="00883566">
        <w:rPr>
          <w:rFonts w:cs="Times New Roman"/>
        </w:rPr>
        <w:t>9) üleeuroopaliste teenuste osutamise võimalikkus.</w:t>
      </w:r>
    </w:p>
    <w:p w14:paraId="6356D00D" w14:textId="77777777" w:rsidR="00F03958" w:rsidRPr="00883566" w:rsidRDefault="00F03958" w:rsidP="00AA241E">
      <w:pPr>
        <w:spacing w:line="259" w:lineRule="auto"/>
        <w:jc w:val="both"/>
        <w:rPr>
          <w:rFonts w:cs="Times New Roman"/>
          <w:lang w:eastAsia="en-US"/>
        </w:rPr>
      </w:pPr>
    </w:p>
    <w:p w14:paraId="147864A8" w14:textId="77777777" w:rsidR="00F03958" w:rsidRPr="00883566" w:rsidRDefault="00F03958" w:rsidP="00AA241E">
      <w:pPr>
        <w:spacing w:line="259" w:lineRule="auto"/>
        <w:jc w:val="both"/>
        <w:rPr>
          <w:rFonts w:cs="Times New Roman"/>
          <w:lang w:eastAsia="en-US"/>
        </w:rPr>
      </w:pPr>
      <w:r w:rsidRPr="00F73FAF">
        <w:rPr>
          <w:rFonts w:cs="Times New Roman"/>
        </w:rPr>
        <w:t xml:space="preserve">Kui </w:t>
      </w:r>
      <w:r w:rsidRPr="00883566">
        <w:rPr>
          <w:rFonts w:cs="Times New Roman"/>
        </w:rPr>
        <w:t>TTJA</w:t>
      </w:r>
      <w:r w:rsidRPr="00F73FAF">
        <w:rPr>
          <w:rFonts w:cs="Times New Roman"/>
        </w:rPr>
        <w:t xml:space="preserve"> kaalub </w:t>
      </w:r>
      <w:r w:rsidRPr="00883566">
        <w:rPr>
          <w:rFonts w:cs="Times New Roman"/>
        </w:rPr>
        <w:t>MTE-</w:t>
      </w:r>
      <w:proofErr w:type="spellStart"/>
      <w:r w:rsidRPr="00883566">
        <w:rPr>
          <w:rFonts w:cs="Times New Roman"/>
        </w:rPr>
        <w:t>le</w:t>
      </w:r>
      <w:proofErr w:type="spellEnd"/>
      <w:r w:rsidRPr="00F73FAF">
        <w:rPr>
          <w:rFonts w:cs="Times New Roman"/>
        </w:rPr>
        <w:t xml:space="preserve"> kohustuste kehtestamist, hindab ta esmalt, kas üksnes </w:t>
      </w:r>
      <w:r w:rsidRPr="00883566">
        <w:rPr>
          <w:rFonts w:cs="Times New Roman"/>
        </w:rPr>
        <w:t>ESS</w:t>
      </w:r>
      <w:r w:rsidRPr="00F73FAF">
        <w:rPr>
          <w:rFonts w:cs="Times New Roman"/>
        </w:rPr>
        <w:t xml:space="preserve"> § 50 lõike 1 punktis 5 nimetatud kohustuse kehtestamine on proportsionaalne vahend konkurentsi soodustamiseks ja lõppkasutajate huvide kaitseks.</w:t>
      </w:r>
    </w:p>
    <w:p w14:paraId="69BA4404" w14:textId="77777777" w:rsidR="00F03958" w:rsidRPr="00883566" w:rsidRDefault="00F03958" w:rsidP="00AA241E">
      <w:pPr>
        <w:spacing w:line="259" w:lineRule="auto"/>
        <w:jc w:val="both"/>
        <w:rPr>
          <w:rFonts w:cs="Times New Roman"/>
          <w:lang w:eastAsia="en-US"/>
        </w:rPr>
      </w:pPr>
      <w:r w:rsidRPr="00883566">
        <w:rPr>
          <w:rFonts w:cs="Times New Roman"/>
          <w:lang w:eastAsia="en-US"/>
        </w:rPr>
        <w:t>Kui TTJA on kehtestanud sideettevõtjale juurdepääsu kohustuse on vastav sideettevõtja kohustatud sõlmima juurdepääsulepingu ja võimaldama juurdepääsu võrkudele, seadmetele või teenustele TTJA poolt antud mõistliku tähtaja jooksul, arvestades, et juurdepääsuks kohustatud sideettevõtjal võib olla vaja luua juurdepääsuks tehnilised tingimused, sealhulgas paigaldada seadmed</w:t>
      </w:r>
      <w:r w:rsidRPr="00883566">
        <w:rPr>
          <w:rFonts w:cs="Times New Roman"/>
          <w:vertAlign w:val="superscript"/>
          <w:lang w:eastAsia="en-US"/>
        </w:rPr>
        <w:footnoteReference w:id="225"/>
      </w:r>
      <w:r w:rsidRPr="00883566">
        <w:rPr>
          <w:rFonts w:cs="Times New Roman"/>
          <w:lang w:eastAsia="en-US"/>
        </w:rPr>
        <w:t>.</w:t>
      </w:r>
    </w:p>
    <w:p w14:paraId="29D03621" w14:textId="77777777" w:rsidR="00F03958" w:rsidRPr="00883566" w:rsidRDefault="00F03958" w:rsidP="00AA241E">
      <w:pPr>
        <w:spacing w:line="259" w:lineRule="auto"/>
        <w:jc w:val="both"/>
        <w:rPr>
          <w:rFonts w:cs="Times New Roman"/>
          <w:lang w:eastAsia="en-US"/>
        </w:rPr>
      </w:pPr>
      <w:r w:rsidRPr="00883566">
        <w:rPr>
          <w:rFonts w:cs="Times New Roman"/>
          <w:lang w:eastAsia="en-US"/>
        </w:rPr>
        <w:lastRenderedPageBreak/>
        <w:t>Sideettevõtja, kelle suhtes on TTJA kehtestanud juurdepääsu kohustuse, on kohustatud juurdepääsu kohustuse täitmisel vastavalt kohustuse iseloomule täitma järgmisi nõudeid</w:t>
      </w:r>
      <w:r w:rsidRPr="00883566">
        <w:rPr>
          <w:rFonts w:cs="Times New Roman"/>
          <w:vertAlign w:val="superscript"/>
          <w:lang w:eastAsia="en-US"/>
        </w:rPr>
        <w:footnoteReference w:id="226"/>
      </w:r>
      <w:r w:rsidRPr="00883566">
        <w:rPr>
          <w:rFonts w:cs="Times New Roman"/>
          <w:lang w:eastAsia="en-US"/>
        </w:rPr>
        <w:t xml:space="preserve"> :</w:t>
      </w:r>
    </w:p>
    <w:p w14:paraId="33B96050" w14:textId="77777777" w:rsidR="00F03958" w:rsidRPr="00883566" w:rsidRDefault="00F03958" w:rsidP="00AA241E">
      <w:pPr>
        <w:numPr>
          <w:ilvl w:val="0"/>
          <w:numId w:val="13"/>
        </w:numPr>
        <w:spacing w:line="259" w:lineRule="auto"/>
        <w:contextualSpacing/>
        <w:jc w:val="both"/>
        <w:rPr>
          <w:rFonts w:cs="Times New Roman"/>
          <w:lang w:eastAsia="en-US"/>
        </w:rPr>
      </w:pPr>
      <w:r w:rsidRPr="00883566">
        <w:rPr>
          <w:rFonts w:cs="Times New Roman"/>
        </w:rPr>
        <w:t>võimaldama kasutada võrgu seadmeid, ehitisi ning liinirajatisi võrdsetel tingimustel ja kvaliteediga, millega ta seda ise osutab oma ema- ja tütarettevõtjale, klientidele või äripartneritele;</w:t>
      </w:r>
    </w:p>
    <w:p w14:paraId="69B0AC1C" w14:textId="77777777" w:rsidR="00F03958" w:rsidRPr="00883566" w:rsidRDefault="00F03958" w:rsidP="00AA241E">
      <w:pPr>
        <w:numPr>
          <w:ilvl w:val="0"/>
          <w:numId w:val="13"/>
        </w:numPr>
        <w:spacing w:line="259" w:lineRule="auto"/>
        <w:contextualSpacing/>
        <w:jc w:val="both"/>
        <w:rPr>
          <w:rFonts w:cs="Times New Roman"/>
          <w:lang w:eastAsia="en-US"/>
        </w:rPr>
      </w:pPr>
      <w:r w:rsidRPr="00883566">
        <w:rPr>
          <w:rFonts w:cs="Times New Roman"/>
        </w:rPr>
        <w:t>võimaldama juurdepääsuks või sidumiseks taotluse esitanud ettevõtjal saada juurdepääsuks ja sidumiseks vajalikku teavet;</w:t>
      </w:r>
    </w:p>
    <w:p w14:paraId="39C7A037" w14:textId="77777777" w:rsidR="00F03958" w:rsidRPr="00883566" w:rsidRDefault="00F03958" w:rsidP="00AA241E">
      <w:pPr>
        <w:numPr>
          <w:ilvl w:val="0"/>
          <w:numId w:val="13"/>
        </w:numPr>
        <w:spacing w:line="259" w:lineRule="auto"/>
        <w:contextualSpacing/>
        <w:jc w:val="both"/>
        <w:rPr>
          <w:rFonts w:cs="Times New Roman"/>
          <w:lang w:eastAsia="en-US"/>
        </w:rPr>
      </w:pPr>
      <w:r w:rsidRPr="00883566">
        <w:rPr>
          <w:rFonts w:cs="Times New Roman"/>
        </w:rPr>
        <w:t>kasutama juurdepääsu või sidumisega seoses saadud teavet üksnes vastava teenuse osutamiseks ning mitte avaldama seda kolmandale isikule, eelkõige teisele struktuuriüksusele, tütarettevõtjale ega partnerile, kellele selline teave võiks anda konkurentsieeliseid, kui seaduses ei ole sätestatud teisiti;</w:t>
      </w:r>
    </w:p>
    <w:p w14:paraId="3A5A22FD" w14:textId="77777777" w:rsidR="00F03958" w:rsidRPr="00883566" w:rsidRDefault="00F03958" w:rsidP="00AA241E">
      <w:pPr>
        <w:numPr>
          <w:ilvl w:val="0"/>
          <w:numId w:val="13"/>
        </w:numPr>
        <w:spacing w:line="259" w:lineRule="auto"/>
        <w:contextualSpacing/>
        <w:jc w:val="both"/>
        <w:rPr>
          <w:rFonts w:cs="Times New Roman"/>
          <w:lang w:eastAsia="en-US"/>
        </w:rPr>
      </w:pPr>
      <w:r w:rsidRPr="00883566">
        <w:rPr>
          <w:rFonts w:cs="Times New Roman"/>
        </w:rPr>
        <w:t>mitte piirama oma klientide juurdepääsu teise sideettevõtja poolt osutatavatele teenustele.</w:t>
      </w:r>
    </w:p>
    <w:p w14:paraId="2EFD28EA" w14:textId="77777777" w:rsidR="00F03958" w:rsidRPr="00883566" w:rsidRDefault="00F03958" w:rsidP="00AA241E">
      <w:pPr>
        <w:spacing w:before="120" w:after="120"/>
        <w:jc w:val="both"/>
        <w:rPr>
          <w:rFonts w:cs="Times New Roman"/>
          <w:lang w:eastAsia="et-EE"/>
        </w:rPr>
      </w:pPr>
    </w:p>
    <w:p w14:paraId="41176D27" w14:textId="45C32788" w:rsidR="00F03958" w:rsidRPr="00883566" w:rsidRDefault="00F03958" w:rsidP="009805E1">
      <w:pPr>
        <w:pStyle w:val="Pealkiri3"/>
      </w:pPr>
      <w:bookmarkStart w:id="1166" w:name="_Toc66262828"/>
      <w:bookmarkStart w:id="1167" w:name="_Toc151026078"/>
      <w:bookmarkStart w:id="1168" w:name="_Toc174710875"/>
      <w:r w:rsidRPr="00883566">
        <w:t>Juurdepääsuga seotud konkurentsi</w:t>
      </w:r>
      <w:bookmarkEnd w:id="1166"/>
      <w:bookmarkEnd w:id="1167"/>
      <w:r w:rsidRPr="00883566">
        <w:t>probleemid</w:t>
      </w:r>
      <w:bookmarkEnd w:id="1168"/>
    </w:p>
    <w:p w14:paraId="3AC34A55" w14:textId="77777777" w:rsidR="00F03958" w:rsidRPr="00883566" w:rsidRDefault="00F03958" w:rsidP="00AA241E">
      <w:pPr>
        <w:spacing w:before="120" w:after="120"/>
        <w:jc w:val="both"/>
        <w:rPr>
          <w:rFonts w:cs="Times New Roman"/>
          <w:lang w:eastAsia="et-EE"/>
        </w:rPr>
      </w:pPr>
      <w:r w:rsidRPr="00883566">
        <w:rPr>
          <w:rFonts w:cs="Times New Roman"/>
        </w:rPr>
        <w:t xml:space="preserve">Hulgituru 3b teenused on olulised sisendid nimetatud turule järgnevatele hulgi- ja jaeturgudele siseneja jaoks, kes soovib rajada oma sidevõrku (käesolevas otsuses ka </w:t>
      </w:r>
      <w:r w:rsidRPr="00883566">
        <w:rPr>
          <w:rFonts w:cs="Times New Roman"/>
          <w:i/>
        </w:rPr>
        <w:t>alternatiivne või teine sideettevõtja</w:t>
      </w:r>
      <w:r w:rsidRPr="00883566">
        <w:rPr>
          <w:rFonts w:cs="Times New Roman"/>
        </w:rPr>
        <w:t>). Oluline on märkida, et sidevõrkude rajamine on seotud suurte pöördumatute kuludega ja vajavad märkimisväärset mastaabi-, mitmekülgsus- ja tihedussäästu ning on see tõttu eriti raskesti dubleeritavad. Telia vertikaalselt integreeritud ettevõtjana ei ole huvitatud hulgiteenuste osutamisest alternatiivsetele sideettevõtjatele, kuna see suurendab konkurentsi jaeturul. Sellest tuleneb ka vertikaalselt integreeritud MTE huvi piirata oma sidevõrgule  juurdepääsu hulgiteenuste osutamist. Nimetatud hulgiteenuste osutamisest keeldumisega piiratakse alternatiivsete sideettevõtjate võimalusi siseneda nimetatud hulgiturule järgnevatele hulgi- ja jaeturgudele.</w:t>
      </w:r>
    </w:p>
    <w:p w14:paraId="71077E8F" w14:textId="77777777" w:rsidR="00F03958" w:rsidRPr="00883566" w:rsidRDefault="00F03958" w:rsidP="00AA241E">
      <w:pPr>
        <w:spacing w:before="120" w:after="120"/>
        <w:jc w:val="both"/>
        <w:rPr>
          <w:rFonts w:cs="Times New Roman"/>
          <w:lang w:eastAsia="et-EE"/>
        </w:rPr>
      </w:pPr>
    </w:p>
    <w:p w14:paraId="478F326E" w14:textId="2067490D" w:rsidR="00F03958" w:rsidRPr="00883566" w:rsidRDefault="00F03958" w:rsidP="00AA241E">
      <w:pPr>
        <w:spacing w:before="120" w:after="120"/>
        <w:jc w:val="both"/>
        <w:rPr>
          <w:rFonts w:cs="Times New Roman"/>
          <w:lang w:eastAsia="et-EE"/>
        </w:rPr>
      </w:pPr>
      <w:bookmarkStart w:id="1169" w:name="_Hlk31885728"/>
      <w:r w:rsidRPr="00883566">
        <w:rPr>
          <w:rFonts w:cs="Times New Roman"/>
          <w:lang w:eastAsia="et-EE"/>
        </w:rPr>
        <w:t>BEREC on avaldanud seisukoha, mis käsitleb hulgituru 3b toodete osas MTE-</w:t>
      </w:r>
      <w:proofErr w:type="spellStart"/>
      <w:r w:rsidRPr="00883566">
        <w:rPr>
          <w:rFonts w:cs="Times New Roman"/>
          <w:lang w:eastAsia="et-EE"/>
        </w:rPr>
        <w:t>le</w:t>
      </w:r>
      <w:proofErr w:type="spellEnd"/>
      <w:r w:rsidRPr="00883566">
        <w:rPr>
          <w:rFonts w:cs="Times New Roman"/>
          <w:lang w:eastAsia="et-EE"/>
        </w:rPr>
        <w:t xml:space="preserve"> kohustuste kehtestamise parimaid tavasid</w:t>
      </w:r>
      <w:r w:rsidRPr="00883566">
        <w:rPr>
          <w:rStyle w:val="Allmrkuseviide"/>
          <w:rFonts w:cs="Times New Roman"/>
          <w:lang w:eastAsia="et-EE"/>
        </w:rPr>
        <w:footnoteReference w:id="227"/>
      </w:r>
      <w:r w:rsidRPr="00883566">
        <w:rPr>
          <w:rFonts w:cs="Times New Roman"/>
          <w:lang w:eastAsia="et-EE"/>
        </w:rPr>
        <w:t xml:space="preserve">. Selles tuuakse välja hulgiturul 3b sagedamini esineda võivad konkurentsitõkked, mis takistavad alternatiivsetel sideettevõtjatel tõhusalt konkureerida </w:t>
      </w:r>
      <w:r w:rsidR="00BE68C5">
        <w:rPr>
          <w:rFonts w:cs="Times New Roman"/>
          <w:lang w:eastAsia="et-EE"/>
        </w:rPr>
        <w:t>jaetur</w:t>
      </w:r>
      <w:r w:rsidRPr="00883566">
        <w:rPr>
          <w:rFonts w:cs="Times New Roman"/>
          <w:lang w:eastAsia="et-EE"/>
        </w:rPr>
        <w:t>ul</w:t>
      </w:r>
      <w:bookmarkEnd w:id="1169"/>
      <w:r w:rsidRPr="00883566">
        <w:rPr>
          <w:rFonts w:cs="Times New Roman"/>
          <w:lang w:eastAsia="et-EE"/>
        </w:rPr>
        <w:t>:</w:t>
      </w:r>
    </w:p>
    <w:p w14:paraId="5B8E70D0" w14:textId="77777777" w:rsidR="00F03958" w:rsidRPr="00883566" w:rsidRDefault="00F03958" w:rsidP="00AA241E">
      <w:pPr>
        <w:pStyle w:val="Loendilik"/>
        <w:numPr>
          <w:ilvl w:val="1"/>
          <w:numId w:val="5"/>
        </w:numPr>
        <w:spacing w:before="120" w:after="120" w:line="240" w:lineRule="auto"/>
        <w:ind w:left="0" w:firstLine="0"/>
        <w:jc w:val="both"/>
        <w:rPr>
          <w:rFonts w:cs="Times New Roman"/>
          <w:lang w:eastAsia="et-EE"/>
        </w:rPr>
      </w:pPr>
      <w:bookmarkStart w:id="1170" w:name="_Hlk53052078"/>
      <w:r w:rsidRPr="00883566">
        <w:rPr>
          <w:rFonts w:cs="Times New Roman"/>
        </w:rPr>
        <w:t>MTE võib keelduda või viivitada juurdepääsu osutamisega oma sidevõrgule või teatud sidevõrgu tasandile või teatud sidevõrgu geograafilisele piirkonnale</w:t>
      </w:r>
      <w:bookmarkEnd w:id="1170"/>
      <w:r w:rsidRPr="00883566">
        <w:rPr>
          <w:rFonts w:cs="Times New Roman"/>
        </w:rPr>
        <w:t>;</w:t>
      </w:r>
    </w:p>
    <w:p w14:paraId="028AC704" w14:textId="77777777" w:rsidR="00F03958" w:rsidRPr="00883566" w:rsidRDefault="00F03958" w:rsidP="00AA241E">
      <w:pPr>
        <w:pStyle w:val="Loendilik"/>
        <w:numPr>
          <w:ilvl w:val="1"/>
          <w:numId w:val="5"/>
        </w:numPr>
        <w:spacing w:before="120" w:after="120" w:line="240" w:lineRule="auto"/>
        <w:ind w:left="0" w:firstLine="0"/>
        <w:jc w:val="both"/>
        <w:rPr>
          <w:rFonts w:cs="Times New Roman"/>
          <w:lang w:eastAsia="et-EE"/>
        </w:rPr>
      </w:pPr>
      <w:r w:rsidRPr="00883566">
        <w:rPr>
          <w:rFonts w:cs="Times New Roman"/>
        </w:rPr>
        <w:t>MTE võib keelduda või viivitada alternatiivse sideettevõtja taotlusel uute otstarbekate ja mõistlike juurdepääsuteenuste välja arendamisest</w:t>
      </w:r>
      <w:bookmarkStart w:id="1171" w:name="_Hlk31279919"/>
      <w:r w:rsidRPr="00883566">
        <w:rPr>
          <w:rFonts w:cs="Times New Roman"/>
        </w:rPr>
        <w:t xml:space="preserve">; </w:t>
      </w:r>
    </w:p>
    <w:p w14:paraId="210183B3" w14:textId="77777777" w:rsidR="00F03958" w:rsidRPr="00883566" w:rsidRDefault="00F03958" w:rsidP="00AA241E">
      <w:pPr>
        <w:pStyle w:val="Loendilik"/>
        <w:numPr>
          <w:ilvl w:val="1"/>
          <w:numId w:val="5"/>
        </w:numPr>
        <w:spacing w:before="120" w:after="120" w:line="240" w:lineRule="auto"/>
        <w:ind w:left="0" w:firstLine="0"/>
        <w:jc w:val="both"/>
        <w:rPr>
          <w:rFonts w:cs="Times New Roman"/>
          <w:lang w:eastAsia="et-EE"/>
        </w:rPr>
      </w:pPr>
      <w:bookmarkStart w:id="1172" w:name="_Hlk31281832"/>
      <w:bookmarkEnd w:id="1171"/>
      <w:r w:rsidRPr="00883566">
        <w:rPr>
          <w:rFonts w:cs="Times New Roman"/>
        </w:rPr>
        <w:lastRenderedPageBreak/>
        <w:t>MTE võib keelduda või viivitada piisava tehnilise kvaliteediga juurdepääsutoodete osutamisest, mis võimaldaks pakkuda MTE jaeteenustega samaväärset kvaliteediga jaeteenuseid</w:t>
      </w:r>
      <w:bookmarkEnd w:id="1172"/>
      <w:r w:rsidRPr="00883566">
        <w:rPr>
          <w:rFonts w:cs="Times New Roman"/>
        </w:rPr>
        <w:t>;</w:t>
      </w:r>
    </w:p>
    <w:p w14:paraId="52263A0D" w14:textId="77777777" w:rsidR="00F03958" w:rsidRPr="00883566" w:rsidRDefault="00F03958" w:rsidP="00AA241E">
      <w:pPr>
        <w:pStyle w:val="Loendilik"/>
        <w:numPr>
          <w:ilvl w:val="1"/>
          <w:numId w:val="5"/>
        </w:numPr>
        <w:spacing w:before="120" w:after="120" w:line="240" w:lineRule="auto"/>
        <w:ind w:left="0" w:firstLine="0"/>
        <w:jc w:val="both"/>
        <w:rPr>
          <w:rFonts w:cs="Times New Roman"/>
          <w:lang w:eastAsia="et-EE"/>
        </w:rPr>
      </w:pPr>
      <w:r w:rsidRPr="00883566">
        <w:rPr>
          <w:rFonts w:cs="Times New Roman"/>
        </w:rPr>
        <w:t>MTE võib keelduda või viivitada juurdepääsuteenusega seotud piisava kvaliteediga tegevuste pakkumisest, mis võimaldaks pakkuda MTE jaeteenustega samaväärset kvaliteetiga jaeteenuseid, sellisteks tegevusteks võivad olla näiteks teenuse tellimise protseduur, remondi- ja hooldustööde tegemine ning rikete kõrvaldamine;</w:t>
      </w:r>
    </w:p>
    <w:p w14:paraId="1F8DF544" w14:textId="77777777" w:rsidR="00F03958" w:rsidRPr="00883566" w:rsidRDefault="00F03958" w:rsidP="00AA241E">
      <w:pPr>
        <w:pStyle w:val="Loendilik"/>
        <w:numPr>
          <w:ilvl w:val="1"/>
          <w:numId w:val="5"/>
        </w:numPr>
        <w:spacing w:before="120" w:after="120" w:line="240" w:lineRule="auto"/>
        <w:ind w:left="0" w:firstLine="0"/>
        <w:jc w:val="both"/>
        <w:rPr>
          <w:rFonts w:cs="Times New Roman"/>
          <w:lang w:eastAsia="et-EE"/>
        </w:rPr>
      </w:pPr>
      <w:bookmarkStart w:id="1173" w:name="_Hlk53051437"/>
      <w:r w:rsidRPr="00883566">
        <w:rPr>
          <w:rFonts w:cs="Times New Roman"/>
        </w:rPr>
        <w:t>MTE  võib keelduda või viivitada sobivate hulgitasandi toodete (nt internetiühenduse virtuaalse eraldamine, valguskaabli kiu eraldamine, kaablikanalisatsiooni rent) pakkumisega, mis võimaldaksid alternatiivse sideettevõtja ja MTE sidevõrkude ühendamist sobiva tasandi (kohalik, piirkondlik, riiklik) pääsupunktis</w:t>
      </w:r>
      <w:bookmarkEnd w:id="1173"/>
      <w:r w:rsidRPr="00883566">
        <w:rPr>
          <w:rFonts w:cs="Times New Roman"/>
        </w:rPr>
        <w:t>;</w:t>
      </w:r>
    </w:p>
    <w:p w14:paraId="240704CD" w14:textId="486F0E03" w:rsidR="00F03958" w:rsidRPr="00883566" w:rsidRDefault="00F03958" w:rsidP="00AA241E">
      <w:pPr>
        <w:pStyle w:val="Loendilik"/>
        <w:numPr>
          <w:ilvl w:val="1"/>
          <w:numId w:val="5"/>
        </w:numPr>
        <w:spacing w:before="120" w:after="120" w:line="240" w:lineRule="auto"/>
        <w:ind w:left="0" w:firstLine="0"/>
        <w:jc w:val="both"/>
        <w:rPr>
          <w:rFonts w:cs="Times New Roman"/>
          <w:lang w:eastAsia="et-EE"/>
        </w:rPr>
      </w:pPr>
      <w:r w:rsidRPr="00883566">
        <w:rPr>
          <w:rFonts w:cs="Times New Roman"/>
        </w:rPr>
        <w:t xml:space="preserve">MTE võib keelduda või viivitada alternatiivsete sideettevõtja ning enda sidevõrgu seadmete ühispaiknemise võimaldamisest ja muudele seotud seadmetele juurdepääsust (nt energiavarustuse seadmed, jahutuse seadmed), mis on vajalikud alternatiivsele operaatorile tõhusaks konkureerimiseks </w:t>
      </w:r>
      <w:r w:rsidR="00BE68C5">
        <w:rPr>
          <w:rFonts w:cs="Times New Roman"/>
        </w:rPr>
        <w:t>jaetur</w:t>
      </w:r>
      <w:r w:rsidRPr="00883566">
        <w:rPr>
          <w:rFonts w:cs="Times New Roman"/>
        </w:rPr>
        <w:t>ul lairiba juurdepääsu hulgiteenuse alusel;</w:t>
      </w:r>
    </w:p>
    <w:p w14:paraId="3C4FF0CF" w14:textId="69591F06" w:rsidR="00F03958" w:rsidRPr="00883566" w:rsidRDefault="00F03958" w:rsidP="00AA241E">
      <w:pPr>
        <w:pStyle w:val="Loendilik"/>
        <w:numPr>
          <w:ilvl w:val="1"/>
          <w:numId w:val="5"/>
        </w:numPr>
        <w:suppressAutoHyphens/>
        <w:spacing w:after="0" w:line="240" w:lineRule="auto"/>
        <w:ind w:left="0" w:firstLine="0"/>
        <w:jc w:val="both"/>
        <w:rPr>
          <w:rFonts w:cs="Times New Roman"/>
          <w:lang w:eastAsia="et-EE"/>
        </w:rPr>
      </w:pPr>
      <w:bookmarkStart w:id="1174" w:name="_Hlk53133142"/>
      <w:r w:rsidRPr="00883566">
        <w:rPr>
          <w:rFonts w:cs="Times New Roman"/>
        </w:rPr>
        <w:t xml:space="preserve">MTE võib keelduda või viivitada kavandatava hulgiteenuse sulgemise või muutmise tingimuste teavitamisega ja sobivate alternatiivsete reguleeritud hulgiteenuste ning alternatiivsetele reguleeritud hulgiteenustele vajalike ülemineku protseduuride pakkumisega, mis on vajalikud alternatiivsele operaatorile jätkuvaks tõhusaks konkureerimiseks </w:t>
      </w:r>
      <w:r w:rsidR="00BE68C5">
        <w:rPr>
          <w:rFonts w:cs="Times New Roman"/>
        </w:rPr>
        <w:t>jaetur</w:t>
      </w:r>
      <w:r w:rsidRPr="00883566">
        <w:rPr>
          <w:rFonts w:cs="Times New Roman"/>
        </w:rPr>
        <w:t>ul lairiba juurdepääsu hulgiteenuse vahendusel</w:t>
      </w:r>
      <w:bookmarkEnd w:id="1174"/>
      <w:r w:rsidRPr="00883566">
        <w:rPr>
          <w:rFonts w:cs="Times New Roman"/>
        </w:rPr>
        <w:t>.</w:t>
      </w:r>
    </w:p>
    <w:p w14:paraId="61D601D9" w14:textId="77777777" w:rsidR="00F03958" w:rsidRPr="00883566" w:rsidRDefault="00F03958" w:rsidP="00AA241E">
      <w:pPr>
        <w:pStyle w:val="Loendilik"/>
        <w:spacing w:before="120" w:after="120"/>
        <w:ind w:left="0"/>
        <w:jc w:val="both"/>
        <w:rPr>
          <w:rFonts w:cs="Times New Roman"/>
          <w:lang w:eastAsia="et-EE"/>
        </w:rPr>
      </w:pPr>
    </w:p>
    <w:p w14:paraId="6A11DB10" w14:textId="3C074039" w:rsidR="00F03958" w:rsidRPr="00883566" w:rsidRDefault="00F03958" w:rsidP="00AA241E">
      <w:pPr>
        <w:spacing w:line="259" w:lineRule="auto"/>
        <w:jc w:val="both"/>
        <w:rPr>
          <w:rFonts w:cs="Times New Roman"/>
          <w:lang w:eastAsia="en-US"/>
        </w:rPr>
      </w:pPr>
      <w:r w:rsidRPr="00883566">
        <w:rPr>
          <w:rFonts w:cs="Times New Roman"/>
        </w:rPr>
        <w:t xml:space="preserve">TTJA hinnangul on </w:t>
      </w:r>
      <w:r w:rsidR="00A3232C">
        <w:rPr>
          <w:rFonts w:cs="Times New Roman"/>
        </w:rPr>
        <w:t>valguskaabelvõrgu</w:t>
      </w:r>
      <w:r w:rsidRPr="00883566">
        <w:rPr>
          <w:rFonts w:cs="Times New Roman"/>
        </w:rPr>
        <w:t xml:space="preserve"> B piirkonna hulgituru 3b teenuste osas juurdepääsust keeldumise ja/või viivitamisega seotud konkurentsiprobleemide esinemine järgmise turuanalüüsini kestva perioodi jooksul tõenäoline, kuna puuduvad alused eeldada, et Telia vertikaalne integreeritus ja turujõud vastaval hulgiturul nimetatud perioodil märkimisväärselt väheneks. See annab Teliale võime keelduda ja/või viivitada juurdepääsu osutamisega vastava hulgituru teenustele takistades teiste sideettevõtjate järgnevatele hulgi- ja jaeturgudele sisenemist ning kahjustades seeläbi konkurentsi järgnevatel hulgi- ja jaemüügi tasanditel ning seeläbi lõppkasutajate huve.</w:t>
      </w:r>
    </w:p>
    <w:p w14:paraId="4A0DF0F8" w14:textId="77777777" w:rsidR="00F03958" w:rsidRPr="00883566" w:rsidRDefault="00F03958" w:rsidP="00AA241E">
      <w:pPr>
        <w:spacing w:line="259" w:lineRule="auto"/>
        <w:jc w:val="both"/>
        <w:rPr>
          <w:rFonts w:cs="Times New Roman"/>
          <w:lang w:eastAsia="en-US"/>
        </w:rPr>
      </w:pPr>
      <w:bookmarkStart w:id="1175" w:name="_Hlk125375697"/>
      <w:bookmarkStart w:id="1176" w:name="_Hlk39047227"/>
      <w:r w:rsidRPr="00883566">
        <w:rPr>
          <w:rFonts w:cs="Times New Roman"/>
          <w:lang w:eastAsia="en-US"/>
        </w:rPr>
        <w:t>TTJA 2021 hulgituru 3b otsuse eelnõu ja TTJA 2023 hulgituru 3b otsuse eelnõu koostamise käigus</w:t>
      </w:r>
      <w:bookmarkEnd w:id="1175"/>
      <w:r w:rsidRPr="00883566">
        <w:rPr>
          <w:rFonts w:cs="Times New Roman"/>
          <w:vertAlign w:val="superscript"/>
          <w:lang w:eastAsia="en-US"/>
        </w:rPr>
        <w:footnoteReference w:id="228"/>
      </w:r>
      <w:r w:rsidRPr="00883566">
        <w:rPr>
          <w:rFonts w:cs="Times New Roman"/>
          <w:lang w:eastAsia="en-US"/>
        </w:rPr>
        <w:t xml:space="preserve"> tõid alternatiivsed sideettevõtjad esile konkurentsiprobleeme ja -tõkkeid seoses Telia ostutavate hulgituru 3b teenustega. </w:t>
      </w:r>
    </w:p>
    <w:bookmarkEnd w:id="1176"/>
    <w:p w14:paraId="13E2331D" w14:textId="77777777" w:rsidR="00F03958" w:rsidRPr="00883566" w:rsidRDefault="00F03958" w:rsidP="00AA241E">
      <w:pPr>
        <w:pStyle w:val="Loendilik"/>
        <w:spacing w:before="120" w:after="120"/>
        <w:ind w:left="0"/>
        <w:jc w:val="both"/>
        <w:rPr>
          <w:rFonts w:cs="Times New Roman"/>
          <w:lang w:eastAsia="et-EE"/>
        </w:rPr>
      </w:pPr>
    </w:p>
    <w:p w14:paraId="67CF8AEB" w14:textId="77777777" w:rsidR="00F03958" w:rsidRPr="00883566" w:rsidRDefault="00F03958" w:rsidP="00AA241E">
      <w:pPr>
        <w:spacing w:before="120" w:after="120"/>
        <w:jc w:val="both"/>
        <w:rPr>
          <w:rFonts w:cs="Times New Roman"/>
          <w:lang w:eastAsia="et-EE"/>
        </w:rPr>
      </w:pPr>
      <w:bookmarkStart w:id="1177" w:name="_Hlk31887473"/>
    </w:p>
    <w:p w14:paraId="201139BB" w14:textId="6AD06DD0" w:rsidR="00F03958" w:rsidRPr="00883566" w:rsidRDefault="00F03958" w:rsidP="009805E1">
      <w:pPr>
        <w:pStyle w:val="Pealkiri3"/>
      </w:pPr>
      <w:bookmarkStart w:id="1178" w:name="_Toc151026080"/>
      <w:bookmarkStart w:id="1179" w:name="_Toc174710876"/>
      <w:r w:rsidRPr="00883566">
        <w:t>Juurdepääsu kohustuse asendamine läbipaistvuse-, mittediskrimineerimisekohuste või hinnakohustusega</w:t>
      </w:r>
      <w:bookmarkEnd w:id="1178"/>
      <w:bookmarkEnd w:id="1179"/>
    </w:p>
    <w:p w14:paraId="4FE08509" w14:textId="77777777" w:rsidR="00F03958" w:rsidRPr="00883566" w:rsidRDefault="00F03958" w:rsidP="00AA241E">
      <w:pPr>
        <w:spacing w:before="120" w:after="120"/>
        <w:jc w:val="both"/>
        <w:rPr>
          <w:rFonts w:cs="Times New Roman"/>
          <w:lang w:eastAsia="et-EE"/>
        </w:rPr>
      </w:pPr>
    </w:p>
    <w:bookmarkEnd w:id="1177"/>
    <w:p w14:paraId="735C9CC2" w14:textId="77777777" w:rsidR="00F03958" w:rsidRPr="00883566" w:rsidRDefault="00F03958" w:rsidP="00AA241E">
      <w:pPr>
        <w:spacing w:before="120" w:after="120"/>
        <w:jc w:val="both"/>
        <w:rPr>
          <w:rFonts w:cs="Times New Roman"/>
          <w:lang w:eastAsia="et-EE"/>
        </w:rPr>
      </w:pPr>
      <w:r w:rsidRPr="00883566">
        <w:rPr>
          <w:rFonts w:cs="Times New Roman"/>
        </w:rPr>
        <w:lastRenderedPageBreak/>
        <w:t>Alljärgnevalt hinnatakse, kas MTE-</w:t>
      </w:r>
      <w:proofErr w:type="spellStart"/>
      <w:r w:rsidRPr="00883566">
        <w:rPr>
          <w:rFonts w:cs="Times New Roman"/>
        </w:rPr>
        <w:t>le</w:t>
      </w:r>
      <w:proofErr w:type="spellEnd"/>
      <w:r w:rsidRPr="00883566">
        <w:rPr>
          <w:rFonts w:cs="Times New Roman"/>
        </w:rPr>
        <w:t xml:space="preserve"> rakendatavat juurdepääsu kohustust on võimalik ja otstarbekas asendada mõne muu ESS-is sätestatud kohustusega nagu läbipaistvuse-, mittediskrimineerimisekohustusega või hinnakohustusega.</w:t>
      </w:r>
    </w:p>
    <w:p w14:paraId="42F6AD4C" w14:textId="77777777" w:rsidR="00F03958" w:rsidRPr="00883566" w:rsidRDefault="00F03958" w:rsidP="00AA241E">
      <w:pPr>
        <w:spacing w:before="120" w:after="120"/>
        <w:jc w:val="both"/>
        <w:rPr>
          <w:rFonts w:cs="Times New Roman"/>
          <w:lang w:eastAsia="et-EE"/>
        </w:rPr>
      </w:pPr>
      <w:r w:rsidRPr="00883566">
        <w:rPr>
          <w:rFonts w:cs="Times New Roman"/>
        </w:rPr>
        <w:t>TTJA kaalus erinevaid ESS § 50 sätestatud meetmeid (läbipaistvuskohustus, mittediskrimineerimise kohustus ja hinnaga seotud kohustused) hindamaks, kas need võiksid asendada ESS § 51 sätestatud juurdepääsu kohustusi ja leidis, et:</w:t>
      </w:r>
    </w:p>
    <w:p w14:paraId="0C6308F7"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läbipaistvuskohustus</w:t>
      </w:r>
      <w:r w:rsidRPr="00883566">
        <w:rPr>
          <w:rFonts w:cs="Times New Roman"/>
          <w:vertAlign w:val="superscript"/>
          <w:lang w:eastAsia="et-EE"/>
        </w:rPr>
        <w:footnoteReference w:id="229"/>
      </w:r>
      <w:r w:rsidRPr="00883566">
        <w:rPr>
          <w:rFonts w:cs="Times New Roman"/>
          <w:lang w:eastAsia="et-EE"/>
        </w:rPr>
        <w:t xml:space="preserve"> üksi ei ole juurdepääsust keeldumise ja viivitamise konkurentsiprobleemi vältimiseks piisav, kuna nimetatud kohustus sätestab ainult kohustuse avaldada kõigile võrdsetel tingimustel hulgituru 3b teenuste kasutamiseks vajalikku informatsiooni, kuid ei kohusta osutama vastavaid teenuseid õigeaegselt;</w:t>
      </w:r>
    </w:p>
    <w:p w14:paraId="4E5BA2BA"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mittediskrimineerimise</w:t>
      </w:r>
      <w:r w:rsidRPr="00883566">
        <w:rPr>
          <w:rFonts w:cs="Times New Roman"/>
          <w:vertAlign w:val="superscript"/>
          <w:lang w:eastAsia="et-EE"/>
        </w:rPr>
        <w:footnoteReference w:id="230"/>
      </w:r>
      <w:r w:rsidRPr="00883566">
        <w:rPr>
          <w:rFonts w:cs="Times New Roman"/>
          <w:lang w:eastAsia="et-EE"/>
        </w:rPr>
        <w:t xml:space="preserve"> kohustus ei ole juurdepääsust keeldumise ja viivitamise konkurentsiprobleemi vältimiseks kohane, kuna nimetatud kohustus on suunatud üksnes sideettevõtjate võrdse kohtlemise tagamisele, kuid ei taga hulgituru 3b teenuste osutamist õigeaegselt;</w:t>
      </w:r>
    </w:p>
    <w:p w14:paraId="2C7E9FD9"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hinnaga seotud kohustused</w:t>
      </w:r>
      <w:r w:rsidRPr="00883566">
        <w:rPr>
          <w:rFonts w:cs="Times New Roman"/>
          <w:vertAlign w:val="superscript"/>
          <w:lang w:eastAsia="et-EE"/>
        </w:rPr>
        <w:footnoteReference w:id="231"/>
      </w:r>
      <w:r w:rsidRPr="00883566">
        <w:rPr>
          <w:rFonts w:cs="Times New Roman"/>
          <w:lang w:eastAsia="et-EE"/>
        </w:rPr>
        <w:t xml:space="preserve"> ei ole samuti juurdepääsust keeldumise ja viivitamise konkurentsiprobleemi vältimiseks piisavad ega kohased, kuna need on suunatud juurdepääsu hinna reguleerimisele, kuid ei taga hulgituru 3b teenuste osutamist õigeaegselt.</w:t>
      </w:r>
    </w:p>
    <w:p w14:paraId="10C71F5A" w14:textId="77777777" w:rsidR="00F03958" w:rsidRPr="00883566" w:rsidRDefault="00F03958" w:rsidP="00AA241E">
      <w:pPr>
        <w:spacing w:before="120" w:after="120"/>
        <w:jc w:val="both"/>
        <w:rPr>
          <w:rFonts w:cs="Times New Roman"/>
          <w:lang w:eastAsia="et-EE"/>
        </w:rPr>
      </w:pPr>
    </w:p>
    <w:p w14:paraId="420A792A" w14:textId="77777777" w:rsidR="00F03958" w:rsidRPr="00883566" w:rsidRDefault="00F03958" w:rsidP="00AA241E">
      <w:pPr>
        <w:spacing w:before="120" w:after="120"/>
        <w:jc w:val="both"/>
        <w:rPr>
          <w:rFonts w:cs="Times New Roman"/>
          <w:i/>
          <w:iCs/>
          <w:lang w:eastAsia="et-EE"/>
        </w:rPr>
      </w:pPr>
    </w:p>
    <w:p w14:paraId="26D72650" w14:textId="5911A37F" w:rsidR="00F03958" w:rsidRPr="00883566" w:rsidRDefault="00F03958" w:rsidP="009805E1">
      <w:pPr>
        <w:pStyle w:val="Pealkiri3"/>
      </w:pPr>
      <w:bookmarkStart w:id="1180" w:name="_Toc151026086"/>
      <w:bookmarkStart w:id="1181" w:name="_Toc174710877"/>
      <w:bookmarkStart w:id="1182" w:name="_Hlk31979701"/>
      <w:r w:rsidRPr="00883566">
        <w:t>Juurdepääsu kohustuste vajalikkus ja proportsionaalsus ESS §-s 134 seatud eesmärkidega</w:t>
      </w:r>
      <w:bookmarkEnd w:id="1180"/>
      <w:bookmarkEnd w:id="1181"/>
    </w:p>
    <w:bookmarkEnd w:id="1182"/>
    <w:p w14:paraId="26E58DAD" w14:textId="77777777" w:rsidR="00F03958" w:rsidRPr="00883566" w:rsidRDefault="00F03958" w:rsidP="00AA241E">
      <w:pPr>
        <w:pStyle w:val="Loendilik"/>
        <w:spacing w:before="120" w:after="120"/>
        <w:ind w:left="0"/>
        <w:jc w:val="both"/>
        <w:rPr>
          <w:rFonts w:cs="Times New Roman"/>
          <w:lang w:eastAsia="et-EE"/>
        </w:rPr>
      </w:pPr>
    </w:p>
    <w:p w14:paraId="4F78EBAE" w14:textId="77777777" w:rsidR="00F03958" w:rsidRPr="00883566" w:rsidRDefault="00F03958" w:rsidP="00AA241E">
      <w:pPr>
        <w:pStyle w:val="Loendilik"/>
        <w:spacing w:before="120" w:after="120"/>
        <w:ind w:left="0"/>
        <w:jc w:val="both"/>
        <w:rPr>
          <w:rFonts w:cs="Times New Roman"/>
          <w:lang w:eastAsia="et-EE"/>
        </w:rPr>
      </w:pPr>
      <w:r w:rsidRPr="00883566">
        <w:rPr>
          <w:rFonts w:cs="Times New Roman"/>
        </w:rPr>
        <w:t>Tulenevalt ESS § 51 lõikest 1</w:t>
      </w:r>
      <w:r w:rsidRPr="00883566">
        <w:rPr>
          <w:rFonts w:cs="Times New Roman"/>
          <w:vertAlign w:val="superscript"/>
        </w:rPr>
        <w:t>1</w:t>
      </w:r>
      <w:r w:rsidRPr="00883566">
        <w:rPr>
          <w:rFonts w:cs="Times New Roman"/>
        </w:rPr>
        <w:t xml:space="preserve"> kaaludes, kas juurdepääsu kohustatuste kehtestamine on vajalik ja proportsionaalne käesoleva seaduse §-s 134 sätestatud eesmärkidega,  analüüsib TTJA, kas lõppkasutaja huvides tegutsedes piisab tuvastatud probleemi lahendamiseks muul viisil juurdepääsust hulgimüügiteenustele kas samal või seonduval hulgiturul. Nimetatud analüüs hõlmab ärilisi juurdepääsu pakkumisi, ESS 6. peatükis sätestatud juurdepääsu või kehtivat või kavandatavat juurdepääsu muudele hulgimüügisisenditele vastavalt ESS §-le 51.</w:t>
      </w:r>
    </w:p>
    <w:p w14:paraId="6CF65723" w14:textId="77777777" w:rsidR="00F03958" w:rsidRPr="00883566" w:rsidRDefault="00F03958" w:rsidP="00AA241E">
      <w:pPr>
        <w:pStyle w:val="Loendilik"/>
        <w:spacing w:before="120" w:after="120"/>
        <w:ind w:left="0"/>
        <w:jc w:val="both"/>
        <w:rPr>
          <w:rFonts w:cs="Times New Roman"/>
          <w:lang w:eastAsia="et-EE"/>
        </w:rPr>
      </w:pPr>
    </w:p>
    <w:p w14:paraId="4179CD41" w14:textId="5B6B3820" w:rsidR="00F03958" w:rsidRPr="00883566" w:rsidRDefault="00F03958" w:rsidP="00AA241E">
      <w:pPr>
        <w:pStyle w:val="Loendilik"/>
        <w:spacing w:before="120" w:after="120"/>
        <w:ind w:left="0"/>
        <w:jc w:val="both"/>
        <w:rPr>
          <w:rFonts w:cs="Times New Roman"/>
          <w:lang w:eastAsia="et-EE"/>
        </w:rPr>
      </w:pPr>
      <w:r w:rsidRPr="00883566">
        <w:rPr>
          <w:rFonts w:cs="Times New Roman"/>
        </w:rPr>
        <w:t>TTJA-</w:t>
      </w:r>
      <w:proofErr w:type="spellStart"/>
      <w:r w:rsidRPr="00883566">
        <w:rPr>
          <w:rFonts w:cs="Times New Roman"/>
        </w:rPr>
        <w:t>le</w:t>
      </w:r>
      <w:proofErr w:type="spellEnd"/>
      <w:r w:rsidRPr="00883566">
        <w:rPr>
          <w:rFonts w:cs="Times New Roman"/>
        </w:rPr>
        <w:t xml:space="preserve"> hinnangul ei piisa Telia hulgituru 3b teenustega seotud konkurentsiprobleemide lahendamiseks muud juurdepääsud hulgiteenustele, kas samal või seonduval hulgiturul, kuna ühelgi teisele sideettevõtjal ei ole B piirkonnas niivõrd ulatuslikku  valguskaablivõrku, mis pakuks sama tõhusat juurdepääsu Telia </w:t>
      </w:r>
      <w:r w:rsidR="00A3232C">
        <w:rPr>
          <w:rFonts w:cs="Times New Roman"/>
        </w:rPr>
        <w:t>valguskaabelvõrgu</w:t>
      </w:r>
      <w:r w:rsidRPr="00883566">
        <w:rPr>
          <w:rFonts w:cs="Times New Roman"/>
        </w:rPr>
        <w:t xml:space="preserve">ga kaetud elu- ja mitteeluruumidele. Lisaks ei asenda eelnevatel hulgiturgudel (hulgiturul 1 ja ST hulgiturul) Teliale kehtestatavad MTE </w:t>
      </w:r>
      <w:r w:rsidRPr="00883566">
        <w:rPr>
          <w:rFonts w:cs="Times New Roman"/>
        </w:rPr>
        <w:lastRenderedPageBreak/>
        <w:t xml:space="preserve">kohustused Telia hulgituru 3b teenustele juurdepääs kohustust, kuna teiste hulgiturgude teenuste baasil jaeteenuste osutamine eeldab alternatiivsetelt sideettevõtjatelt oluliselt suuremaid investeeringuid oma sidevõrgu arengusse, kui hulgituru 3b teenuse alusel ning teistel sideettevõtjatel on madala elanike arvu ja tihedusega B piirkonnas keeruline saavutada Teliaga samaväärset mastaabisäästu, et vastavaid investeeringuid mõistliku aja jooksul tagasi teenida. ESS  kuuendas (6) peatükis sätestatud juurdepääsu kohustused ei ole piisavad juurdepääsuga seotud konkurentsiprobleemide lahendamiseks, kuna need on juhtumi põhised ja </w:t>
      </w:r>
      <w:proofErr w:type="spellStart"/>
      <w:r w:rsidRPr="00883566">
        <w:rPr>
          <w:rFonts w:cs="Times New Roman"/>
          <w:i/>
        </w:rPr>
        <w:t>ex-post</w:t>
      </w:r>
      <w:proofErr w:type="spellEnd"/>
      <w:r w:rsidRPr="00883566">
        <w:rPr>
          <w:rFonts w:cs="Times New Roman"/>
        </w:rPr>
        <w:t xml:space="preserve"> kohustused ehk need rakenduvad alles pärast seda kui mõni teine sideettevõtja esitab TTJA-</w:t>
      </w:r>
      <w:proofErr w:type="spellStart"/>
      <w:r w:rsidRPr="00883566">
        <w:rPr>
          <w:rFonts w:cs="Times New Roman"/>
        </w:rPr>
        <w:t>le</w:t>
      </w:r>
      <w:proofErr w:type="spellEnd"/>
      <w:r w:rsidRPr="00883566">
        <w:rPr>
          <w:rFonts w:cs="Times New Roman"/>
        </w:rPr>
        <w:t xml:space="preserve"> vastava avalduse ning TTJA analüüsib juhtumit ja kehtestab vajalikud kohustused. Seetõttu on ESS peatükk 6 alusel kehtestatavad kohustused ebatõhusad arvestades Telia märkimisväärset turujõudu nii internetiühenduste jaeteenuste kui ka hulgituru 3b teenuste osutamisel.</w:t>
      </w:r>
    </w:p>
    <w:p w14:paraId="78C4140C" w14:textId="77777777" w:rsidR="00F03958" w:rsidRPr="00883566" w:rsidRDefault="00F03958" w:rsidP="00AA241E">
      <w:pPr>
        <w:pStyle w:val="Loendilik"/>
        <w:spacing w:before="120" w:after="120"/>
        <w:ind w:left="0"/>
        <w:jc w:val="both"/>
        <w:rPr>
          <w:rFonts w:cs="Times New Roman"/>
          <w:lang w:eastAsia="et-EE"/>
        </w:rPr>
      </w:pPr>
    </w:p>
    <w:p w14:paraId="1541FD9C" w14:textId="77777777" w:rsidR="00F03958" w:rsidRPr="00883566" w:rsidRDefault="00F03958" w:rsidP="00AA241E">
      <w:pPr>
        <w:pStyle w:val="Loendilik"/>
        <w:spacing w:before="120" w:after="120"/>
        <w:ind w:left="0"/>
        <w:jc w:val="both"/>
        <w:rPr>
          <w:rFonts w:cs="Times New Roman"/>
          <w:lang w:eastAsia="et-EE"/>
        </w:rPr>
      </w:pPr>
      <w:r w:rsidRPr="00883566">
        <w:rPr>
          <w:rFonts w:cs="Times New Roman"/>
        </w:rPr>
        <w:t>Vastavalt ESS § 51 lõikele 1</w:t>
      </w:r>
      <w:r w:rsidRPr="00883566">
        <w:rPr>
          <w:rFonts w:cs="Times New Roman"/>
          <w:vertAlign w:val="superscript"/>
        </w:rPr>
        <w:t>1</w:t>
      </w:r>
      <w:r w:rsidRPr="00883566">
        <w:rPr>
          <w:rFonts w:cs="Times New Roman"/>
        </w:rPr>
        <w:t> hindab TTJA juurdepääsu kohustuse vajalikkuse ja proportsionaalsuse analüüsi teostamisel eelkõige järgmisi asjaolusid:</w:t>
      </w:r>
      <w:r w:rsidRPr="00883566">
        <w:br/>
      </w:r>
      <w:r w:rsidRPr="00883566">
        <w:br/>
      </w:r>
      <w:bookmarkStart w:id="1183" w:name="para51lg2p1"/>
      <w:r w:rsidRPr="00883566">
        <w:rPr>
          <w:rFonts w:cs="Times New Roman"/>
        </w:rPr>
        <w:t>  </w:t>
      </w:r>
      <w:bookmarkEnd w:id="1183"/>
      <w:r w:rsidRPr="00883566">
        <w:rPr>
          <w:rFonts w:cs="Times New Roman"/>
        </w:rPr>
        <w:t xml:space="preserve">1) konkureerivate vahendite kasutamise või paigaldamise tehniline ja majanduslik teostatavus, pidades silmas turu arengu tempot ja võttes arvesse asjasse puutuva sidumise või juurdepääsu laadi ja liiki, sealhulgas kaablikanalisatsioonile juurdepääsu teostatavust; </w:t>
      </w:r>
    </w:p>
    <w:p w14:paraId="1FAAF6DB" w14:textId="77777777" w:rsidR="00F03958" w:rsidRPr="00883566" w:rsidRDefault="00F03958" w:rsidP="00AA241E">
      <w:pPr>
        <w:pStyle w:val="Loendilik"/>
        <w:jc w:val="both"/>
        <w:rPr>
          <w:rFonts w:cs="Times New Roman"/>
          <w:lang w:eastAsia="et-EE"/>
        </w:rPr>
      </w:pPr>
    </w:p>
    <w:p w14:paraId="7CCCF756" w14:textId="77777777" w:rsidR="00F03958" w:rsidRPr="00883566" w:rsidRDefault="00F03958" w:rsidP="00AA241E">
      <w:pPr>
        <w:spacing w:before="120" w:after="120"/>
        <w:ind w:left="708"/>
        <w:jc w:val="both"/>
        <w:rPr>
          <w:rFonts w:cs="Times New Roman"/>
          <w:lang w:eastAsia="et-EE"/>
        </w:rPr>
      </w:pPr>
      <w:r w:rsidRPr="00883566">
        <w:rPr>
          <w:rFonts w:cs="Times New Roman"/>
        </w:rPr>
        <w:t>TTJA hinnangul ei ole hulgituru 3b toodetele juurdepääsuga seotud konkurentsiprobleemide tõhusaks lahendamiseks konkureerivate vahendite kasutamine ja paigaldamine majanduslikult teostatav, kuna ühelgi teisel sideettevõtja ei ole B piirkonnas Teliaga sama ulatuslikku valguskaablivõrku. Eelnevatel sidekaablitaristule juurdepääsu hulgiturul ja hulgiturul 1 Teliale kehtestatavad juurdepääsu (sh virtuaalne kliendiliini eraldamine) kohustused ei asenda Telia hulgituru 3b teenustele juurdepääsu, kuna nende alusel jaetasandi sideteenuste osutamine eeldab teistelt sideettevõtjatelt oluliselt suuremaid investeeringuid oma sidevõrgu arengusse, kui hulgituru 3b teenuse alusel ning teistel sideettevõtjatel on B piirkonnas keeruline saavutada Teliaga samaväärset mastaabisäästu, et vastavaid investeeringuid mõistliku aja jooksul tagasi teenida;</w:t>
      </w:r>
    </w:p>
    <w:p w14:paraId="5E399EE4" w14:textId="77777777" w:rsidR="00F03958" w:rsidRPr="00883566" w:rsidRDefault="00F03958" w:rsidP="00AA241E">
      <w:pPr>
        <w:spacing w:before="120" w:after="120"/>
        <w:ind w:firstLine="708"/>
        <w:jc w:val="both"/>
        <w:rPr>
          <w:rFonts w:cs="Times New Roman"/>
          <w:lang w:eastAsia="et-EE"/>
        </w:rPr>
      </w:pPr>
      <w:r w:rsidRPr="00883566">
        <w:br/>
      </w:r>
      <w:bookmarkStart w:id="1184" w:name="para51lg2p1b1"/>
      <w:r w:rsidRPr="00883566">
        <w:rPr>
          <w:rFonts w:cs="Times New Roman"/>
        </w:rPr>
        <w:t>  </w:t>
      </w:r>
      <w:bookmarkEnd w:id="1184"/>
      <w:r w:rsidRPr="00883566">
        <w:rPr>
          <w:rFonts w:cs="Times New Roman"/>
        </w:rPr>
        <w:t>1</w:t>
      </w:r>
      <w:r w:rsidRPr="00883566">
        <w:rPr>
          <w:rFonts w:cs="Times New Roman"/>
          <w:vertAlign w:val="superscript"/>
        </w:rPr>
        <w:t>1</w:t>
      </w:r>
      <w:r w:rsidRPr="00883566">
        <w:rPr>
          <w:rFonts w:cs="Times New Roman"/>
        </w:rPr>
        <w:t>) eeldatav tehnoloogiline areng, mis mõjutab sidevõrkude projekteerimist ja haldamist;</w:t>
      </w:r>
    </w:p>
    <w:p w14:paraId="63918C62" w14:textId="77777777" w:rsidR="00F03958" w:rsidRPr="00883566" w:rsidRDefault="00F03958" w:rsidP="00AA241E">
      <w:pPr>
        <w:spacing w:before="120" w:after="120"/>
        <w:jc w:val="both"/>
        <w:rPr>
          <w:rFonts w:cs="Times New Roman"/>
          <w:lang w:eastAsia="et-EE"/>
        </w:rPr>
      </w:pPr>
    </w:p>
    <w:p w14:paraId="61C37998" w14:textId="77777777" w:rsidR="00F03958" w:rsidRPr="00883566" w:rsidRDefault="00F03958" w:rsidP="00AA241E">
      <w:pPr>
        <w:spacing w:before="120" w:after="120"/>
        <w:ind w:left="708"/>
        <w:jc w:val="both"/>
        <w:rPr>
          <w:rFonts w:cs="Times New Roman"/>
          <w:lang w:eastAsia="et-EE"/>
        </w:rPr>
      </w:pPr>
      <w:r w:rsidRPr="00883566">
        <w:rPr>
          <w:rFonts w:cs="Times New Roman"/>
        </w:rPr>
        <w:t>TTJA hinnangul ei paku eeldatava tehnoloogiline areng kuni järgmise turuanalüüsi läbiviimiseni tõhusaid lahendusi hulgiturul 3b eksisteerivate konkurentsiprobleemide lahenduseks;</w:t>
      </w:r>
    </w:p>
    <w:p w14:paraId="231CAEF0" w14:textId="77777777" w:rsidR="00F03958" w:rsidRPr="00883566" w:rsidRDefault="00F03958" w:rsidP="00AA241E">
      <w:pPr>
        <w:spacing w:before="120" w:after="120"/>
        <w:ind w:left="708"/>
        <w:jc w:val="both"/>
        <w:rPr>
          <w:rFonts w:cs="Times New Roman"/>
          <w:lang w:eastAsia="et-EE"/>
        </w:rPr>
      </w:pPr>
    </w:p>
    <w:p w14:paraId="1E6FE430" w14:textId="77777777" w:rsidR="00F03958" w:rsidRPr="00883566" w:rsidRDefault="00F03958" w:rsidP="00AA241E">
      <w:pPr>
        <w:spacing w:before="120" w:after="120"/>
        <w:jc w:val="both"/>
        <w:rPr>
          <w:rFonts w:cs="Times New Roman"/>
          <w:lang w:eastAsia="et-EE"/>
        </w:rPr>
      </w:pPr>
      <w:r w:rsidRPr="00883566">
        <w:rPr>
          <w:rFonts w:cs="Times New Roman"/>
        </w:rPr>
        <w:t>1</w:t>
      </w:r>
      <w:r w:rsidRPr="00883566">
        <w:rPr>
          <w:rFonts w:cs="Times New Roman"/>
          <w:vertAlign w:val="superscript"/>
        </w:rPr>
        <w:t>2</w:t>
      </w:r>
      <w:r w:rsidRPr="00883566">
        <w:rPr>
          <w:rFonts w:cs="Times New Roman"/>
        </w:rPr>
        <w:t>) vajadus tagada tehnoloogiline neutraalsus, mis võimaldab sideettevõtjal oma sidevõrku ise projekteerida ja hallata;</w:t>
      </w:r>
    </w:p>
    <w:p w14:paraId="4591C55A" w14:textId="77777777" w:rsidR="00F03958" w:rsidRPr="00883566" w:rsidRDefault="00F03958" w:rsidP="00AA241E">
      <w:pPr>
        <w:spacing w:before="120" w:after="120"/>
        <w:ind w:firstLine="708"/>
        <w:jc w:val="both"/>
        <w:rPr>
          <w:rFonts w:cs="Times New Roman"/>
          <w:lang w:eastAsia="et-EE"/>
        </w:rPr>
      </w:pPr>
    </w:p>
    <w:p w14:paraId="044CE537" w14:textId="77777777" w:rsidR="00F03958" w:rsidRPr="00883566" w:rsidRDefault="00F03958" w:rsidP="00AA241E">
      <w:pPr>
        <w:spacing w:before="120" w:after="120"/>
        <w:ind w:left="708"/>
        <w:jc w:val="both"/>
        <w:rPr>
          <w:rFonts w:cs="Times New Roman"/>
          <w:lang w:eastAsia="et-EE"/>
        </w:rPr>
      </w:pPr>
      <w:r w:rsidRPr="00883566">
        <w:rPr>
          <w:rFonts w:cs="Times New Roman"/>
        </w:rPr>
        <w:t>TTJA hinnangul tagavad Telia hulgituru 3b teenustele kehtestatavad juurdepääsu kohustused hulgitasandil tehnoloogilise neutraalsuse, kuna ei sätesta täpsed viisi kuidas Telia peab oma sidevõrku projekteerima ja haldama</w:t>
      </w:r>
      <w:bookmarkStart w:id="1185" w:name="para51lg2p2"/>
      <w:r w:rsidRPr="00883566">
        <w:rPr>
          <w:rFonts w:cs="Times New Roman"/>
        </w:rPr>
        <w:t>;</w:t>
      </w:r>
    </w:p>
    <w:bookmarkEnd w:id="1185"/>
    <w:p w14:paraId="15022874" w14:textId="77777777" w:rsidR="00F03958" w:rsidRPr="00883566" w:rsidRDefault="00F03958" w:rsidP="00AA241E">
      <w:pPr>
        <w:spacing w:before="120" w:after="120"/>
        <w:jc w:val="both"/>
        <w:rPr>
          <w:rFonts w:cs="Times New Roman"/>
          <w:lang w:eastAsia="et-EE"/>
        </w:rPr>
      </w:pPr>
      <w:r w:rsidRPr="00883566">
        <w:rPr>
          <w:rFonts w:cs="Times New Roman"/>
        </w:rPr>
        <w:t>2) kavandatava juurdepääsu pakkumise teostatavus, võrreldes kasutatavate mahtudega;</w:t>
      </w:r>
    </w:p>
    <w:p w14:paraId="0ED6A9D5" w14:textId="77777777" w:rsidR="00F03958" w:rsidRPr="00883566" w:rsidRDefault="00F03958" w:rsidP="00AA241E">
      <w:pPr>
        <w:spacing w:before="120" w:after="120"/>
        <w:ind w:left="708"/>
        <w:jc w:val="both"/>
        <w:rPr>
          <w:rFonts w:cs="Times New Roman"/>
          <w:lang w:eastAsia="et-EE"/>
        </w:rPr>
      </w:pPr>
      <w:r w:rsidRPr="00883566">
        <w:rPr>
          <w:rFonts w:cs="Times New Roman"/>
        </w:rPr>
        <w:t>TTJA hinnangul on Telia sidevõrgus hulgituru 3b teenuste pakkumine mõistliku taotluse korral teostatav võrreldes kasutatavate mahtudega, kuna vastava teenuse pakkumisest saadavad tulud aitavad kaasa investeeringute tegemisele sidevõrgu arendamiseks;</w:t>
      </w:r>
    </w:p>
    <w:p w14:paraId="5C3E12FD" w14:textId="77777777" w:rsidR="00F03958" w:rsidRPr="00883566" w:rsidRDefault="00F03958" w:rsidP="00AA241E">
      <w:pPr>
        <w:pStyle w:val="Loendilik"/>
        <w:jc w:val="both"/>
        <w:rPr>
          <w:rFonts w:cs="Times New Roman"/>
          <w:lang w:eastAsia="et-EE"/>
        </w:rPr>
      </w:pPr>
    </w:p>
    <w:p w14:paraId="546B601B" w14:textId="77777777" w:rsidR="00F03958" w:rsidRPr="00883566" w:rsidRDefault="00F03958" w:rsidP="00AA241E">
      <w:pPr>
        <w:pStyle w:val="Loendilik"/>
        <w:spacing w:before="120" w:after="120"/>
        <w:ind w:left="0"/>
        <w:jc w:val="both"/>
        <w:rPr>
          <w:rFonts w:cs="Times New Roman"/>
          <w:lang w:eastAsia="et-EE"/>
        </w:rPr>
      </w:pPr>
      <w:bookmarkStart w:id="1186" w:name="para51lg2p3"/>
      <w:r w:rsidRPr="00883566">
        <w:rPr>
          <w:rFonts w:cs="Times New Roman"/>
        </w:rPr>
        <w:t>  </w:t>
      </w:r>
      <w:bookmarkEnd w:id="1186"/>
      <w:r w:rsidRPr="00883566">
        <w:rPr>
          <w:rFonts w:cs="Times New Roman"/>
        </w:rPr>
        <w:t>3) vahendi omaniku esialgse investeeringu suurus, võttes arvesse tehtud riiklikke investeeringuid, sealhulgas investeeringuid väga suure läbilaskevõimega sidevõrkudesse, ja investeerimisega kaasnevaid riske;</w:t>
      </w:r>
    </w:p>
    <w:p w14:paraId="3652D0BD" w14:textId="77777777" w:rsidR="00F03958" w:rsidRPr="00883566" w:rsidRDefault="00F03958" w:rsidP="00AA241E">
      <w:pPr>
        <w:pStyle w:val="Loendilik"/>
        <w:spacing w:before="120" w:after="120"/>
        <w:ind w:left="0"/>
        <w:jc w:val="both"/>
        <w:rPr>
          <w:rFonts w:cs="Times New Roman"/>
          <w:lang w:eastAsia="et-EE"/>
        </w:rPr>
      </w:pPr>
    </w:p>
    <w:p w14:paraId="221EAFD7" w14:textId="77777777" w:rsidR="00F03958" w:rsidRPr="00883566" w:rsidRDefault="00F03958" w:rsidP="00AA241E">
      <w:pPr>
        <w:pStyle w:val="Loendilik"/>
        <w:spacing w:before="120" w:after="120"/>
        <w:ind w:left="708"/>
        <w:jc w:val="both"/>
        <w:rPr>
          <w:rFonts w:cs="Times New Roman"/>
          <w:lang w:eastAsia="et-EE"/>
        </w:rPr>
      </w:pPr>
      <w:r w:rsidRPr="00883566">
        <w:rPr>
          <w:rFonts w:cs="Times New Roman"/>
        </w:rPr>
        <w:t>TTJA hinnangul ei ole hulgituru 3b teenuste osutamine mõistliku taotluse alusel Telial ülemäära koormav ega sea ohtu Telia esialgseid investeeringuid, võttes seejuures arvesse ka riiklikke investeeringuid ja investeerimisega kaasnevaid riske, kuna vastava teenuse osutamisest saadavad tulud tagavad esialgsete investeeringute tasuvuse;</w:t>
      </w:r>
    </w:p>
    <w:p w14:paraId="0E4C8208" w14:textId="77777777" w:rsidR="00F03958" w:rsidRPr="00883566" w:rsidRDefault="00F03958" w:rsidP="00AA241E">
      <w:pPr>
        <w:pStyle w:val="Loendilik"/>
        <w:spacing w:before="120" w:after="120"/>
        <w:ind w:left="708"/>
        <w:jc w:val="both"/>
        <w:rPr>
          <w:rFonts w:cs="Times New Roman"/>
          <w:lang w:eastAsia="et-EE"/>
        </w:rPr>
      </w:pPr>
    </w:p>
    <w:p w14:paraId="282525DB" w14:textId="77777777" w:rsidR="00F03958" w:rsidRPr="00883566" w:rsidRDefault="00F03958" w:rsidP="00AA241E">
      <w:pPr>
        <w:spacing w:before="120" w:after="120"/>
        <w:jc w:val="both"/>
        <w:rPr>
          <w:rFonts w:cs="Times New Roman"/>
          <w:lang w:eastAsia="et-EE"/>
        </w:rPr>
      </w:pPr>
      <w:r w:rsidRPr="00883566">
        <w:rPr>
          <w:rFonts w:cs="Times New Roman"/>
        </w:rPr>
        <w:t>4) vajadus kaitsta konkurentsi pikema aja jooksul, pöörates eelkõige tähelepanu majanduslikult tõhusal taristul põhinevale konkurentsile ja seda toetavatele uutele ärimudelitele;</w:t>
      </w:r>
      <w:bookmarkStart w:id="1187" w:name="para51lg2p5"/>
    </w:p>
    <w:p w14:paraId="3429F7D5" w14:textId="77777777" w:rsidR="00F03958" w:rsidRPr="00883566" w:rsidRDefault="00F03958" w:rsidP="00AA241E">
      <w:pPr>
        <w:spacing w:before="120" w:after="120"/>
        <w:jc w:val="both"/>
        <w:rPr>
          <w:rFonts w:cs="Times New Roman"/>
          <w:lang w:eastAsia="et-EE"/>
        </w:rPr>
      </w:pPr>
    </w:p>
    <w:p w14:paraId="491585D6" w14:textId="77777777" w:rsidR="00F03958" w:rsidRPr="00883566" w:rsidRDefault="00F03958" w:rsidP="00AA241E">
      <w:pPr>
        <w:ind w:left="708"/>
        <w:jc w:val="both"/>
        <w:rPr>
          <w:rFonts w:cs="Times New Roman"/>
          <w:lang w:eastAsia="et-EE"/>
        </w:rPr>
      </w:pPr>
      <w:r w:rsidRPr="00883566">
        <w:rPr>
          <w:rFonts w:cs="Times New Roman"/>
        </w:rPr>
        <w:t>TTJA hinnangul kaitseb Telia hulgituru 3b teenustele juurdepääsu kohustuse kehtestamine konkurentsi jaeturgudel pikema aja jooksul, eelkõige majanduslikul tõhusal infrastruktuuril põhinevat konkurentsi, kuna vastav kohustus tagab sideettevõtjatele sisenemise hulgituruga 3b lähedalt seotud jaeturgudele, mis omakorda suurendab konkureerivate jaeteenuste pakkumist majanduslikult tõhusal viisil;</w:t>
      </w:r>
    </w:p>
    <w:p w14:paraId="59BC4C51" w14:textId="77777777" w:rsidR="00F03958" w:rsidRPr="00883566" w:rsidRDefault="00F03958" w:rsidP="00AA241E">
      <w:pPr>
        <w:pStyle w:val="Loendilik"/>
        <w:jc w:val="both"/>
        <w:rPr>
          <w:rFonts w:cs="Times New Roman"/>
          <w:lang w:eastAsia="et-EE"/>
        </w:rPr>
      </w:pPr>
    </w:p>
    <w:p w14:paraId="27C896A5" w14:textId="77777777" w:rsidR="00F03958" w:rsidRPr="00883566" w:rsidRDefault="00F03958" w:rsidP="00AA241E">
      <w:pPr>
        <w:pStyle w:val="Loendilik"/>
        <w:spacing w:before="120" w:after="120"/>
        <w:ind w:left="0"/>
        <w:jc w:val="both"/>
        <w:rPr>
          <w:rFonts w:cs="Times New Roman"/>
          <w:lang w:eastAsia="et-EE"/>
        </w:rPr>
      </w:pPr>
      <w:r w:rsidRPr="00883566">
        <w:rPr>
          <w:rFonts w:cs="Times New Roman"/>
        </w:rPr>
        <w:t>  </w:t>
      </w:r>
      <w:bookmarkEnd w:id="1187"/>
      <w:r w:rsidRPr="00883566">
        <w:rPr>
          <w:rFonts w:cs="Times New Roman"/>
        </w:rPr>
        <w:t>5) vajadus luua toimiv konkurents jaemüügi tasandil ja lõppkasutajate õiguste kaitse tagamine;</w:t>
      </w:r>
    </w:p>
    <w:p w14:paraId="5547FBE7" w14:textId="77777777" w:rsidR="00F03958" w:rsidRPr="00883566" w:rsidRDefault="00F03958" w:rsidP="00AA241E">
      <w:pPr>
        <w:pStyle w:val="Loendilik"/>
        <w:spacing w:before="120" w:after="120"/>
        <w:ind w:left="0"/>
        <w:jc w:val="both"/>
        <w:rPr>
          <w:rFonts w:cs="Times New Roman"/>
          <w:lang w:eastAsia="et-EE"/>
        </w:rPr>
      </w:pPr>
    </w:p>
    <w:p w14:paraId="45979D17" w14:textId="77777777" w:rsidR="00F03958" w:rsidRPr="00883566" w:rsidRDefault="00F03958" w:rsidP="00AA241E">
      <w:pPr>
        <w:spacing w:before="120" w:after="120"/>
        <w:ind w:left="708"/>
        <w:jc w:val="both"/>
        <w:rPr>
          <w:rFonts w:cs="Times New Roman"/>
          <w:lang w:eastAsia="et-EE"/>
        </w:rPr>
      </w:pPr>
      <w:r w:rsidRPr="00883566">
        <w:rPr>
          <w:rFonts w:cs="Times New Roman"/>
        </w:rPr>
        <w:t>TTJA hinnangul loob Telia hulgituru 3b teenustele juurdepääsu kohustuse kehtestamine toimiva konkurentsi jaetasandil kui ka kaitseb lõppkasutajate õigusi. Hulgituru 3b teenuste osutamine soodustab konkurentide sisenemist nimetatud turuga lähedalt seotud jaeturgudele, mis omakorda edendab konkurentsi jaetasandil;</w:t>
      </w:r>
    </w:p>
    <w:p w14:paraId="647262D4" w14:textId="77777777" w:rsidR="00F03958" w:rsidRPr="00883566" w:rsidRDefault="00F03958" w:rsidP="00AA241E">
      <w:pPr>
        <w:pStyle w:val="Loendilik"/>
        <w:spacing w:before="120" w:after="120"/>
        <w:ind w:left="0"/>
        <w:jc w:val="both"/>
        <w:rPr>
          <w:rFonts w:cs="Times New Roman"/>
          <w:lang w:eastAsia="et-EE"/>
        </w:rPr>
      </w:pPr>
      <w:r w:rsidRPr="00883566">
        <w:br/>
      </w:r>
      <w:bookmarkStart w:id="1188" w:name="para51lg2p6"/>
      <w:r w:rsidRPr="00883566">
        <w:rPr>
          <w:rFonts w:cs="Times New Roman"/>
        </w:rPr>
        <w:t>  </w:t>
      </w:r>
      <w:bookmarkEnd w:id="1188"/>
      <w:r w:rsidRPr="00883566">
        <w:rPr>
          <w:rFonts w:cs="Times New Roman"/>
        </w:rPr>
        <w:t>6) asjasse puutuvad intellektuaalse omandi õigused;</w:t>
      </w:r>
    </w:p>
    <w:p w14:paraId="1346594D" w14:textId="77777777" w:rsidR="00F03958" w:rsidRPr="00883566" w:rsidRDefault="00F03958" w:rsidP="00AA241E">
      <w:pPr>
        <w:pStyle w:val="Loendilik"/>
        <w:spacing w:before="120" w:after="120"/>
        <w:ind w:left="0"/>
        <w:jc w:val="both"/>
        <w:rPr>
          <w:rFonts w:cs="Times New Roman"/>
          <w:lang w:eastAsia="et-EE"/>
        </w:rPr>
      </w:pPr>
    </w:p>
    <w:p w14:paraId="0CDCA33C" w14:textId="77777777" w:rsidR="00F03958" w:rsidRPr="00883566" w:rsidRDefault="00F03958" w:rsidP="00AA241E">
      <w:pPr>
        <w:spacing w:before="120" w:after="120"/>
        <w:ind w:left="708"/>
        <w:jc w:val="both"/>
        <w:rPr>
          <w:rFonts w:cs="Times New Roman"/>
          <w:lang w:eastAsia="et-EE"/>
        </w:rPr>
      </w:pPr>
      <w:r w:rsidRPr="00883566">
        <w:rPr>
          <w:rFonts w:cs="Times New Roman"/>
        </w:rPr>
        <w:lastRenderedPageBreak/>
        <w:t>TTJA hinnangul ei kahjusta Telia hulgituru 3b teenustele juurdepääsu kohustuste kehtestamine asjasse puutuvaid intellektuaalse omandi õigusi;</w:t>
      </w:r>
    </w:p>
    <w:p w14:paraId="076EFA7C" w14:textId="77777777" w:rsidR="00F03958" w:rsidRPr="00883566" w:rsidRDefault="00F03958" w:rsidP="00AA241E">
      <w:pPr>
        <w:pStyle w:val="Loendilik"/>
        <w:spacing w:before="120" w:after="120"/>
        <w:ind w:left="0"/>
        <w:jc w:val="both"/>
        <w:rPr>
          <w:rFonts w:cs="Times New Roman"/>
          <w:lang w:eastAsia="et-EE"/>
        </w:rPr>
      </w:pPr>
      <w:r w:rsidRPr="00883566">
        <w:br/>
      </w:r>
      <w:bookmarkStart w:id="1189" w:name="para51lg2p7"/>
      <w:r w:rsidRPr="00883566">
        <w:rPr>
          <w:rFonts w:cs="Times New Roman"/>
        </w:rPr>
        <w:t>  </w:t>
      </w:r>
      <w:bookmarkEnd w:id="1189"/>
      <w:r w:rsidRPr="00883566">
        <w:rPr>
          <w:rFonts w:cs="Times New Roman"/>
        </w:rPr>
        <w:t>7) üleeuroopaliste teenuste osutamise võimalikkus;</w:t>
      </w:r>
    </w:p>
    <w:p w14:paraId="478C17AD" w14:textId="77777777" w:rsidR="00F03958" w:rsidRPr="00883566" w:rsidRDefault="00F03958" w:rsidP="00AA241E">
      <w:pPr>
        <w:pStyle w:val="Loendilik"/>
        <w:spacing w:before="120" w:after="120"/>
        <w:ind w:left="0"/>
        <w:jc w:val="both"/>
        <w:rPr>
          <w:rFonts w:cs="Times New Roman"/>
          <w:lang w:eastAsia="et-EE"/>
        </w:rPr>
      </w:pPr>
    </w:p>
    <w:p w14:paraId="64751D44" w14:textId="77777777" w:rsidR="00F03958" w:rsidRPr="00883566" w:rsidRDefault="00F03958" w:rsidP="00AA241E">
      <w:pPr>
        <w:pStyle w:val="Loendilik"/>
        <w:spacing w:before="120" w:after="120"/>
        <w:ind w:left="708"/>
        <w:jc w:val="both"/>
        <w:rPr>
          <w:rFonts w:cs="Times New Roman"/>
          <w:lang w:eastAsia="et-EE"/>
        </w:rPr>
      </w:pPr>
      <w:r w:rsidRPr="00883566">
        <w:rPr>
          <w:rFonts w:cs="Times New Roman"/>
        </w:rPr>
        <w:t>TTJA hinnangul Telia hulgituru 3b teenustele juurdepääsu kohustuste kehtestamine edendab üleeuroopaliste teenuste osutamise võimalikkust, kuna nimetatud teenuste osutamine soodustab teistest euroopa riikidest pärit konkurentide sisenemist nimetatud hulgituruga lähedalt seotud jaeturgudele Eestis, mis omakorda edendab üleeuroopaliste teenuste konkurentsi arengut.</w:t>
      </w:r>
    </w:p>
    <w:p w14:paraId="7BF0963C" w14:textId="77777777" w:rsidR="00F03958" w:rsidRPr="00883566" w:rsidRDefault="00F03958" w:rsidP="00AA241E">
      <w:pPr>
        <w:pStyle w:val="Loendilik"/>
        <w:spacing w:before="120" w:after="120"/>
        <w:ind w:left="0"/>
        <w:jc w:val="both"/>
        <w:rPr>
          <w:rFonts w:cs="Times New Roman"/>
          <w:lang w:eastAsia="et-EE"/>
        </w:rPr>
      </w:pPr>
    </w:p>
    <w:p w14:paraId="57C08883" w14:textId="77777777" w:rsidR="00F03958" w:rsidRPr="00883566" w:rsidRDefault="00F03958" w:rsidP="00AA241E">
      <w:pPr>
        <w:spacing w:before="120" w:after="120"/>
        <w:jc w:val="both"/>
        <w:rPr>
          <w:rFonts w:cs="Times New Roman"/>
          <w:lang w:eastAsia="et-EE"/>
        </w:rPr>
      </w:pPr>
      <w:r w:rsidRPr="00883566">
        <w:rPr>
          <w:rFonts w:cs="Times New Roman"/>
        </w:rPr>
        <w:t>ESS § 135 lõike 1 kohaselt on tagatud, et Telia hulgituru 3b teenustele juurdepääsu kohustuste kehtestamine on:</w:t>
      </w:r>
    </w:p>
    <w:p w14:paraId="1041E83A"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rPr>
        <w:t xml:space="preserve">mõistlik ja otstarbekas, kuna sellega tagatakse teistele sideettevõtjatele juurdepääs olulisele ja raskesti dubleeritavale sidevõrgule jaeteenuste osutamiseks; </w:t>
      </w:r>
    </w:p>
    <w:p w14:paraId="4B76BC5B" w14:textId="77777777" w:rsidR="00F03958" w:rsidRPr="00883566" w:rsidRDefault="00F03958" w:rsidP="00AA241E">
      <w:pPr>
        <w:numPr>
          <w:ilvl w:val="0"/>
          <w:numId w:val="8"/>
        </w:numPr>
        <w:tabs>
          <w:tab w:val="num" w:pos="720"/>
        </w:tabs>
        <w:spacing w:before="120" w:after="120" w:line="240" w:lineRule="auto"/>
        <w:ind w:left="567" w:firstLine="0"/>
        <w:jc w:val="both"/>
        <w:rPr>
          <w:rFonts w:cs="Times New Roman"/>
          <w:lang w:eastAsia="et-EE"/>
        </w:rPr>
      </w:pPr>
      <w:r w:rsidRPr="00883566">
        <w:rPr>
          <w:rFonts w:cs="Times New Roman"/>
        </w:rPr>
        <w:t>mittediskrimineeriv, kuna Telia hulgituru 3b teenused mõjutavad konkurentsi jaeturgudel Telia ulatusliku sidevõrgu tõttu oluliselt suuremal määral kui teiste sideettevõtjate poolt osutatavad vastavad hulgituru teenused. Telia on suuteline kasutama oma märkimisväärset turujõudu konkurentsi takistamiseks, seega on Teliale juurdepääsu kohustuste kehtestamine asjakohasel hulgiturul õigustatud;</w:t>
      </w:r>
    </w:p>
    <w:p w14:paraId="2524CD3F"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rPr>
        <w:t>läbipaistev, kuna kohustus kehtestatakse selliselt, et Teliale on üheselt arusaadav, mida TTJA tema suhtes on otsustanud ning millised õigused ja kohustused sellest temale tulenevad;</w:t>
      </w:r>
    </w:p>
    <w:p w14:paraId="0FE2A9BB"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 xml:space="preserve">suunatud käesoleva seaduse §-s 134 lõikes 1 sätestatud konkreetse eesmärgi, edendada konkurentsi elektroonilise side ja sellega seotud teenuste osutamisel, saavutamisele ning on seda eesmärki arvestades TTJA hinnangul proportsionaalne. </w:t>
      </w:r>
    </w:p>
    <w:p w14:paraId="0596151F" w14:textId="77777777" w:rsidR="00F03958" w:rsidRPr="00883566" w:rsidRDefault="00F03958" w:rsidP="00AA241E">
      <w:pPr>
        <w:spacing w:before="120" w:after="120" w:line="240" w:lineRule="auto"/>
        <w:ind w:left="567"/>
        <w:jc w:val="both"/>
        <w:rPr>
          <w:rFonts w:cs="Times New Roman"/>
          <w:lang w:eastAsia="et-EE"/>
        </w:rPr>
      </w:pPr>
    </w:p>
    <w:p w14:paraId="69B503DA" w14:textId="77777777" w:rsidR="00F03958" w:rsidRPr="00883566" w:rsidRDefault="00F03958" w:rsidP="00AA241E">
      <w:pPr>
        <w:spacing w:before="120" w:after="120"/>
        <w:jc w:val="both"/>
        <w:rPr>
          <w:rFonts w:cs="Times New Roman"/>
          <w:lang w:eastAsia="et-EE"/>
        </w:rPr>
      </w:pPr>
    </w:p>
    <w:p w14:paraId="6061A7DF" w14:textId="77777777" w:rsidR="00F03958" w:rsidRPr="00883566" w:rsidRDefault="00F03958" w:rsidP="00AA241E">
      <w:pPr>
        <w:spacing w:before="120" w:after="120"/>
        <w:jc w:val="both"/>
        <w:rPr>
          <w:rFonts w:cs="Times New Roman"/>
          <w:lang w:eastAsia="et-EE"/>
        </w:rPr>
      </w:pPr>
    </w:p>
    <w:p w14:paraId="1D720283" w14:textId="14BA1E60" w:rsidR="00F03958" w:rsidRPr="00883566" w:rsidRDefault="00F03958" w:rsidP="009805E1">
      <w:pPr>
        <w:pStyle w:val="Pealkiri3"/>
      </w:pPr>
      <w:bookmarkStart w:id="1190" w:name="_Toc457983654"/>
      <w:bookmarkStart w:id="1191" w:name="_Toc464639361"/>
      <w:bookmarkStart w:id="1192" w:name="_Ref465257396"/>
      <w:bookmarkStart w:id="1193" w:name="_Ref465257402"/>
      <w:bookmarkStart w:id="1194" w:name="_Ref465257407"/>
      <w:bookmarkStart w:id="1195" w:name="_Ref465421258"/>
      <w:bookmarkStart w:id="1196" w:name="_Ref465421719"/>
      <w:bookmarkStart w:id="1197" w:name="_Ref465421762"/>
      <w:bookmarkStart w:id="1198" w:name="_Ref465422180"/>
      <w:bookmarkStart w:id="1199" w:name="_Toc470614563"/>
      <w:bookmarkStart w:id="1200" w:name="_Toc472597886"/>
      <w:bookmarkStart w:id="1201" w:name="_Toc35339846"/>
      <w:bookmarkStart w:id="1202" w:name="_Toc66262834"/>
      <w:bookmarkStart w:id="1203" w:name="_Toc151026087"/>
      <w:bookmarkStart w:id="1204" w:name="_Toc174710878"/>
      <w:r w:rsidRPr="00883566">
        <w:t>Juurdepääsu kohustuste kehtestamine</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14:paraId="39D70FAA" w14:textId="77777777" w:rsidR="00F03958" w:rsidRPr="00883566" w:rsidRDefault="00F03958" w:rsidP="00AA241E">
      <w:pPr>
        <w:spacing w:before="120" w:after="120"/>
        <w:jc w:val="both"/>
        <w:rPr>
          <w:rFonts w:cs="Times New Roman"/>
          <w:lang w:eastAsia="et-EE"/>
        </w:rPr>
      </w:pPr>
    </w:p>
    <w:p w14:paraId="6346D369" w14:textId="07ED8B4D" w:rsidR="00B934FC" w:rsidRDefault="00F03958" w:rsidP="00AA241E">
      <w:pPr>
        <w:spacing w:line="259" w:lineRule="auto"/>
        <w:jc w:val="both"/>
        <w:rPr>
          <w:rFonts w:cs="Times New Roman"/>
        </w:rPr>
      </w:pPr>
      <w:r w:rsidRPr="00883566">
        <w:rPr>
          <w:rFonts w:cs="Times New Roman"/>
        </w:rPr>
        <w:t xml:space="preserve">Käesoleva otsuse koostamise ajal kehtivad üleriigiliselt Telia </w:t>
      </w:r>
      <w:r w:rsidR="00532579">
        <w:rPr>
          <w:rFonts w:cs="Times New Roman"/>
        </w:rPr>
        <w:t>vaskpaar</w:t>
      </w:r>
      <w:r w:rsidRPr="00883566">
        <w:rPr>
          <w:rFonts w:cs="Times New Roman"/>
        </w:rPr>
        <w:t xml:space="preserve">- ja valguskaabelvõrgus Telia hulgituru 3b teenustele juurdepääsu kohustused TTJA 2017 hulgituru 3b otsuse lisa 1 </w:t>
      </w:r>
      <w:r w:rsidR="008C159A">
        <w:rPr>
          <w:rFonts w:cs="Times New Roman"/>
        </w:rPr>
        <w:t xml:space="preserve">ptk. </w:t>
      </w:r>
      <w:r w:rsidRPr="00883566">
        <w:rPr>
          <w:rFonts w:cs="Times New Roman"/>
        </w:rPr>
        <w:t xml:space="preserve">6.2.4 alusel. </w:t>
      </w:r>
    </w:p>
    <w:p w14:paraId="2741A93E" w14:textId="5563A7E5" w:rsidR="00B934FC" w:rsidRPr="00883566" w:rsidRDefault="00B934FC" w:rsidP="00AA241E">
      <w:pPr>
        <w:spacing w:line="259" w:lineRule="auto"/>
        <w:jc w:val="both"/>
        <w:rPr>
          <w:rFonts w:cs="Times New Roman"/>
          <w:lang w:eastAsia="en-US"/>
        </w:rPr>
      </w:pPr>
      <w:r w:rsidRPr="00883566">
        <w:rPr>
          <w:rFonts w:cs="Times New Roman"/>
        </w:rPr>
        <w:t xml:space="preserve">Lähtudes käesoleva otsuse </w:t>
      </w:r>
      <w:r w:rsidR="008C159A">
        <w:rPr>
          <w:rFonts w:cs="Times New Roman"/>
        </w:rPr>
        <w:t>ptk.-</w:t>
      </w:r>
      <w:r w:rsidRPr="00883566">
        <w:rPr>
          <w:rFonts w:cs="Times New Roman"/>
        </w:rPr>
        <w:t xml:space="preserve">st </w:t>
      </w:r>
      <w:r w:rsidR="001D606C">
        <w:rPr>
          <w:rFonts w:cs="Times New Roman"/>
        </w:rPr>
        <w:t>8</w:t>
      </w:r>
      <w:r>
        <w:rPr>
          <w:rFonts w:cs="Times New Roman"/>
        </w:rPr>
        <w:t>.1.2</w:t>
      </w:r>
      <w:r w:rsidRPr="00883566">
        <w:rPr>
          <w:rFonts w:cs="Times New Roman"/>
        </w:rPr>
        <w:t xml:space="preserve"> tunnistatakse TTJA 2017 hulgituru </w:t>
      </w:r>
      <w:r w:rsidR="00A62F7B">
        <w:rPr>
          <w:rFonts w:cs="Times New Roman"/>
        </w:rPr>
        <w:t>3b</w:t>
      </w:r>
      <w:r w:rsidRPr="00883566">
        <w:rPr>
          <w:rFonts w:cs="Times New Roman"/>
        </w:rPr>
        <w:t xml:space="preserve"> otsus ja selles kehtestatud Telia kohustused kehtetuks. Käesolevas </w:t>
      </w:r>
      <w:r w:rsidR="00DA4093">
        <w:rPr>
          <w:rFonts w:cs="Times New Roman"/>
        </w:rPr>
        <w:t>peatükis</w:t>
      </w:r>
      <w:r>
        <w:rPr>
          <w:rFonts w:cs="Times New Roman"/>
        </w:rPr>
        <w:t xml:space="preserve"> kehtestatakse Teliale</w:t>
      </w:r>
      <w:r w:rsidRPr="00883566">
        <w:rPr>
          <w:rFonts w:cs="Times New Roman"/>
        </w:rPr>
        <w:t xml:space="preserve"> </w:t>
      </w:r>
      <w:r>
        <w:rPr>
          <w:rFonts w:cs="Times New Roman"/>
        </w:rPr>
        <w:t xml:space="preserve">kohustused </w:t>
      </w:r>
      <w:r w:rsidR="009E5E5F">
        <w:rPr>
          <w:rFonts w:cs="Times New Roman"/>
        </w:rPr>
        <w:lastRenderedPageBreak/>
        <w:t>valguskaabelvõrgu</w:t>
      </w:r>
      <w:r w:rsidR="009E5E5F" w:rsidRPr="00883566">
        <w:rPr>
          <w:rFonts w:cs="Times New Roman"/>
        </w:rPr>
        <w:t xml:space="preserve">s (nii ülekande-, kui ka juurdepääsuvõrgu) lairibaühendusele keskse </w:t>
      </w:r>
      <w:r w:rsidRPr="00883566">
        <w:rPr>
          <w:rFonts w:cs="Times New Roman"/>
        </w:rPr>
        <w:t>juurdepääsu osutamisele piirkonnas B ning selleks vajalikele tugiteenustele</w:t>
      </w:r>
      <w:r>
        <w:rPr>
          <w:rFonts w:cs="Times New Roman"/>
        </w:rPr>
        <w:t xml:space="preserve"> juurdepääsule</w:t>
      </w:r>
      <w:r w:rsidRPr="00883566">
        <w:rPr>
          <w:rFonts w:cs="Times New Roman"/>
        </w:rPr>
        <w:t xml:space="preserve">. </w:t>
      </w:r>
      <w:r w:rsidR="004D579B" w:rsidRPr="00883566">
        <w:rPr>
          <w:rFonts w:cs="Times New Roman"/>
        </w:rPr>
        <w:t>TTJA on kohustuste järjepidevuse tagamiseks lähtunud käesoleva otsuse koostamise ajal kehtiva TTJA 2017 hulgituru 3b otsuses sätestatud kohustustest neid vajadusel muutes ja/või täiendades.</w:t>
      </w:r>
    </w:p>
    <w:p w14:paraId="0AB13D5A" w14:textId="38B524B4" w:rsidR="00F03958" w:rsidRPr="00883566" w:rsidRDefault="00F03958" w:rsidP="00AA241E">
      <w:pPr>
        <w:jc w:val="both"/>
        <w:rPr>
          <w:rFonts w:cs="Times New Roman"/>
        </w:rPr>
      </w:pPr>
      <w:r w:rsidRPr="00883566">
        <w:rPr>
          <w:rFonts w:cs="Times New Roman"/>
        </w:rPr>
        <w:t>Võttes arvesse TTJA 2017 hulgituru 3b otsuses sätestatud kohustusi ja tutvunud uu</w:t>
      </w:r>
      <w:r w:rsidR="008B2A3E">
        <w:rPr>
          <w:rFonts w:cs="Times New Roman"/>
        </w:rPr>
        <w:t>e</w:t>
      </w:r>
      <w:r w:rsidRPr="00883566">
        <w:rPr>
          <w:rFonts w:cs="Times New Roman"/>
        </w:rPr>
        <w:t xml:space="preserve"> EK 2024 kohustuste soovitusega ning TTJA 2021 hulgituru 3b otsuse eelnõus ja TTJA 2023 hulgituru 3b otsuse eelnõus kajastatud sideettevõtjate arvamustega võimalike konkurentsiprobleemide osas, leiab TTJA, et puudub vajadus kehtestada Telia </w:t>
      </w:r>
      <w:r w:rsidR="00A3232C">
        <w:rPr>
          <w:rFonts w:cs="Times New Roman"/>
        </w:rPr>
        <w:t>valguskaabelvõrgu</w:t>
      </w:r>
      <w:r w:rsidRPr="00883566">
        <w:rPr>
          <w:rFonts w:cs="Times New Roman"/>
        </w:rPr>
        <w:t xml:space="preserve">s B piirkonnas Telia hulgituru 3b teenustele </w:t>
      </w:r>
      <w:r w:rsidR="00BD39E0">
        <w:rPr>
          <w:rFonts w:cs="Times New Roman"/>
        </w:rPr>
        <w:t xml:space="preserve">märkimisväärselt </w:t>
      </w:r>
      <w:r w:rsidRPr="00883566">
        <w:rPr>
          <w:rFonts w:cs="Times New Roman"/>
        </w:rPr>
        <w:t xml:space="preserve">erinevaid juurdepääsu kohustusi võrreldes käesoleva otsuse ajal kehtivas TTJA 2017 hulgituru 3b otsuse lisa 1 </w:t>
      </w:r>
      <w:r w:rsidR="008C159A">
        <w:rPr>
          <w:rFonts w:cs="Times New Roman"/>
        </w:rPr>
        <w:t>ptk.-</w:t>
      </w:r>
      <w:r w:rsidRPr="00883566">
        <w:rPr>
          <w:rFonts w:cs="Times New Roman"/>
        </w:rPr>
        <w:t>s 6.2.4 sätestatud juurdepääsu kohustustega.</w:t>
      </w:r>
    </w:p>
    <w:p w14:paraId="4C8B508E" w14:textId="6DAC1940" w:rsidR="00F03958" w:rsidRPr="00883566" w:rsidRDefault="00F03958" w:rsidP="00AA241E">
      <w:pPr>
        <w:jc w:val="both"/>
        <w:rPr>
          <w:rFonts w:cs="Times New Roman"/>
        </w:rPr>
      </w:pPr>
      <w:r w:rsidRPr="00883566">
        <w:rPr>
          <w:rFonts w:cs="Times New Roman"/>
        </w:rPr>
        <w:t xml:space="preserve">Kuna käesoleva otsusega </w:t>
      </w:r>
      <w:r w:rsidR="008B2A3E">
        <w:rPr>
          <w:rFonts w:cs="Times New Roman"/>
        </w:rPr>
        <w:t>kehtestatavad</w:t>
      </w:r>
      <w:r w:rsidR="008B2A3E" w:rsidRPr="00883566">
        <w:rPr>
          <w:rFonts w:cs="Times New Roman"/>
        </w:rPr>
        <w:t xml:space="preserve"> </w:t>
      </w:r>
      <w:r w:rsidRPr="00883566">
        <w:rPr>
          <w:rFonts w:cs="Times New Roman"/>
        </w:rPr>
        <w:t xml:space="preserve">juurdepääsu kohustused Telia </w:t>
      </w:r>
      <w:r w:rsidR="00A3232C">
        <w:rPr>
          <w:rFonts w:cs="Times New Roman"/>
        </w:rPr>
        <w:t>valguskaabelvõrgu</w:t>
      </w:r>
      <w:r w:rsidRPr="00883566">
        <w:rPr>
          <w:rFonts w:cs="Times New Roman"/>
        </w:rPr>
        <w:t xml:space="preserve">s B piirkonnas ei erine sisuliselt (ainult mõned sõnastuse parandused, sh parandused seoses </w:t>
      </w:r>
      <w:proofErr w:type="spellStart"/>
      <w:r w:rsidRPr="00883566">
        <w:rPr>
          <w:rFonts w:cs="Times New Roman"/>
        </w:rPr>
        <w:t>ESS-s</w:t>
      </w:r>
      <w:proofErr w:type="spellEnd"/>
      <w:r w:rsidRPr="00883566">
        <w:rPr>
          <w:rFonts w:cs="Times New Roman"/>
        </w:rPr>
        <w:t xml:space="preserve"> vastavate kohustuste sõnastuste muudatustega) TTJA 2017 hulgituru 3b otsusega kehtestatud vastavatest kohustustest Telia </w:t>
      </w:r>
      <w:r w:rsidR="00532579">
        <w:rPr>
          <w:rFonts w:cs="Times New Roman"/>
        </w:rPr>
        <w:t>vaskpaar</w:t>
      </w:r>
      <w:r w:rsidRPr="00883566">
        <w:rPr>
          <w:rFonts w:cs="Times New Roman"/>
        </w:rPr>
        <w:t xml:space="preserve">- ja </w:t>
      </w:r>
      <w:r w:rsidR="00A3232C">
        <w:rPr>
          <w:rFonts w:cs="Times New Roman"/>
        </w:rPr>
        <w:t>valguskaabelvõrgu</w:t>
      </w:r>
      <w:r w:rsidRPr="00883566">
        <w:rPr>
          <w:rFonts w:cs="Times New Roman"/>
        </w:rPr>
        <w:t>s üleriigiliselt, siis ei ole need Teliale koormavad, kuna Telial on TTJA hinnangul olemas nimetatud kohustuste täitmiseks vajalik tehniline valmisolek ja ressurss ning kogemus.</w:t>
      </w:r>
    </w:p>
    <w:p w14:paraId="10381030" w14:textId="37C76095" w:rsidR="00F03958" w:rsidRPr="00EA7C3B" w:rsidRDefault="00F03958" w:rsidP="00AA241E">
      <w:pPr>
        <w:spacing w:before="120" w:after="120"/>
        <w:jc w:val="both"/>
        <w:rPr>
          <w:rFonts w:cs="Times New Roman"/>
          <w:b/>
          <w:bCs/>
          <w:lang w:eastAsia="et-EE"/>
        </w:rPr>
      </w:pPr>
      <w:r w:rsidRPr="00EA7C3B">
        <w:rPr>
          <w:rFonts w:cs="Times New Roman"/>
          <w:b/>
          <w:bCs/>
        </w:rPr>
        <w:t xml:space="preserve">TTJA </w:t>
      </w:r>
      <w:r w:rsidR="008B2A3E">
        <w:rPr>
          <w:rFonts w:cs="Times New Roman"/>
          <w:b/>
          <w:bCs/>
        </w:rPr>
        <w:t>kohustab,</w:t>
      </w:r>
      <w:r w:rsidR="008B2A3E" w:rsidRPr="00EA7C3B">
        <w:rPr>
          <w:rFonts w:cs="Times New Roman"/>
          <w:b/>
          <w:bCs/>
        </w:rPr>
        <w:t xml:space="preserve"> </w:t>
      </w:r>
      <w:r w:rsidR="00A3232C" w:rsidRPr="00EA7C3B">
        <w:rPr>
          <w:rFonts w:cs="Times New Roman"/>
          <w:b/>
          <w:bCs/>
        </w:rPr>
        <w:t>valguskaabelvõrgu</w:t>
      </w:r>
      <w:r w:rsidRPr="00EA7C3B">
        <w:rPr>
          <w:rFonts w:cs="Times New Roman"/>
          <w:b/>
          <w:bCs/>
        </w:rPr>
        <w:t>s B piirkonna hulgiturul 3b juurdepääsu osutamisest keeldumise vältimiseks, sideteenuste turgudel konkurentsi moonutamise takistamise ärahoidmiseks ning lõppkasutajate huvide kaitseks</w:t>
      </w:r>
      <w:r w:rsidR="008B2A3E">
        <w:rPr>
          <w:rFonts w:cs="Times New Roman"/>
          <w:b/>
          <w:bCs/>
        </w:rPr>
        <w:t>,</w:t>
      </w:r>
      <w:r w:rsidRPr="00EA7C3B">
        <w:rPr>
          <w:rFonts w:cs="Times New Roman"/>
          <w:b/>
          <w:bCs/>
        </w:rPr>
        <w:t xml:space="preserve"> Teliat: </w:t>
      </w:r>
    </w:p>
    <w:p w14:paraId="51D1C47F" w14:textId="77777777" w:rsidR="00F03958" w:rsidRPr="00EA7C3B" w:rsidRDefault="00F03958" w:rsidP="00AA241E">
      <w:pPr>
        <w:spacing w:before="120" w:after="120"/>
        <w:jc w:val="both"/>
        <w:rPr>
          <w:rFonts w:cs="Times New Roman"/>
          <w:b/>
          <w:bCs/>
          <w:lang w:eastAsia="et-EE"/>
        </w:rPr>
      </w:pPr>
      <w:r w:rsidRPr="00EA7C3B">
        <w:rPr>
          <w:rFonts w:cs="Times New Roman"/>
          <w:b/>
          <w:bCs/>
        </w:rPr>
        <w:t xml:space="preserve"> </w:t>
      </w:r>
    </w:p>
    <w:p w14:paraId="776C2BC7" w14:textId="0BF26CCD" w:rsidR="00F03958" w:rsidRPr="00EA7C3B" w:rsidRDefault="00F03958" w:rsidP="00AA241E">
      <w:pPr>
        <w:spacing w:before="120" w:after="120"/>
        <w:ind w:left="720"/>
        <w:jc w:val="both"/>
        <w:rPr>
          <w:rFonts w:cs="Times New Roman"/>
          <w:b/>
          <w:bCs/>
          <w:lang w:eastAsia="et-EE"/>
        </w:rPr>
      </w:pPr>
      <w:bookmarkStart w:id="1205" w:name="_Hlk137738053"/>
      <w:bookmarkStart w:id="1206" w:name="_Hlk151032446"/>
      <w:r w:rsidRPr="00EA7C3B">
        <w:rPr>
          <w:rFonts w:cs="Times New Roman"/>
          <w:b/>
          <w:bCs/>
          <w:lang w:eastAsia="et-EE"/>
        </w:rPr>
        <w:t>1) pidama heas usus läbirääkimisi sideettevõtjatega, kes taotlevad hulgituru 3b teenustele</w:t>
      </w:r>
      <w:r w:rsidR="00D24693" w:rsidRPr="00EA7C3B">
        <w:rPr>
          <w:rFonts w:cs="Times New Roman"/>
          <w:b/>
          <w:bCs/>
          <w:lang w:eastAsia="et-EE"/>
        </w:rPr>
        <w:t xml:space="preserve"> </w:t>
      </w:r>
      <w:r w:rsidRPr="00EA7C3B">
        <w:rPr>
          <w:rFonts w:cs="Times New Roman"/>
          <w:b/>
          <w:bCs/>
          <w:lang w:eastAsia="et-EE"/>
        </w:rPr>
        <w:t>juurdepääsu</w:t>
      </w:r>
      <w:r w:rsidRPr="00EA7C3B">
        <w:rPr>
          <w:rFonts w:cs="Times New Roman"/>
          <w:b/>
          <w:bCs/>
          <w:vertAlign w:val="superscript"/>
          <w:lang w:eastAsia="et-EE"/>
        </w:rPr>
        <w:footnoteReference w:id="232"/>
      </w:r>
      <w:r w:rsidRPr="00EA7C3B">
        <w:rPr>
          <w:rFonts w:cs="Times New Roman"/>
          <w:b/>
          <w:bCs/>
          <w:lang w:eastAsia="et-EE"/>
        </w:rPr>
        <w:t xml:space="preserve">, </w:t>
      </w:r>
    </w:p>
    <w:p w14:paraId="0BD863DD" w14:textId="03C50B07" w:rsidR="00F03958" w:rsidRPr="00EA7C3B" w:rsidRDefault="00F03958" w:rsidP="00AA241E">
      <w:pPr>
        <w:spacing w:before="120" w:after="120" w:line="240" w:lineRule="auto"/>
        <w:ind w:left="720"/>
        <w:jc w:val="both"/>
        <w:rPr>
          <w:rFonts w:cs="Times New Roman"/>
          <w:b/>
          <w:bCs/>
          <w:lang w:eastAsia="et-EE"/>
        </w:rPr>
      </w:pPr>
      <w:r w:rsidRPr="00EA7C3B">
        <w:rPr>
          <w:rFonts w:cs="Times New Roman"/>
          <w:b/>
          <w:bCs/>
          <w:lang w:eastAsia="et-EE"/>
        </w:rPr>
        <w:t>2)  pakkuma ja võimaldama hulgituru 3b teenustele juurdepääsu, mis seisneb peamiselt hulgitasandi</w:t>
      </w:r>
      <w:r w:rsidR="00DE38D2" w:rsidRPr="00EA7C3B">
        <w:rPr>
          <w:rFonts w:cs="Times New Roman"/>
          <w:b/>
          <w:bCs/>
          <w:lang w:eastAsia="et-EE"/>
        </w:rPr>
        <w:t>l</w:t>
      </w:r>
      <w:r w:rsidRPr="00EA7C3B">
        <w:rPr>
          <w:rFonts w:cs="Times New Roman"/>
          <w:b/>
          <w:bCs/>
          <w:lang w:eastAsia="et-EE"/>
        </w:rPr>
        <w:t xml:space="preserve"> lairibaühendusele juurepääsu</w:t>
      </w:r>
      <w:r w:rsidRPr="00EA7C3B">
        <w:rPr>
          <w:b/>
          <w:bCs/>
          <w:vertAlign w:val="superscript"/>
          <w:lang w:eastAsia="et-EE"/>
        </w:rPr>
        <w:footnoteReference w:id="233"/>
      </w:r>
      <w:r w:rsidRPr="00EA7C3B">
        <w:rPr>
          <w:rFonts w:cs="Times New Roman"/>
          <w:b/>
          <w:bCs/>
          <w:lang w:eastAsia="et-EE"/>
        </w:rPr>
        <w:t xml:space="preserve"> osutamis</w:t>
      </w:r>
      <w:r w:rsidR="00A75EDC">
        <w:rPr>
          <w:rFonts w:cs="Times New Roman"/>
          <w:b/>
          <w:bCs/>
          <w:lang w:eastAsia="et-EE"/>
        </w:rPr>
        <w:t>es</w:t>
      </w:r>
      <w:r w:rsidRPr="00EA7C3B">
        <w:rPr>
          <w:rFonts w:cs="Times New Roman"/>
          <w:b/>
          <w:bCs/>
          <w:lang w:eastAsia="et-EE"/>
        </w:rPr>
        <w:t xml:space="preserve"> füüsiliselt kindlaks määratud pääsupunktides, mille kaudu on võimalik saada lairibaühendus sidevõrgu lõpp-punktideni (vt</w:t>
      </w:r>
      <w:r w:rsidR="00475C53" w:rsidRPr="00EA7C3B">
        <w:rPr>
          <w:rFonts w:cs="Times New Roman"/>
          <w:b/>
          <w:bCs/>
          <w:lang w:eastAsia="et-EE"/>
        </w:rPr>
        <w:t xml:space="preserve"> ka </w:t>
      </w:r>
      <w:r w:rsidR="008C159A">
        <w:rPr>
          <w:rFonts w:cs="Times New Roman"/>
          <w:b/>
          <w:bCs/>
          <w:lang w:eastAsia="et-EE"/>
        </w:rPr>
        <w:t xml:space="preserve">ptk. </w:t>
      </w:r>
      <w:r w:rsidR="00475C53" w:rsidRPr="00EA7C3B">
        <w:rPr>
          <w:rFonts w:cs="Times New Roman"/>
          <w:b/>
          <w:bCs/>
          <w:lang w:eastAsia="et-EE"/>
        </w:rPr>
        <w:t xml:space="preserve">8.1.1 ja </w:t>
      </w:r>
      <w:r w:rsidRPr="00EA7C3B">
        <w:rPr>
          <w:rFonts w:cs="Times New Roman"/>
          <w:b/>
          <w:bCs/>
          <w:lang w:eastAsia="et-EE"/>
        </w:rPr>
        <w:t>Joonis</w:t>
      </w:r>
      <w:r w:rsidR="00475C53" w:rsidRPr="00EA7C3B">
        <w:rPr>
          <w:rFonts w:cs="Times New Roman"/>
          <w:b/>
          <w:bCs/>
          <w:lang w:eastAsia="et-EE"/>
        </w:rPr>
        <w:t>t</w:t>
      </w:r>
      <w:r w:rsidRPr="00EA7C3B">
        <w:rPr>
          <w:rFonts w:cs="Times New Roman"/>
          <w:b/>
          <w:bCs/>
          <w:lang w:eastAsia="et-EE"/>
        </w:rPr>
        <w:t xml:space="preserve"> </w:t>
      </w:r>
      <w:r w:rsidR="00E5522B" w:rsidRPr="00EA7C3B">
        <w:rPr>
          <w:rFonts w:cs="Times New Roman"/>
          <w:b/>
          <w:bCs/>
          <w:lang w:eastAsia="et-EE"/>
        </w:rPr>
        <w:t>27</w:t>
      </w:r>
      <w:r w:rsidRPr="00EA7C3B">
        <w:rPr>
          <w:rFonts w:cs="Times New Roman"/>
          <w:b/>
          <w:bCs/>
          <w:lang w:eastAsia="et-EE"/>
        </w:rPr>
        <w:t>), sh:</w:t>
      </w:r>
    </w:p>
    <w:p w14:paraId="077BBE6D" w14:textId="4959B10D" w:rsidR="00F03958" w:rsidRPr="00EA7C3B" w:rsidRDefault="00F03958" w:rsidP="00AA241E">
      <w:pPr>
        <w:spacing w:before="120" w:after="120" w:line="240" w:lineRule="auto"/>
        <w:ind w:left="720"/>
        <w:jc w:val="both"/>
        <w:rPr>
          <w:rFonts w:cs="Times New Roman"/>
          <w:b/>
          <w:bCs/>
          <w:lang w:eastAsia="et-EE"/>
        </w:rPr>
      </w:pPr>
      <w:r w:rsidRPr="00EA7C3B">
        <w:rPr>
          <w:rFonts w:cs="Times New Roman"/>
          <w:b/>
          <w:bCs/>
          <w:lang w:eastAsia="et-EE"/>
        </w:rPr>
        <w:t>3) pakkuma ja võimaldama juurdepääsu hulgituru 3b teenuste koostalituseks hädavajalikele tehnilistele liidestele, protokollidele ja muudele võtmetehnoloogiatele</w:t>
      </w:r>
      <w:r w:rsidRPr="00EA7C3B">
        <w:rPr>
          <w:b/>
          <w:bCs/>
          <w:vertAlign w:val="superscript"/>
          <w:lang w:eastAsia="et-EE"/>
        </w:rPr>
        <w:footnoteReference w:id="234"/>
      </w:r>
      <w:r w:rsidRPr="00EA7C3B">
        <w:rPr>
          <w:rFonts w:cs="Times New Roman"/>
          <w:b/>
          <w:bCs/>
          <w:lang w:eastAsia="et-EE"/>
        </w:rPr>
        <w:t>;</w:t>
      </w:r>
    </w:p>
    <w:p w14:paraId="3145045C" w14:textId="6882B494" w:rsidR="00F03958" w:rsidRPr="00EA7C3B" w:rsidRDefault="00F03958" w:rsidP="00AA241E">
      <w:pPr>
        <w:spacing w:before="120" w:after="120" w:line="240" w:lineRule="auto"/>
        <w:ind w:left="720"/>
        <w:jc w:val="both"/>
        <w:rPr>
          <w:rFonts w:cs="Times New Roman"/>
          <w:b/>
          <w:bCs/>
        </w:rPr>
      </w:pPr>
      <w:r w:rsidRPr="00EA7C3B">
        <w:rPr>
          <w:rFonts w:cs="Times New Roman"/>
          <w:b/>
          <w:bCs/>
        </w:rPr>
        <w:t xml:space="preserve">4) </w:t>
      </w:r>
      <w:bookmarkStart w:id="1207" w:name="_Hlk184721521"/>
      <w:r w:rsidRPr="00EA7C3B">
        <w:rPr>
          <w:rFonts w:cs="Times New Roman"/>
          <w:b/>
          <w:bCs/>
        </w:rPr>
        <w:t>pakkuma ja võimaldama hulgituru 3b teenuste</w:t>
      </w:r>
      <w:r w:rsidR="00AB247C">
        <w:rPr>
          <w:rFonts w:cs="Times New Roman"/>
          <w:b/>
          <w:bCs/>
        </w:rPr>
        <w:t xml:space="preserve">le juurdepääsuks </w:t>
      </w:r>
      <w:r w:rsidRPr="00EA7C3B">
        <w:rPr>
          <w:rFonts w:cs="Times New Roman"/>
          <w:b/>
          <w:bCs/>
        </w:rPr>
        <w:t xml:space="preserve"> vajalik</w:t>
      </w:r>
      <w:r w:rsidR="00AB247C">
        <w:rPr>
          <w:rFonts w:cs="Times New Roman"/>
          <w:b/>
          <w:bCs/>
        </w:rPr>
        <w:t>k</w:t>
      </w:r>
      <w:r w:rsidRPr="00EA7C3B">
        <w:rPr>
          <w:rFonts w:cs="Times New Roman"/>
          <w:b/>
          <w:bCs/>
        </w:rPr>
        <w:t>u seadmete ühispaiknemis</w:t>
      </w:r>
      <w:r w:rsidR="00AB247C">
        <w:rPr>
          <w:rFonts w:cs="Times New Roman"/>
          <w:b/>
          <w:bCs/>
        </w:rPr>
        <w:t>t</w:t>
      </w:r>
      <w:r w:rsidRPr="00EA7C3B">
        <w:rPr>
          <w:rFonts w:cs="Times New Roman"/>
          <w:b/>
          <w:bCs/>
        </w:rPr>
        <w:t xml:space="preserve"> </w:t>
      </w:r>
      <w:r w:rsidR="00116D8D">
        <w:rPr>
          <w:rFonts w:cs="Times New Roman"/>
          <w:b/>
          <w:bCs/>
        </w:rPr>
        <w:t>ja</w:t>
      </w:r>
      <w:r w:rsidR="00116D8D" w:rsidRPr="00EA7C3B">
        <w:rPr>
          <w:rFonts w:cs="Times New Roman"/>
          <w:b/>
          <w:bCs/>
        </w:rPr>
        <w:t xml:space="preserve"> </w:t>
      </w:r>
      <w:r w:rsidRPr="00EA7C3B">
        <w:rPr>
          <w:rFonts w:cs="Times New Roman"/>
          <w:b/>
          <w:bCs/>
        </w:rPr>
        <w:t>mu</w:t>
      </w:r>
      <w:r w:rsidR="00AB247C">
        <w:rPr>
          <w:rFonts w:cs="Times New Roman"/>
          <w:b/>
          <w:bCs/>
        </w:rPr>
        <w:t>id</w:t>
      </w:r>
      <w:r w:rsidRPr="00EA7C3B">
        <w:rPr>
          <w:rFonts w:cs="Times New Roman"/>
          <w:b/>
          <w:bCs/>
        </w:rPr>
        <w:t xml:space="preserve"> ühiskasutuse viise, sealhulgas </w:t>
      </w:r>
      <w:r w:rsidR="004A47AC">
        <w:rPr>
          <w:rFonts w:cs="Times New Roman"/>
          <w:b/>
          <w:bCs/>
        </w:rPr>
        <w:t>sidetoru</w:t>
      </w:r>
      <w:r w:rsidRPr="00EA7C3B">
        <w:rPr>
          <w:rFonts w:cs="Times New Roman"/>
          <w:b/>
          <w:bCs/>
        </w:rPr>
        <w:t>, hoonete</w:t>
      </w:r>
      <w:r w:rsidR="00116D8D">
        <w:rPr>
          <w:rFonts w:cs="Times New Roman"/>
          <w:b/>
          <w:bCs/>
        </w:rPr>
        <w:t xml:space="preserve"> ja</w:t>
      </w:r>
      <w:r w:rsidRPr="00EA7C3B">
        <w:rPr>
          <w:rFonts w:cs="Times New Roman"/>
          <w:b/>
          <w:bCs/>
        </w:rPr>
        <w:t xml:space="preserve"> seadmemajutuse</w:t>
      </w:r>
      <w:r w:rsidR="00AB247C">
        <w:rPr>
          <w:rFonts w:cs="Times New Roman"/>
          <w:b/>
          <w:bCs/>
        </w:rPr>
        <w:t xml:space="preserve"> ühiskasutust</w:t>
      </w:r>
      <w:r w:rsidRPr="00EA7C3B">
        <w:rPr>
          <w:rFonts w:cs="Times New Roman"/>
          <w:b/>
          <w:bCs/>
        </w:rPr>
        <w:t>;</w:t>
      </w:r>
      <w:bookmarkEnd w:id="1207"/>
    </w:p>
    <w:p w14:paraId="3FC51011" w14:textId="1E7E71B6" w:rsidR="00F03958" w:rsidRPr="00EA7C3B" w:rsidRDefault="00F03958" w:rsidP="00AA241E">
      <w:pPr>
        <w:spacing w:before="120" w:after="120" w:line="240" w:lineRule="auto"/>
        <w:ind w:left="720"/>
        <w:jc w:val="both"/>
        <w:rPr>
          <w:rFonts w:cs="Times New Roman"/>
          <w:b/>
          <w:bCs/>
          <w:lang w:eastAsia="et-EE"/>
        </w:rPr>
      </w:pPr>
      <w:r w:rsidRPr="00EA7C3B">
        <w:rPr>
          <w:rFonts w:cs="Times New Roman"/>
          <w:b/>
          <w:bCs/>
        </w:rPr>
        <w:t xml:space="preserve">5) pakkuma ja võimaldama juurdepääsu hulgituru 3b teenuste </w:t>
      </w:r>
      <w:r w:rsidR="00116D8D">
        <w:rPr>
          <w:rFonts w:cs="Times New Roman"/>
          <w:b/>
          <w:bCs/>
        </w:rPr>
        <w:t>kasutuseks</w:t>
      </w:r>
      <w:r w:rsidR="00116D8D" w:rsidRPr="00EA7C3B">
        <w:rPr>
          <w:rFonts w:cs="Times New Roman"/>
          <w:b/>
          <w:bCs/>
        </w:rPr>
        <w:t xml:space="preserve"> </w:t>
      </w:r>
      <w:r w:rsidRPr="00EA7C3B">
        <w:rPr>
          <w:rFonts w:cs="Times New Roman"/>
          <w:b/>
          <w:bCs/>
        </w:rPr>
        <w:t xml:space="preserve">vajalikele tugisüsteemidele ja/või tarkvarasüsteemidele, sealhulgas </w:t>
      </w:r>
      <w:r w:rsidR="00116D8D">
        <w:rPr>
          <w:rFonts w:cs="Times New Roman"/>
          <w:b/>
          <w:bCs/>
        </w:rPr>
        <w:t xml:space="preserve">nendele, mis on vajalikud tehniliste tingimuste tellimise, </w:t>
      </w:r>
      <w:r w:rsidRPr="00EA7C3B">
        <w:rPr>
          <w:rFonts w:cs="Times New Roman"/>
          <w:b/>
          <w:bCs/>
        </w:rPr>
        <w:t xml:space="preserve">teenuste tellimise, tehnilise hoolduse ja remondi </w:t>
      </w:r>
      <w:r w:rsidR="004313CD" w:rsidRPr="00EA7C3B">
        <w:rPr>
          <w:rFonts w:cs="Times New Roman"/>
          <w:b/>
          <w:bCs/>
        </w:rPr>
        <w:t xml:space="preserve"> jaoks</w:t>
      </w:r>
      <w:r w:rsidR="00EA7C3B">
        <w:rPr>
          <w:rFonts w:cs="Times New Roman"/>
          <w:b/>
          <w:bCs/>
        </w:rPr>
        <w:t>.</w:t>
      </w:r>
    </w:p>
    <w:bookmarkEnd w:id="1205"/>
    <w:bookmarkEnd w:id="1206"/>
    <w:p w14:paraId="0606436E" w14:textId="77777777" w:rsidR="00F03958" w:rsidRPr="00883566" w:rsidRDefault="00F03958" w:rsidP="00AA241E">
      <w:pPr>
        <w:spacing w:before="120" w:after="120"/>
        <w:jc w:val="both"/>
        <w:rPr>
          <w:rFonts w:cs="Times New Roman"/>
          <w:b/>
          <w:bCs/>
          <w:lang w:eastAsia="et-EE"/>
        </w:rPr>
      </w:pPr>
    </w:p>
    <w:p w14:paraId="395591FA" w14:textId="77777777" w:rsidR="00F03958" w:rsidRPr="00883566" w:rsidRDefault="00F03958" w:rsidP="00AA241E">
      <w:pPr>
        <w:spacing w:before="120" w:after="120"/>
        <w:jc w:val="both"/>
        <w:rPr>
          <w:rFonts w:cs="Times New Roman"/>
          <w:b/>
          <w:bCs/>
        </w:rPr>
      </w:pPr>
      <w:bookmarkStart w:id="1208" w:name="_Hlk151032531"/>
    </w:p>
    <w:p w14:paraId="22CDF472" w14:textId="77777777" w:rsidR="00F03958" w:rsidRPr="00883566" w:rsidRDefault="00F03958" w:rsidP="00AA241E">
      <w:pPr>
        <w:spacing w:before="120" w:after="120"/>
        <w:jc w:val="both"/>
        <w:rPr>
          <w:rFonts w:cs="Times New Roman"/>
          <w:b/>
          <w:bCs/>
          <w:lang w:eastAsia="et-EE"/>
        </w:rPr>
      </w:pPr>
      <w:r w:rsidRPr="00883566">
        <w:rPr>
          <w:rFonts w:cs="Times New Roman"/>
          <w:b/>
          <w:bCs/>
          <w:noProof/>
        </w:rPr>
        <w:drawing>
          <wp:inline distT="0" distB="0" distL="0" distR="0" wp14:anchorId="1100E600" wp14:editId="6A8458B4">
            <wp:extent cx="5835754" cy="3267075"/>
            <wp:effectExtent l="19050" t="19050" r="12700" b="9525"/>
            <wp:docPr id="1647949952" name="Pilt 1647949952"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49952" name="Picture 3" descr="A computer screen shot of a diagram&#10;&#10;Description automatically generated"/>
                    <pic:cNvPicPr/>
                  </pic:nvPicPr>
                  <pic:blipFill rotWithShape="1">
                    <a:blip r:embed="rId47"/>
                    <a:srcRect l="8433" t="12052" r="10052" b="6819"/>
                    <a:stretch/>
                  </pic:blipFill>
                  <pic:spPr bwMode="auto">
                    <a:xfrm>
                      <a:off x="0" y="0"/>
                      <a:ext cx="5840997" cy="32700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277DF9" w14:textId="01FCE0D8" w:rsidR="00F03958" w:rsidRPr="00883566" w:rsidRDefault="00E5522B" w:rsidP="00AA241E">
      <w:pPr>
        <w:pStyle w:val="Pealdis"/>
        <w:jc w:val="both"/>
        <w:rPr>
          <w:b w:val="0"/>
          <w:bCs w:val="0"/>
          <w:lang w:eastAsia="et-EE"/>
        </w:rPr>
      </w:pPr>
      <w:r>
        <w:t xml:space="preserve">Joonis </w:t>
      </w:r>
      <w:r>
        <w:fldChar w:fldCharType="begin"/>
      </w:r>
      <w:r>
        <w:instrText xml:space="preserve"> SEQ Joonis \* ARABIC </w:instrText>
      </w:r>
      <w:r>
        <w:fldChar w:fldCharType="separate"/>
      </w:r>
      <w:r>
        <w:rPr>
          <w:noProof/>
        </w:rPr>
        <w:t>27</w:t>
      </w:r>
      <w:r>
        <w:fldChar w:fldCharType="end"/>
      </w:r>
      <w:r>
        <w:t xml:space="preserve"> </w:t>
      </w:r>
      <w:r w:rsidR="00F03958" w:rsidRPr="00883566">
        <w:t>Telia hulgituru 3b teenustele juurdepääsu kirjeldus</w:t>
      </w:r>
    </w:p>
    <w:p w14:paraId="50189B03" w14:textId="77777777" w:rsidR="00F03958" w:rsidRPr="00883566" w:rsidRDefault="00F03958" w:rsidP="00AA241E">
      <w:pPr>
        <w:spacing w:before="120" w:after="120"/>
        <w:jc w:val="both"/>
        <w:rPr>
          <w:rFonts w:cs="Times New Roman"/>
          <w:b/>
          <w:bCs/>
          <w:lang w:eastAsia="et-EE"/>
        </w:rPr>
      </w:pPr>
      <w:bookmarkStart w:id="1209" w:name="_Hlk137739265"/>
    </w:p>
    <w:p w14:paraId="5AFFAEF6" w14:textId="77777777" w:rsidR="00F03958" w:rsidRPr="00883566" w:rsidRDefault="00F03958" w:rsidP="00AA241E">
      <w:pPr>
        <w:spacing w:before="120" w:after="120"/>
        <w:jc w:val="both"/>
        <w:rPr>
          <w:rFonts w:cs="Times New Roman"/>
          <w:b/>
          <w:bCs/>
          <w:lang w:eastAsia="et-EE"/>
        </w:rPr>
      </w:pPr>
      <w:r w:rsidRPr="00883566">
        <w:rPr>
          <w:rFonts w:cs="Times New Roman"/>
          <w:b/>
          <w:bCs/>
        </w:rPr>
        <w:t xml:space="preserve">Tulenevalt ESS § 64 lõikest 2  peab Telia eeltoodud juurdepääsu kohustuse raames täitma järgmisi nõudeid: </w:t>
      </w:r>
    </w:p>
    <w:p w14:paraId="1DE7EA49" w14:textId="77777777" w:rsidR="00F03958" w:rsidRPr="00883566" w:rsidRDefault="00F03958" w:rsidP="00AA241E">
      <w:pPr>
        <w:numPr>
          <w:ilvl w:val="0"/>
          <w:numId w:val="16"/>
        </w:numPr>
        <w:spacing w:before="120" w:after="120" w:line="240" w:lineRule="auto"/>
        <w:jc w:val="both"/>
        <w:rPr>
          <w:rFonts w:cs="Times New Roman"/>
          <w:b/>
          <w:bCs/>
          <w:lang w:eastAsia="et-EE"/>
        </w:rPr>
      </w:pPr>
      <w:r w:rsidRPr="00883566">
        <w:rPr>
          <w:rFonts w:cs="Times New Roman"/>
          <w:b/>
          <w:bCs/>
        </w:rPr>
        <w:t>võimaldama kasutada võrgu seadmeid, ehitisi ning liinirajatisi võrdsetel tingimustel ja kvaliteediga, millega ta seda osutab oma ema- ja tütarettevõtjale, klientidele või äripartneritele;</w:t>
      </w:r>
    </w:p>
    <w:p w14:paraId="6513C0F8" w14:textId="77777777" w:rsidR="00F03958" w:rsidRPr="00883566" w:rsidRDefault="00F03958" w:rsidP="00AA241E">
      <w:pPr>
        <w:numPr>
          <w:ilvl w:val="0"/>
          <w:numId w:val="16"/>
        </w:numPr>
        <w:spacing w:before="120" w:after="120" w:line="240" w:lineRule="auto"/>
        <w:jc w:val="both"/>
        <w:rPr>
          <w:rFonts w:cs="Times New Roman"/>
          <w:b/>
          <w:bCs/>
          <w:lang w:eastAsia="et-EE"/>
        </w:rPr>
      </w:pPr>
      <w:r w:rsidRPr="00883566">
        <w:rPr>
          <w:rFonts w:cs="Times New Roman"/>
          <w:b/>
          <w:bCs/>
        </w:rPr>
        <w:t>võimaldama juurdepääsuks taotluse esitanud ettevõtjal saada juurdepääsuks vajalikku teavet;</w:t>
      </w:r>
    </w:p>
    <w:p w14:paraId="41DECAC0" w14:textId="77777777" w:rsidR="00F03958" w:rsidRPr="00883566" w:rsidRDefault="00F03958" w:rsidP="00AA241E">
      <w:pPr>
        <w:numPr>
          <w:ilvl w:val="0"/>
          <w:numId w:val="16"/>
        </w:numPr>
        <w:spacing w:before="120" w:after="120" w:line="240" w:lineRule="auto"/>
        <w:jc w:val="both"/>
        <w:rPr>
          <w:rFonts w:cs="Times New Roman"/>
          <w:b/>
          <w:bCs/>
          <w:lang w:eastAsia="et-EE"/>
        </w:rPr>
      </w:pPr>
      <w:bookmarkStart w:id="1210" w:name="_Hlk31884298"/>
      <w:r w:rsidRPr="00883566">
        <w:rPr>
          <w:rFonts w:cs="Times New Roman"/>
          <w:b/>
          <w:bCs/>
        </w:rPr>
        <w:t xml:space="preserve">kasutama juurdepääsuga seoses saadud teavet üksnes vastava teenuse osutamiseks ning mitte avaldama seda kolmandale isikule, </w:t>
      </w:r>
      <w:r w:rsidRPr="004D7BD4">
        <w:rPr>
          <w:rFonts w:cs="Times New Roman"/>
          <w:b/>
          <w:bCs/>
          <w:iCs/>
        </w:rPr>
        <w:t>eelkõige teisele struktuuriüksusele</w:t>
      </w:r>
      <w:r w:rsidRPr="00883566">
        <w:rPr>
          <w:rFonts w:cs="Times New Roman"/>
          <w:b/>
          <w:bCs/>
        </w:rPr>
        <w:t>, tütarettevõtjale ega partnerile, kellele selline teave võiks anda konkurentsieeliseid, kui seaduses ei ole sätestatud teisiti</w:t>
      </w:r>
      <w:bookmarkEnd w:id="1210"/>
      <w:r w:rsidRPr="00883566">
        <w:rPr>
          <w:rFonts w:cs="Times New Roman"/>
          <w:b/>
          <w:bCs/>
        </w:rPr>
        <w:t>;</w:t>
      </w:r>
    </w:p>
    <w:p w14:paraId="1B150DBB" w14:textId="77777777" w:rsidR="00F03958" w:rsidRPr="00883566" w:rsidRDefault="00F03958" w:rsidP="00AA241E">
      <w:pPr>
        <w:numPr>
          <w:ilvl w:val="0"/>
          <w:numId w:val="16"/>
        </w:numPr>
        <w:spacing w:before="120" w:after="120" w:line="240" w:lineRule="auto"/>
        <w:jc w:val="both"/>
        <w:rPr>
          <w:rFonts w:cs="Times New Roman"/>
          <w:b/>
          <w:bCs/>
          <w:lang w:eastAsia="et-EE"/>
        </w:rPr>
      </w:pPr>
      <w:r w:rsidRPr="00883566">
        <w:rPr>
          <w:rFonts w:cs="Times New Roman"/>
          <w:b/>
          <w:bCs/>
        </w:rPr>
        <w:t>mitte piirama oma klientide juurdepääsu teise sideettevõtja poolt osutatavatele teenustele.</w:t>
      </w:r>
    </w:p>
    <w:p w14:paraId="11BC7A94" w14:textId="77777777" w:rsidR="00F03958" w:rsidRPr="00883566" w:rsidRDefault="00F03958" w:rsidP="00AA241E">
      <w:pPr>
        <w:spacing w:before="120" w:after="120" w:line="240" w:lineRule="auto"/>
        <w:ind w:left="1068"/>
        <w:jc w:val="both"/>
        <w:rPr>
          <w:rFonts w:cs="Times New Roman"/>
          <w:lang w:eastAsia="et-EE"/>
        </w:rPr>
      </w:pPr>
    </w:p>
    <w:p w14:paraId="06B749B9" w14:textId="77777777" w:rsidR="00F03958" w:rsidRPr="00883566" w:rsidRDefault="00F03958" w:rsidP="00AA241E">
      <w:pPr>
        <w:spacing w:before="120" w:after="120" w:line="240" w:lineRule="auto"/>
        <w:ind w:left="1068"/>
        <w:jc w:val="both"/>
        <w:rPr>
          <w:rFonts w:cs="Times New Roman"/>
          <w:lang w:eastAsia="et-EE"/>
        </w:rPr>
      </w:pPr>
    </w:p>
    <w:p w14:paraId="4093FC66" w14:textId="73D08F6B" w:rsidR="00F03958" w:rsidRPr="00883566" w:rsidRDefault="00F03958" w:rsidP="00AA241E">
      <w:pPr>
        <w:pStyle w:val="Pealkiri2"/>
        <w:jc w:val="both"/>
      </w:pPr>
      <w:bookmarkStart w:id="1211" w:name="_Toc212974436"/>
      <w:bookmarkStart w:id="1212" w:name="_Toc213122164"/>
      <w:bookmarkStart w:id="1213" w:name="_Toc213140785"/>
      <w:bookmarkStart w:id="1214" w:name="_Toc215466510"/>
      <w:bookmarkStart w:id="1215" w:name="_Toc216228063"/>
      <w:bookmarkStart w:id="1216" w:name="_Toc457983656"/>
      <w:bookmarkStart w:id="1217" w:name="_Toc464639362"/>
      <w:bookmarkStart w:id="1218" w:name="_Toc470614564"/>
      <w:bookmarkStart w:id="1219" w:name="_Toc472597887"/>
      <w:bookmarkStart w:id="1220" w:name="_Toc35339847"/>
      <w:bookmarkStart w:id="1221" w:name="_Toc66262835"/>
      <w:bookmarkStart w:id="1222" w:name="_Toc151026088"/>
      <w:bookmarkStart w:id="1223" w:name="_Toc174710879"/>
      <w:bookmarkEnd w:id="1208"/>
      <w:bookmarkEnd w:id="1209"/>
      <w:r w:rsidRPr="00883566">
        <w:t xml:space="preserve">Mittediskrimineerimise </w:t>
      </w:r>
      <w:bookmarkEnd w:id="1211"/>
      <w:bookmarkEnd w:id="1212"/>
      <w:bookmarkEnd w:id="1213"/>
      <w:bookmarkEnd w:id="1214"/>
      <w:bookmarkEnd w:id="1215"/>
      <w:bookmarkEnd w:id="1216"/>
      <w:bookmarkEnd w:id="1217"/>
      <w:bookmarkEnd w:id="1218"/>
      <w:bookmarkEnd w:id="1219"/>
      <w:bookmarkEnd w:id="1220"/>
      <w:bookmarkEnd w:id="1221"/>
      <w:bookmarkEnd w:id="1222"/>
      <w:r w:rsidRPr="00883566">
        <w:t>kohustused</w:t>
      </w:r>
      <w:bookmarkEnd w:id="1223"/>
    </w:p>
    <w:p w14:paraId="0846A5C2" w14:textId="77777777" w:rsidR="00F03958" w:rsidRPr="00883566" w:rsidRDefault="00F03958" w:rsidP="00AA241E">
      <w:pPr>
        <w:jc w:val="both"/>
        <w:rPr>
          <w:lang w:eastAsia="en-US"/>
        </w:rPr>
      </w:pPr>
    </w:p>
    <w:p w14:paraId="1951A8A5" w14:textId="5E848BE3" w:rsidR="00F03958" w:rsidRPr="00883566" w:rsidRDefault="00F03958" w:rsidP="00AA241E">
      <w:pPr>
        <w:spacing w:line="259" w:lineRule="auto"/>
        <w:jc w:val="both"/>
        <w:rPr>
          <w:rFonts w:cs="Times New Roman"/>
          <w:lang w:eastAsia="en-US"/>
        </w:rPr>
      </w:pPr>
      <w:r w:rsidRPr="00883566">
        <w:rPr>
          <w:rFonts w:cs="Times New Roman"/>
        </w:rPr>
        <w:t xml:space="preserve">Käesoleva otsuse koostamise ajal kehtivad Telia hulgituru 3b teenustele mittediskrimineerimise kohustused TTJA 2017 hulgituru 3b otsuse alusel. Lähtudes käesoleva otsuse </w:t>
      </w:r>
      <w:r w:rsidR="008C159A">
        <w:rPr>
          <w:rFonts w:cs="Times New Roman"/>
        </w:rPr>
        <w:t>ptk.-</w:t>
      </w:r>
      <w:r w:rsidRPr="00883566">
        <w:rPr>
          <w:rFonts w:cs="Times New Roman"/>
        </w:rPr>
        <w:t xml:space="preserve">st </w:t>
      </w:r>
      <w:r w:rsidR="001D606C">
        <w:rPr>
          <w:rFonts w:cs="Times New Roman"/>
        </w:rPr>
        <w:t>8.1.2</w:t>
      </w:r>
      <w:r w:rsidRPr="00883566">
        <w:rPr>
          <w:rFonts w:cs="Times New Roman"/>
        </w:rPr>
        <w:t xml:space="preserve"> tunnistatakse TTJA 2017 hulgituru 3b otsus ja selles kehtestatud kohustused kehtetuks. Käesolevas otsuses kehtestatavad kohustused on suunatud Telia </w:t>
      </w:r>
      <w:r w:rsidR="00A3232C">
        <w:rPr>
          <w:rFonts w:cs="Times New Roman"/>
        </w:rPr>
        <w:t>valguskaabelvõrgu</w:t>
      </w:r>
      <w:r w:rsidRPr="00883566">
        <w:rPr>
          <w:rFonts w:cs="Times New Roman"/>
        </w:rPr>
        <w:t xml:space="preserve">s (nii ülekande-, kui ka juurdepääsuvõrgu) lairibaühendusele keskse juurdepääsu </w:t>
      </w:r>
      <w:r w:rsidR="001D412C">
        <w:rPr>
          <w:rFonts w:cs="Times New Roman"/>
        </w:rPr>
        <w:t>hulgi</w:t>
      </w:r>
      <w:r w:rsidR="00E10A5E">
        <w:rPr>
          <w:rFonts w:cs="Times New Roman"/>
        </w:rPr>
        <w:t>teenustele</w:t>
      </w:r>
      <w:r w:rsidRPr="00883566">
        <w:rPr>
          <w:rFonts w:cs="Times New Roman"/>
        </w:rPr>
        <w:t xml:space="preserve"> piirkonnas B. Järgnevalt analüüsitakse ja tuvastatakse konkurentsiprobleemide vältimiseks ja konkurentsi edendamiseks asjakohaste kohustused võttes arvesse TTJA 2017 hulgituru 3b otsuses sätestatud kohustusi, uut EK 2024 kohustuste soovitust ning TTJA 2021 hulgituru 3b otsuse eelnõus ja TTJA 2023 hulgituru 3b otsuse eelnõus kajastatud sideettevõtjate arvamusi võimalike konkurentsiprobleemide osas. TTJA hinnangul on kohustuste järjepidevuse tagamiseks mõistlik ja proportsionaalne lähtuda TTJA 2017 hulgituru 3b otsuses sätestatud kohustustest neid vajadusel muutes ja/või täiendades.</w:t>
      </w:r>
    </w:p>
    <w:p w14:paraId="6CBF7903" w14:textId="34739D2A" w:rsidR="00F03958" w:rsidRPr="00883566" w:rsidRDefault="00F03958" w:rsidP="00AA241E">
      <w:pPr>
        <w:spacing w:line="259" w:lineRule="auto"/>
        <w:jc w:val="both"/>
        <w:rPr>
          <w:rFonts w:cs="Times New Roman"/>
          <w:lang w:eastAsia="en-US"/>
        </w:rPr>
      </w:pPr>
      <w:r w:rsidRPr="00883566">
        <w:rPr>
          <w:rFonts w:cs="Times New Roman"/>
        </w:rPr>
        <w:t xml:space="preserve">Täpsemalt kehtivad Teliale käesoleva otsuse koostamise ajal TTJA 2017 hulgituru 3b otsuse lisa 1 </w:t>
      </w:r>
      <w:r w:rsidR="008C159A">
        <w:rPr>
          <w:rFonts w:cs="Times New Roman"/>
        </w:rPr>
        <w:t xml:space="preserve">ptk. </w:t>
      </w:r>
      <w:r w:rsidRPr="00883566">
        <w:rPr>
          <w:rFonts w:cs="Times New Roman"/>
        </w:rPr>
        <w:t>6.3.4 alusel järgmised mittediskrimineerimise kohustused:</w:t>
      </w:r>
    </w:p>
    <w:p w14:paraId="08925557" w14:textId="31CDB1B6" w:rsidR="00F03958" w:rsidRPr="00883566" w:rsidRDefault="00F03958" w:rsidP="00AA241E">
      <w:pPr>
        <w:numPr>
          <w:ilvl w:val="0"/>
          <w:numId w:val="19"/>
        </w:numPr>
        <w:spacing w:after="0" w:line="240" w:lineRule="auto"/>
        <w:jc w:val="both"/>
        <w:rPr>
          <w:i/>
          <w:iCs/>
          <w:lang w:eastAsia="et-EE"/>
        </w:rPr>
      </w:pPr>
      <w:r w:rsidRPr="00883566">
        <w:rPr>
          <w:i/>
          <w:iCs/>
          <w:lang w:eastAsia="et-EE"/>
        </w:rPr>
        <w:t xml:space="preserve">TJA otsustab kehtestada Teliale lairiba juurdepääsu hulgiturul otsuse peatükis </w:t>
      </w:r>
      <w:r w:rsidRPr="00883566">
        <w:rPr>
          <w:i/>
          <w:iCs/>
          <w:lang w:eastAsia="et-EE"/>
        </w:rPr>
        <w:fldChar w:fldCharType="begin"/>
      </w:r>
      <w:r w:rsidRPr="00883566">
        <w:rPr>
          <w:i/>
          <w:iCs/>
          <w:lang w:eastAsia="et-EE"/>
        </w:rPr>
        <w:instrText xml:space="preserve"> REF _Ref465421195 \h  \* MERGEFORMAT </w:instrText>
      </w:r>
      <w:r w:rsidRPr="00883566">
        <w:rPr>
          <w:i/>
          <w:iCs/>
          <w:lang w:eastAsia="et-EE"/>
        </w:rPr>
      </w:r>
      <w:r w:rsidRPr="00883566">
        <w:rPr>
          <w:i/>
          <w:iCs/>
          <w:lang w:eastAsia="et-EE"/>
        </w:rPr>
        <w:fldChar w:fldCharType="separate"/>
      </w:r>
      <w:r w:rsidRPr="00883566">
        <w:rPr>
          <w:i/>
          <w:iCs/>
          <w:lang w:eastAsia="et-EE"/>
        </w:rPr>
        <w:t>6.3.2. Diskrimineerimisega seotud konkurentsiprobleemid</w:t>
      </w:r>
      <w:r w:rsidRPr="00883566">
        <w:rPr>
          <w:i/>
          <w:iCs/>
          <w:lang w:eastAsia="et-EE"/>
        </w:rPr>
        <w:fldChar w:fldCharType="end"/>
      </w:r>
      <w:r w:rsidRPr="00883566">
        <w:rPr>
          <w:i/>
          <w:iCs/>
          <w:lang w:eastAsia="et-EE"/>
        </w:rPr>
        <w:t>“ nimetatud konkurentsiprobleemide lahendamiseks, konkurentsi moonutamise ja takistamise tõkestamiseks ning sideettevõtjate võrdse ja mittediskrimineeriva kohtlemise tagamiseks ESS § 50 lõike 1 punktis 3 sätestatud mittediskrimineerimise kohustuse.</w:t>
      </w:r>
    </w:p>
    <w:p w14:paraId="70E097C9" w14:textId="77777777" w:rsidR="00F03958" w:rsidRPr="00883566" w:rsidRDefault="00F03958" w:rsidP="00AA241E">
      <w:pPr>
        <w:spacing w:after="0" w:line="240" w:lineRule="auto"/>
        <w:ind w:left="786"/>
        <w:jc w:val="both"/>
        <w:rPr>
          <w:i/>
          <w:iCs/>
          <w:lang w:eastAsia="et-EE"/>
        </w:rPr>
      </w:pPr>
    </w:p>
    <w:p w14:paraId="732BE829" w14:textId="288C6501" w:rsidR="00F03958" w:rsidRPr="00883566" w:rsidRDefault="00F03958" w:rsidP="00AA241E">
      <w:pPr>
        <w:numPr>
          <w:ilvl w:val="0"/>
          <w:numId w:val="19"/>
        </w:numPr>
        <w:spacing w:after="0" w:line="240" w:lineRule="auto"/>
        <w:ind w:left="785"/>
        <w:jc w:val="both"/>
        <w:rPr>
          <w:i/>
          <w:iCs/>
          <w:lang w:eastAsia="et-EE"/>
        </w:rPr>
      </w:pPr>
      <w:r w:rsidRPr="00883566">
        <w:rPr>
          <w:i/>
          <w:iCs/>
          <w:lang w:eastAsia="et-EE"/>
        </w:rPr>
        <w:t xml:space="preserve">Selle kohustuse raames peab Telia otsuse peatükis </w:t>
      </w:r>
      <w:r w:rsidRPr="00883566">
        <w:rPr>
          <w:i/>
          <w:iCs/>
          <w:lang w:eastAsia="et-EE"/>
        </w:rPr>
        <w:fldChar w:fldCharType="begin"/>
      </w:r>
      <w:r w:rsidRPr="00883566">
        <w:rPr>
          <w:i/>
          <w:iCs/>
          <w:lang w:eastAsia="et-EE"/>
        </w:rPr>
        <w:instrText xml:space="preserve"> REF _Ref465421258 \h  \* MERGEFORMAT </w:instrText>
      </w:r>
      <w:r w:rsidRPr="00883566">
        <w:rPr>
          <w:i/>
          <w:iCs/>
          <w:lang w:eastAsia="et-EE"/>
        </w:rPr>
      </w:r>
      <w:r w:rsidRPr="00883566">
        <w:rPr>
          <w:i/>
          <w:iCs/>
          <w:lang w:eastAsia="et-EE"/>
        </w:rPr>
        <w:fldChar w:fldCharType="separate"/>
      </w:r>
      <w:r w:rsidRPr="00883566">
        <w:rPr>
          <w:i/>
          <w:iCs/>
          <w:lang w:eastAsia="et-EE"/>
        </w:rPr>
        <w:t>6.2.4. Juurdepääsu kohustuste kehtestamine</w:t>
      </w:r>
      <w:r w:rsidRPr="00883566">
        <w:rPr>
          <w:i/>
          <w:iCs/>
          <w:lang w:eastAsia="et-EE"/>
        </w:rPr>
        <w:fldChar w:fldCharType="end"/>
      </w:r>
      <w:r w:rsidRPr="00883566">
        <w:rPr>
          <w:i/>
          <w:iCs/>
          <w:lang w:eastAsia="et-EE"/>
        </w:rPr>
        <w:t xml:space="preserve">“ kirjeldatud hulgiteenuste puhul rakendama sideettevõtjatele samadel asjaoludel samaväärseid tingimusi ning osutama teenuseid ja avaldama informatsiooni sideettevõtjatele samadel tingimustel ja samasuguse kvaliteediga nagu enda - või oma tütarettevõtjate - või partnerite puhul ning mh rakendama sideettevõtjatele samasuguseid hindu nagu enda - või oma tütarettevõtjate - või partnerite puhul. </w:t>
      </w:r>
    </w:p>
    <w:p w14:paraId="76766DB1" w14:textId="77777777" w:rsidR="00F03958" w:rsidRPr="00883566" w:rsidRDefault="00F03958" w:rsidP="00AA241E">
      <w:pPr>
        <w:spacing w:after="0" w:line="240" w:lineRule="auto"/>
        <w:ind w:left="785"/>
        <w:jc w:val="both"/>
        <w:rPr>
          <w:i/>
          <w:iCs/>
          <w:lang w:eastAsia="et-EE"/>
        </w:rPr>
      </w:pPr>
    </w:p>
    <w:p w14:paraId="385B28CC" w14:textId="5721A1DB" w:rsidR="00F03958" w:rsidRPr="00883566" w:rsidRDefault="00F03958" w:rsidP="00AA241E">
      <w:pPr>
        <w:numPr>
          <w:ilvl w:val="0"/>
          <w:numId w:val="19"/>
        </w:numPr>
        <w:spacing w:after="0" w:line="240" w:lineRule="auto"/>
        <w:ind w:left="785"/>
        <w:jc w:val="both"/>
        <w:rPr>
          <w:i/>
          <w:iCs/>
          <w:lang w:eastAsia="et-EE"/>
        </w:rPr>
      </w:pPr>
      <w:r w:rsidRPr="00883566">
        <w:rPr>
          <w:i/>
          <w:iCs/>
          <w:lang w:eastAsia="et-EE"/>
        </w:rPr>
        <w:t xml:space="preserve">Mittediskrimineerimise kohustuse raames peab Telia otsuse peatükis </w:t>
      </w:r>
      <w:r w:rsidRPr="00883566">
        <w:rPr>
          <w:i/>
          <w:iCs/>
          <w:lang w:eastAsia="et-EE"/>
        </w:rPr>
        <w:fldChar w:fldCharType="begin"/>
      </w:r>
      <w:r w:rsidRPr="00883566">
        <w:rPr>
          <w:i/>
          <w:iCs/>
          <w:lang w:eastAsia="et-EE"/>
        </w:rPr>
        <w:instrText xml:space="preserve"> REF _Ref465421258 \h  \* MERGEFORMAT </w:instrText>
      </w:r>
      <w:r w:rsidRPr="00883566">
        <w:rPr>
          <w:i/>
          <w:iCs/>
          <w:lang w:eastAsia="et-EE"/>
        </w:rPr>
      </w:r>
      <w:r w:rsidRPr="00883566">
        <w:rPr>
          <w:i/>
          <w:iCs/>
          <w:lang w:eastAsia="et-EE"/>
        </w:rPr>
        <w:fldChar w:fldCharType="separate"/>
      </w:r>
      <w:r w:rsidRPr="00883566">
        <w:rPr>
          <w:i/>
          <w:iCs/>
          <w:lang w:eastAsia="et-EE"/>
        </w:rPr>
        <w:t>6.2.4. Juurdepääsu kohustuste kehtestamine</w:t>
      </w:r>
      <w:r w:rsidRPr="00883566">
        <w:rPr>
          <w:i/>
          <w:iCs/>
          <w:lang w:eastAsia="et-EE"/>
        </w:rPr>
        <w:fldChar w:fldCharType="end"/>
      </w:r>
      <w:r w:rsidRPr="00883566">
        <w:rPr>
          <w:i/>
          <w:iCs/>
          <w:lang w:eastAsia="et-EE"/>
        </w:rPr>
        <w:t>“ kirjeldatud hulgiteenuste osutamisel vastavalt kohustuse iseloomule täitma mh järgmisi nõudeid:</w:t>
      </w:r>
    </w:p>
    <w:p w14:paraId="1C38D993" w14:textId="77777777" w:rsidR="00F03958" w:rsidRPr="00883566" w:rsidRDefault="00F03958" w:rsidP="00AA241E">
      <w:pPr>
        <w:spacing w:after="0"/>
        <w:ind w:left="1134" w:hanging="284"/>
        <w:jc w:val="both"/>
        <w:rPr>
          <w:i/>
          <w:iCs/>
          <w:lang w:eastAsia="et-EE"/>
        </w:rPr>
      </w:pPr>
      <w:r w:rsidRPr="00883566">
        <w:rPr>
          <w:i/>
          <w:iCs/>
        </w:rPr>
        <w:t xml:space="preserve">1) </w:t>
      </w:r>
      <w:r w:rsidRPr="00883566">
        <w:tab/>
      </w:r>
      <w:r w:rsidRPr="00883566">
        <w:rPr>
          <w:i/>
          <w:iCs/>
        </w:rPr>
        <w:t>vältima sellist tegevust, mis takistaks vastava teenuse kasutajatel osutada oma klientidele samaväärseid lairibateenuseid jaetasandil ja sisuteenuseid nagu Telia osutab oma lõppkasutajatele või lepingupartneritele;</w:t>
      </w:r>
    </w:p>
    <w:p w14:paraId="4BFFB079" w14:textId="77777777" w:rsidR="00F03958" w:rsidRPr="00883566" w:rsidRDefault="00F03958" w:rsidP="00AA241E">
      <w:pPr>
        <w:spacing w:after="0"/>
        <w:ind w:left="1134" w:hanging="284"/>
        <w:jc w:val="both"/>
        <w:rPr>
          <w:i/>
          <w:iCs/>
          <w:lang w:eastAsia="et-EE"/>
        </w:rPr>
      </w:pPr>
      <w:r w:rsidRPr="00883566">
        <w:rPr>
          <w:i/>
          <w:iCs/>
        </w:rPr>
        <w:t xml:space="preserve">2) </w:t>
      </w:r>
      <w:r w:rsidRPr="00883566">
        <w:tab/>
      </w:r>
      <w:r w:rsidRPr="00883566">
        <w:rPr>
          <w:i/>
          <w:iCs/>
        </w:rPr>
        <w:t>tagama, et lõppkasutaja poolt kasutatava lairibaühenduse katkestus (sh katkestuse pikkus ja katkestusest teatamise viis) üleminekul Telia poolt osutatavalt lairibaühenduse jaeteenuselt lairiba juurdepääsu hulgituru teenuse kasutaja poolt osutatavale lairibaühenduse jaeteenusele toimuks samadel tingimustel nagu katkestus, mis toimub, kui Telia vahetab enda lõppkasutaja puhul ühe Telia lairibaühenduse jaeteenuse teise Telia lairibaühenduse jaeteenuse vastu;</w:t>
      </w:r>
    </w:p>
    <w:p w14:paraId="2B21E428" w14:textId="77777777" w:rsidR="00F03958" w:rsidRPr="00883566" w:rsidRDefault="00F03958" w:rsidP="00AA241E">
      <w:pPr>
        <w:spacing w:after="0"/>
        <w:ind w:left="1134" w:hanging="284"/>
        <w:jc w:val="both"/>
        <w:rPr>
          <w:i/>
          <w:iCs/>
          <w:lang w:eastAsia="et-EE"/>
        </w:rPr>
      </w:pPr>
      <w:r w:rsidRPr="00883566">
        <w:rPr>
          <w:i/>
          <w:iCs/>
        </w:rPr>
        <w:t xml:space="preserve">3) </w:t>
      </w:r>
      <w:r w:rsidRPr="00883566">
        <w:tab/>
      </w:r>
      <w:r w:rsidRPr="00883566">
        <w:rPr>
          <w:i/>
          <w:iCs/>
        </w:rPr>
        <w:t xml:space="preserve">tagama, et teistele sideettevõtjatele Telia sidevõrgu lõpp-punkti lairibaühenduse tehniliste võimaluste avaldamine toimub samadel tingimustel (sh samal viisil) ja </w:t>
      </w:r>
      <w:r w:rsidRPr="00883566">
        <w:rPr>
          <w:i/>
          <w:iCs/>
        </w:rPr>
        <w:lastRenderedPageBreak/>
        <w:t>samasuguse kvaliteediga nagu Telia avaldab enda üksustele lõpp-punktide lairibaühenduse tehnilisi võimalusi;</w:t>
      </w:r>
    </w:p>
    <w:p w14:paraId="4E3A8FF9" w14:textId="77777777" w:rsidR="00F03958" w:rsidRPr="00883566" w:rsidRDefault="00F03958" w:rsidP="00AA241E">
      <w:pPr>
        <w:spacing w:after="0"/>
        <w:ind w:left="1134" w:hanging="284"/>
        <w:jc w:val="both"/>
        <w:rPr>
          <w:i/>
          <w:iCs/>
          <w:lang w:eastAsia="et-EE"/>
        </w:rPr>
      </w:pPr>
      <w:r w:rsidRPr="00883566">
        <w:rPr>
          <w:i/>
          <w:iCs/>
        </w:rPr>
        <w:t xml:space="preserve">4) </w:t>
      </w:r>
      <w:r w:rsidRPr="00883566">
        <w:tab/>
      </w:r>
      <w:r w:rsidRPr="00883566">
        <w:rPr>
          <w:i/>
          <w:iCs/>
        </w:rPr>
        <w:t>rakendama lairiba juurdepääsu hulgituru teenuse tehniliste puuduste kõrvaldamisel samasid tingimusi ja samasugust kvaliteeti, nagu Telia rakendab enda lõppkasutajatel esinevate lairibaühenduse tehniliste puuduste korral.</w:t>
      </w:r>
    </w:p>
    <w:p w14:paraId="37B21B33" w14:textId="77777777" w:rsidR="00F03958" w:rsidRPr="00883566" w:rsidRDefault="00F03958" w:rsidP="00AA241E">
      <w:pPr>
        <w:numPr>
          <w:ilvl w:val="0"/>
          <w:numId w:val="19"/>
        </w:numPr>
        <w:spacing w:after="0" w:line="240" w:lineRule="auto"/>
        <w:ind w:left="785"/>
        <w:jc w:val="both"/>
        <w:rPr>
          <w:i/>
          <w:iCs/>
          <w:lang w:eastAsia="et-EE"/>
        </w:rPr>
      </w:pPr>
      <w:r w:rsidRPr="00883566">
        <w:rPr>
          <w:i/>
          <w:iCs/>
        </w:rPr>
        <w:t>Telia peab täitma mittediskrimineerimise kohustust sõltumata lairibaühenduse tehnoloogiast.</w:t>
      </w:r>
    </w:p>
    <w:p w14:paraId="46CA41E7" w14:textId="77777777" w:rsidR="00F03958" w:rsidRPr="00883566" w:rsidRDefault="00F03958" w:rsidP="00AA241E">
      <w:pPr>
        <w:jc w:val="both"/>
        <w:rPr>
          <w:rFonts w:cs="Times New Roman"/>
        </w:rPr>
      </w:pPr>
    </w:p>
    <w:p w14:paraId="5C5D7244" w14:textId="77777777" w:rsidR="009805E1" w:rsidRPr="009805E1" w:rsidRDefault="009805E1" w:rsidP="009805E1">
      <w:pPr>
        <w:pStyle w:val="Loendilik"/>
        <w:keepNext/>
        <w:keepLines/>
        <w:numPr>
          <w:ilvl w:val="1"/>
          <w:numId w:val="83"/>
        </w:numPr>
        <w:spacing w:before="240" w:after="240" w:line="360" w:lineRule="auto"/>
        <w:contextualSpacing w:val="0"/>
        <w:outlineLvl w:val="2"/>
        <w:rPr>
          <w:rFonts w:eastAsia="Calibri" w:cstheme="majorBidi"/>
          <w:bCs/>
          <w:i/>
          <w:iCs/>
          <w:vanish/>
          <w:color w:val="000000" w:themeColor="text1"/>
          <w:lang w:eastAsia="en-US"/>
        </w:rPr>
      </w:pPr>
    </w:p>
    <w:p w14:paraId="03ECCED5" w14:textId="0CD4D78A" w:rsidR="009805E1" w:rsidRPr="00883566" w:rsidRDefault="009805E1" w:rsidP="009805E1">
      <w:pPr>
        <w:pStyle w:val="Pealkiri3"/>
      </w:pPr>
      <w:r w:rsidRPr="00883566">
        <w:t>Mittediskrimineerimise kohustuse eesmärk ja alused</w:t>
      </w:r>
    </w:p>
    <w:p w14:paraId="2EC783D7" w14:textId="77777777" w:rsidR="009805E1" w:rsidRPr="00883566" w:rsidRDefault="009805E1" w:rsidP="009805E1">
      <w:pPr>
        <w:jc w:val="both"/>
        <w:rPr>
          <w:rFonts w:cs="Times New Roman"/>
        </w:rPr>
      </w:pPr>
    </w:p>
    <w:p w14:paraId="3719AD5E" w14:textId="779FDB48" w:rsidR="009805E1" w:rsidRPr="00883566" w:rsidRDefault="009805E1" w:rsidP="009805E1">
      <w:pPr>
        <w:jc w:val="both"/>
        <w:rPr>
          <w:rFonts w:cs="Times New Roman"/>
        </w:rPr>
      </w:pPr>
      <w:r w:rsidRPr="00883566">
        <w:rPr>
          <w:rFonts w:cs="Times New Roman"/>
        </w:rPr>
        <w:t xml:space="preserve">Mittediskrimineerimise kohustus on suunatud alltoodud peatükis </w:t>
      </w:r>
      <w:r w:rsidRPr="00883566">
        <w:rPr>
          <w:rFonts w:cs="Times New Roman"/>
        </w:rPr>
        <w:fldChar w:fldCharType="begin"/>
      </w:r>
      <w:r w:rsidRPr="00883566">
        <w:rPr>
          <w:rFonts w:cs="Times New Roman"/>
        </w:rPr>
        <w:instrText xml:space="preserve"> REF  \h  \* MERGEFORMAT </w:instrText>
      </w:r>
      <w:r w:rsidRPr="00883566">
        <w:rPr>
          <w:rFonts w:cs="Times New Roman"/>
        </w:rPr>
      </w:r>
      <w:r w:rsidRPr="00883566">
        <w:rPr>
          <w:rFonts w:cs="Times New Roman"/>
        </w:rPr>
        <w:fldChar w:fldCharType="separate"/>
      </w:r>
      <w:r w:rsidRPr="00883566">
        <w:rPr>
          <w:rFonts w:cs="Times New Roman"/>
        </w:rPr>
        <w:fldChar w:fldCharType="end"/>
      </w:r>
      <w:r>
        <w:rPr>
          <w:rFonts w:cs="Times New Roman"/>
        </w:rPr>
        <w:t>8.4</w:t>
      </w:r>
      <w:r w:rsidRPr="00883566">
        <w:rPr>
          <w:rFonts w:cs="Times New Roman"/>
        </w:rPr>
        <w:t>.2 kirjeldatud kvaliteedi- ja hinnadiskrimineerimisega seotud konkurentsiprobleemide vältimisele. Mittediskrimineerimise kohustuse eesmärgiks</w:t>
      </w:r>
      <w:r w:rsidRPr="00883566">
        <w:rPr>
          <w:rFonts w:cs="Times New Roman"/>
          <w:vertAlign w:val="superscript"/>
        </w:rPr>
        <w:footnoteReference w:id="235"/>
      </w:r>
      <w:r w:rsidRPr="00883566">
        <w:rPr>
          <w:rFonts w:cs="Times New Roman"/>
        </w:rPr>
        <w:t xml:space="preserve"> on tagada, et märkimisväärse turujõuga ettevõtja ei moonutaks konkurentsi ja tagaks sideettevõtjate võrdse kohtlemise eelkõige juhul, kui tegemist on vertikaalselt integreeritud ettevõtjaga, kes pakub teenuseid ettevõtjatele, kellega ta konkureerib allapoole seotud turgudel.</w:t>
      </w:r>
    </w:p>
    <w:p w14:paraId="6F1CB5F4" w14:textId="77777777" w:rsidR="009805E1" w:rsidRPr="00883566" w:rsidRDefault="009805E1" w:rsidP="009805E1">
      <w:pPr>
        <w:jc w:val="both"/>
        <w:rPr>
          <w:rFonts w:cs="Times New Roman"/>
        </w:rPr>
      </w:pPr>
    </w:p>
    <w:p w14:paraId="3B7D446E" w14:textId="77777777" w:rsidR="009805E1" w:rsidRPr="00883566" w:rsidRDefault="009805E1" w:rsidP="009805E1">
      <w:pPr>
        <w:jc w:val="both"/>
        <w:rPr>
          <w:rFonts w:cs="Times New Roman"/>
        </w:rPr>
      </w:pPr>
      <w:r w:rsidRPr="00883566">
        <w:rPr>
          <w:rFonts w:cs="Times New Roman"/>
        </w:rPr>
        <w:t>TTJA võib</w:t>
      </w:r>
      <w:r w:rsidRPr="00883566">
        <w:rPr>
          <w:rFonts w:cs="Times New Roman"/>
          <w:vertAlign w:val="superscript"/>
        </w:rPr>
        <w:footnoteReference w:id="236"/>
      </w:r>
      <w:r w:rsidRPr="00883566">
        <w:rPr>
          <w:rFonts w:cs="Times New Roman"/>
        </w:rPr>
        <w:t xml:space="preserve"> märkimisväärse turujõuga ettevõtjale kehtestada mittediskrimineerimise kohustuse, mis peab tagama, et märkimisväärse turujõuga ettevõtja ning eriti vertikaalselt integreeritud märkimisväärse turujõuga ettevõtja, kes pakub teenuseid teistele ettevõtjatele, kellega ta konkureerib jaemüügi tasandil, rakendab teiste ettevõtjate suhtes, kes osutavad sarnaseid teenuseid, samadel asjaoludel samaväärseid tingimusi ning et märkimisväärse turujõuga ettevõtja osutab teenuseid ja avaldab informatsiooni nendele ettevõtjatele samadel tingimustel ja samasuguse kvaliteediga nagu enda või oma tütarettevõtjate või partnerite puhul.</w:t>
      </w:r>
    </w:p>
    <w:p w14:paraId="584F149B" w14:textId="77777777" w:rsidR="00F03958" w:rsidRPr="00883566" w:rsidRDefault="00F03958" w:rsidP="00AA241E">
      <w:pPr>
        <w:jc w:val="both"/>
        <w:rPr>
          <w:rFonts w:cs="Times New Roman"/>
        </w:rPr>
      </w:pPr>
    </w:p>
    <w:p w14:paraId="050CB0FD" w14:textId="17F37AAA" w:rsidR="00F03958" w:rsidRPr="00883566" w:rsidRDefault="00F03958" w:rsidP="009805E1">
      <w:pPr>
        <w:pStyle w:val="Pealkiri3"/>
      </w:pPr>
      <w:bookmarkStart w:id="1224" w:name="_Toc174094665"/>
      <w:bookmarkStart w:id="1225" w:name="_Toc174094932"/>
      <w:bookmarkStart w:id="1226" w:name="_Toc174095198"/>
      <w:bookmarkStart w:id="1227" w:name="_Toc174095463"/>
      <w:bookmarkStart w:id="1228" w:name="_Toc174096001"/>
      <w:bookmarkStart w:id="1229" w:name="_Toc174096267"/>
      <w:bookmarkStart w:id="1230" w:name="_Toc174536164"/>
      <w:bookmarkStart w:id="1231" w:name="_Toc174617264"/>
      <w:bookmarkStart w:id="1232" w:name="_Toc174618621"/>
      <w:bookmarkStart w:id="1233" w:name="_Toc174627683"/>
      <w:bookmarkStart w:id="1234" w:name="_Toc174705107"/>
      <w:bookmarkStart w:id="1235" w:name="_Toc174709651"/>
      <w:bookmarkStart w:id="1236" w:name="_Toc174710880"/>
      <w:bookmarkStart w:id="1237" w:name="_Toc435703524"/>
      <w:bookmarkStart w:id="1238" w:name="_Toc436038414"/>
      <w:bookmarkStart w:id="1239" w:name="_Toc448402223"/>
      <w:bookmarkStart w:id="1240" w:name="_Toc464639364"/>
      <w:bookmarkStart w:id="1241" w:name="_Ref465421007"/>
      <w:bookmarkStart w:id="1242" w:name="_Ref465421127"/>
      <w:bookmarkStart w:id="1243" w:name="_Ref465421195"/>
      <w:bookmarkStart w:id="1244" w:name="_Ref465421365"/>
      <w:bookmarkStart w:id="1245" w:name="_Ref465421602"/>
      <w:bookmarkStart w:id="1246" w:name="_Toc470614566"/>
      <w:bookmarkStart w:id="1247" w:name="_Toc472597889"/>
      <w:bookmarkStart w:id="1248" w:name="_Toc35339849"/>
      <w:bookmarkStart w:id="1249" w:name="_Toc66262837"/>
      <w:bookmarkStart w:id="1250" w:name="_Toc151026090"/>
      <w:bookmarkStart w:id="1251" w:name="_Toc174710881"/>
      <w:bookmarkStart w:id="1252" w:name="_Ref210032643"/>
      <w:bookmarkStart w:id="1253" w:name="_Toc212974438"/>
      <w:bookmarkStart w:id="1254" w:name="_Toc213122166"/>
      <w:bookmarkStart w:id="1255" w:name="_Toc213140787"/>
      <w:bookmarkStart w:id="1256" w:name="_Toc215466512"/>
      <w:bookmarkStart w:id="1257" w:name="_Toc216228065"/>
      <w:bookmarkStart w:id="1258" w:name="_Toc457983658"/>
      <w:bookmarkEnd w:id="1224"/>
      <w:bookmarkEnd w:id="1225"/>
      <w:bookmarkEnd w:id="1226"/>
      <w:bookmarkEnd w:id="1227"/>
      <w:bookmarkEnd w:id="1228"/>
      <w:bookmarkEnd w:id="1229"/>
      <w:bookmarkEnd w:id="1230"/>
      <w:bookmarkEnd w:id="1231"/>
      <w:bookmarkEnd w:id="1232"/>
      <w:bookmarkEnd w:id="1233"/>
      <w:bookmarkEnd w:id="1234"/>
      <w:bookmarkEnd w:id="1235"/>
      <w:bookmarkEnd w:id="1236"/>
      <w:r w:rsidRPr="00883566">
        <w:t>Diskrimineerimisega seotud konkurentsiprobleemid</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14:paraId="52EE7B67" w14:textId="77777777" w:rsidR="00F03958" w:rsidRPr="00883566" w:rsidRDefault="00F03958" w:rsidP="00AA241E">
      <w:pPr>
        <w:jc w:val="both"/>
        <w:rPr>
          <w:rFonts w:cs="Times New Roman"/>
        </w:rPr>
      </w:pPr>
      <w:bookmarkStart w:id="1259" w:name="_Toc332865988"/>
      <w:bookmarkStart w:id="1260" w:name="_Toc435703525"/>
      <w:bookmarkStart w:id="1261" w:name="_Toc436038415"/>
      <w:bookmarkStart w:id="1262" w:name="_Toc448402224"/>
      <w:bookmarkStart w:id="1263" w:name="_Toc464639365"/>
      <w:bookmarkStart w:id="1264" w:name="_Toc470614567"/>
      <w:bookmarkStart w:id="1265" w:name="_Toc472597890"/>
      <w:bookmarkStart w:id="1266" w:name="_Toc35339850"/>
      <w:bookmarkStart w:id="1267" w:name="_Toc66262838"/>
      <w:bookmarkStart w:id="1268" w:name="_Hlk53392267"/>
    </w:p>
    <w:p w14:paraId="2200FFAD" w14:textId="77777777" w:rsidR="00F03958" w:rsidRPr="00883566" w:rsidRDefault="00F03958" w:rsidP="00AA241E">
      <w:pPr>
        <w:jc w:val="both"/>
        <w:rPr>
          <w:rFonts w:cs="Times New Roman"/>
        </w:rPr>
      </w:pPr>
      <w:r w:rsidRPr="00883566">
        <w:rPr>
          <w:rFonts w:cs="Times New Roman"/>
        </w:rPr>
        <w:t xml:space="preserve">Diskrimineerimisega seotud konkurentsiprobleemid jagunevad kvaliteediga ja hinnaga seotud konkurentsiprobleemideks. Seejuures võib diskrimineerimine esineda sideettevõtjatele pakutavate teenuste vahel (erinevatele sideettevõtjatele pakutakse erinevaid tingimusi) ja/või MTE enda </w:t>
      </w:r>
      <w:r w:rsidRPr="00883566">
        <w:rPr>
          <w:rFonts w:cs="Times New Roman"/>
        </w:rPr>
        <w:lastRenderedPageBreak/>
        <w:t xml:space="preserve">üksustele ja teistele sideettevõtjatele pakutavate teenuste vahel (enda üksustele pakutakse erinevaid tingimusi kui teistele sideettevõtjatele) ehk sisemise ja välimise varustamise vahel. </w:t>
      </w:r>
    </w:p>
    <w:p w14:paraId="1B5D60D9" w14:textId="77777777" w:rsidR="00F03958" w:rsidRPr="00883566" w:rsidRDefault="00F03958" w:rsidP="00AA241E">
      <w:pPr>
        <w:jc w:val="both"/>
        <w:rPr>
          <w:rFonts w:cs="Times New Roman"/>
        </w:rPr>
      </w:pPr>
      <w:r w:rsidRPr="00883566">
        <w:rPr>
          <w:rFonts w:cs="Times New Roman"/>
        </w:rPr>
        <w:t>Kvaliteedidiskrimineerimine seisneb erinevatele sideettevõtjatele erineva kvaliteediga teenuste osutamises. Samuti konkureerivatele sideettevõtjatele madalama kvaliteediga teenuste osutamises võrreldes enda üksustele ja klientidele osutatavate teenustega. Kvaliteedidiskrimineerimise läbi saab MTE kas tõsta konkurentide kulusid või piirata konkurentide poolt osutatavate teenuste väljamüüki.</w:t>
      </w:r>
    </w:p>
    <w:p w14:paraId="685925DE" w14:textId="77777777" w:rsidR="00F03958" w:rsidRPr="00883566" w:rsidRDefault="00F03958" w:rsidP="00AA241E">
      <w:pPr>
        <w:jc w:val="both"/>
        <w:rPr>
          <w:rFonts w:cs="Times New Roman"/>
        </w:rPr>
      </w:pPr>
      <w:r w:rsidRPr="00883566">
        <w:rPr>
          <w:rFonts w:cs="Times New Roman"/>
        </w:rPr>
        <w:t>Hinnadiskrimineerimisega sisemise ja välimise varustamise vahel on tegemist juhul, kui vertikaalselt integreeritud sideettevõtja pakub teisele sideettevõtjale ebavõrdseid ja konkurentsi kahjustavaid sidevõrgule juurdepääsu hinna tingimusi võrreldes oma jaeteenuse üksusele pakutavaga. Näiteks nõuab teiselt sideettevõtjalt sidevõrgule juurdepääsu eest kõrgemat hinda (sageli ka ülemäärast hinda), kui oma jaeteenuse üksuselt. Ehk teisisõnu toimub diskrimineerimine sisemise ja välimise varustamise vahel. Sidevõrgule juurdepääsu hulgiteenuste turul võib märkimisväärse turujõuga vertikaalselt integreeritud sideettevõtja hinnadiskrimineerimise tagajärjel tõsta oma konkurentide kulusid sideteenuste jaeturul läbi ülemäärase hulgihinna, mis võib viia konkurentide jaemüügi piiramiseni ning seeläbi üleüldise konkurentsiolukorra kahjustamiseni.</w:t>
      </w:r>
    </w:p>
    <w:p w14:paraId="3F0EA8F7" w14:textId="0D3EC49E" w:rsidR="00F03958" w:rsidRPr="00883566" w:rsidRDefault="00F03958" w:rsidP="00AA241E">
      <w:pPr>
        <w:jc w:val="both"/>
        <w:rPr>
          <w:rFonts w:cs="Times New Roman"/>
        </w:rPr>
      </w:pPr>
      <w:bookmarkStart w:id="1269" w:name="_Hlk31976861"/>
      <w:r w:rsidRPr="00883566">
        <w:rPr>
          <w:rFonts w:cs="Times New Roman"/>
        </w:rPr>
        <w:t>BEREC (Euroopa Sideamet) on avaldanud seisukoha, mis käsitleb hulgituru 3b toodete osas MTE-</w:t>
      </w:r>
      <w:proofErr w:type="spellStart"/>
      <w:r w:rsidRPr="00883566">
        <w:rPr>
          <w:rFonts w:cs="Times New Roman"/>
        </w:rPr>
        <w:t>le</w:t>
      </w:r>
      <w:proofErr w:type="spellEnd"/>
      <w:r w:rsidRPr="00883566">
        <w:rPr>
          <w:rFonts w:cs="Times New Roman"/>
        </w:rPr>
        <w:t xml:space="preserve"> kohustuste kehtestamise parimaid tavasid</w:t>
      </w:r>
      <w:r w:rsidRPr="00883566">
        <w:rPr>
          <w:rFonts w:cs="Times New Roman"/>
          <w:vertAlign w:val="superscript"/>
        </w:rPr>
        <w:footnoteReference w:id="237"/>
      </w:r>
      <w:r w:rsidRPr="00883566">
        <w:rPr>
          <w:rFonts w:cs="Times New Roman"/>
        </w:rPr>
        <w:t xml:space="preserve">. Selles tuuakse välja sagedamini esineda võivad diskrimineerimisega seotud konkurentsiprobleemid vastava hulgituru teenuste osas, mis takistavad alternatiivsetel sideettevõtjatel tõhusalt konkureerida </w:t>
      </w:r>
      <w:r w:rsidR="00BE68C5">
        <w:rPr>
          <w:rFonts w:cs="Times New Roman"/>
        </w:rPr>
        <w:t>jaetur</w:t>
      </w:r>
      <w:r w:rsidRPr="00883566">
        <w:rPr>
          <w:rFonts w:cs="Times New Roman"/>
        </w:rPr>
        <w:t>ul:</w:t>
      </w:r>
    </w:p>
    <w:p w14:paraId="3074D41D" w14:textId="77777777" w:rsidR="00F03958" w:rsidRPr="00883566" w:rsidRDefault="00F03958" w:rsidP="00AA241E">
      <w:pPr>
        <w:jc w:val="both"/>
        <w:rPr>
          <w:rFonts w:cs="Times New Roman"/>
        </w:rPr>
      </w:pPr>
    </w:p>
    <w:bookmarkEnd w:id="1269"/>
    <w:p w14:paraId="0CFA21D9" w14:textId="77777777" w:rsidR="00F03958" w:rsidRPr="00883566" w:rsidRDefault="00F03958" w:rsidP="00AA241E">
      <w:pPr>
        <w:numPr>
          <w:ilvl w:val="0"/>
          <w:numId w:val="9"/>
        </w:numPr>
        <w:spacing w:line="259" w:lineRule="auto"/>
        <w:jc w:val="both"/>
        <w:rPr>
          <w:rFonts w:cs="Times New Roman"/>
        </w:rPr>
      </w:pPr>
      <w:r w:rsidRPr="00883566">
        <w:rPr>
          <w:rFonts w:cs="Times New Roman"/>
        </w:rPr>
        <w:t>MTE omab ebaõiglaseid eelised võrreldes alternatiivsete operaatoritega;</w:t>
      </w:r>
    </w:p>
    <w:p w14:paraId="72F135FB" w14:textId="77777777" w:rsidR="00F03958" w:rsidRPr="00883566" w:rsidRDefault="00F03958" w:rsidP="00AA241E">
      <w:pPr>
        <w:numPr>
          <w:ilvl w:val="0"/>
          <w:numId w:val="9"/>
        </w:numPr>
        <w:spacing w:line="259" w:lineRule="auto"/>
        <w:jc w:val="both"/>
        <w:rPr>
          <w:rFonts w:cs="Times New Roman"/>
        </w:rPr>
      </w:pPr>
      <w:r w:rsidRPr="00883566">
        <w:rPr>
          <w:rFonts w:cs="Times New Roman"/>
        </w:rPr>
        <w:t>MTE kasutab diskrimineerivalt oma mastaabisäästu võimest tulenevat eeliseid võrreldes alternatiivsete operaatoritega, eriti kui see võime tuleneb turgu valitsevast positsioonist;</w:t>
      </w:r>
    </w:p>
    <w:p w14:paraId="2AB0C835" w14:textId="77777777" w:rsidR="00F03958" w:rsidRPr="00883566" w:rsidRDefault="00F03958" w:rsidP="00AA241E">
      <w:pPr>
        <w:numPr>
          <w:ilvl w:val="0"/>
          <w:numId w:val="9"/>
        </w:numPr>
        <w:spacing w:line="259" w:lineRule="auto"/>
        <w:jc w:val="both"/>
        <w:rPr>
          <w:rFonts w:cs="Times New Roman"/>
        </w:rPr>
      </w:pPr>
      <w:r w:rsidRPr="00883566">
        <w:rPr>
          <w:rFonts w:cs="Times New Roman"/>
        </w:rPr>
        <w:t>MTE diskrimineerib alternatiivseid operaatoreid võrreldes nende oma jaetasandi äritegevusega kas hinna või muudes juurdepääsu tingimustes;</w:t>
      </w:r>
    </w:p>
    <w:p w14:paraId="5AFD73FE" w14:textId="77777777" w:rsidR="00F03958" w:rsidRPr="00883566" w:rsidRDefault="00F03958" w:rsidP="00AA241E">
      <w:pPr>
        <w:numPr>
          <w:ilvl w:val="0"/>
          <w:numId w:val="9"/>
        </w:numPr>
        <w:spacing w:line="259" w:lineRule="auto"/>
        <w:jc w:val="both"/>
        <w:rPr>
          <w:rFonts w:cs="Times New Roman"/>
        </w:rPr>
      </w:pPr>
      <w:r w:rsidRPr="00883566">
        <w:rPr>
          <w:rFonts w:cs="Times New Roman"/>
        </w:rPr>
        <w:t>MTE rakendab takistavat ja venitavat käitumist alternatiivsetel operaatoritele hulgiteenuste osutamisel.</w:t>
      </w:r>
    </w:p>
    <w:p w14:paraId="4857AFD7" w14:textId="21E7B2C7" w:rsidR="00F03958" w:rsidRPr="00883566" w:rsidRDefault="00F03958" w:rsidP="00AA241E">
      <w:pPr>
        <w:jc w:val="both"/>
        <w:rPr>
          <w:rFonts w:cs="Times New Roman"/>
        </w:rPr>
      </w:pPr>
      <w:bookmarkStart w:id="1270" w:name="_Hlk32225248"/>
      <w:r w:rsidRPr="00883566">
        <w:rPr>
          <w:rFonts w:cs="Times New Roman"/>
        </w:rPr>
        <w:t xml:space="preserve">TTJA hinnangul on eelkirjeldatud diskrimineerimisega seotud konkurentsiprobleemide esinemine järgmise turuanalüüsini kestval perioodil </w:t>
      </w:r>
      <w:r w:rsidR="00A3232C">
        <w:rPr>
          <w:rFonts w:cs="Times New Roman"/>
        </w:rPr>
        <w:t>valguskaabelvõrgu</w:t>
      </w:r>
      <w:r w:rsidRPr="00883566">
        <w:rPr>
          <w:rFonts w:cs="Times New Roman"/>
        </w:rPr>
        <w:t xml:space="preserve"> B piirkonna hulgiturul 3b tõenäoline, kuna puuduvad alused eeldada, et Telia vertikaalne integreeritus ja turujõud nimetatud hulgiturul </w:t>
      </w:r>
      <w:r w:rsidRPr="00883566">
        <w:rPr>
          <w:rFonts w:cs="Times New Roman"/>
        </w:rPr>
        <w:lastRenderedPageBreak/>
        <w:t>nimetatud perioodil märkimisväärselt väheneks. See annab Teliale võime rakendada diskrimineerivaid tingimusi nimetatud hulgituru teenustele takistades teiste sideettevõtjate jaeturule sisenemist ning kahjustades seeläbi konkurentsi jaemüügi tasandil ning lõppkasutajate huve</w:t>
      </w:r>
      <w:bookmarkEnd w:id="1270"/>
      <w:r w:rsidRPr="00883566">
        <w:rPr>
          <w:rFonts w:cs="Times New Roman"/>
        </w:rPr>
        <w:t>.</w:t>
      </w:r>
    </w:p>
    <w:p w14:paraId="67019967" w14:textId="77777777" w:rsidR="00F03958" w:rsidRPr="00883566" w:rsidRDefault="00F03958" w:rsidP="00AA241E">
      <w:pPr>
        <w:jc w:val="both"/>
        <w:rPr>
          <w:rFonts w:cs="Times New Roman"/>
        </w:rPr>
      </w:pPr>
    </w:p>
    <w:p w14:paraId="4366FD81" w14:textId="72B586CC" w:rsidR="00F03958" w:rsidRPr="00883566" w:rsidRDefault="00F03958" w:rsidP="009805E1">
      <w:pPr>
        <w:pStyle w:val="Pealkiri3"/>
      </w:pPr>
      <w:bookmarkStart w:id="1271" w:name="_Toc151026092"/>
      <w:bookmarkStart w:id="1272" w:name="_Toc174710882"/>
      <w:bookmarkStart w:id="1273" w:name="_Hlk32225429"/>
      <w:bookmarkStart w:id="1274" w:name="_Hlk31887679"/>
      <w:bookmarkEnd w:id="1259"/>
      <w:bookmarkEnd w:id="1260"/>
      <w:bookmarkEnd w:id="1261"/>
      <w:bookmarkEnd w:id="1262"/>
      <w:bookmarkEnd w:id="1263"/>
      <w:bookmarkEnd w:id="1264"/>
      <w:bookmarkEnd w:id="1265"/>
      <w:bookmarkEnd w:id="1266"/>
      <w:bookmarkEnd w:id="1267"/>
      <w:bookmarkEnd w:id="1268"/>
      <w:r w:rsidRPr="00883566">
        <w:t>Mittediskrimineerimise kohustuse asendamine juurdepääsu-, läbipaistvuse-, või hinnakohustusega</w:t>
      </w:r>
      <w:bookmarkEnd w:id="1271"/>
      <w:bookmarkEnd w:id="1272"/>
    </w:p>
    <w:p w14:paraId="611805B8" w14:textId="77777777" w:rsidR="00F03958" w:rsidRPr="00883566" w:rsidRDefault="00F03958" w:rsidP="00AA241E">
      <w:pPr>
        <w:jc w:val="both"/>
        <w:rPr>
          <w:rFonts w:cs="Times New Roman"/>
        </w:rPr>
      </w:pPr>
    </w:p>
    <w:bookmarkEnd w:id="1273"/>
    <w:bookmarkEnd w:id="1274"/>
    <w:p w14:paraId="71A04519" w14:textId="77777777" w:rsidR="00F03958" w:rsidRPr="00883566" w:rsidRDefault="00F03958" w:rsidP="00AA241E">
      <w:pPr>
        <w:spacing w:before="120" w:after="120"/>
        <w:jc w:val="both"/>
        <w:rPr>
          <w:rFonts w:cs="Times New Roman"/>
          <w:lang w:eastAsia="et-EE"/>
        </w:rPr>
      </w:pPr>
      <w:r w:rsidRPr="00883566">
        <w:rPr>
          <w:rFonts w:cs="Times New Roman"/>
        </w:rPr>
        <w:t xml:space="preserve">TTJA kaalus erinevate ESS § 50 lõigetes 1, 2, 4, 5, 7 sätestatud meetmete rakendamist ja leidis, et:  </w:t>
      </w:r>
    </w:p>
    <w:p w14:paraId="2C87C772"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Juurdepääsukohustused</w:t>
      </w:r>
      <w:r w:rsidRPr="00883566">
        <w:rPr>
          <w:rFonts w:cs="Times New Roman"/>
          <w:vertAlign w:val="superscript"/>
          <w:lang w:eastAsia="et-EE"/>
        </w:rPr>
        <w:footnoteReference w:id="238"/>
      </w:r>
      <w:r w:rsidRPr="00883566">
        <w:rPr>
          <w:rFonts w:cs="Times New Roman"/>
          <w:lang w:eastAsia="et-EE"/>
        </w:rPr>
        <w:t xml:space="preserve"> ei ole diskrimineerimisega seonduvate konkurentsi-probleemide ärahoidmiseks piisavad, kuna juurdepääsukohustused tagavad küll juurdepääsu teenuste osutamise teistele huvitatud sideettevõtjatele, kuid ei taga neile võrdseid tingimusi. </w:t>
      </w:r>
    </w:p>
    <w:p w14:paraId="6FFB2186"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Läbipaistvuskohustused</w:t>
      </w:r>
      <w:r w:rsidRPr="00883566">
        <w:rPr>
          <w:rFonts w:cs="Times New Roman"/>
          <w:vertAlign w:val="superscript"/>
          <w:lang w:eastAsia="et-EE"/>
        </w:rPr>
        <w:footnoteReference w:id="239"/>
      </w:r>
      <w:r w:rsidRPr="00883566">
        <w:rPr>
          <w:rFonts w:cs="Times New Roman"/>
          <w:lang w:eastAsia="et-EE"/>
        </w:rPr>
        <w:t xml:space="preserve"> ei ole diskrimineerimisega seonduvate konkurentsi-probleemide ärahoidmiseks piisavad, kuna need kohustused sätestavad üksnes kohustuse avaldada kõigile võrdsetel tingimustel juurdepääsu teenuste kasutamiseks vajalikku informatsiooni, kuid ei kohusta osutama juurdepääsu teenuseid kõigile võrdsetel (sh võrdse kvaliteedi, informatsiooni kättesaadavuse, teenuse osutamise tähtaja, nõuete ja toote omadustega) tingimustel. </w:t>
      </w:r>
    </w:p>
    <w:p w14:paraId="10420BF7"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Hinnakohustus</w:t>
      </w:r>
      <w:r w:rsidRPr="00883566">
        <w:rPr>
          <w:rFonts w:cs="Times New Roman"/>
          <w:vertAlign w:val="superscript"/>
          <w:lang w:eastAsia="et-EE"/>
        </w:rPr>
        <w:footnoteReference w:id="240"/>
      </w:r>
      <w:r w:rsidRPr="00883566">
        <w:rPr>
          <w:rFonts w:cs="Times New Roman"/>
          <w:lang w:eastAsia="et-EE"/>
        </w:rPr>
        <w:t xml:space="preserve"> lahendab küll hinnadiskrimineerimisega seotud probleemid, kuid ei lahenda kvaliteedidiskrimineerimisega seotud konkurentsiprobleeme. </w:t>
      </w:r>
    </w:p>
    <w:p w14:paraId="50D1C6FD" w14:textId="77777777" w:rsidR="00F03958" w:rsidRPr="00883566" w:rsidRDefault="00F03958" w:rsidP="00AA241E">
      <w:pPr>
        <w:spacing w:before="120" w:after="120"/>
        <w:jc w:val="both"/>
        <w:rPr>
          <w:rFonts w:cs="Times New Roman"/>
          <w:lang w:eastAsia="et-EE"/>
        </w:rPr>
      </w:pPr>
    </w:p>
    <w:p w14:paraId="1ACBC3F6" w14:textId="77777777" w:rsidR="00F03958" w:rsidRPr="00883566" w:rsidRDefault="00F03958" w:rsidP="00AA241E">
      <w:pPr>
        <w:spacing w:before="120" w:after="120"/>
        <w:jc w:val="both"/>
        <w:rPr>
          <w:rFonts w:cs="Times New Roman"/>
          <w:lang w:eastAsia="et-EE"/>
        </w:rPr>
      </w:pPr>
    </w:p>
    <w:p w14:paraId="16296500" w14:textId="39014568" w:rsidR="00F03958" w:rsidRPr="00883566" w:rsidRDefault="00F03958" w:rsidP="009805E1">
      <w:pPr>
        <w:pStyle w:val="Pealkiri3"/>
      </w:pPr>
      <w:bookmarkStart w:id="1275" w:name="_Toc167114189"/>
      <w:bookmarkStart w:id="1276" w:name="_Toc174710883"/>
      <w:r w:rsidRPr="00883566">
        <w:t>Sisendite või väljundite võrdväärsus</w:t>
      </w:r>
      <w:bookmarkEnd w:id="1275"/>
      <w:bookmarkEnd w:id="1276"/>
    </w:p>
    <w:p w14:paraId="4D14600E" w14:textId="77777777" w:rsidR="00F03958" w:rsidRPr="00883566" w:rsidRDefault="00F03958" w:rsidP="00AA241E">
      <w:pPr>
        <w:jc w:val="both"/>
        <w:rPr>
          <w:rFonts w:cs="Times New Roman"/>
        </w:rPr>
      </w:pPr>
    </w:p>
    <w:p w14:paraId="21B5D5A0" w14:textId="77777777" w:rsidR="00F03958" w:rsidRPr="00883566" w:rsidRDefault="00F03958" w:rsidP="00AA241E">
      <w:pPr>
        <w:jc w:val="both"/>
        <w:rPr>
          <w:rFonts w:cs="Times New Roman"/>
        </w:rPr>
      </w:pPr>
      <w:r w:rsidRPr="00883566">
        <w:rPr>
          <w:rFonts w:cs="Times New Roman"/>
        </w:rPr>
        <w:t>EK 2024 kohustuste soovituse kohaselt:</w:t>
      </w:r>
    </w:p>
    <w:p w14:paraId="57D11B1D" w14:textId="01E57ADF" w:rsidR="00F03958" w:rsidRPr="00883566" w:rsidRDefault="00F03958" w:rsidP="00AA241E">
      <w:pPr>
        <w:ind w:left="720"/>
        <w:jc w:val="both"/>
        <w:rPr>
          <w:rFonts w:cs="Times New Roman"/>
          <w:b/>
          <w:bCs/>
        </w:rPr>
      </w:pPr>
      <w:r w:rsidRPr="00883566">
        <w:rPr>
          <w:rFonts w:cs="Times New Roman"/>
        </w:rPr>
        <w:t>Mittediskrimineerimist on võimalik tagada sise</w:t>
      </w:r>
      <w:r w:rsidR="008A17FC">
        <w:rPr>
          <w:rFonts w:cs="Times New Roman"/>
        </w:rPr>
        <w:t>ndite</w:t>
      </w:r>
      <w:r w:rsidRPr="00883566">
        <w:rPr>
          <w:rFonts w:cs="Times New Roman"/>
        </w:rPr>
        <w:t xml:space="preserve"> võrdväärsuse (inglise keeles ka </w:t>
      </w:r>
      <w:proofErr w:type="spellStart"/>
      <w:r w:rsidRPr="00883566">
        <w:rPr>
          <w:rFonts w:cs="Times New Roman"/>
          <w:i/>
          <w:iCs/>
        </w:rPr>
        <w:t>EoI</w:t>
      </w:r>
      <w:proofErr w:type="spellEnd"/>
      <w:r w:rsidRPr="00883566">
        <w:rPr>
          <w:rFonts w:cs="Times New Roman"/>
          <w:i/>
          <w:iCs/>
        </w:rPr>
        <w:t xml:space="preserve"> -</w:t>
      </w:r>
      <w:r w:rsidRPr="00883566">
        <w:rPr>
          <w:i/>
          <w:iCs/>
        </w:rPr>
        <w:t xml:space="preserve"> </w:t>
      </w:r>
      <w:proofErr w:type="spellStart"/>
      <w:r w:rsidRPr="00883566">
        <w:rPr>
          <w:i/>
          <w:iCs/>
        </w:rPr>
        <w:t>e</w:t>
      </w:r>
      <w:r w:rsidRPr="00883566">
        <w:rPr>
          <w:rFonts w:cs="Times New Roman"/>
          <w:i/>
          <w:iCs/>
        </w:rPr>
        <w:t>quivalence</w:t>
      </w:r>
      <w:proofErr w:type="spellEnd"/>
      <w:r w:rsidRPr="00883566">
        <w:rPr>
          <w:rFonts w:cs="Times New Roman"/>
          <w:i/>
          <w:iCs/>
        </w:rPr>
        <w:t xml:space="preserve"> of </w:t>
      </w:r>
      <w:proofErr w:type="spellStart"/>
      <w:r w:rsidRPr="00883566">
        <w:rPr>
          <w:rFonts w:cs="Times New Roman"/>
          <w:i/>
          <w:iCs/>
        </w:rPr>
        <w:t>inputs</w:t>
      </w:r>
      <w:proofErr w:type="spellEnd"/>
      <w:r w:rsidRPr="00883566">
        <w:rPr>
          <w:rFonts w:cs="Times New Roman"/>
        </w:rPr>
        <w:t>)  või väl</w:t>
      </w:r>
      <w:r w:rsidR="008A17FC">
        <w:rPr>
          <w:rFonts w:cs="Times New Roman"/>
        </w:rPr>
        <w:t>jundite</w:t>
      </w:r>
      <w:r w:rsidRPr="00883566">
        <w:rPr>
          <w:rFonts w:cs="Times New Roman"/>
        </w:rPr>
        <w:t xml:space="preserve"> võrdväärsuse (inglise keeles ka </w:t>
      </w:r>
      <w:proofErr w:type="spellStart"/>
      <w:r w:rsidRPr="00883566">
        <w:rPr>
          <w:rFonts w:cs="Times New Roman"/>
          <w:i/>
          <w:iCs/>
        </w:rPr>
        <w:t>EoO</w:t>
      </w:r>
      <w:proofErr w:type="spellEnd"/>
      <w:r w:rsidRPr="00883566">
        <w:rPr>
          <w:rFonts w:cs="Times New Roman"/>
          <w:i/>
          <w:iCs/>
        </w:rPr>
        <w:t xml:space="preserve"> -</w:t>
      </w:r>
      <w:r w:rsidRPr="00883566">
        <w:rPr>
          <w:i/>
          <w:iCs/>
        </w:rPr>
        <w:t xml:space="preserve"> </w:t>
      </w:r>
      <w:proofErr w:type="spellStart"/>
      <w:r w:rsidRPr="00883566">
        <w:rPr>
          <w:i/>
          <w:iCs/>
        </w:rPr>
        <w:t>e</w:t>
      </w:r>
      <w:r w:rsidRPr="00883566">
        <w:rPr>
          <w:rFonts w:cs="Times New Roman"/>
          <w:i/>
          <w:iCs/>
        </w:rPr>
        <w:t>quivalence</w:t>
      </w:r>
      <w:proofErr w:type="spellEnd"/>
      <w:r w:rsidRPr="00883566">
        <w:rPr>
          <w:rFonts w:cs="Times New Roman"/>
          <w:i/>
          <w:iCs/>
        </w:rPr>
        <w:t xml:space="preserve"> of </w:t>
      </w:r>
      <w:proofErr w:type="spellStart"/>
      <w:r w:rsidRPr="00883566">
        <w:rPr>
          <w:rFonts w:cs="Times New Roman"/>
          <w:i/>
          <w:iCs/>
        </w:rPr>
        <w:t>outputs</w:t>
      </w:r>
      <w:proofErr w:type="spellEnd"/>
      <w:r w:rsidRPr="00883566">
        <w:rPr>
          <w:rFonts w:cs="Times New Roman"/>
        </w:rPr>
        <w:t>)  kaudu. Sise</w:t>
      </w:r>
      <w:r w:rsidR="008A17FC">
        <w:rPr>
          <w:rFonts w:cs="Times New Roman"/>
        </w:rPr>
        <w:t>ndit</w:t>
      </w:r>
      <w:r w:rsidRPr="00883566">
        <w:rPr>
          <w:rFonts w:cs="Times New Roman"/>
        </w:rPr>
        <w:t>e võrdväärsuse korral kohustatakse MTE</w:t>
      </w:r>
      <w:r w:rsidRPr="00883566">
        <w:rPr>
          <w:rFonts w:cs="Times New Roman"/>
        </w:rPr>
        <w:noBreakHyphen/>
        <w:t xml:space="preserve">t pakkuma valdkonnaspetsiifiliselt reguleeritava turu toodetele juurdepääsu ning selleks vajalike vahendeid ja teavet ettevõttesisestele üksustele ja teistele sideettevõtjatele samadel </w:t>
      </w:r>
      <w:r w:rsidRPr="00883566">
        <w:rPr>
          <w:rFonts w:cs="Times New Roman"/>
        </w:rPr>
        <w:lastRenderedPageBreak/>
        <w:t>tingimustel, sealhulgas sama hinna ja kvaliteediga, sama ajaskaala raames, kasutades samu süsteeme ja protsesse. Väl</w:t>
      </w:r>
      <w:r w:rsidR="008A17FC">
        <w:rPr>
          <w:rFonts w:cs="Times New Roman"/>
        </w:rPr>
        <w:t>jundite</w:t>
      </w:r>
      <w:r w:rsidRPr="00883566">
        <w:rPr>
          <w:rFonts w:cs="Times New Roman"/>
        </w:rPr>
        <w:t xml:space="preserve"> võrdväärsuse korral kohustatakse MTE-t pakkuma teistele sideettevõtjatele valdkonnaspetsiifiliselt reguleeritava turu toodetele juurdepääsu ning selleks vajalikke vahendeid ja teavet selliselt, et need on funktsionaalsuse ja hinna poolest võrreldavad vastavate toodete, vahendite ja teabega mida MTE pakub ettevõttesisestele üksustele, kuid selleks võib vajadusel kasutada erinevaid süsteeme ja protsesse. </w:t>
      </w:r>
      <w:r w:rsidRPr="00883566">
        <w:rPr>
          <w:rFonts w:cs="Times New Roman"/>
          <w:b/>
          <w:bCs/>
        </w:rPr>
        <w:t>Seega põhineb sise</w:t>
      </w:r>
      <w:r w:rsidR="008A17FC">
        <w:rPr>
          <w:rFonts w:cs="Times New Roman"/>
          <w:b/>
          <w:bCs/>
        </w:rPr>
        <w:t>ndite</w:t>
      </w:r>
      <w:r w:rsidRPr="00883566">
        <w:rPr>
          <w:rFonts w:cs="Times New Roman"/>
          <w:b/>
          <w:bCs/>
        </w:rPr>
        <w:t xml:space="preserve"> ja väl</w:t>
      </w:r>
      <w:r w:rsidR="008A17FC">
        <w:rPr>
          <w:rFonts w:cs="Times New Roman"/>
          <w:b/>
          <w:bCs/>
        </w:rPr>
        <w:t>jundite</w:t>
      </w:r>
      <w:r w:rsidRPr="00883566">
        <w:rPr>
          <w:rFonts w:cs="Times New Roman"/>
          <w:b/>
          <w:bCs/>
        </w:rPr>
        <w:t xml:space="preserve"> võrdväärsuse peamine vahe ettevõttesisestele üksustele ja teistele sideettevõtjatele teenuse osutamiseks kasutavate süsteemide (nt tarkvara, andmebaasid, rakendused) ja protsessid</w:t>
      </w:r>
      <w:r w:rsidR="008A17FC">
        <w:rPr>
          <w:rFonts w:cs="Times New Roman"/>
          <w:b/>
          <w:bCs/>
        </w:rPr>
        <w:t>e</w:t>
      </w:r>
      <w:r w:rsidRPr="00883566">
        <w:rPr>
          <w:rFonts w:cs="Times New Roman"/>
          <w:b/>
          <w:bCs/>
        </w:rPr>
        <w:t xml:space="preserve"> (nt teenuse tellimise protseduurid) erinevus</w:t>
      </w:r>
      <w:r w:rsidR="008A17FC">
        <w:rPr>
          <w:rFonts w:cs="Times New Roman"/>
          <w:b/>
          <w:bCs/>
        </w:rPr>
        <w:t>t</w:t>
      </w:r>
      <w:r w:rsidRPr="00883566">
        <w:rPr>
          <w:rFonts w:cs="Times New Roman"/>
          <w:b/>
          <w:bCs/>
        </w:rPr>
        <w:t>el, sise</w:t>
      </w:r>
      <w:r w:rsidR="008A17FC">
        <w:rPr>
          <w:rFonts w:cs="Times New Roman"/>
          <w:b/>
          <w:bCs/>
        </w:rPr>
        <w:t>ndite</w:t>
      </w:r>
      <w:r w:rsidRPr="00883566">
        <w:rPr>
          <w:rFonts w:cs="Times New Roman"/>
          <w:b/>
          <w:bCs/>
        </w:rPr>
        <w:t xml:space="preserve"> võrdväärsuse korral kasutatakse samu süsteeme ja protsesse, väl</w:t>
      </w:r>
      <w:r w:rsidR="008A17FC">
        <w:rPr>
          <w:rFonts w:cs="Times New Roman"/>
          <w:b/>
          <w:bCs/>
        </w:rPr>
        <w:t>jundite</w:t>
      </w:r>
      <w:r w:rsidRPr="00883566">
        <w:rPr>
          <w:rFonts w:cs="Times New Roman"/>
          <w:b/>
          <w:bCs/>
        </w:rPr>
        <w:t xml:space="preserve"> võrdväärsuse korral erinevaid.</w:t>
      </w:r>
    </w:p>
    <w:p w14:paraId="0C0A0606" w14:textId="2C0D2455" w:rsidR="00F03958" w:rsidRPr="00883566" w:rsidRDefault="00F03958" w:rsidP="00AA241E">
      <w:pPr>
        <w:ind w:left="720"/>
        <w:jc w:val="both"/>
        <w:rPr>
          <w:rFonts w:cs="Times New Roman"/>
        </w:rPr>
      </w:pPr>
      <w:bookmarkStart w:id="1277" w:name="_Hlk164693325"/>
      <w:r w:rsidRPr="00883566">
        <w:rPr>
          <w:rFonts w:cs="Times New Roman"/>
        </w:rPr>
        <w:t>EK 2024 kohustuste soovituse kohaselt on selleks, et tagada valdkonnaspetsiifiliselt reguleeritava turu toodetele mittediskrimineeriv juurdepääs ja edendada seeläbi konkurentsi, kindlaim viis kohaldada sisendite võrdväärsust. Sisendite võrdväärse pakkumisega kaasnevad tõenäoliselt suuremad rakenduskulud kui väl</w:t>
      </w:r>
      <w:r w:rsidR="008A17FC">
        <w:rPr>
          <w:rFonts w:cs="Times New Roman"/>
        </w:rPr>
        <w:t>jundite</w:t>
      </w:r>
      <w:r w:rsidRPr="00883566">
        <w:rPr>
          <w:rFonts w:cs="Times New Roman"/>
        </w:rPr>
        <w:t xml:space="preserve"> võrdväärsuse korral. Samas väljundite võrdväärsuse korral kaasnevad pikaajalised seirekulud, eelkõige tulemusnäitajate (inglise keeles </w:t>
      </w:r>
      <w:r w:rsidRPr="00883566">
        <w:rPr>
          <w:rFonts w:cs="Times New Roman"/>
          <w:i/>
          <w:iCs/>
        </w:rPr>
        <w:t xml:space="preserve">KPI – </w:t>
      </w:r>
      <w:proofErr w:type="spellStart"/>
      <w:r w:rsidRPr="00883566">
        <w:rPr>
          <w:rFonts w:cs="Times New Roman"/>
          <w:i/>
          <w:iCs/>
        </w:rPr>
        <w:t>key</w:t>
      </w:r>
      <w:proofErr w:type="spellEnd"/>
      <w:r w:rsidRPr="00883566">
        <w:rPr>
          <w:rFonts w:cs="Times New Roman"/>
          <w:i/>
          <w:iCs/>
        </w:rPr>
        <w:t xml:space="preserve"> </w:t>
      </w:r>
      <w:proofErr w:type="spellStart"/>
      <w:r w:rsidRPr="00883566">
        <w:rPr>
          <w:rFonts w:cs="Times New Roman"/>
          <w:i/>
          <w:iCs/>
        </w:rPr>
        <w:t>performance</w:t>
      </w:r>
      <w:proofErr w:type="spellEnd"/>
      <w:r w:rsidRPr="00883566">
        <w:rPr>
          <w:rFonts w:cs="Times New Roman"/>
          <w:i/>
          <w:iCs/>
        </w:rPr>
        <w:t xml:space="preserve"> </w:t>
      </w:r>
      <w:proofErr w:type="spellStart"/>
      <w:r w:rsidRPr="00883566">
        <w:rPr>
          <w:rFonts w:cs="Times New Roman"/>
          <w:i/>
          <w:iCs/>
        </w:rPr>
        <w:t>indicators</w:t>
      </w:r>
      <w:proofErr w:type="spellEnd"/>
      <w:r w:rsidRPr="00883566">
        <w:rPr>
          <w:rFonts w:cs="Times New Roman"/>
        </w:rPr>
        <w:t xml:space="preserve">) kogumine, hindamine ja nende alusel teenustaseme kokkulepete (inglise keeles </w:t>
      </w:r>
      <w:r w:rsidRPr="00883566">
        <w:rPr>
          <w:rFonts w:cs="Times New Roman"/>
          <w:i/>
          <w:iCs/>
        </w:rPr>
        <w:t xml:space="preserve">SLA – </w:t>
      </w:r>
      <w:proofErr w:type="spellStart"/>
      <w:r w:rsidRPr="00883566">
        <w:rPr>
          <w:rFonts w:cs="Times New Roman"/>
          <w:i/>
          <w:iCs/>
        </w:rPr>
        <w:t>service</w:t>
      </w:r>
      <w:proofErr w:type="spellEnd"/>
      <w:r w:rsidRPr="00883566">
        <w:rPr>
          <w:rFonts w:cs="Times New Roman"/>
          <w:i/>
          <w:iCs/>
        </w:rPr>
        <w:t xml:space="preserve"> </w:t>
      </w:r>
      <w:proofErr w:type="spellStart"/>
      <w:r w:rsidRPr="00883566">
        <w:rPr>
          <w:rFonts w:cs="Times New Roman"/>
          <w:i/>
          <w:iCs/>
        </w:rPr>
        <w:t>level</w:t>
      </w:r>
      <w:proofErr w:type="spellEnd"/>
      <w:r w:rsidRPr="00883566">
        <w:rPr>
          <w:rFonts w:cs="Times New Roman"/>
          <w:i/>
          <w:iCs/>
        </w:rPr>
        <w:t xml:space="preserve"> </w:t>
      </w:r>
      <w:proofErr w:type="spellStart"/>
      <w:r w:rsidRPr="00883566">
        <w:rPr>
          <w:rFonts w:cs="Times New Roman"/>
          <w:i/>
          <w:iCs/>
        </w:rPr>
        <w:t>agreement</w:t>
      </w:r>
      <w:proofErr w:type="spellEnd"/>
      <w:r w:rsidRPr="00883566">
        <w:rPr>
          <w:rFonts w:cs="Times New Roman"/>
        </w:rPr>
        <w:t xml:space="preserve">)  ja garantiide (inglise keeles </w:t>
      </w:r>
      <w:r w:rsidRPr="00883566">
        <w:rPr>
          <w:rFonts w:cs="Times New Roman"/>
          <w:i/>
          <w:iCs/>
        </w:rPr>
        <w:t xml:space="preserve">SLG – </w:t>
      </w:r>
      <w:proofErr w:type="spellStart"/>
      <w:r w:rsidRPr="00883566">
        <w:rPr>
          <w:rFonts w:cs="Times New Roman"/>
          <w:i/>
          <w:iCs/>
        </w:rPr>
        <w:t>service</w:t>
      </w:r>
      <w:proofErr w:type="spellEnd"/>
      <w:r w:rsidRPr="00883566">
        <w:rPr>
          <w:rFonts w:cs="Times New Roman"/>
          <w:i/>
          <w:iCs/>
        </w:rPr>
        <w:t xml:space="preserve"> </w:t>
      </w:r>
      <w:proofErr w:type="spellStart"/>
      <w:r w:rsidRPr="00883566">
        <w:rPr>
          <w:rFonts w:cs="Times New Roman"/>
          <w:i/>
          <w:iCs/>
        </w:rPr>
        <w:t>level</w:t>
      </w:r>
      <w:proofErr w:type="spellEnd"/>
      <w:r w:rsidRPr="00883566">
        <w:rPr>
          <w:rFonts w:cs="Times New Roman"/>
          <w:i/>
          <w:iCs/>
        </w:rPr>
        <w:t xml:space="preserve"> </w:t>
      </w:r>
      <w:proofErr w:type="spellStart"/>
      <w:r w:rsidRPr="00883566">
        <w:rPr>
          <w:rFonts w:cs="Times New Roman"/>
          <w:i/>
          <w:iCs/>
        </w:rPr>
        <w:t>guarantees</w:t>
      </w:r>
      <w:proofErr w:type="spellEnd"/>
      <w:r w:rsidRPr="00883566">
        <w:rPr>
          <w:rFonts w:cs="Times New Roman"/>
        </w:rPr>
        <w:t>) muutmine, mis võivad mõnel juhul olla suuremad ja ületada pikas perspektiivis sisendite võrdväärsuse rakenduskulusid. Seepärast peaksid riiklikud regulaatorid võrdlema ja hindama sisendite võrdväärsuse ja väljundite võrdväärsuse rakendamise proportsionaalsust nende rakendamiskulude ja kasu alusel</w:t>
      </w:r>
      <w:bookmarkEnd w:id="1277"/>
      <w:r w:rsidR="008A17FC" w:rsidRPr="008A17FC">
        <w:rPr>
          <w:rFonts w:cs="Times New Roman"/>
        </w:rPr>
        <w:t xml:space="preserve"> </w:t>
      </w:r>
      <w:r w:rsidR="008A17FC">
        <w:rPr>
          <w:rFonts w:cs="Times New Roman"/>
        </w:rPr>
        <w:t>ning võttes arvesse eelkõige järgmist</w:t>
      </w:r>
      <w:r w:rsidRPr="00883566">
        <w:rPr>
          <w:rFonts w:cs="Times New Roman"/>
        </w:rPr>
        <w:t xml:space="preserve">: </w:t>
      </w:r>
    </w:p>
    <w:p w14:paraId="7795C987" w14:textId="77777777" w:rsidR="00F03958" w:rsidRPr="00883566" w:rsidRDefault="00F03958" w:rsidP="00AA241E">
      <w:pPr>
        <w:ind w:left="1440"/>
        <w:jc w:val="both"/>
        <w:rPr>
          <w:rFonts w:cs="Times New Roman"/>
        </w:rPr>
      </w:pPr>
      <w:r w:rsidRPr="00883566">
        <w:rPr>
          <w:rFonts w:cs="Times New Roman"/>
        </w:rPr>
        <w:t>a) sisendite või väljundite võrdväärsuse põhimõtte järgimisest tulenevad lisanduvad kulud ja täitmisega seotud viivitused, sealhulgas mittediskrimineerimise seirega seotud kulud;</w:t>
      </w:r>
    </w:p>
    <w:p w14:paraId="48612678" w14:textId="77777777" w:rsidR="00F03958" w:rsidRPr="00883566" w:rsidRDefault="00F03958" w:rsidP="00AA241E">
      <w:pPr>
        <w:ind w:left="1440"/>
        <w:jc w:val="both"/>
        <w:rPr>
          <w:rFonts w:cs="Times New Roman"/>
        </w:rPr>
      </w:pPr>
      <w:r w:rsidRPr="00883566">
        <w:rPr>
          <w:rFonts w:cs="Times New Roman"/>
        </w:rPr>
        <w:t>b) hulgitasandi reguleeritud juurdepääsuhindade kehtestamata jätmise võimalik mõju väga suure läbilaskevõimega võrkude puhul;</w:t>
      </w:r>
    </w:p>
    <w:p w14:paraId="520DAF1F" w14:textId="77777777" w:rsidR="00F03958" w:rsidRPr="00883566" w:rsidRDefault="00F03958" w:rsidP="00AA241E">
      <w:pPr>
        <w:ind w:left="1440"/>
        <w:jc w:val="both"/>
        <w:rPr>
          <w:rFonts w:cs="Times New Roman"/>
        </w:rPr>
      </w:pPr>
      <w:r w:rsidRPr="00883566">
        <w:rPr>
          <w:rFonts w:cs="Times New Roman"/>
        </w:rPr>
        <w:t>c) võimalik positiivne mõju, mida sisendite või väljundite võrdväärsusel põhineva range mittediskrimineerimise kohustuse kohaldamine võib avaldada väga suure läbilaskevõimega võrkudesse tehtavatele investeeringutele, innovatsioonile ja konkurentsile;</w:t>
      </w:r>
    </w:p>
    <w:p w14:paraId="720416D2" w14:textId="77777777" w:rsidR="00F03958" w:rsidRPr="00883566" w:rsidRDefault="00F03958" w:rsidP="00AA241E">
      <w:pPr>
        <w:ind w:left="1440"/>
        <w:jc w:val="both"/>
        <w:rPr>
          <w:rFonts w:cs="Times New Roman"/>
        </w:rPr>
      </w:pPr>
      <w:r w:rsidRPr="00883566">
        <w:rPr>
          <w:rFonts w:cs="Times New Roman"/>
        </w:rPr>
        <w:t>d) märkimisväärse turujõuga ettevõtja vabatahtlikult võetud kohustus pakkuda juurdepääsu taotlejatele hulgimüügisisendeid sisendite või väljundite võrdväärsuse põhimõtete alusel, kui selline vabatahtlik pakkumine vastab käesolevas soovituses sätestatud tingimustele;</w:t>
      </w:r>
    </w:p>
    <w:p w14:paraId="21EC58F9" w14:textId="77777777" w:rsidR="00F03958" w:rsidRPr="00883566" w:rsidRDefault="00F03958" w:rsidP="00AA241E">
      <w:pPr>
        <w:ind w:left="720" w:firstLine="720"/>
        <w:jc w:val="both"/>
        <w:rPr>
          <w:rFonts w:cs="Times New Roman"/>
        </w:rPr>
      </w:pPr>
      <w:r w:rsidRPr="00883566">
        <w:rPr>
          <w:rFonts w:cs="Times New Roman"/>
        </w:rPr>
        <w:t>e) märkimisväärse turujõuga ettevõtja(te) arv ja suurus;</w:t>
      </w:r>
    </w:p>
    <w:p w14:paraId="031E047B" w14:textId="77777777" w:rsidR="00F03958" w:rsidRPr="00883566" w:rsidRDefault="00F03958" w:rsidP="00AA241E">
      <w:pPr>
        <w:ind w:left="720" w:firstLine="720"/>
        <w:jc w:val="both"/>
        <w:rPr>
          <w:rFonts w:cs="Times New Roman"/>
        </w:rPr>
      </w:pPr>
      <w:r w:rsidRPr="00883566">
        <w:rPr>
          <w:rFonts w:cs="Times New Roman"/>
        </w:rPr>
        <w:lastRenderedPageBreak/>
        <w:t>f) seni rakendatavatel standarditel põhinevad kogemused.</w:t>
      </w:r>
    </w:p>
    <w:p w14:paraId="319E82C1" w14:textId="77777777" w:rsidR="00F03958" w:rsidRPr="00883566" w:rsidRDefault="00F03958" w:rsidP="00AA241E">
      <w:pPr>
        <w:jc w:val="both"/>
        <w:rPr>
          <w:rFonts w:cs="Times New Roman"/>
        </w:rPr>
      </w:pPr>
    </w:p>
    <w:p w14:paraId="290AF611" w14:textId="16B8EA65" w:rsidR="00F03958" w:rsidRPr="00883566" w:rsidRDefault="00F03958" w:rsidP="00AA241E">
      <w:pPr>
        <w:jc w:val="both"/>
        <w:rPr>
          <w:rFonts w:cs="Times New Roman"/>
        </w:rPr>
      </w:pPr>
      <w:r w:rsidRPr="00883566">
        <w:rPr>
          <w:rFonts w:cs="Times New Roman"/>
        </w:rPr>
        <w:t xml:space="preserve">Käesoleva otsuse koostamise ajal TTJA 2017 hulgituru 3b otsuse alusel kehtivad mittediskrimineerimise kohustused, vt </w:t>
      </w:r>
      <w:r w:rsidR="008C159A">
        <w:rPr>
          <w:rFonts w:cs="Times New Roman"/>
        </w:rPr>
        <w:t xml:space="preserve">ptk. </w:t>
      </w:r>
      <w:r w:rsidR="001D606C">
        <w:rPr>
          <w:rFonts w:cs="Times New Roman"/>
        </w:rPr>
        <w:t>8.4</w:t>
      </w:r>
      <w:r w:rsidRPr="00883566">
        <w:rPr>
          <w:rFonts w:cs="Times New Roman"/>
        </w:rPr>
        <w:t>, on suunatud väljundite võrdväärsuse rakendamisele, kuna Teliat ei ole kohustatud pakkuma hulgituru 3b teenuseid ettevõttesisestele üksustele ja teistele sideettevõtjatele samade süsteemide ja protsesside alusel. Samas puuduvad käesoleva otsuse koostamise ajal kehtivas mittediskrimineerimise kohustuses väljundite võrdväärsuse täitmise seire mehhanismid nagu näiteks nõue koguda ja avaldada reguleeritava teenuse osutamise tulemusnäitajad ja nendest lähtuvalt teenustasemete kokkulepete ja teenustaseme garantiide (kahju hüvitamist teenustaseme kokkulepete mitte järgimise korral) muutmise protseduurid.</w:t>
      </w:r>
    </w:p>
    <w:p w14:paraId="248EAD63" w14:textId="237B6D34" w:rsidR="00F03958" w:rsidRPr="00883566" w:rsidRDefault="00F03958" w:rsidP="00AA241E">
      <w:pPr>
        <w:jc w:val="both"/>
        <w:rPr>
          <w:rFonts w:cs="Times New Roman"/>
        </w:rPr>
      </w:pPr>
      <w:r w:rsidRPr="00883566">
        <w:rPr>
          <w:rFonts w:cs="Times New Roman"/>
        </w:rPr>
        <w:t>TTJA-</w:t>
      </w:r>
      <w:proofErr w:type="spellStart"/>
      <w:r w:rsidRPr="00883566">
        <w:rPr>
          <w:rFonts w:cs="Times New Roman"/>
        </w:rPr>
        <w:t>le</w:t>
      </w:r>
      <w:proofErr w:type="spellEnd"/>
      <w:r w:rsidRPr="00883566">
        <w:rPr>
          <w:rFonts w:cs="Times New Roman"/>
        </w:rPr>
        <w:t xml:space="preserve"> teada olevalt kasutab Telia oma äriprotsesside ja sidevõrgu haldamiseks </w:t>
      </w:r>
      <w:r w:rsidR="008A17FC">
        <w:rPr>
          <w:rFonts w:cs="Times New Roman"/>
        </w:rPr>
        <w:t>mitmeid</w:t>
      </w:r>
      <w:r w:rsidR="008A17FC" w:rsidRPr="00883566">
        <w:rPr>
          <w:rFonts w:cs="Times New Roman"/>
        </w:rPr>
        <w:t xml:space="preserve"> </w:t>
      </w:r>
      <w:r w:rsidRPr="00883566">
        <w:rPr>
          <w:rFonts w:cs="Times New Roman"/>
        </w:rPr>
        <w:t>erinevaid IT süsteeme ja rakendusi. Need süsteemid ja rakendused on erineva ulatuse ja keerukusega, erinevatelt tootjatelt, erineva vanusega, erinevate tehnoloogiate ja programmeerimiskeeltega, mida käitatakse nii füüsilistes kui ka virtuaalsetes serverites. Iga äriprotsessi (nt toote või teenuse tellimine, selle kohaletoimetamine või käivitamine, hooldus, rikete käsitle</w:t>
      </w:r>
      <w:r w:rsidR="008A17FC">
        <w:rPr>
          <w:rFonts w:cs="Times New Roman"/>
        </w:rPr>
        <w:t>mine</w:t>
      </w:r>
      <w:r w:rsidRPr="00883566">
        <w:rPr>
          <w:rFonts w:cs="Times New Roman"/>
        </w:rPr>
        <w:t>, vajaliku teabe edastamine) toetavad mitmed süsteemid ja harva viiakse mõni protsess läbi ainult ühe süsteemi alusel.</w:t>
      </w:r>
      <w:r w:rsidRPr="00883566">
        <w:t xml:space="preserve"> Hulgituru 3b teenuste osas s</w:t>
      </w:r>
      <w:r w:rsidRPr="00883566">
        <w:rPr>
          <w:rFonts w:cs="Times New Roman"/>
        </w:rPr>
        <w:t xml:space="preserve">isendite võrdväärsuse tagamiseks tuleks määratleda ja eraldada </w:t>
      </w:r>
      <w:r w:rsidR="008A17FC">
        <w:rPr>
          <w:rFonts w:cs="Times New Roman"/>
        </w:rPr>
        <w:t>mitmeid</w:t>
      </w:r>
      <w:r w:rsidR="008A17FC" w:rsidRPr="00883566">
        <w:rPr>
          <w:rFonts w:cs="Times New Roman"/>
        </w:rPr>
        <w:t xml:space="preserve"> </w:t>
      </w:r>
      <w:r w:rsidRPr="00883566">
        <w:rPr>
          <w:rFonts w:cs="Times New Roman"/>
        </w:rPr>
        <w:t xml:space="preserve">süsteeme ja läbi viia </w:t>
      </w:r>
      <w:r w:rsidR="008A17FC">
        <w:rPr>
          <w:rFonts w:cs="Times New Roman"/>
        </w:rPr>
        <w:t xml:space="preserve">nende </w:t>
      </w:r>
      <w:r w:rsidRPr="00883566">
        <w:rPr>
          <w:rFonts w:cs="Times New Roman"/>
        </w:rPr>
        <w:t>mahukas analüüs nende muutmiseks ja täiendamiseks viisil, et nende alusel saaks vastava toote äriprotsesse läbi viia ühte moodi ettevõttesisestele üksustele ja teistele sideettevõtjatele. Samuti võivad sisendite võrdväärsuse põhimõtte rakendamist piirata vastavate IT-süsteemide tootja litsentsi tingimused, mis võivad lubada neid süsteeme kasutada ainult Telial.</w:t>
      </w:r>
    </w:p>
    <w:p w14:paraId="109E862F" w14:textId="77777777" w:rsidR="00F03958" w:rsidRPr="00883566" w:rsidRDefault="00F03958" w:rsidP="00AA241E">
      <w:pPr>
        <w:jc w:val="both"/>
        <w:rPr>
          <w:rFonts w:cs="Times New Roman"/>
        </w:rPr>
      </w:pPr>
      <w:r w:rsidRPr="00883566">
        <w:rPr>
          <w:rFonts w:cs="Times New Roman"/>
        </w:rPr>
        <w:t>Käesoleva otsuse koostamise ajal toimub hulgituru 3b teenuste äriprotsessidega (teenuse tellimine, käivitamine, hooldus, rikete käsitlemine, vajaliku teabe edastamine) seotud teabe vahetamine teistele sideettevõtjatega e-kirja vahendusel, millele vastamist korraldab Telia selleks välja õpetatud töötaja, kes kogub selleks vajalikud andmed mitmetest erinevatest IT-süsteemidest. TTJA-l puudub täpne teave, milline on äriprotsessid hulgituru 3b teenustega samalaadsete teenuste (jaetasandi internetiühendused) osutamisel ettevõttesiseste üksustele (nt jaemüügi üksused) ning kui suures osas kasutatakse selleks eraldi IT-süsteeme ja millises osa samu süsteeme, mida kasutatakse ka teistele sideettevõtjatele pakutavate hulgituru 3b teenuste korral.</w:t>
      </w:r>
    </w:p>
    <w:p w14:paraId="2C8E7D09" w14:textId="77777777" w:rsidR="00F03958" w:rsidRPr="00883566" w:rsidRDefault="00F03958" w:rsidP="00AA241E">
      <w:pPr>
        <w:jc w:val="both"/>
        <w:rPr>
          <w:rFonts w:cs="Times New Roman"/>
        </w:rPr>
      </w:pPr>
      <w:r w:rsidRPr="00883566">
        <w:rPr>
          <w:rFonts w:cs="Times New Roman"/>
        </w:rPr>
        <w:t>TTJA hinnangul Telia hulgituru 3b teenuste sisemise ja välimise osutamise osas täiendav tulemusnäitajate kogumine ja hindamine, nende alusel teenustaseme kokkulepete  ja garantiide muutmine, kui seda teha mõistlike ajavahemike ja protseduuride alusel, ei ole väga keeruline ja ressursimahukas nii Telial, teistele vastavast teenusest huvitatud sideettevõtjatele, kui ka TTJA-</w:t>
      </w:r>
      <w:proofErr w:type="spellStart"/>
      <w:r w:rsidRPr="00883566">
        <w:rPr>
          <w:rFonts w:cs="Times New Roman"/>
        </w:rPr>
        <w:t>le</w:t>
      </w:r>
      <w:proofErr w:type="spellEnd"/>
      <w:r w:rsidRPr="00883566">
        <w:rPr>
          <w:rFonts w:cs="Times New Roman"/>
        </w:rPr>
        <w:t>, kuna see nõuab eelkõige teenuse tellimise ja käivitamisega kaasnevate protsesside kestuse mõõtmist ja läbipaistva kooskõlastusprotsessi järgimist teenustaseme kokkulepete ja garantiide muutmiseks.</w:t>
      </w:r>
    </w:p>
    <w:p w14:paraId="715F9271" w14:textId="6212F6CF" w:rsidR="00F03958" w:rsidRPr="00883566" w:rsidRDefault="00F03958" w:rsidP="00AA241E">
      <w:pPr>
        <w:jc w:val="both"/>
        <w:rPr>
          <w:rFonts w:cs="Times New Roman"/>
          <w:b/>
          <w:bCs/>
        </w:rPr>
      </w:pPr>
      <w:r w:rsidRPr="00883566">
        <w:rPr>
          <w:rFonts w:cs="Times New Roman"/>
          <w:b/>
          <w:bCs/>
        </w:rPr>
        <w:lastRenderedPageBreak/>
        <w:t>Võttes arvesse, eelkirjeldatud hulgituru 3b teenuste sisemise ja välimise osutamisel Telia IT-süsteemide ja äriprotsesside ühtlustamise keerukust ning sellega kaasnevaid ressursimahukaid analüüse ning seega ka kõrgeid rakenduskulusid,  samuti teistele sideettevõtjatele osutatavate hulgituru 3b teenuste marginaalset nõudlust ja kasutust, ei ole TTJA hinnangul majanduslikult tõhus ja mõistlik rakendada mittediskrimineerimise kohustuse raames Teliale sisendite võrdväärsus</w:t>
      </w:r>
      <w:r w:rsidR="001D7BCA">
        <w:rPr>
          <w:rFonts w:cs="Times New Roman"/>
          <w:b/>
          <w:bCs/>
        </w:rPr>
        <w:t xml:space="preserve">e kohustust. </w:t>
      </w:r>
      <w:r w:rsidR="000F01A7">
        <w:rPr>
          <w:rFonts w:cs="Times New Roman"/>
          <w:b/>
          <w:bCs/>
        </w:rPr>
        <w:t xml:space="preserve">Seetõttu on </w:t>
      </w:r>
      <w:r w:rsidR="001D7BCA">
        <w:rPr>
          <w:rFonts w:cs="Times New Roman"/>
          <w:b/>
          <w:bCs/>
        </w:rPr>
        <w:t xml:space="preserve">Telia </w:t>
      </w:r>
      <w:r w:rsidR="000F01A7">
        <w:rPr>
          <w:rFonts w:cs="Times New Roman"/>
          <w:b/>
          <w:bCs/>
        </w:rPr>
        <w:t>kohustatud rakendama</w:t>
      </w:r>
      <w:r w:rsidR="001D7BCA">
        <w:rPr>
          <w:rFonts w:cs="Times New Roman"/>
          <w:b/>
          <w:bCs/>
        </w:rPr>
        <w:t xml:space="preserve"> </w:t>
      </w:r>
      <w:r w:rsidRPr="00883566">
        <w:rPr>
          <w:rFonts w:cs="Times New Roman"/>
          <w:b/>
          <w:bCs/>
        </w:rPr>
        <w:t>väljundite võrdväärsus</w:t>
      </w:r>
      <w:r w:rsidR="000F01A7">
        <w:rPr>
          <w:rFonts w:cs="Times New Roman"/>
          <w:b/>
          <w:bCs/>
        </w:rPr>
        <w:t>t</w:t>
      </w:r>
      <w:r w:rsidRPr="00883566">
        <w:rPr>
          <w:rFonts w:cs="Times New Roman"/>
          <w:b/>
          <w:bCs/>
        </w:rPr>
        <w:t xml:space="preserve"> täiendades seejuures vastavate teenuste sisemise ja välimise osutamise seire mehhanismide rakendamise nõudeid ehk tulemusnäitajate kogumise ja hindamise ja nende alusel teenustaseme kokkulepete ja garantiide muutmise nõudeid, vt </w:t>
      </w:r>
      <w:r w:rsidR="008C159A">
        <w:rPr>
          <w:rFonts w:cs="Times New Roman"/>
          <w:b/>
          <w:bCs/>
        </w:rPr>
        <w:t xml:space="preserve">ptk. </w:t>
      </w:r>
      <w:r w:rsidR="00E5484F">
        <w:rPr>
          <w:rFonts w:cs="Times New Roman"/>
          <w:b/>
          <w:bCs/>
        </w:rPr>
        <w:t>8.4.5</w:t>
      </w:r>
      <w:r w:rsidRPr="00883566">
        <w:rPr>
          <w:rFonts w:cs="Times New Roman"/>
          <w:b/>
          <w:bCs/>
        </w:rPr>
        <w:t>.</w:t>
      </w:r>
    </w:p>
    <w:p w14:paraId="7A81E086" w14:textId="77777777" w:rsidR="00F03958" w:rsidRPr="00883566" w:rsidRDefault="00F03958" w:rsidP="00AA241E">
      <w:pPr>
        <w:jc w:val="both"/>
        <w:rPr>
          <w:rFonts w:cs="Times New Roman"/>
        </w:rPr>
      </w:pPr>
    </w:p>
    <w:p w14:paraId="638F6F09" w14:textId="77777777" w:rsidR="00F03958" w:rsidRPr="00883566" w:rsidRDefault="00F03958" w:rsidP="00AA241E">
      <w:pPr>
        <w:jc w:val="both"/>
        <w:rPr>
          <w:rFonts w:cs="Times New Roman"/>
        </w:rPr>
      </w:pPr>
      <w:r w:rsidRPr="00883566">
        <w:rPr>
          <w:rFonts w:cs="Times New Roman"/>
        </w:rPr>
        <w:t xml:space="preserve"> </w:t>
      </w:r>
    </w:p>
    <w:p w14:paraId="10A39DF0" w14:textId="00D08605" w:rsidR="00F03958" w:rsidRPr="00883566" w:rsidRDefault="00F03958" w:rsidP="009805E1">
      <w:pPr>
        <w:pStyle w:val="Pealkiri3"/>
      </w:pPr>
      <w:bookmarkStart w:id="1278" w:name="_Toc174710884"/>
      <w:r w:rsidRPr="00883566">
        <w:t>Tulemusnäitajad, teenustaseme kokkulepped ja garantiid</w:t>
      </w:r>
      <w:bookmarkEnd w:id="1278"/>
    </w:p>
    <w:p w14:paraId="6FEEC8B7" w14:textId="77777777" w:rsidR="00F03958" w:rsidRPr="00883566" w:rsidRDefault="00F03958" w:rsidP="00AA241E">
      <w:pPr>
        <w:jc w:val="both"/>
        <w:rPr>
          <w:rFonts w:cs="Times New Roman"/>
        </w:rPr>
      </w:pPr>
    </w:p>
    <w:p w14:paraId="36970E17" w14:textId="77777777" w:rsidR="00F03958" w:rsidRPr="00883566" w:rsidRDefault="00F03958" w:rsidP="00AA241E">
      <w:pPr>
        <w:jc w:val="both"/>
        <w:rPr>
          <w:rFonts w:cs="Times New Roman"/>
        </w:rPr>
      </w:pPr>
      <w:r w:rsidRPr="00883566">
        <w:rPr>
          <w:rFonts w:cs="Times New Roman"/>
        </w:rPr>
        <w:t>EK 2024 kohustuste soovituse kohaselt:</w:t>
      </w:r>
    </w:p>
    <w:p w14:paraId="5C045AB3" w14:textId="77777777" w:rsidR="00F03958" w:rsidRPr="00883566" w:rsidRDefault="00F03958" w:rsidP="00AA241E">
      <w:pPr>
        <w:ind w:left="720"/>
        <w:jc w:val="both"/>
        <w:rPr>
          <w:rFonts w:cs="Times New Roman"/>
        </w:rPr>
      </w:pPr>
      <w:r w:rsidRPr="00883566">
        <w:rPr>
          <w:rFonts w:cs="Times New Roman"/>
        </w:rPr>
        <w:t>Kui riigi reguleeriv asutus kehtestab mittediskrimineerimise kohustuse, peaks selle täitmise ja tõhusa kohaldamise tagamiseks nõudma, et MTE rakendaks kooskõlas EK 2024 kohustuste soovituse lisas I esitatud põhimõtetega põhilisi tulemusnäitajaid, teenustaseme kokkuleppeid, mis lähtuvad põhilistest tulemusnäitajatest, ja teenustaseme garantiisid, mida kohaldatakse teenustaseme kokkulepete rikkumise korral. Ette tuleks näha mehhanism põhiliste tulemusnäitajate, teenustaseme kokkulepete ja teenustaseme garantiide ajakohastamiseks, kui see osutub vajalikuks. Vajaduse korral peaksid riikide reguleerivad asutused nõudma, et MTE lisaks põhilised tulemusnäitajad, teenustaseme kokkulepped ja teenustaseme garantiid standardpakkumisse (nimetatakse ka näidispakkumiseks).</w:t>
      </w:r>
    </w:p>
    <w:p w14:paraId="2E1876C5" w14:textId="77777777" w:rsidR="00F03958" w:rsidRPr="00883566" w:rsidRDefault="00F03958" w:rsidP="00AA241E">
      <w:pPr>
        <w:ind w:left="619"/>
        <w:jc w:val="both"/>
        <w:rPr>
          <w:rFonts w:cs="Times New Roman"/>
        </w:rPr>
      </w:pPr>
      <w:r w:rsidRPr="00883566">
        <w:rPr>
          <w:rFonts w:cs="Times New Roman"/>
        </w:rPr>
        <w:t>Riikide reguleerivad asutused peaksid nõuetekohaselt arvesse võtma MTE pakutud kohustusi seoses mittediskrimineerimisega. Eeskätt võidakse selliseid kohustusi välja pakkuda seoses põhiliste tulemusnäitajate, teenustaseme kokkulepete ja teenustaseme garantiidega, sealhulgas nende tingimustega, eriti juhul, kui juurdepääsu taotlejad on MTE väljapakutud kohustustega nõus. Riikide reguleerivad asutused peaksid edendama eri sidusrühmi hõlmavat dialoogi MTE ja juurdepääsu taotlejate vahel, et pooled jõuaksid üksmeelele või kaalutletud otsusele:</w:t>
      </w:r>
    </w:p>
    <w:p w14:paraId="7B913310" w14:textId="77777777" w:rsidR="00F03958" w:rsidRPr="00883566" w:rsidRDefault="00F03958" w:rsidP="00AA241E">
      <w:pPr>
        <w:ind w:left="1081"/>
        <w:jc w:val="both"/>
        <w:rPr>
          <w:rFonts w:cs="Times New Roman"/>
        </w:rPr>
      </w:pPr>
      <w:r w:rsidRPr="00883566">
        <w:rPr>
          <w:rFonts w:cs="Times New Roman"/>
        </w:rPr>
        <w:t>a) põhiliste tulemusnäitajate, teenustaseme kokkulepete ja teenustaseme garantiide tervikliku paketi suhtes;</w:t>
      </w:r>
    </w:p>
    <w:p w14:paraId="0C60E24E" w14:textId="77777777" w:rsidR="00F03958" w:rsidRPr="00883566" w:rsidRDefault="00F03958" w:rsidP="00AA241E">
      <w:pPr>
        <w:ind w:left="1081"/>
        <w:jc w:val="both"/>
        <w:rPr>
          <w:rFonts w:cs="Times New Roman"/>
        </w:rPr>
      </w:pPr>
      <w:r w:rsidRPr="00883566">
        <w:rPr>
          <w:rFonts w:cs="Times New Roman"/>
        </w:rPr>
        <w:lastRenderedPageBreak/>
        <w:t>b) asjaomaste tingimuste suhtes, sealhulgas asjakohane tähtaeg põhiliste tulemusnäitajate, teenustaseme kokkulepete ja teenustaseme garantiide ajakohastamiseks.</w:t>
      </w:r>
    </w:p>
    <w:p w14:paraId="7BD6769E" w14:textId="77777777" w:rsidR="00F03958" w:rsidRPr="00883566" w:rsidRDefault="00F03958" w:rsidP="00AA241E">
      <w:pPr>
        <w:ind w:left="678"/>
        <w:jc w:val="both"/>
        <w:rPr>
          <w:rFonts w:cs="Times New Roman"/>
        </w:rPr>
      </w:pPr>
      <w:r w:rsidRPr="00883566">
        <w:rPr>
          <w:rFonts w:cs="Times New Roman"/>
        </w:rPr>
        <w:t>Samuti peaksid riikide reguleerivad asutused lisaks põhiliste tulemusnäitajatega seotud aruannetele tagama, et MTE registreerib kõik andmed, mis on vajalikud juurdepääsutingimuste võrdväärsuse põhimõttele vastavuse jälgimiseks. See teave peaks võimaldama riikide reguleerivatel asutustel regulaarselt kontrollida, kas MTE annab kolmandatest isikutest juurdepääsutaotlejatele nõutavat teavet ning kas menetlusi järgitakse nõuetekohaselt, eelkõige tellimise ja teenuste pakkumise puhul.</w:t>
      </w:r>
    </w:p>
    <w:p w14:paraId="6D9172A6" w14:textId="77777777" w:rsidR="00F03958" w:rsidRPr="00883566" w:rsidRDefault="00F03958" w:rsidP="00AA241E">
      <w:pPr>
        <w:ind w:left="678"/>
        <w:jc w:val="both"/>
        <w:rPr>
          <w:rFonts w:cs="Times New Roman"/>
        </w:rPr>
      </w:pPr>
      <w:r w:rsidRPr="00883566">
        <w:rPr>
          <w:rFonts w:cs="Times New Roman"/>
        </w:rPr>
        <w:t>Põhiliste tulemusnäitajatega tuleks mõõta tulemusi vähemalt järgmiste reguleeritud juurdepääsuteenuste osutamisega seotud põhielementide puhul:</w:t>
      </w:r>
    </w:p>
    <w:p w14:paraId="7FE82FD4" w14:textId="77777777" w:rsidR="00F03958" w:rsidRPr="00883566" w:rsidRDefault="00F03958" w:rsidP="00AA241E">
      <w:pPr>
        <w:ind w:left="1314" w:firstLine="42"/>
        <w:jc w:val="both"/>
        <w:rPr>
          <w:rFonts w:cs="Times New Roman"/>
        </w:rPr>
      </w:pPr>
      <w:r w:rsidRPr="00883566">
        <w:rPr>
          <w:rFonts w:cs="Times New Roman"/>
        </w:rPr>
        <w:t>a) tellimisprotsess;</w:t>
      </w:r>
    </w:p>
    <w:p w14:paraId="097FDD04" w14:textId="77777777" w:rsidR="00F03958" w:rsidRPr="00883566" w:rsidRDefault="00F03958" w:rsidP="00AA241E">
      <w:pPr>
        <w:ind w:left="1314" w:firstLine="42"/>
        <w:jc w:val="both"/>
        <w:rPr>
          <w:rFonts w:cs="Times New Roman"/>
        </w:rPr>
      </w:pPr>
      <w:r w:rsidRPr="00883566">
        <w:rPr>
          <w:rFonts w:cs="Times New Roman"/>
        </w:rPr>
        <w:t>b) teenuse osutamine;</w:t>
      </w:r>
    </w:p>
    <w:p w14:paraId="094EA5D1" w14:textId="77777777" w:rsidR="00F03958" w:rsidRPr="00883566" w:rsidRDefault="00F03958" w:rsidP="00AA241E">
      <w:pPr>
        <w:ind w:left="1314" w:firstLine="42"/>
        <w:jc w:val="both"/>
        <w:rPr>
          <w:rFonts w:cs="Times New Roman"/>
        </w:rPr>
      </w:pPr>
      <w:r w:rsidRPr="00883566">
        <w:rPr>
          <w:rFonts w:cs="Times New Roman"/>
        </w:rPr>
        <w:t>c) teenuse kvaliteet, sealhulgas rikked;</w:t>
      </w:r>
    </w:p>
    <w:p w14:paraId="293C01B8" w14:textId="77777777" w:rsidR="00F03958" w:rsidRPr="00883566" w:rsidRDefault="00F03958" w:rsidP="00AA241E">
      <w:pPr>
        <w:ind w:left="1314" w:firstLine="42"/>
        <w:jc w:val="both"/>
        <w:rPr>
          <w:rFonts w:cs="Times New Roman"/>
        </w:rPr>
      </w:pPr>
      <w:r w:rsidRPr="00883566">
        <w:rPr>
          <w:rFonts w:cs="Times New Roman"/>
        </w:rPr>
        <w:t>d) rikete kõrvaldamise aeg;</w:t>
      </w:r>
    </w:p>
    <w:p w14:paraId="7E1AAB8F" w14:textId="77777777" w:rsidR="00F03958" w:rsidRPr="00883566" w:rsidRDefault="00F03958" w:rsidP="00AA241E">
      <w:pPr>
        <w:ind w:left="1314" w:firstLine="42"/>
        <w:jc w:val="both"/>
        <w:rPr>
          <w:rFonts w:cs="Times New Roman"/>
        </w:rPr>
      </w:pPr>
      <w:r w:rsidRPr="00883566">
        <w:rPr>
          <w:rFonts w:cs="Times New Roman"/>
        </w:rPr>
        <w:t>e) üleminek ühelt reguleeritud hulgimüügisisendilt teisele (v.a ühekordne koondüleminek).</w:t>
      </w:r>
    </w:p>
    <w:p w14:paraId="6034843C" w14:textId="77777777" w:rsidR="00F03958" w:rsidRPr="00883566" w:rsidRDefault="00F03958" w:rsidP="00AA241E">
      <w:pPr>
        <w:ind w:left="418"/>
        <w:jc w:val="both"/>
        <w:rPr>
          <w:rFonts w:cs="Times New Roman"/>
        </w:rPr>
      </w:pPr>
      <w:r w:rsidRPr="00883566">
        <w:rPr>
          <w:rFonts w:cs="Times New Roman"/>
        </w:rPr>
        <w:t>Riikide reguleerivad asutused peaksid kehtestama põhilised tulemusnäitajad kõigi eeltoodud põhielementide jaoks, mis on seotud reguleeritud hulgimüügiteenuste osutamisega. Põhilised tulemusnäitajad peaksid võimaldama omavahel võrrelda ettevõttesiseselt MTE jaemüügi üksustele osutatavaid teenuseid ja ettevõtteväliselt teistele sideettevõtjatele osutatavaid teenuseid.</w:t>
      </w:r>
    </w:p>
    <w:p w14:paraId="59C1D23A" w14:textId="77777777" w:rsidR="00F03958" w:rsidRPr="00883566" w:rsidRDefault="00F03958" w:rsidP="00AA241E">
      <w:pPr>
        <w:ind w:left="418"/>
        <w:jc w:val="both"/>
        <w:rPr>
          <w:rFonts w:cs="Times New Roman"/>
        </w:rPr>
      </w:pPr>
      <w:r w:rsidRPr="00883566">
        <w:rPr>
          <w:rFonts w:cs="Times New Roman"/>
        </w:rPr>
        <w:t>Riigi reguleeriva asutuse poolt kehtestatavate põhiliste tulemusnäitajate üksikasjades võivad kokku leppida MTE ja teised sideettevõtjad.</w:t>
      </w:r>
    </w:p>
    <w:p w14:paraId="7BAAF281" w14:textId="77777777" w:rsidR="00F03958" w:rsidRPr="00883566" w:rsidRDefault="00F03958" w:rsidP="00AA241E">
      <w:pPr>
        <w:ind w:left="418"/>
        <w:jc w:val="both"/>
        <w:rPr>
          <w:rFonts w:cs="Times New Roman"/>
        </w:rPr>
      </w:pPr>
      <w:r w:rsidRPr="00883566">
        <w:rPr>
          <w:rFonts w:cs="Times New Roman"/>
        </w:rPr>
        <w:t>Põhiliste tulemusnäitajate kindlaksmääramisel peaks riigi reguleeriv asutus arvesse võtma juba olemasolevaid tulemusnäitajaid, isegi juhul, kui tegemist on MTE poolt üksnes ettevõttesiseselt kasutatavate näitajatega.</w:t>
      </w:r>
    </w:p>
    <w:p w14:paraId="68262D3B" w14:textId="77777777" w:rsidR="00F03958" w:rsidRPr="00883566" w:rsidRDefault="00F03958" w:rsidP="00AA241E">
      <w:pPr>
        <w:ind w:left="418"/>
        <w:jc w:val="both"/>
        <w:rPr>
          <w:rFonts w:cs="Times New Roman"/>
        </w:rPr>
      </w:pPr>
      <w:r w:rsidRPr="00883566">
        <w:rPr>
          <w:rFonts w:cs="Times New Roman"/>
        </w:rPr>
        <w:t>Riikide reguleerivad asutused peaksid põhilisi tulemusnäitajaid korrapäraselt auditeerima või laskma seda teha sõltumatul audiitoril.</w:t>
      </w:r>
    </w:p>
    <w:p w14:paraId="1BA21FB4" w14:textId="77777777" w:rsidR="00F03958" w:rsidRPr="00883566" w:rsidRDefault="00F03958" w:rsidP="00AA241E">
      <w:pPr>
        <w:ind w:left="418"/>
        <w:jc w:val="both"/>
        <w:rPr>
          <w:rFonts w:cs="Times New Roman"/>
        </w:rPr>
      </w:pPr>
      <w:r w:rsidRPr="00883566">
        <w:rPr>
          <w:rFonts w:cs="Times New Roman"/>
        </w:rPr>
        <w:t>Riikide reguleerivad asutused peaksid nõudma, et MTE rakendaks vastavad teenustaseme kokkulepped koos teenustaseme garantiidega.</w:t>
      </w:r>
    </w:p>
    <w:p w14:paraId="35A70C1E" w14:textId="77777777" w:rsidR="00F03958" w:rsidRPr="00883566" w:rsidRDefault="00F03958" w:rsidP="00AA241E">
      <w:pPr>
        <w:ind w:left="418"/>
        <w:jc w:val="both"/>
        <w:rPr>
          <w:rFonts w:cs="Times New Roman"/>
        </w:rPr>
      </w:pPr>
      <w:r w:rsidRPr="00883566">
        <w:rPr>
          <w:rFonts w:cs="Times New Roman"/>
        </w:rPr>
        <w:t>Riikide reguleerivad asutused peaksid nõudma, et MTE annaks vastavad teenustaseme garantiid, mida kasutatakse teenustaseme kokkulepete rikkumise korral.</w:t>
      </w:r>
    </w:p>
    <w:p w14:paraId="64889890" w14:textId="77777777" w:rsidR="00F03958" w:rsidRPr="00883566" w:rsidRDefault="00F03958" w:rsidP="00AA241E">
      <w:pPr>
        <w:ind w:left="418"/>
        <w:jc w:val="both"/>
        <w:rPr>
          <w:rFonts w:cs="Times New Roman"/>
        </w:rPr>
      </w:pPr>
      <w:r w:rsidRPr="00883566">
        <w:rPr>
          <w:rFonts w:cs="Times New Roman"/>
        </w:rPr>
        <w:lastRenderedPageBreak/>
        <w:t>Riikide reguleerivad asutused peaksid tagama, et teenustaseme garantiide tingimuste mittetäitmise korral ette nähtud karistusmaksed tehakse põhimõtteliselt põhjendamatute viivitusteta ja eelnevalt kindlaks määratud makse- ja arveldamiskorra alusel. Sellised karistused peaksid olema piisavalt hoiatavad tagamaks, et MTE järgib kokkulepete täitmise kohustust.</w:t>
      </w:r>
    </w:p>
    <w:p w14:paraId="6751B8F5" w14:textId="77777777" w:rsidR="00F03958" w:rsidRPr="00883566" w:rsidRDefault="00F03958" w:rsidP="00AA241E">
      <w:pPr>
        <w:ind w:left="418"/>
        <w:jc w:val="both"/>
        <w:rPr>
          <w:rFonts w:cs="Times New Roman"/>
        </w:rPr>
      </w:pPr>
      <w:r w:rsidRPr="00883566">
        <w:rPr>
          <w:rFonts w:cs="Times New Roman"/>
        </w:rPr>
        <w:t>Põhiliste tulemusnäitajate saavutamata jätmisega seotud karistused peaksid olema proportsionaalsed, kuid seejuures piisavalt suured, et olla hoiatavad. Selleks et hinnata, kas karistus on piisavalt hoiatav, peaksid riikide reguleerivad asutused kaaluma, kas see, kui MTE ei täida oma kohustusi hulgitasandil, tekitaks vastavat hulgitasandi juurdepääsutoodet kasutavale alternatiivsele operaatorile probleeme jaetasandil. Kui see nii on, peaks karistus olema piisavalt suur, et katta kahju jaetasandil.</w:t>
      </w:r>
    </w:p>
    <w:p w14:paraId="45317761" w14:textId="77777777" w:rsidR="00F03958" w:rsidRPr="00883566" w:rsidRDefault="00F03958" w:rsidP="00AA241E">
      <w:pPr>
        <w:jc w:val="both"/>
        <w:rPr>
          <w:rFonts w:cs="Times New Roman"/>
        </w:rPr>
      </w:pPr>
    </w:p>
    <w:p w14:paraId="15BD9F0E" w14:textId="77777777" w:rsidR="00F03958" w:rsidRPr="00883566" w:rsidRDefault="00F03958" w:rsidP="00AA241E">
      <w:pPr>
        <w:jc w:val="both"/>
        <w:rPr>
          <w:rFonts w:cs="Times New Roman"/>
        </w:rPr>
      </w:pPr>
      <w:r w:rsidRPr="00883566">
        <w:rPr>
          <w:rFonts w:cs="Times New Roman"/>
        </w:rPr>
        <w:t xml:space="preserve">Eeltoodust tulenevalt peab selleks, et tagada mittediskrimineerimise kohustuse täitmine ja selle vastavus EK 2024 kohustuse soovitusele Telia mõõtma ja avaldama hulgituru 3b teenuste ja toodete osutamise põhilisi tulemusnäitajaid ning nende alusel kehtestama teenustaseme kokkulepped ja garantiid vastavas hulgituru 3b teenuste osutamise näidispakkumises. </w:t>
      </w:r>
    </w:p>
    <w:p w14:paraId="268B9542" w14:textId="77777777" w:rsidR="00F03958" w:rsidRPr="00883566" w:rsidRDefault="00F03958" w:rsidP="00AA241E">
      <w:pPr>
        <w:jc w:val="both"/>
        <w:rPr>
          <w:rFonts w:cs="Times New Roman"/>
        </w:rPr>
      </w:pPr>
      <w:r w:rsidRPr="00883566">
        <w:rPr>
          <w:rFonts w:cs="Times New Roman"/>
        </w:rPr>
        <w:t>Käesoleva otsuse koostamise ajal kehtivas TTJA 2017 hulgituru 3b otsuses puudub tulemusnäitajate mõõtmise ning nende alusel teenustaseme kokkulepete ja garantiide koostamise ja näidispakkumises avaldamise kohustused. Telia avaldatud hulgituru 3b teenuste tingimustes</w:t>
      </w:r>
      <w:r w:rsidRPr="00883566">
        <w:rPr>
          <w:rFonts w:cs="Times New Roman"/>
          <w:vertAlign w:val="superscript"/>
        </w:rPr>
        <w:footnoteReference w:id="241"/>
      </w:r>
      <w:r w:rsidRPr="00883566">
        <w:rPr>
          <w:rFonts w:cs="Times New Roman"/>
        </w:rPr>
        <w:t xml:space="preserve"> (näidispakkumises) on küll avaldatud mõningad teenustaseme kokkulepped, nagu näiteks teenuste tellimise taotlustele vastamise tähtajad, kuid need ei põhine Telia tulemusnäitajatel. Samuti puuduvad näidispakkumistes teenustaseme garantiid ehk leppetrahvid juhtumiteks, kui teenustaseme kokkuleppeid (nt taotluste vastamise tähtaegasid) Telia poolt ei täideta.</w:t>
      </w:r>
    </w:p>
    <w:p w14:paraId="53E9CF28" w14:textId="77777777" w:rsidR="00F03958" w:rsidRPr="00883566" w:rsidRDefault="00F03958" w:rsidP="00AA241E">
      <w:pPr>
        <w:jc w:val="both"/>
        <w:rPr>
          <w:rFonts w:cs="Times New Roman"/>
        </w:rPr>
      </w:pPr>
      <w:r w:rsidRPr="00883566">
        <w:rPr>
          <w:rFonts w:cs="Times New Roman"/>
        </w:rPr>
        <w:t xml:space="preserve">Selleks, et selgitada välja otstarbekad tulemusnäitajad, teenustaseme kokkulepped ja garantiid, mis omavad olulist mõju võrdväärsuse (mittediskrimineerimise) tagamisele hulgituru 3b teenuste osutamisel, on TTJA hinnangul mõistlik ja proportsionaalne, kui vastavad tulemusnäitajad, teenustaseme kokkulepped ja garantiid koostatakse Telia ja vastavaid juurdepääsutooteid kasutavate teiste sideettevõtjate koostöös. </w:t>
      </w:r>
    </w:p>
    <w:p w14:paraId="24F0C140" w14:textId="3030F157" w:rsidR="00843E7F" w:rsidRPr="00883566" w:rsidRDefault="00843E7F" w:rsidP="00843E7F">
      <w:pPr>
        <w:jc w:val="both"/>
        <w:rPr>
          <w:rFonts w:cs="Times New Roman"/>
          <w:b/>
          <w:bCs/>
        </w:rPr>
      </w:pPr>
      <w:bookmarkStart w:id="1279" w:name="_Hlk164774436"/>
      <w:r w:rsidRPr="00883566">
        <w:rPr>
          <w:rFonts w:cs="Times New Roman"/>
          <w:b/>
          <w:bCs/>
        </w:rPr>
        <w:t>Eeltoodust tulenevalt on mõistlik ja otstarbekas nõuda Telialt</w:t>
      </w:r>
      <w:r>
        <w:rPr>
          <w:rFonts w:cs="Times New Roman"/>
          <w:b/>
          <w:bCs/>
        </w:rPr>
        <w:t xml:space="preserve">, et Telia koostöös TTJA, teiste sideettevõtjate ja vajadusel ka Konkurentsiametiga koostaks </w:t>
      </w:r>
      <w:r w:rsidRPr="00883566">
        <w:rPr>
          <w:rFonts w:cs="Times New Roman"/>
          <w:b/>
          <w:bCs/>
        </w:rPr>
        <w:t xml:space="preserve">hulgituru </w:t>
      </w:r>
      <w:r>
        <w:rPr>
          <w:rFonts w:cs="Times New Roman"/>
          <w:b/>
          <w:bCs/>
        </w:rPr>
        <w:t>3b</w:t>
      </w:r>
      <w:r w:rsidRPr="00883566">
        <w:rPr>
          <w:rFonts w:cs="Times New Roman"/>
          <w:b/>
          <w:bCs/>
        </w:rPr>
        <w:t xml:space="preserve"> teenuste osutamise põhilised tulemusnäitajad ja nendest lähtuvad teenustaseme kokkulepped ning garantiid, lähtudes võimalikult suurel määral EK 2024 kohustuste soovituse vastavatest nõuetest. Samuti peab Telia avaldama ka tulemusnäitajate kogumise meetodi</w:t>
      </w:r>
      <w:r>
        <w:rPr>
          <w:rFonts w:cs="Times New Roman"/>
          <w:b/>
          <w:bCs/>
        </w:rPr>
        <w:t xml:space="preserve">. </w:t>
      </w:r>
      <w:r w:rsidRPr="00883566">
        <w:rPr>
          <w:rFonts w:cs="Times New Roman"/>
          <w:b/>
          <w:bCs/>
        </w:rPr>
        <w:t xml:space="preserve">Lõplik kehtestatav kohustus on sätestatud </w:t>
      </w:r>
      <w:r>
        <w:rPr>
          <w:rFonts w:cs="Times New Roman"/>
          <w:b/>
          <w:bCs/>
        </w:rPr>
        <w:t>ptk. 8.</w:t>
      </w:r>
      <w:r w:rsidRPr="00883566">
        <w:rPr>
          <w:rFonts w:cs="Times New Roman"/>
          <w:b/>
          <w:bCs/>
        </w:rPr>
        <w:t>4.</w:t>
      </w:r>
      <w:r>
        <w:rPr>
          <w:rFonts w:cs="Times New Roman"/>
          <w:b/>
          <w:bCs/>
        </w:rPr>
        <w:t>10</w:t>
      </w:r>
    </w:p>
    <w:p w14:paraId="638234DE" w14:textId="77777777" w:rsidR="00843E7F" w:rsidRDefault="00843E7F" w:rsidP="00AA241E">
      <w:pPr>
        <w:jc w:val="both"/>
        <w:rPr>
          <w:rFonts w:cs="Times New Roman"/>
          <w:b/>
          <w:bCs/>
        </w:rPr>
      </w:pPr>
    </w:p>
    <w:bookmarkEnd w:id="1279"/>
    <w:p w14:paraId="708A4286" w14:textId="77777777" w:rsidR="00F03958" w:rsidRPr="00883566" w:rsidRDefault="00F03958" w:rsidP="00AA241E">
      <w:pPr>
        <w:jc w:val="both"/>
        <w:rPr>
          <w:rFonts w:cs="Times New Roman"/>
        </w:rPr>
      </w:pPr>
    </w:p>
    <w:p w14:paraId="0326F81C" w14:textId="77777777" w:rsidR="00F03958" w:rsidRPr="00883566" w:rsidRDefault="00F03958" w:rsidP="00AA241E">
      <w:pPr>
        <w:jc w:val="both"/>
        <w:rPr>
          <w:rFonts w:cs="Times New Roman"/>
        </w:rPr>
      </w:pPr>
    </w:p>
    <w:p w14:paraId="4A3BD192" w14:textId="77777777" w:rsidR="00C15BB2" w:rsidRPr="00883566" w:rsidRDefault="00C15BB2" w:rsidP="00C15BB2">
      <w:pPr>
        <w:jc w:val="both"/>
        <w:rPr>
          <w:rFonts w:cs="Times New Roman"/>
        </w:rPr>
      </w:pPr>
      <w:bookmarkStart w:id="1280" w:name="_Toc164861222"/>
    </w:p>
    <w:p w14:paraId="73E3BCEE" w14:textId="77777777" w:rsidR="00C15BB2" w:rsidRPr="00883566" w:rsidRDefault="00C15BB2" w:rsidP="00C15BB2">
      <w:pPr>
        <w:jc w:val="both"/>
        <w:rPr>
          <w:rFonts w:cs="Times New Roman"/>
        </w:rPr>
      </w:pPr>
    </w:p>
    <w:p w14:paraId="0908ED2B" w14:textId="5AB21C1F" w:rsidR="00F03958" w:rsidRPr="00883566" w:rsidRDefault="00F03958" w:rsidP="009805E1">
      <w:pPr>
        <w:pStyle w:val="Pealkiri3"/>
      </w:pPr>
      <w:bookmarkStart w:id="1281" w:name="_Toc174710886"/>
      <w:r w:rsidRPr="00883566">
        <w:t>Uute jaemüügipakkumiste tehnilise jäljendatavuse test</w:t>
      </w:r>
      <w:bookmarkEnd w:id="1280"/>
      <w:bookmarkEnd w:id="1281"/>
    </w:p>
    <w:p w14:paraId="367F376E" w14:textId="77777777" w:rsidR="00F03958" w:rsidRPr="00883566" w:rsidRDefault="00F03958" w:rsidP="00AA241E">
      <w:pPr>
        <w:jc w:val="both"/>
        <w:rPr>
          <w:rFonts w:cs="Times New Roman"/>
        </w:rPr>
      </w:pPr>
    </w:p>
    <w:p w14:paraId="497E5942" w14:textId="77777777" w:rsidR="00F03958" w:rsidRPr="00883566" w:rsidRDefault="00F03958" w:rsidP="00AA241E">
      <w:pPr>
        <w:jc w:val="both"/>
        <w:rPr>
          <w:rFonts w:cs="Times New Roman"/>
        </w:rPr>
      </w:pPr>
      <w:r w:rsidRPr="00883566">
        <w:rPr>
          <w:rFonts w:cs="Times New Roman"/>
        </w:rPr>
        <w:t>EK 2024 kohustuste soovituse kohaselt:</w:t>
      </w:r>
    </w:p>
    <w:p w14:paraId="0F330F86" w14:textId="77777777" w:rsidR="00F03958" w:rsidRPr="00883566" w:rsidRDefault="00F03958" w:rsidP="00AA241E">
      <w:pPr>
        <w:ind w:left="720"/>
        <w:jc w:val="both"/>
        <w:rPr>
          <w:rFonts w:cs="Times New Roman"/>
          <w:b/>
          <w:bCs/>
        </w:rPr>
      </w:pPr>
      <w:r w:rsidRPr="00883566">
        <w:rPr>
          <w:rFonts w:cs="Times New Roman"/>
        </w:rPr>
        <w:t>Riikide reguleerivad asutused peaksid nõudma, et MTE, kelle suhtes kohaldatakse mittediskrimineerimise kohustust, pakuks teistele sideettevõtjatele reguleeritud hulgimüügisisendeid, mis võimaldavad teistel sideettevõtjatel tehniliselt jäljendada järgneval jaeturul MTE jaemüügi üksuste uusi jaemüügipakkumisi. Selle nõude peaksid riikide reguleerivad asutused kehtestama eelkõige juhul, kui sisendite võrdväärsusel põhinevat ranget mittediskrimineerimise kohustust ei rakendata täies ulatuses.</w:t>
      </w:r>
    </w:p>
    <w:p w14:paraId="34E7334A" w14:textId="77777777" w:rsidR="00F03958" w:rsidRPr="00883566" w:rsidRDefault="00F03958" w:rsidP="00AA241E">
      <w:pPr>
        <w:ind w:left="720"/>
        <w:jc w:val="both"/>
        <w:rPr>
          <w:rFonts w:cs="Times New Roman"/>
        </w:rPr>
      </w:pPr>
      <w:r w:rsidRPr="00883566">
        <w:rPr>
          <w:rFonts w:cs="Times New Roman"/>
        </w:rPr>
        <w:t>Sel eesmärgil ning MTE jaemüügi üksuste ja teiste sideettevõtjate võrdsete tingimuste tagamiseks peaksid riikide reguleerivad asutused kandma hoolt selle eest, et ettevõtte sisestel (nt jaemüügi üksused) ja välistel (teised sideettevõtjad) osapooltel on sama tehniline ja äriteave asjaomase reguleeritud hulgimüügisisendi kohta, ilma et see piiraks äriteabe konfidentsiaalsust käsitlevate eeskirjade kohaldamist. Asjaomane teave sisaldab teavet uute reguleeritud hulgimüügisisendite kohta või olemasolevates reguleeritud hulgimüügisisendites tehtud muudatuste kohta ning see teave tuleb esitada tähtaja jooksul, mis määratakse kindlaks igal üksikjuhul eraldi.</w:t>
      </w:r>
    </w:p>
    <w:p w14:paraId="24A76CC9" w14:textId="77777777" w:rsidR="00F03958" w:rsidRPr="00883566" w:rsidRDefault="00F03958" w:rsidP="00AA241E">
      <w:pPr>
        <w:ind w:left="720"/>
        <w:jc w:val="both"/>
        <w:rPr>
          <w:rFonts w:cs="Times New Roman"/>
        </w:rPr>
      </w:pPr>
      <w:r w:rsidRPr="00883566">
        <w:rPr>
          <w:rFonts w:cs="Times New Roman"/>
        </w:rPr>
        <w:t>MTE uue jaemüügipakkumise tehnilise jäljendatavuse hindamisel peaks riigi reguleeriv asutus arvesse võtma järgmist:</w:t>
      </w:r>
    </w:p>
    <w:p w14:paraId="460518C3" w14:textId="77777777" w:rsidR="00F03958" w:rsidRPr="00883566" w:rsidRDefault="00F03958" w:rsidP="00AA241E">
      <w:pPr>
        <w:ind w:left="1440"/>
        <w:jc w:val="both"/>
        <w:rPr>
          <w:rFonts w:cs="Times New Roman"/>
        </w:rPr>
      </w:pPr>
      <w:r w:rsidRPr="00883566">
        <w:rPr>
          <w:rFonts w:cs="Times New Roman"/>
        </w:rPr>
        <w:t>a) kas tellimiseks, edastamiseks ja parandamiseks ette nähtud hulgimüügisisend(id), mida tõhus ettevõtja vajab oma süsteemide või protsesside väljatöötamiseks või kohandamiseks, et pakkuda konkurentsivõimelisi uusi jaeteenuseid, tehakse juurdepääsu taotlejatele kättesaadavaks mõistliku aja jooksul enne seda, kui MTE turujõuga ettevõtja või tema jaemüügiettevõtjad lasevad turule oma vastava jaemüügiteenuse;</w:t>
      </w:r>
    </w:p>
    <w:p w14:paraId="4C93BE17" w14:textId="77777777" w:rsidR="00F03958" w:rsidRPr="00883566" w:rsidRDefault="00F03958" w:rsidP="00AA241E">
      <w:pPr>
        <w:ind w:left="1339" w:firstLine="101"/>
        <w:jc w:val="both"/>
        <w:rPr>
          <w:rFonts w:cs="Times New Roman"/>
        </w:rPr>
      </w:pPr>
      <w:r w:rsidRPr="00883566">
        <w:rPr>
          <w:rFonts w:cs="Times New Roman"/>
        </w:rPr>
        <w:t>b) vastavate teenustaseme kokkulepete ja põhiliste tulemusnäitajate kättesaadavus.</w:t>
      </w:r>
    </w:p>
    <w:p w14:paraId="5AF05C9C" w14:textId="77777777" w:rsidR="00F03958" w:rsidRPr="00883566" w:rsidRDefault="00F03958" w:rsidP="00AA241E">
      <w:pPr>
        <w:ind w:left="720"/>
        <w:jc w:val="both"/>
        <w:rPr>
          <w:rFonts w:cs="Times New Roman"/>
          <w:b/>
          <w:bCs/>
        </w:rPr>
      </w:pPr>
      <w:r w:rsidRPr="00883566">
        <w:rPr>
          <w:rFonts w:cs="Times New Roman"/>
        </w:rPr>
        <w:t xml:space="preserve">Nõutava tehnilise jäljendatavuse testi võib läbi viia kas MTE või riigi reguleeriv asutus. Kui MTE teeb tehnilise jäljendatavuse testi ise, peaks riigi reguleeriv asutus nõudma, et </w:t>
      </w:r>
      <w:r w:rsidRPr="00883566">
        <w:rPr>
          <w:rFonts w:cs="Times New Roman"/>
        </w:rPr>
        <w:lastRenderedPageBreak/>
        <w:t>MTE esitaks talle testi tulemused, sealhulgas kogu vajaliku teabe selle tõendamiseks, et tehniline jäljendatavus on täielikult tagatud. Riigi reguleeriv asutus peaks nõudma, et MTE teatab piisavalt aegsasti uuest jaemüügipakkumisest, et tal oleks võimalik kinnitada testi tulemused ning et juurdepääsu taotlejad saaksid soovi korral jäljendada asjaomast jaemüügipakkumist juba varakult.</w:t>
      </w:r>
    </w:p>
    <w:p w14:paraId="521DA7DC" w14:textId="77777777" w:rsidR="00F03958" w:rsidRPr="00883566" w:rsidRDefault="00F03958" w:rsidP="00AA241E">
      <w:pPr>
        <w:ind w:left="720"/>
        <w:jc w:val="both"/>
        <w:rPr>
          <w:rFonts w:cs="Times New Roman"/>
        </w:rPr>
      </w:pPr>
      <w:r w:rsidRPr="00883566">
        <w:rPr>
          <w:rFonts w:cs="Times New Roman"/>
        </w:rPr>
        <w:t>Kui aga tehnilise jäljendatavuse testi viib läbi riigi reguleeriv asutus, peaks nimetatud asutus nõudma, et MTE edastaks riigi reguleerivale asutusele selliste uute jaemüügipakkumiste üksikasjad, mille puhul kasutatakse konkreetset reguleeritud hulgimüügisisendit, ja kogu teabe, mida riigi reguleeriv asutus vajab jäljendatavuse hindamiseks, kusjuures seda tuleks teha piisavalt aegsasti enne selliste jaemüügipakkumiste turule laskmist. Etteteatamisaeg peaks olema piisav, et riigi reguleeriv asutus saaks viia läbi tehnilise jäljendatavuse testi ning juurdepääsu taotlejad saaksid soovi korral jäljendada asjaomast jaemüügipakkumist juba varajases etapis.</w:t>
      </w:r>
    </w:p>
    <w:p w14:paraId="56BD7EEF" w14:textId="77777777" w:rsidR="00F03958" w:rsidRPr="00883566" w:rsidRDefault="00F03958" w:rsidP="00AA241E">
      <w:pPr>
        <w:ind w:left="720"/>
        <w:jc w:val="both"/>
        <w:rPr>
          <w:rFonts w:cs="Times New Roman"/>
        </w:rPr>
      </w:pPr>
      <w:r w:rsidRPr="00883566">
        <w:rPr>
          <w:rFonts w:cs="Times New Roman"/>
        </w:rPr>
        <w:t>Kui riigi reguleeriv asutus leiab, et uue jaemüügipakkumise tehniline jäljendatavus ei ole tagatud, peaks ta nõudma, et MTE muudaks asjaomast reguleeritud hulgimüügisisendit või asjaomaseid reguleeritud hulgimüügisisendeid nii, et tehniline jäljendatavus oleks tagatud.</w:t>
      </w:r>
    </w:p>
    <w:p w14:paraId="3EBB72C3" w14:textId="77777777" w:rsidR="00F03958" w:rsidRPr="00883566" w:rsidRDefault="00F03958" w:rsidP="00AA241E">
      <w:pPr>
        <w:ind w:left="720"/>
        <w:jc w:val="both"/>
        <w:rPr>
          <w:rFonts w:cs="Times New Roman"/>
        </w:rPr>
      </w:pPr>
      <w:r w:rsidRPr="00883566">
        <w:rPr>
          <w:rFonts w:cs="Times New Roman"/>
        </w:rPr>
        <w:t>Kui riigi reguleeriv asutus leiab, et jaemüügipakkumine, mida ei ole võimalik tehniliselt jäljendada, kahjustaks märkimisväärselt konkurentsi, peaks ta direktiivi (EL) 2018/1972 artikli 30 alusel nõudma, et MTE lõpetaks või peataks asjaomase jaemüügipakkumise, kuni tehnilise jäljendatavuse nõue on täidetud.</w:t>
      </w:r>
    </w:p>
    <w:p w14:paraId="382E77CF" w14:textId="77777777" w:rsidR="00F03958" w:rsidRPr="00883566" w:rsidRDefault="00F03958" w:rsidP="00AA241E">
      <w:pPr>
        <w:jc w:val="both"/>
        <w:rPr>
          <w:rFonts w:cs="Times New Roman"/>
        </w:rPr>
      </w:pPr>
    </w:p>
    <w:p w14:paraId="69B71949" w14:textId="77777777" w:rsidR="00F03958" w:rsidRPr="00883566" w:rsidRDefault="00F03958" w:rsidP="00AA241E">
      <w:pPr>
        <w:jc w:val="both"/>
        <w:rPr>
          <w:rFonts w:cs="Times New Roman"/>
        </w:rPr>
      </w:pPr>
      <w:r w:rsidRPr="00883566">
        <w:rPr>
          <w:rFonts w:cs="Times New Roman"/>
        </w:rPr>
        <w:t>Eeltoodust tulenevalt peaks TTJA kehtestama mittediskrimineerimise kohustuse, mis sätestab nõuded Telia uutele jaemüügipakkumistele tehnilise jäljendatavuse testi teostamisele.</w:t>
      </w:r>
    </w:p>
    <w:p w14:paraId="30520499" w14:textId="77777777" w:rsidR="00F03958" w:rsidRPr="00883566" w:rsidRDefault="00F03958" w:rsidP="00AA241E">
      <w:pPr>
        <w:jc w:val="both"/>
        <w:rPr>
          <w:rFonts w:cs="Times New Roman"/>
        </w:rPr>
      </w:pPr>
      <w:r w:rsidRPr="00883566">
        <w:rPr>
          <w:rFonts w:cs="Times New Roman"/>
        </w:rPr>
        <w:t>TTJA hinnangul on kõige mõistlik ja proportsionaalne kui uute jaemüügipakkumiste tehnilise jäljendatavuse kontrolli viib läbi Telia ise, kuna Telia omab selleks kõige rohkem teavet ning see annaks ka Teliale võimaluse operatiivselt vältida diskrimineerivate uute jaemüügipakkumiste koostamist ja rakendamist.</w:t>
      </w:r>
    </w:p>
    <w:p w14:paraId="55873DD1" w14:textId="77777777" w:rsidR="00F03958" w:rsidRDefault="00F03958" w:rsidP="00AA241E">
      <w:pPr>
        <w:jc w:val="both"/>
        <w:rPr>
          <w:rFonts w:cs="Times New Roman"/>
        </w:rPr>
      </w:pPr>
      <w:r w:rsidRPr="00883566">
        <w:rPr>
          <w:rFonts w:cs="Times New Roman"/>
        </w:rPr>
        <w:t xml:space="preserve">TTJA hinnangul on mõistlik ja proportsionaalne, kui Telia viib uute jaemüügipakkumiste tehnilise jäljendatavuse testi läbi ainult nende jaemüügipakkumiste osas, mis on uued ja standardsed ja masstootena käsitletavad ja sisaldavad internetiühendusi. Seejuures tuleks vastav test läbi viia ainult vastavas jaemüügipakkumises sisalduva internetiühenduse osas. Kui jaemüügipakkumine sisaldab lisaks veel muid teenuseid nagu näiteks telefoni- või mobiiltelefoniteenust või TV-teenused, siis nende osas vastavat testi läbi viia ei ole vaja. </w:t>
      </w:r>
    </w:p>
    <w:p w14:paraId="5D532642" w14:textId="22464F15" w:rsidR="00415922" w:rsidRPr="00883566" w:rsidRDefault="00415922" w:rsidP="00415922">
      <w:pPr>
        <w:jc w:val="both"/>
        <w:rPr>
          <w:rFonts w:cs="Times New Roman"/>
          <w:b/>
          <w:bCs/>
        </w:rPr>
      </w:pPr>
      <w:r w:rsidRPr="00883566">
        <w:rPr>
          <w:rFonts w:cs="Times New Roman"/>
          <w:b/>
          <w:bCs/>
        </w:rPr>
        <w:t xml:space="preserve">Eeltoodust tulenevalt ja võttes arvesse, et Teliale ei rakendu mittediskrimineerimise kohustuse raames sisendite võrdväärsus, vaid väljundite võrdväärsus, vt </w:t>
      </w:r>
      <w:r>
        <w:rPr>
          <w:rFonts w:cs="Times New Roman"/>
          <w:b/>
          <w:bCs/>
        </w:rPr>
        <w:t>ptk. 8.4.4</w:t>
      </w:r>
      <w:r w:rsidRPr="00883566">
        <w:rPr>
          <w:rFonts w:cs="Times New Roman"/>
          <w:b/>
          <w:bCs/>
        </w:rPr>
        <w:t xml:space="preserve">,  on </w:t>
      </w:r>
      <w:r w:rsidRPr="00883566">
        <w:rPr>
          <w:rFonts w:cs="Times New Roman"/>
          <w:b/>
          <w:bCs/>
        </w:rPr>
        <w:lastRenderedPageBreak/>
        <w:t>mõistlik ja otstarbekas nõuda Telialt jaemüügipakkumise tehnilise jäljendatavuse testi</w:t>
      </w:r>
      <w:r>
        <w:rPr>
          <w:rFonts w:cs="Times New Roman"/>
          <w:b/>
          <w:bCs/>
        </w:rPr>
        <w:t xml:space="preserve"> teostamist. </w:t>
      </w:r>
      <w:r w:rsidRPr="00883566">
        <w:rPr>
          <w:rFonts w:cs="Times New Roman"/>
          <w:b/>
          <w:bCs/>
        </w:rPr>
        <w:t xml:space="preserve">Lõplik kehtestatav kohustus on sätestatud </w:t>
      </w:r>
      <w:r>
        <w:rPr>
          <w:rFonts w:cs="Times New Roman"/>
          <w:b/>
          <w:bCs/>
        </w:rPr>
        <w:t>ptk. 8.</w:t>
      </w:r>
      <w:r w:rsidRPr="00883566">
        <w:rPr>
          <w:rFonts w:cs="Times New Roman"/>
          <w:b/>
          <w:bCs/>
        </w:rPr>
        <w:t>4.</w:t>
      </w:r>
      <w:r>
        <w:rPr>
          <w:rFonts w:cs="Times New Roman"/>
          <w:b/>
          <w:bCs/>
        </w:rPr>
        <w:t>10</w:t>
      </w:r>
    </w:p>
    <w:p w14:paraId="08539CED" w14:textId="77777777" w:rsidR="00415922" w:rsidRPr="00883566" w:rsidRDefault="00415922" w:rsidP="00AA241E">
      <w:pPr>
        <w:jc w:val="both"/>
        <w:rPr>
          <w:rFonts w:cs="Times New Roman"/>
        </w:rPr>
      </w:pPr>
    </w:p>
    <w:p w14:paraId="7D59BE8B" w14:textId="77777777" w:rsidR="00F03958" w:rsidRPr="00883566" w:rsidRDefault="00F03958" w:rsidP="00AA241E">
      <w:pPr>
        <w:jc w:val="both"/>
        <w:rPr>
          <w:rFonts w:cs="Times New Roman"/>
        </w:rPr>
      </w:pPr>
    </w:p>
    <w:p w14:paraId="76EFD0A8" w14:textId="7DEDB4D7" w:rsidR="00F03958" w:rsidRPr="00883566" w:rsidRDefault="00F03958" w:rsidP="009805E1">
      <w:pPr>
        <w:pStyle w:val="Pealkiri3"/>
      </w:pPr>
      <w:bookmarkStart w:id="1282" w:name="_Toc174710887"/>
      <w:r w:rsidRPr="00883566">
        <w:t>Teabe asümmeetria</w:t>
      </w:r>
      <w:bookmarkEnd w:id="1282"/>
    </w:p>
    <w:p w14:paraId="6924A81A" w14:textId="77777777" w:rsidR="00F03958" w:rsidRPr="00883566" w:rsidRDefault="00F03958" w:rsidP="00AA241E">
      <w:pPr>
        <w:jc w:val="both"/>
        <w:rPr>
          <w:rFonts w:cs="Times New Roman"/>
        </w:rPr>
      </w:pPr>
    </w:p>
    <w:p w14:paraId="3E51DD04" w14:textId="77777777" w:rsidR="00F03958" w:rsidRPr="00883566" w:rsidRDefault="00F03958" w:rsidP="00AA241E">
      <w:pPr>
        <w:jc w:val="both"/>
        <w:rPr>
          <w:rFonts w:cs="Times New Roman"/>
        </w:rPr>
      </w:pPr>
      <w:r w:rsidRPr="00883566">
        <w:rPr>
          <w:rFonts w:cs="Times New Roman"/>
        </w:rPr>
        <w:t>EK 2024 kohustuste soovituse kohaselt:</w:t>
      </w:r>
    </w:p>
    <w:p w14:paraId="6598A7AF" w14:textId="77777777" w:rsidR="00F03958" w:rsidRPr="00883566" w:rsidRDefault="00F03958" w:rsidP="00AA241E">
      <w:pPr>
        <w:ind w:left="720"/>
        <w:jc w:val="both"/>
        <w:rPr>
          <w:rFonts w:cs="Times New Roman"/>
        </w:rPr>
      </w:pPr>
      <w:r w:rsidRPr="00883566">
        <w:rPr>
          <w:rFonts w:cs="Times New Roman"/>
        </w:rPr>
        <w:t>Kui MTE hulgimüüki korraldavad üksused (sh asjaomaste partnerid)  on eelnevalt teadlikud juurdepääsu taotleja (sh teise konkureeriva sideettevõtja) teenuste kasutuselevõtu plaanidest (sh sidevõrgu arenduse ja kasutuselevõtu plaanidest), peaksid riikide reguleerivad asutused tagama, et sellist teavet ei jagata MTE jaemüüki korraldavate üksustega (sh asjaomaste partneritega), et MTE ei saaks ebaõiglast konkurentsieelist. Miinimumnõudena peaksid riikide reguleerivad asutused tagama, et MTE jaemüügiga tegelevad töötajad ei osale MTE sellistes struktuurides, mis kas otseselt või kaudselt vastutavad hulgimüügisisenditele juurdepääsu haldamise eest. Riikide reguleerivad asutused võivad nõuda, et MTE esitaks igal aastal aruande, milles kirjeldatakse:</w:t>
      </w:r>
    </w:p>
    <w:p w14:paraId="2C65DE7C" w14:textId="77777777" w:rsidR="00F03958" w:rsidRPr="00883566" w:rsidRDefault="00F03958" w:rsidP="00AA241E">
      <w:pPr>
        <w:ind w:left="1440"/>
        <w:jc w:val="both"/>
        <w:rPr>
          <w:rFonts w:cs="Times New Roman"/>
        </w:rPr>
      </w:pPr>
      <w:r w:rsidRPr="00883566">
        <w:rPr>
          <w:rFonts w:cs="Times New Roman"/>
        </w:rPr>
        <w:t xml:space="preserve">a) tavasid, millega tagatakse, et hulgi- ja jaemüügiettevõtjad ei jaga omavahel tundlikku teavet; </w:t>
      </w:r>
    </w:p>
    <w:p w14:paraId="5B1502D4" w14:textId="77777777" w:rsidR="00F03958" w:rsidRPr="00883566" w:rsidRDefault="00F03958" w:rsidP="00AA241E">
      <w:pPr>
        <w:ind w:left="720" w:firstLine="720"/>
        <w:jc w:val="both"/>
        <w:rPr>
          <w:rFonts w:cs="Times New Roman"/>
        </w:rPr>
      </w:pPr>
      <w:r w:rsidRPr="00883566">
        <w:rPr>
          <w:rFonts w:cs="Times New Roman"/>
        </w:rPr>
        <w:t>b) kõiki väidetavaid rikkumisi;</w:t>
      </w:r>
    </w:p>
    <w:p w14:paraId="501A594E" w14:textId="77777777" w:rsidR="00F03958" w:rsidRPr="00883566" w:rsidRDefault="00F03958" w:rsidP="00AA241E">
      <w:pPr>
        <w:jc w:val="both"/>
        <w:rPr>
          <w:rFonts w:cs="Times New Roman"/>
        </w:rPr>
      </w:pPr>
      <w:r w:rsidRPr="00883566">
        <w:rPr>
          <w:rFonts w:cs="Times New Roman"/>
        </w:rPr>
        <w:tab/>
      </w:r>
      <w:r w:rsidRPr="00883566">
        <w:rPr>
          <w:rFonts w:cs="Times New Roman"/>
        </w:rPr>
        <w:tab/>
        <w:t>c) võetud parandusmeetmeid.</w:t>
      </w:r>
    </w:p>
    <w:p w14:paraId="1DE0DA75" w14:textId="77777777" w:rsidR="00F03958" w:rsidRPr="00883566" w:rsidRDefault="00F03958" w:rsidP="00AA241E">
      <w:pPr>
        <w:jc w:val="both"/>
        <w:rPr>
          <w:rFonts w:cs="Times New Roman"/>
        </w:rPr>
      </w:pPr>
    </w:p>
    <w:p w14:paraId="56297B2A" w14:textId="0F3AA747" w:rsidR="00F03958" w:rsidRPr="00883566" w:rsidRDefault="00F03958" w:rsidP="00AA241E">
      <w:pPr>
        <w:jc w:val="both"/>
        <w:rPr>
          <w:rFonts w:cs="Times New Roman"/>
        </w:rPr>
      </w:pPr>
      <w:r w:rsidRPr="00883566">
        <w:rPr>
          <w:rFonts w:cs="Times New Roman"/>
        </w:rPr>
        <w:t>Elisa avaldas TTJA 2024 ST</w:t>
      </w:r>
      <w:r w:rsidR="001B7EC2">
        <w:rPr>
          <w:rFonts w:cs="Times New Roman"/>
        </w:rPr>
        <w:t>J</w:t>
      </w:r>
      <w:r w:rsidRPr="00883566">
        <w:rPr>
          <w:rFonts w:cs="Times New Roman"/>
        </w:rPr>
        <w:t xml:space="preserve"> hulgituru otsuse kavand riigisisesel konsultatsioonil järgmist:</w:t>
      </w:r>
    </w:p>
    <w:p w14:paraId="1066F119" w14:textId="77777777" w:rsidR="00F03958" w:rsidRPr="00883566" w:rsidRDefault="00F03958" w:rsidP="00AA241E">
      <w:pPr>
        <w:spacing w:before="120" w:after="120"/>
        <w:ind w:left="720"/>
        <w:jc w:val="both"/>
        <w:rPr>
          <w:rFonts w:cs="Times New Roman"/>
          <w:i/>
          <w:iCs/>
        </w:rPr>
      </w:pPr>
      <w:r w:rsidRPr="00883566">
        <w:rPr>
          <w:rFonts w:cs="Times New Roman"/>
          <w:i/>
          <w:iCs/>
        </w:rPr>
        <w:t xml:space="preserve">Juurdepääs – ESS § 64 lg 2 p 3: nii seaduse kui ka kehtiva ja kavandatud regulatsiooni kohaselt peab MTE/Telia „kasutama juurdepääsuga seoses saadud teavet üksnes [juurdepääsuteenuse] osutamiseks ja mitte avaldama seda 3-ndatele isikutele, kaasa arvatud oma koostööpartneritele ja tütarettevõtjatele, kui seaduses ei ole sätestatud teisiti.“ See on kohustus mis nõuab Telialt nn Hiina müüre jae- ja </w:t>
      </w:r>
      <w:proofErr w:type="spellStart"/>
      <w:r w:rsidRPr="00883566">
        <w:rPr>
          <w:rFonts w:cs="Times New Roman"/>
          <w:i/>
          <w:iCs/>
        </w:rPr>
        <w:t>hulgiäri</w:t>
      </w:r>
      <w:proofErr w:type="spellEnd"/>
      <w:r w:rsidRPr="00883566">
        <w:rPr>
          <w:rFonts w:cs="Times New Roman"/>
          <w:i/>
          <w:iCs/>
        </w:rPr>
        <w:t xml:space="preserve"> vahele. Kas TTJA on kunagi kontrollinud, et kas ja kuidas Telia seda kohustust täidab ja kas ta saab sellest kohustusest üldse samamoodi aru (st et tema jae- ja hulgi-äri vahel ei või teiste operaatorite (jaetasandi konkurentide) juurdepääsu puudutav info nö vabalt liikuda)? Meil on olnud juhtumeid, kus peale tehniliste tingimuste päringu tegemist hakkab Telia paralleelselt samas kohas oma võrku ehitama. </w:t>
      </w:r>
    </w:p>
    <w:p w14:paraId="583C02B4" w14:textId="77777777" w:rsidR="00F03958" w:rsidRPr="00883566" w:rsidRDefault="00F03958" w:rsidP="00AA241E">
      <w:pPr>
        <w:spacing w:before="120" w:after="120"/>
        <w:ind w:left="720"/>
        <w:jc w:val="both"/>
        <w:rPr>
          <w:rFonts w:cs="Times New Roman"/>
          <w:i/>
          <w:iCs/>
        </w:rPr>
      </w:pPr>
      <w:r w:rsidRPr="00883566">
        <w:rPr>
          <w:rFonts w:cs="Times New Roman"/>
          <w:i/>
          <w:iCs/>
        </w:rPr>
        <w:lastRenderedPageBreak/>
        <w:t>Konkurentsiamet on ses osas öelnud väga tabavalt: „Regulatsiooni tõhusus oleneb mitte üksnes otsuses sätestatavate lahenduste idee headusest, vaid samavõrd sellest, kuidas regulatsiooni-alune ettevõtja talle pandud kohustusi täitma hakkab.“</w:t>
      </w:r>
    </w:p>
    <w:p w14:paraId="11409D31" w14:textId="77777777" w:rsidR="00F03958" w:rsidRPr="00883566" w:rsidRDefault="00F03958" w:rsidP="00AA241E">
      <w:pPr>
        <w:jc w:val="both"/>
        <w:rPr>
          <w:rFonts w:cs="Times New Roman"/>
        </w:rPr>
      </w:pPr>
    </w:p>
    <w:p w14:paraId="76DB268E" w14:textId="5BA7AA31" w:rsidR="00F03958" w:rsidRPr="00883566" w:rsidRDefault="00F03958" w:rsidP="00AA241E">
      <w:pPr>
        <w:jc w:val="both"/>
        <w:rPr>
          <w:rFonts w:cs="Times New Roman"/>
        </w:rPr>
      </w:pPr>
      <w:r w:rsidRPr="00883566">
        <w:rPr>
          <w:rFonts w:cs="Times New Roman"/>
        </w:rPr>
        <w:t xml:space="preserve">TTJA 2017 hulgituru 3b otsuse lisa 1 </w:t>
      </w:r>
      <w:r w:rsidR="008C159A">
        <w:rPr>
          <w:rFonts w:cs="Times New Roman"/>
        </w:rPr>
        <w:t xml:space="preserve">ptk. </w:t>
      </w:r>
      <w:r w:rsidRPr="00883566">
        <w:rPr>
          <w:rFonts w:cs="Times New Roman"/>
        </w:rPr>
        <w:t>6.2.4 alusel kehtib käesoleva otsuse koostamise ajal Teliale hulgituru 3b teenuste osutamisel ESS § 64 lõike 2 punktist 3 tulenev kohustus kasutama juurdepääsuga seoses saadud teavet üksnes vastava teenuse osutamiseks ning mitte avaldama seda kolmandale isikule, eelkõige teisele struktuuriüksusele, tütarettevõtjale ega partnerile, kellele selline teave võiks anda konkurentsieeliseid, kui seaduses ei ole sätestatud teisiti.</w:t>
      </w:r>
    </w:p>
    <w:p w14:paraId="506319E9" w14:textId="77777777" w:rsidR="00F03958" w:rsidRPr="00883566" w:rsidRDefault="00F03958" w:rsidP="00AA241E">
      <w:pPr>
        <w:jc w:val="both"/>
        <w:rPr>
          <w:rFonts w:cs="Times New Roman"/>
        </w:rPr>
      </w:pPr>
      <w:r w:rsidRPr="00883566">
        <w:rPr>
          <w:rFonts w:cs="Times New Roman"/>
        </w:rPr>
        <w:t xml:space="preserve">TTJA ei ole eeltoodud kohustuse täitmise osas järelevalve menetlusi läbi viinud. </w:t>
      </w:r>
    </w:p>
    <w:p w14:paraId="04E5D118" w14:textId="77777777" w:rsidR="00F03958" w:rsidRDefault="00F03958" w:rsidP="00AA241E">
      <w:pPr>
        <w:jc w:val="both"/>
        <w:rPr>
          <w:rFonts w:cs="Times New Roman"/>
        </w:rPr>
      </w:pPr>
      <w:r w:rsidRPr="00883566">
        <w:rPr>
          <w:rFonts w:cs="Times New Roman"/>
        </w:rPr>
        <w:t xml:space="preserve">TTJA on seisukohal, et nimetatud kohustuse täitmise tagamine on oluline konkurentsi tagamiseks internetiühenduste jaeturul. </w:t>
      </w:r>
    </w:p>
    <w:p w14:paraId="4FF61478" w14:textId="1B1AA6CF" w:rsidR="00B44C5A" w:rsidRPr="00883566" w:rsidRDefault="00B44C5A" w:rsidP="00B44C5A">
      <w:pPr>
        <w:jc w:val="both"/>
        <w:rPr>
          <w:rFonts w:cs="Times New Roman"/>
          <w:b/>
          <w:bCs/>
        </w:rPr>
      </w:pPr>
      <w:r w:rsidRPr="00883566">
        <w:rPr>
          <w:rFonts w:cs="Times New Roman"/>
          <w:b/>
          <w:bCs/>
        </w:rPr>
        <w:t xml:space="preserve">Eeltoodust tulenevalt ja võttes arvesse, et Teliale ei rakendu mittediskrimineerimise kohustuse raames sisendite võrdväärsus, vaid väljundite võrdväärsus, vt </w:t>
      </w:r>
      <w:r>
        <w:rPr>
          <w:rFonts w:cs="Times New Roman"/>
          <w:b/>
          <w:bCs/>
        </w:rPr>
        <w:t>ptk. 8.4.4</w:t>
      </w:r>
      <w:r w:rsidRPr="00883566">
        <w:rPr>
          <w:rFonts w:cs="Times New Roman"/>
          <w:b/>
          <w:bCs/>
        </w:rPr>
        <w:t>,  on mõistlik ja otstarbekas nõuda Telialt aruande</w:t>
      </w:r>
      <w:r>
        <w:rPr>
          <w:rFonts w:cs="Times New Roman"/>
          <w:b/>
          <w:bCs/>
        </w:rPr>
        <w:t xml:space="preserve"> esitamist TTJA-</w:t>
      </w:r>
      <w:proofErr w:type="spellStart"/>
      <w:r>
        <w:rPr>
          <w:rFonts w:cs="Times New Roman"/>
          <w:b/>
          <w:bCs/>
        </w:rPr>
        <w:t>le</w:t>
      </w:r>
      <w:proofErr w:type="spellEnd"/>
      <w:r w:rsidRPr="00883566">
        <w:rPr>
          <w:rFonts w:cs="Times New Roman"/>
          <w:b/>
          <w:bCs/>
        </w:rPr>
        <w:t>, milles kirjeldatakse meetmeid, millega tagatakse, et Telia hulgi- ja jaemüüki korraldavad ettevõttesised üksused või asjaomased partnerid ei jaga omavahel tundlikku teavet, mis võiks anda Teliale konkurentsieelise jaeteenuste osutamisel</w:t>
      </w:r>
      <w:r>
        <w:rPr>
          <w:rFonts w:cs="Times New Roman"/>
          <w:b/>
          <w:bCs/>
        </w:rPr>
        <w:t xml:space="preserve">. </w:t>
      </w:r>
      <w:r w:rsidRPr="00883566">
        <w:rPr>
          <w:rFonts w:cs="Times New Roman"/>
          <w:b/>
          <w:bCs/>
        </w:rPr>
        <w:t xml:space="preserve">Lõplik kehtestatav kohustus on sätestatud </w:t>
      </w:r>
      <w:r>
        <w:rPr>
          <w:rFonts w:cs="Times New Roman"/>
          <w:b/>
          <w:bCs/>
        </w:rPr>
        <w:t>ptk. 8.</w:t>
      </w:r>
      <w:r w:rsidRPr="00883566">
        <w:rPr>
          <w:rFonts w:cs="Times New Roman"/>
          <w:b/>
          <w:bCs/>
        </w:rPr>
        <w:t>4.</w:t>
      </w:r>
      <w:r>
        <w:rPr>
          <w:rFonts w:cs="Times New Roman"/>
          <w:b/>
          <w:bCs/>
        </w:rPr>
        <w:t>10</w:t>
      </w:r>
    </w:p>
    <w:p w14:paraId="4BC10ED6" w14:textId="77777777" w:rsidR="00B44C5A" w:rsidRPr="00883566" w:rsidRDefault="00B44C5A" w:rsidP="00AA241E">
      <w:pPr>
        <w:jc w:val="both"/>
        <w:rPr>
          <w:rFonts w:cs="Times New Roman"/>
        </w:rPr>
      </w:pPr>
    </w:p>
    <w:p w14:paraId="67BA7121" w14:textId="77777777" w:rsidR="00F03958" w:rsidRPr="00883566" w:rsidRDefault="00F03958" w:rsidP="00AA241E">
      <w:pPr>
        <w:jc w:val="both"/>
        <w:rPr>
          <w:rFonts w:cs="Times New Roman"/>
        </w:rPr>
      </w:pPr>
    </w:p>
    <w:p w14:paraId="7692EEEE" w14:textId="77777777" w:rsidR="00F03958" w:rsidRPr="00883566" w:rsidRDefault="00F03958" w:rsidP="00AA241E">
      <w:pPr>
        <w:jc w:val="both"/>
        <w:rPr>
          <w:rFonts w:cs="Times New Roman"/>
        </w:rPr>
      </w:pPr>
    </w:p>
    <w:p w14:paraId="7DE50888" w14:textId="233F90C5" w:rsidR="00F03958" w:rsidRPr="00883566" w:rsidRDefault="00F03958" w:rsidP="009805E1">
      <w:pPr>
        <w:pStyle w:val="Pealkiri3"/>
      </w:pPr>
      <w:bookmarkStart w:id="1283" w:name="_Toc174710888"/>
      <w:bookmarkStart w:id="1284" w:name="_Toc66262832"/>
      <w:bookmarkStart w:id="1285" w:name="_Toc151026084"/>
      <w:r w:rsidRPr="00883566">
        <w:t>Vaskpaarvõrkude kasutusest kõrvaldamine</w:t>
      </w:r>
      <w:bookmarkEnd w:id="1283"/>
      <w:r w:rsidRPr="00883566">
        <w:t xml:space="preserve"> </w:t>
      </w:r>
      <w:bookmarkEnd w:id="1284"/>
      <w:bookmarkEnd w:id="1285"/>
    </w:p>
    <w:p w14:paraId="56855525" w14:textId="77777777" w:rsidR="00F03958" w:rsidRPr="00883566" w:rsidRDefault="00F03958" w:rsidP="00AA241E">
      <w:pPr>
        <w:spacing w:before="120" w:after="120"/>
        <w:jc w:val="both"/>
        <w:rPr>
          <w:rFonts w:cs="Times New Roman"/>
          <w:lang w:eastAsia="et-EE"/>
        </w:rPr>
      </w:pPr>
    </w:p>
    <w:p w14:paraId="54206380" w14:textId="77777777" w:rsidR="00F03958" w:rsidRPr="00883566" w:rsidRDefault="00F03958" w:rsidP="00AA241E">
      <w:pPr>
        <w:spacing w:before="120" w:after="120"/>
        <w:jc w:val="both"/>
        <w:rPr>
          <w:rFonts w:cs="Times New Roman"/>
        </w:rPr>
      </w:pPr>
      <w:r w:rsidRPr="00883566">
        <w:rPr>
          <w:rFonts w:cs="Times New Roman"/>
        </w:rPr>
        <w:t>Järgnevalt TTJA analüüsis, kas on vajalik teha muudatusi käesoleva otsuse koostamise ajal TTJA 2017 hulgituru 3b otsuses sätestatud juurdepääsu kohustuste osas lähtudes EK 2024 kohustuste soovitusest ning teiste sideettevõtjate TTJA 2021 hulgituru 3b otsuse ja TTJA 2023 hulgituru 3b otsuse eelnõu koostamise käigus esitatud väidetest võimalike tuleviku konkurentsitõkete kohta seoses Telia vaskpaarvõrkude kasutusest kõrvaldamise tingimustega.</w:t>
      </w:r>
    </w:p>
    <w:p w14:paraId="79961763" w14:textId="77777777" w:rsidR="00F03958" w:rsidRPr="00883566" w:rsidRDefault="00F03958" w:rsidP="00AA241E">
      <w:pPr>
        <w:spacing w:before="120" w:after="120"/>
        <w:jc w:val="both"/>
        <w:rPr>
          <w:rFonts w:cs="Times New Roman"/>
        </w:rPr>
      </w:pPr>
    </w:p>
    <w:p w14:paraId="0E0C34C4" w14:textId="77777777" w:rsidR="00F03958" w:rsidRPr="00883566" w:rsidRDefault="00F03958" w:rsidP="00AA241E">
      <w:pPr>
        <w:spacing w:before="120" w:after="120"/>
        <w:jc w:val="both"/>
        <w:rPr>
          <w:rFonts w:cs="Times New Roman"/>
        </w:rPr>
      </w:pPr>
      <w:r w:rsidRPr="00883566">
        <w:rPr>
          <w:rFonts w:cs="Times New Roman"/>
        </w:rPr>
        <w:t>EK 2024 kohustuste soovituse kohaselt:</w:t>
      </w:r>
    </w:p>
    <w:p w14:paraId="05510A2A" w14:textId="77777777" w:rsidR="00F03958" w:rsidRPr="00883566" w:rsidRDefault="00F03958" w:rsidP="00AA241E">
      <w:pPr>
        <w:spacing w:before="120" w:after="120"/>
        <w:ind w:left="359"/>
        <w:jc w:val="both"/>
        <w:rPr>
          <w:rFonts w:cs="Times New Roman"/>
          <w:lang w:eastAsia="et-EE"/>
        </w:rPr>
      </w:pPr>
      <w:r w:rsidRPr="00883566">
        <w:rPr>
          <w:rFonts w:cs="Times New Roman"/>
          <w:lang w:eastAsia="et-EE"/>
        </w:rPr>
        <w:t>ÜLEMINEK VÄGA SUURE LÄBILASKEVÕIMEGA VÕRKUDELE JA VASKPAARVÕRGU KASUTUSEST KÕRVALDAMINE</w:t>
      </w:r>
    </w:p>
    <w:p w14:paraId="10FFA143" w14:textId="77777777" w:rsidR="00F03958" w:rsidRPr="00883566" w:rsidRDefault="00F03958" w:rsidP="00AA241E">
      <w:pPr>
        <w:spacing w:before="120" w:after="120"/>
        <w:ind w:left="359"/>
        <w:jc w:val="both"/>
        <w:rPr>
          <w:rFonts w:cs="Times New Roman"/>
          <w:lang w:eastAsia="et-EE"/>
        </w:rPr>
      </w:pPr>
      <w:r w:rsidRPr="00883566">
        <w:rPr>
          <w:rFonts w:cs="Times New Roman"/>
          <w:lang w:eastAsia="et-EE"/>
        </w:rPr>
        <w:lastRenderedPageBreak/>
        <w:t>Kui MTE teatab kavatsusest oma vaskpaarvõrk kasutusest kõrvaldada, peaks riigi reguleeriv asutus kooskõlas direktiivi (EL) 2018/1972 artikli 81 lõike 2 esimese lõiguga tagama, et ette on nähtud asjakohane etteteatamisaeg ülemineku võimaldamiseks, et alternatiivsed ettevõtjad saaksid võrgu kasutusest kõrvaldamisest aegsasti teada. See etteteatamisaeg ei tohiks olla pikem kui kaks-kolm aastat. Tuleks tagada, et juurdepääsu taotlejatele tehakse kättesaadavaks vähemalt võrreldava kvaliteediga asjakohane alternatiivne toode, mis võimaldab juurdepääsu ajakohastatud võrgutaristule. See tuleks tagada enne etteteatamisaja algust või piisavalt aegsasti enne seda, kui pärandvõrguga seoses kohaldatavad juurdepääsukohustused kaotatakse, et võrgu saaks kasutusest kõrvaldada. Riigi reguleeriv asutus peaks neid tingimusi kaaluma, kui see on vajalik konkurentsi ja lõppkasutajate õiguste kaitseks. Etteteatamisaja täpne pikkus (vahemikus kaks-kolm aastat) tuleks kindlaks määrata vastavalt sellele, mil määral juurdepääsu taotlejad kasutusest kõrvaldatavat võrku reaalselt kasutavad, või pärandvõrgu ja uute võrkude kaudu pakutava juurdepääsutoote liiki arvestades. Eeskätt võivad juurdepääsu taotlejad vajada rohkem aega üleminekul passiivsetelt toodetelt või passiivsetele toodetele (nt juurdepääs kaablikanalisatsioonile või kasutamata valguskaablile) kui üleminekul aktiivsetelt toodetelt või aktiivsetele toodetele (nt bitivooühendus), sest passiivsete toodete puhul ei saa väga suure läbilaskevõimega võrgu jaoks tõenäoliselt kasutada sama üleandmispunkti nagu vaskpaarvõrgu korral. Samuti võivad mõned olukorrad nõuda lühemat etteteatamistähtaega sõltuvalt riigisisestest asjaoludest. See kehtib eelkõige juhul, kui MTE ja kõik juurdepääsutaotlejad, kes kasutavad hulgimüügitasandi pärandvõrgu juurdepääsutooteid, nõustuvad sellega.</w:t>
      </w:r>
    </w:p>
    <w:p w14:paraId="39DA3D10" w14:textId="77777777" w:rsidR="00F03958" w:rsidRPr="00883566" w:rsidRDefault="00F03958" w:rsidP="00AA241E">
      <w:pPr>
        <w:spacing w:before="120" w:after="120"/>
        <w:ind w:left="359"/>
        <w:jc w:val="both"/>
        <w:rPr>
          <w:rFonts w:cs="Times New Roman"/>
          <w:lang w:eastAsia="et-EE"/>
        </w:rPr>
      </w:pPr>
      <w:r w:rsidRPr="00883566">
        <w:rPr>
          <w:rFonts w:cs="Times New Roman"/>
          <w:lang w:eastAsia="et-EE"/>
        </w:rPr>
        <w:t>Selleks et hinnata kooskõlas direktiivi (EL) 2018/1972 artikli 81 lõike 2 esimese lõiguga, kas plaaniga tagatakse selliste alternatiivsete juurdepääsutoodete tegelik kättesaadavus, millel on vähemalt võrreldav kvaliteet kui pärandtaristut kasutades pakutavatel toodetel, peaksid riikide reguleerivad asutused kehtestama asendusmaatriksi, milles määratakse kindlaks pärandvõrgu kaudu direktiivi (EL) 2018/1972 artikli 73 alusel pakutavatele juurdepääsutoodetele vastavad juurdepääsutooted, mis põhinevad uuel või uuendatud võrgutaristul. Sellega seoses kasutatavate põhiliste tulemusnäitajate ja teenustaseme kokkulepete puhul tuleks arvesse võtta nii kummagi võrgu tehnilist jõudlust kui ka kõiki asjaomaseid juurdepääsutingimusi. Olenevalt asjaomases piirkonnas valitsevatest oludest võib alternatiivse juurdepääsupakkumise teha vaskpaarvõrku käitav MTE või muu ettevõtja, kes on selles piirkonnas kasutusele võtnud väga suure läbilaskevõimega võrgu. Alternatiivne pakkumine võidakse teha regulatiivsete kohustuste (kui sellised kohustused on kehtestatud), direktiivi (EL) 2018/1972 artikli 79 kohaselt võetud ja siduvaks muudetud kohustuste või kaubanduslepingu alusel. Igal juhul peaks riigi reguleeriv asutus hindama, kas vaskpaarvõrku käitav MTE on ette näinud direktiivi (EL) 2018/1972 artikli 81 lõikes 2 sätestatud tingimustele vastava alternatiivse juurdepääsutoote kättesaadavuse.</w:t>
      </w:r>
    </w:p>
    <w:p w14:paraId="046571B9" w14:textId="77777777" w:rsidR="00F03958" w:rsidRPr="00883566" w:rsidRDefault="00F03958" w:rsidP="00AA241E">
      <w:pPr>
        <w:spacing w:before="120" w:after="120"/>
        <w:ind w:left="359"/>
        <w:jc w:val="both"/>
        <w:rPr>
          <w:rFonts w:cs="Times New Roman"/>
          <w:lang w:eastAsia="et-EE"/>
        </w:rPr>
      </w:pPr>
      <w:r w:rsidRPr="00883566">
        <w:rPr>
          <w:rFonts w:cs="Times New Roman"/>
          <w:lang w:eastAsia="et-EE"/>
        </w:rPr>
        <w:t xml:space="preserve">Selleks et alternatiivsed juurdepääsutooted võimaldaksid juurdepääsu taotlejatel jõuda kooskõlas direktiivi (EL) 2018/1972 artikli 81 lõike 2 esimese lõiguga samade lõppkasutajateni </w:t>
      </w:r>
      <w:r w:rsidRPr="00883566">
        <w:rPr>
          <w:rFonts w:cs="Times New Roman"/>
          <w:lang w:eastAsia="et-EE"/>
        </w:rPr>
        <w:lastRenderedPageBreak/>
        <w:t>nagu pärandtaristut kasutades, peaksid riikide reguleerivad asutused kindlaks määrama katvuskünnise, mis tuleb asjaomases piirkonnas saavutada väga suure läbilaskevõimega võrkude kaudu selliste toodete pakkumisega, mida käsitatakse pärandvõrgu kaudu pakutavate reguleeritud toodete asjakohaste alternatiividena; seda tuleks teha enne, kui pärandvõrguga seotud juurdepääsukohustused selles piirkonnas täielikult kaotatakse, et võimaldada kasutusest kõrvaldamist.</w:t>
      </w:r>
    </w:p>
    <w:p w14:paraId="42C870B1" w14:textId="77777777" w:rsidR="00F03958" w:rsidRPr="00883566" w:rsidRDefault="00F03958" w:rsidP="00AA241E">
      <w:pPr>
        <w:spacing w:before="120" w:after="120"/>
        <w:ind w:left="359"/>
        <w:jc w:val="both"/>
        <w:rPr>
          <w:rFonts w:cs="Times New Roman"/>
          <w:lang w:eastAsia="et-EE"/>
        </w:rPr>
      </w:pPr>
      <w:r w:rsidRPr="00883566">
        <w:rPr>
          <w:rFonts w:cs="Times New Roman"/>
          <w:lang w:eastAsia="et-EE"/>
        </w:rPr>
        <w:t xml:space="preserve">Riikide reguleerivad asutused peaksid kandma hoolt selle eest, et kasutusest kõrvaldamise menetluse ja ajakava väljatöötamisel ja rakendamisel tagatakse täielik läbipaistvus sidusrühmadele ja nende osalus selles protsessis. Samuti peaksid riikide reguleerivad asutused tagama, et kasutusest kõrvaldamise menetlus ei põhjustaks diskrimineerivat käitumist. See hõlmab </w:t>
      </w:r>
      <w:proofErr w:type="spellStart"/>
      <w:r w:rsidRPr="00883566">
        <w:rPr>
          <w:rFonts w:cs="Times New Roman"/>
          <w:lang w:eastAsia="et-EE"/>
        </w:rPr>
        <w:t>MTe</w:t>
      </w:r>
      <w:proofErr w:type="spellEnd"/>
      <w:r w:rsidRPr="00883566">
        <w:rPr>
          <w:rFonts w:cs="Times New Roman"/>
          <w:lang w:eastAsia="et-EE"/>
        </w:rPr>
        <w:t xml:space="preserve"> (kui ta on vertikaalselt integreeritud) jaemüügi üksuste ja juurdepääsu taotlejate vahel vahetegemist seoses vaskpaarvõrgule juurdepääsu tingimustega ülemineku- ja kasutusest kõrvaldamise etapis. Eeskätt ei tohiks MTE jätkata juurdepääsu pakkumist oma jaemüügi üksusele, kui ta ei osuta enam vastavaid teenuseid juurdepääsu taotlejatele, sest riigi reguleeriv asutus on juurdepääsukohustused kooskõlas direktiivi (EL) 2018/1972 artikli 81 lõike 2 teise lõiguga tühistanud, et võimaldada võrgu kasutusest kõrvaldamist. See puudutab ka võrgu sulgemise ajakavaga seotud erinevusi ühelt poolt selliste piirkondade vahel, kus väga suure läbilaskevõimega võrgu on kasutusele võtnud ettevõtja, kellel oli märkimisväärne turujõud pärandvõrgu puhul, ning teisalt selliste piirkondade vahel, kus väga suure läbilaskevõimega võrgu on kasutusele võtnud mõni muu ettevõtja, kui need erinevused ei ole põhjendatud objektiivsete kriteeriumide alusel.</w:t>
      </w:r>
    </w:p>
    <w:p w14:paraId="1E980FC4" w14:textId="77777777" w:rsidR="00F03958" w:rsidRPr="00883566" w:rsidRDefault="00F03958" w:rsidP="00AA241E">
      <w:pPr>
        <w:spacing w:before="120" w:after="120"/>
        <w:jc w:val="both"/>
        <w:rPr>
          <w:rFonts w:cs="Times New Roman"/>
          <w:lang w:eastAsia="et-EE"/>
        </w:rPr>
      </w:pPr>
    </w:p>
    <w:p w14:paraId="4AA1A765" w14:textId="5287FD2F" w:rsidR="00F03958" w:rsidRPr="00883566" w:rsidRDefault="00F03958" w:rsidP="00AA241E">
      <w:pPr>
        <w:spacing w:before="120" w:after="120"/>
        <w:jc w:val="both"/>
        <w:rPr>
          <w:rFonts w:cs="Times New Roman"/>
        </w:rPr>
      </w:pPr>
      <w:r w:rsidRPr="00883566">
        <w:rPr>
          <w:rFonts w:cs="Times New Roman"/>
        </w:rPr>
        <w:t xml:space="preserve">Telia uuendab oma sidevõrke aktiivselt, eelkõige vahetab </w:t>
      </w:r>
      <w:r w:rsidR="00AD1150">
        <w:rPr>
          <w:rFonts w:cs="Times New Roman"/>
        </w:rPr>
        <w:t>vaskpaar</w:t>
      </w:r>
      <w:r w:rsidRPr="00883566">
        <w:rPr>
          <w:rFonts w:cs="Times New Roman"/>
        </w:rPr>
        <w:t xml:space="preserve">võrkudes </w:t>
      </w:r>
      <w:proofErr w:type="spellStart"/>
      <w:r w:rsidRPr="00883566">
        <w:rPr>
          <w:rFonts w:cs="Times New Roman"/>
        </w:rPr>
        <w:t>ADSLx</w:t>
      </w:r>
      <w:proofErr w:type="spellEnd"/>
      <w:r w:rsidRPr="00883566">
        <w:rPr>
          <w:rFonts w:cs="Times New Roman"/>
        </w:rPr>
        <w:t xml:space="preserve"> tehnoloogiat olenevalt piirkonna elanike arvust, tihedusest ja olemasolevatest sidevõrgu taristutest </w:t>
      </w:r>
      <w:r w:rsidR="00A3232C">
        <w:rPr>
          <w:rFonts w:cs="Times New Roman"/>
        </w:rPr>
        <w:t>valguskaabelvõrgu</w:t>
      </w:r>
      <w:r w:rsidRPr="00883566">
        <w:rPr>
          <w:rFonts w:cs="Times New Roman"/>
        </w:rPr>
        <w:t xml:space="preserve"> FTTH/FTTB tehnoloogiate või mobiil</w:t>
      </w:r>
      <w:r w:rsidR="005C34E0">
        <w:rPr>
          <w:rFonts w:cs="Times New Roman"/>
        </w:rPr>
        <w:t>side</w:t>
      </w:r>
      <w:r w:rsidRPr="00883566">
        <w:rPr>
          <w:rFonts w:cs="Times New Roman"/>
        </w:rPr>
        <w:t xml:space="preserve">võrgu 4G/5G tehnoloogiate vastu. Telial oli 2023 aastal </w:t>
      </w:r>
      <w:proofErr w:type="spellStart"/>
      <w:r w:rsidRPr="00883566">
        <w:rPr>
          <w:rFonts w:cs="Times New Roman"/>
        </w:rPr>
        <w:t>ADSLx</w:t>
      </w:r>
      <w:proofErr w:type="spellEnd"/>
      <w:r w:rsidRPr="00883566">
        <w:rPr>
          <w:rFonts w:cs="Times New Roman"/>
        </w:rPr>
        <w:t xml:space="preserve"> tehnoloogial põhinevaid kasutusel internetiühendusi ca </w:t>
      </w:r>
      <w:r w:rsidR="006C5EC9">
        <w:rPr>
          <w:rFonts w:cs="Times New Roman"/>
        </w:rPr>
        <w:t>…</w:t>
      </w:r>
      <w:r w:rsidR="006C5EC9" w:rsidRPr="00883566">
        <w:rPr>
          <w:rFonts w:cs="Times New Roman"/>
        </w:rPr>
        <w:t>*</w:t>
      </w:r>
      <w:r w:rsidRPr="00883566">
        <w:rPr>
          <w:rFonts w:cs="Times New Roman"/>
        </w:rPr>
        <w:t xml:space="preserve">, mis moodustab Telia kõigist kasutusel püsiasukohaga internetiühendustest ca </w:t>
      </w:r>
      <w:r w:rsidR="006C5EC9">
        <w:rPr>
          <w:rFonts w:cs="Times New Roman"/>
        </w:rPr>
        <w:t>…</w:t>
      </w:r>
      <w:r w:rsidR="006C5EC9" w:rsidRPr="00883566">
        <w:rPr>
          <w:rFonts w:cs="Times New Roman"/>
        </w:rPr>
        <w:t>*</w:t>
      </w:r>
      <w:r w:rsidRPr="00883566">
        <w:rPr>
          <w:rFonts w:cs="Times New Roman"/>
        </w:rPr>
        <w:t xml:space="preserve">%, ja mis on viimastel aastatel kiiresti kahanenud, nt 2017 aastal oli Telial vastavaid kasutuses ühendusi ca </w:t>
      </w:r>
      <w:r w:rsidR="006C5EC9">
        <w:rPr>
          <w:rFonts w:cs="Times New Roman"/>
        </w:rPr>
        <w:t>…</w:t>
      </w:r>
      <w:r w:rsidR="006C5EC9" w:rsidRPr="00883566">
        <w:rPr>
          <w:rFonts w:cs="Times New Roman"/>
        </w:rPr>
        <w:t>*</w:t>
      </w:r>
      <w:r w:rsidRPr="00883566">
        <w:rPr>
          <w:rFonts w:cs="Times New Roman"/>
        </w:rPr>
        <w:t xml:space="preserve">. </w:t>
      </w:r>
    </w:p>
    <w:p w14:paraId="369FBBB0" w14:textId="268147CE" w:rsidR="00F03958" w:rsidRPr="00883566" w:rsidRDefault="00F03958" w:rsidP="00AA241E">
      <w:pPr>
        <w:spacing w:before="120" w:after="120"/>
        <w:jc w:val="both"/>
        <w:rPr>
          <w:rFonts w:cs="Times New Roman"/>
        </w:rPr>
      </w:pPr>
      <w:r w:rsidRPr="00883566">
        <w:rPr>
          <w:rFonts w:cs="Times New Roman"/>
        </w:rPr>
        <w:t xml:space="preserve">2023 aastal oli Telia hulgituru 3b teenuste kasutus madal, ca </w:t>
      </w:r>
      <w:r w:rsidR="006C5EC9">
        <w:rPr>
          <w:rFonts w:cs="Times New Roman"/>
        </w:rPr>
        <w:t>…</w:t>
      </w:r>
      <w:r w:rsidR="006C5EC9" w:rsidRPr="00883566">
        <w:rPr>
          <w:rFonts w:cs="Times New Roman"/>
        </w:rPr>
        <w:t>*</w:t>
      </w:r>
      <w:r w:rsidRPr="00883566">
        <w:rPr>
          <w:rFonts w:cs="Times New Roman"/>
        </w:rPr>
        <w:t xml:space="preserve"> lairibaühendust, kuid ei ole teada, kui suur osa nendest põhines </w:t>
      </w:r>
      <w:r w:rsidR="00532579">
        <w:rPr>
          <w:rFonts w:cs="Times New Roman"/>
        </w:rPr>
        <w:t>vaskpaar</w:t>
      </w:r>
      <w:r w:rsidRPr="00883566">
        <w:rPr>
          <w:rFonts w:cs="Times New Roman"/>
        </w:rPr>
        <w:t xml:space="preserve">võrgul ja kui suur osa </w:t>
      </w:r>
      <w:r w:rsidR="00A3232C">
        <w:rPr>
          <w:rFonts w:cs="Times New Roman"/>
        </w:rPr>
        <w:t>valguskaabelvõrgu</w:t>
      </w:r>
      <w:r w:rsidRPr="00883566">
        <w:rPr>
          <w:rFonts w:cs="Times New Roman"/>
        </w:rPr>
        <w:t>l.</w:t>
      </w:r>
    </w:p>
    <w:p w14:paraId="28F01B4B" w14:textId="52708005" w:rsidR="00F03958" w:rsidRPr="00883566" w:rsidRDefault="00F03958" w:rsidP="00AA241E">
      <w:pPr>
        <w:spacing w:before="120" w:after="120"/>
        <w:jc w:val="both"/>
        <w:rPr>
          <w:rFonts w:cs="Times New Roman"/>
          <w:b/>
          <w:bCs/>
        </w:rPr>
      </w:pPr>
      <w:r w:rsidRPr="00883566">
        <w:rPr>
          <w:rFonts w:cs="Times New Roman"/>
          <w:b/>
          <w:bCs/>
        </w:rPr>
        <w:t xml:space="preserve">Kuna Telial kaob käesoleva otsuse alusel kohustus pakkuda hulgituru 3b teenused </w:t>
      </w:r>
      <w:r w:rsidR="00AD1150">
        <w:rPr>
          <w:rFonts w:cs="Times New Roman"/>
          <w:b/>
          <w:bCs/>
        </w:rPr>
        <w:t>vaskpaar</w:t>
      </w:r>
      <w:r w:rsidRPr="00883566">
        <w:rPr>
          <w:rFonts w:cs="Times New Roman"/>
          <w:b/>
          <w:bCs/>
        </w:rPr>
        <w:t xml:space="preserve">võrgus üleriigiliselt ja </w:t>
      </w:r>
      <w:r w:rsidR="00A3232C">
        <w:rPr>
          <w:rFonts w:cs="Times New Roman"/>
          <w:b/>
          <w:bCs/>
        </w:rPr>
        <w:t>valguskaabelvõrgu</w:t>
      </w:r>
      <w:r w:rsidRPr="00883566">
        <w:rPr>
          <w:rFonts w:cs="Times New Roman"/>
          <w:b/>
          <w:bCs/>
        </w:rPr>
        <w:t xml:space="preserve">s A piirkonnas, vt </w:t>
      </w:r>
      <w:r w:rsidR="008C159A">
        <w:rPr>
          <w:rFonts w:cs="Times New Roman"/>
          <w:b/>
          <w:bCs/>
        </w:rPr>
        <w:t xml:space="preserve">ptk. </w:t>
      </w:r>
      <w:r w:rsidR="00A04E8F">
        <w:rPr>
          <w:rFonts w:cs="Times New Roman"/>
          <w:b/>
          <w:bCs/>
        </w:rPr>
        <w:t>8.1.2</w:t>
      </w:r>
      <w:r w:rsidRPr="00883566">
        <w:rPr>
          <w:rFonts w:cs="Times New Roman"/>
          <w:b/>
          <w:bCs/>
        </w:rPr>
        <w:t xml:space="preserve"> ja jääb kohustus pakkuda vastavaid teenuseid ainult </w:t>
      </w:r>
      <w:r w:rsidR="00A3232C">
        <w:rPr>
          <w:rFonts w:cs="Times New Roman"/>
          <w:b/>
          <w:bCs/>
        </w:rPr>
        <w:t>valguskaabelvõrgu</w:t>
      </w:r>
      <w:r w:rsidRPr="00883566">
        <w:rPr>
          <w:rFonts w:cs="Times New Roman"/>
          <w:b/>
          <w:bCs/>
        </w:rPr>
        <w:t xml:space="preserve">s B piirkonnas, siis puudub ka vajadus kehtestada Teliale täiendavaid kohustusi </w:t>
      </w:r>
      <w:r w:rsidR="00AD1150">
        <w:rPr>
          <w:rFonts w:cs="Times New Roman"/>
          <w:b/>
          <w:bCs/>
        </w:rPr>
        <w:t>vaskpaar</w:t>
      </w:r>
      <w:r w:rsidRPr="00883566">
        <w:rPr>
          <w:rFonts w:cs="Times New Roman"/>
          <w:b/>
          <w:bCs/>
        </w:rPr>
        <w:t xml:space="preserve">võrgu kasutusest kõrvaldamise tingimustele, et tagada </w:t>
      </w:r>
      <w:r w:rsidR="00AD1150">
        <w:rPr>
          <w:rFonts w:cs="Times New Roman"/>
          <w:b/>
          <w:bCs/>
        </w:rPr>
        <w:t>vaskpaar</w:t>
      </w:r>
      <w:r w:rsidRPr="00883566">
        <w:rPr>
          <w:rFonts w:cs="Times New Roman"/>
          <w:b/>
          <w:bCs/>
        </w:rPr>
        <w:t>võrgus osutatavate hulgituru 3b teenuste mittediskrimineeriv muutmine või lõpetamine.</w:t>
      </w:r>
    </w:p>
    <w:p w14:paraId="1E53C33F" w14:textId="77777777" w:rsidR="00F03958" w:rsidRPr="00883566" w:rsidRDefault="00F03958" w:rsidP="00AA241E">
      <w:pPr>
        <w:jc w:val="both"/>
        <w:rPr>
          <w:rFonts w:cs="Times New Roman"/>
        </w:rPr>
      </w:pPr>
    </w:p>
    <w:p w14:paraId="0E7607CE" w14:textId="77777777" w:rsidR="00F03958" w:rsidRPr="00883566" w:rsidRDefault="00F03958" w:rsidP="00AA241E">
      <w:pPr>
        <w:spacing w:before="120" w:after="120"/>
        <w:jc w:val="both"/>
        <w:rPr>
          <w:rFonts w:cs="Times New Roman"/>
          <w:lang w:eastAsia="et-EE"/>
        </w:rPr>
      </w:pPr>
    </w:p>
    <w:p w14:paraId="61161AFD" w14:textId="58A1A85C" w:rsidR="00F03958" w:rsidRPr="00883566" w:rsidRDefault="00F03958" w:rsidP="009805E1">
      <w:pPr>
        <w:pStyle w:val="Pealkiri3"/>
      </w:pPr>
      <w:bookmarkStart w:id="1286" w:name="_Toc151026096"/>
      <w:bookmarkStart w:id="1287" w:name="_Toc174710889"/>
      <w:r w:rsidRPr="00883566">
        <w:t>Mittediskrimineerimise  kohustuse kooskõla ESS §-ga 135</w:t>
      </w:r>
      <w:bookmarkEnd w:id="1286"/>
      <w:bookmarkEnd w:id="1287"/>
    </w:p>
    <w:p w14:paraId="28163BBF" w14:textId="77777777" w:rsidR="00F03958" w:rsidRPr="00883566" w:rsidRDefault="00F03958" w:rsidP="00AA241E">
      <w:pPr>
        <w:pStyle w:val="Loendilik"/>
        <w:spacing w:before="120" w:after="120"/>
        <w:ind w:left="0"/>
        <w:jc w:val="both"/>
        <w:rPr>
          <w:rFonts w:cs="Times New Roman"/>
          <w:lang w:eastAsia="et-EE"/>
        </w:rPr>
      </w:pPr>
    </w:p>
    <w:p w14:paraId="77FECE13" w14:textId="77777777" w:rsidR="00F03958" w:rsidRPr="00883566" w:rsidRDefault="00F03958" w:rsidP="00AA241E">
      <w:pPr>
        <w:pStyle w:val="Loendilik"/>
        <w:spacing w:before="120" w:after="120"/>
        <w:ind w:left="0"/>
        <w:jc w:val="both"/>
        <w:rPr>
          <w:rFonts w:cs="Times New Roman"/>
          <w:lang w:eastAsia="et-EE"/>
        </w:rPr>
      </w:pPr>
      <w:r w:rsidRPr="00883566">
        <w:rPr>
          <w:rFonts w:cs="Times New Roman"/>
        </w:rPr>
        <w:t>Kooskõla ESS § 135 lõikega 1 on tagatud, kuna mittediskrimineerimise kohustuste eesmärk on aidata kaasa sideteenuse turu arengule ja selle kehtestamine Teliale on:</w:t>
      </w:r>
    </w:p>
    <w:p w14:paraId="053497E1"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rPr>
        <w:t>mõistlik ja otstarbekas, kuna see tagab, et nimetatud sideettevõtja ei kasuta oma turujõudu konkurentsi kahjustavalt ega kohtle oma konkurente ebavõrdselt;</w:t>
      </w:r>
    </w:p>
    <w:p w14:paraId="4DB358A5"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rPr>
        <w:t>mittediskrimineeriv, kuna Telia poolt osutatavad hulgituru 3b koosseisu kuuluvad teenused mõjutavad konkurentsi vertikaalselt allapoole seotud jaeturgudel Telia ulatusliku infrastruktuuri olemasolu tõttu oluliselt suuremal määral kui teiste sideettevõtjate poolt nimetatud turu koosseisu kuuluvad teenused. Sellest tulenevalt on õigustatud Teliale mittediskrimineerimise kohustuste kehtestamine, et tõkestada Telia võimalust oma märkimisväärset turujõudu ära kasutada konkurentsi takistamiseks;</w:t>
      </w:r>
    </w:p>
    <w:p w14:paraId="745C9DD6"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rPr>
        <w:t>läbipaistev, kuna kohustus on kavandatud selliselt, et isikule oleks üheselt arusaadav, mida TTJA tema suhtes on otsustanud ning millised õigused ja kohustused sellest temale tulenevad.</w:t>
      </w:r>
    </w:p>
    <w:p w14:paraId="20200A2A"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 xml:space="preserve">suunatud käesoleva seaduse §-s 134 lõikes 1 sätestatud konkreetse eesmärgi, edendada konkurentsi elektroonilise side ja sellega seotud teenuste osutamisel, saavutamisele ning on seda eesmärki arvestades TTJA hinnangul proportsionaalne. </w:t>
      </w:r>
    </w:p>
    <w:p w14:paraId="0832A4A2" w14:textId="77777777" w:rsidR="00F03958" w:rsidRPr="00883566" w:rsidRDefault="00F03958" w:rsidP="00AA241E">
      <w:pPr>
        <w:spacing w:before="120" w:after="120" w:line="240" w:lineRule="auto"/>
        <w:ind w:left="567"/>
        <w:jc w:val="both"/>
        <w:rPr>
          <w:rFonts w:cs="Times New Roman"/>
          <w:lang w:eastAsia="et-EE"/>
        </w:rPr>
      </w:pPr>
    </w:p>
    <w:p w14:paraId="19E2973F" w14:textId="4CC4C69C" w:rsidR="00F03958" w:rsidRPr="00883566" w:rsidRDefault="00F03958" w:rsidP="009805E1">
      <w:pPr>
        <w:pStyle w:val="Pealkiri3"/>
      </w:pPr>
      <w:bookmarkStart w:id="1288" w:name="_Toc464639366"/>
      <w:bookmarkStart w:id="1289" w:name="_Ref465422187"/>
      <w:bookmarkStart w:id="1290" w:name="_Toc470614568"/>
      <w:bookmarkStart w:id="1291" w:name="_Toc472597891"/>
      <w:bookmarkStart w:id="1292" w:name="_Toc35339851"/>
      <w:bookmarkStart w:id="1293" w:name="_Toc66262839"/>
      <w:bookmarkStart w:id="1294" w:name="_Toc151026097"/>
      <w:bookmarkStart w:id="1295" w:name="_Toc174710890"/>
      <w:r w:rsidRPr="00883566">
        <w:t xml:space="preserve">Mittediskrimineerimise kohustuste </w:t>
      </w:r>
      <w:bookmarkEnd w:id="1252"/>
      <w:bookmarkEnd w:id="1253"/>
      <w:bookmarkEnd w:id="1254"/>
      <w:bookmarkEnd w:id="1255"/>
      <w:bookmarkEnd w:id="1256"/>
      <w:bookmarkEnd w:id="1257"/>
      <w:bookmarkEnd w:id="1258"/>
      <w:bookmarkEnd w:id="1288"/>
      <w:bookmarkEnd w:id="1289"/>
      <w:bookmarkEnd w:id="1290"/>
      <w:bookmarkEnd w:id="1291"/>
      <w:bookmarkEnd w:id="1292"/>
      <w:bookmarkEnd w:id="1293"/>
      <w:bookmarkEnd w:id="1294"/>
      <w:r w:rsidRPr="00883566">
        <w:t>kehtestamine</w:t>
      </w:r>
      <w:bookmarkEnd w:id="1295"/>
      <w:r w:rsidRPr="00883566">
        <w:t xml:space="preserve"> </w:t>
      </w:r>
    </w:p>
    <w:p w14:paraId="24D10ECD" w14:textId="77777777" w:rsidR="00F03958" w:rsidRPr="00883566" w:rsidRDefault="00F03958" w:rsidP="00AA241E">
      <w:pPr>
        <w:jc w:val="both"/>
        <w:rPr>
          <w:rFonts w:cs="Times New Roman"/>
        </w:rPr>
      </w:pPr>
    </w:p>
    <w:p w14:paraId="033189D2" w14:textId="31F4950A" w:rsidR="00F03958" w:rsidRPr="00883566" w:rsidRDefault="00F03958" w:rsidP="00AA241E">
      <w:pPr>
        <w:spacing w:line="259" w:lineRule="auto"/>
        <w:jc w:val="both"/>
        <w:rPr>
          <w:rFonts w:cs="Times New Roman"/>
          <w:lang w:eastAsia="en-US"/>
        </w:rPr>
      </w:pPr>
      <w:r w:rsidRPr="00883566">
        <w:rPr>
          <w:rFonts w:cs="Times New Roman"/>
        </w:rPr>
        <w:t xml:space="preserve">Käesoleva otsuse koostamise ajal kehtivad üleriigiliselt Telia </w:t>
      </w:r>
      <w:r w:rsidR="00532579">
        <w:rPr>
          <w:rFonts w:cs="Times New Roman"/>
        </w:rPr>
        <w:t>vaskpaar</w:t>
      </w:r>
      <w:r w:rsidRPr="00883566">
        <w:rPr>
          <w:rFonts w:cs="Times New Roman"/>
        </w:rPr>
        <w:t xml:space="preserve">- ja valguskaabelvõrgus Telia hulgituru 3b teenustele mittediskrimineerimise kohustused TTJA 2017 hulgituru 3b otsuse lisa 1 </w:t>
      </w:r>
      <w:r w:rsidR="008C159A">
        <w:rPr>
          <w:rFonts w:cs="Times New Roman"/>
        </w:rPr>
        <w:t xml:space="preserve">ptk. </w:t>
      </w:r>
      <w:r w:rsidRPr="00883566">
        <w:rPr>
          <w:rFonts w:cs="Times New Roman"/>
        </w:rPr>
        <w:t xml:space="preserve">6.2.4 alusel. Lähtudes käesoleva otsuse </w:t>
      </w:r>
      <w:r w:rsidR="008C159A">
        <w:rPr>
          <w:rFonts w:cs="Times New Roman"/>
        </w:rPr>
        <w:t>ptk.-</w:t>
      </w:r>
      <w:r w:rsidRPr="00883566">
        <w:rPr>
          <w:rFonts w:cs="Times New Roman"/>
        </w:rPr>
        <w:t xml:space="preserve">st </w:t>
      </w:r>
      <w:r w:rsidR="00A04E8F">
        <w:rPr>
          <w:rFonts w:cs="Times New Roman"/>
        </w:rPr>
        <w:t>8</w:t>
      </w:r>
      <w:r w:rsidR="00691E7E">
        <w:rPr>
          <w:rFonts w:cs="Times New Roman"/>
        </w:rPr>
        <w:t>.1.2</w:t>
      </w:r>
      <w:r w:rsidRPr="00883566">
        <w:rPr>
          <w:rFonts w:cs="Times New Roman"/>
        </w:rPr>
        <w:t xml:space="preserve"> tunnistatakse TTJA 2017 hulgituru 3b otsus ja selles kehtestatud kohustused kehtetuks Telia </w:t>
      </w:r>
      <w:r w:rsidR="00532579">
        <w:rPr>
          <w:rFonts w:cs="Times New Roman"/>
        </w:rPr>
        <w:t>vaskpaar</w:t>
      </w:r>
      <w:r w:rsidRPr="00883566">
        <w:rPr>
          <w:rFonts w:cs="Times New Roman"/>
        </w:rPr>
        <w:t xml:space="preserve">võrgus üleriigiliselt ja Telia </w:t>
      </w:r>
      <w:r w:rsidR="00A3232C">
        <w:rPr>
          <w:rFonts w:cs="Times New Roman"/>
        </w:rPr>
        <w:t>valguskaabelvõrgu</w:t>
      </w:r>
      <w:r w:rsidRPr="00883566">
        <w:rPr>
          <w:rFonts w:cs="Times New Roman"/>
        </w:rPr>
        <w:t xml:space="preserve">s A piirkonnas. </w:t>
      </w:r>
      <w:r w:rsidR="00691E7E" w:rsidRPr="00691E7E">
        <w:rPr>
          <w:rFonts w:cs="Times New Roman"/>
        </w:rPr>
        <w:t xml:space="preserve">Käesolevas </w:t>
      </w:r>
      <w:r w:rsidR="00DA4093">
        <w:rPr>
          <w:rFonts w:cs="Times New Roman"/>
        </w:rPr>
        <w:t>peatükis</w:t>
      </w:r>
      <w:r w:rsidR="00691E7E" w:rsidRPr="00691E7E">
        <w:rPr>
          <w:rFonts w:cs="Times New Roman"/>
        </w:rPr>
        <w:t xml:space="preserve"> kehtestatavad kohustused on suunatud  mittedisk</w:t>
      </w:r>
      <w:r w:rsidR="00843E7F">
        <w:rPr>
          <w:rFonts w:cs="Times New Roman"/>
        </w:rPr>
        <w:t>r</w:t>
      </w:r>
      <w:r w:rsidR="00691E7E" w:rsidRPr="00691E7E">
        <w:rPr>
          <w:rFonts w:cs="Times New Roman"/>
        </w:rPr>
        <w:t>imineerimise tagamisele valguskaabelvõrgu B piirkonna hulgituru</w:t>
      </w:r>
      <w:r w:rsidR="00B351EC">
        <w:rPr>
          <w:rFonts w:cs="Times New Roman"/>
        </w:rPr>
        <w:t>l</w:t>
      </w:r>
      <w:r w:rsidR="00691E7E" w:rsidRPr="00691E7E">
        <w:rPr>
          <w:rFonts w:cs="Times New Roman"/>
        </w:rPr>
        <w:t xml:space="preserve"> </w:t>
      </w:r>
      <w:r w:rsidR="000A626D">
        <w:rPr>
          <w:rFonts w:cs="Times New Roman"/>
        </w:rPr>
        <w:t>3b</w:t>
      </w:r>
      <w:r w:rsidR="00B351EC">
        <w:rPr>
          <w:rFonts w:cs="Times New Roman"/>
        </w:rPr>
        <w:t xml:space="preserve"> Telia osutatavate</w:t>
      </w:r>
      <w:r w:rsidR="00691E7E" w:rsidRPr="00691E7E">
        <w:rPr>
          <w:rFonts w:cs="Times New Roman"/>
        </w:rPr>
        <w:t xml:space="preserve"> teenuste </w:t>
      </w:r>
      <w:r w:rsidR="00B351EC">
        <w:rPr>
          <w:rFonts w:cs="Times New Roman"/>
        </w:rPr>
        <w:t>osas</w:t>
      </w:r>
      <w:r w:rsidRPr="00883566">
        <w:rPr>
          <w:rFonts w:cs="Times New Roman"/>
        </w:rPr>
        <w:t xml:space="preserve">. </w:t>
      </w:r>
      <w:r w:rsidR="000A626D" w:rsidRPr="00883566">
        <w:rPr>
          <w:rFonts w:cs="Times New Roman"/>
        </w:rPr>
        <w:t>TTJA on kohustuste järjepidevuse tagamiseks lähtunud käesoleva otsuse koostamise ajal kehtiva TTJA 2017 hulgituru 3b otsuses sätestatud kohustustest neid vajadusel muutes ja/või täiendades.</w:t>
      </w:r>
    </w:p>
    <w:p w14:paraId="1E80EB5F" w14:textId="23BCF514" w:rsidR="00F03958" w:rsidRPr="00883566" w:rsidRDefault="00F03958" w:rsidP="00AA241E">
      <w:pPr>
        <w:jc w:val="both"/>
        <w:rPr>
          <w:rFonts w:cs="Times New Roman"/>
        </w:rPr>
      </w:pPr>
      <w:r w:rsidRPr="00883566">
        <w:rPr>
          <w:rFonts w:cs="Times New Roman"/>
        </w:rPr>
        <w:t xml:space="preserve">Võttes arvesse TTJA 2017 hulgituru 3b otsuses sätestatud kohustusi ja tutvunud uut EK 2024 kohustuste soovitusega ning TTJA 2021 hulgituru 3b otsuse eelnõus ja TTJA 2023 hulgituru 3b otsuse eelnõus kajastatud sideettevõtjate arvamustega võimalike konkurentsiprobleemide osas, leiab TTJA, et otstarbekas ja proportsionaalne kehtestada Teliale </w:t>
      </w:r>
      <w:r w:rsidR="008C159A">
        <w:rPr>
          <w:rFonts w:cs="Times New Roman"/>
        </w:rPr>
        <w:t>ptk.-</w:t>
      </w:r>
      <w:r w:rsidRPr="00883566">
        <w:rPr>
          <w:rFonts w:cs="Times New Roman"/>
        </w:rPr>
        <w:t xml:space="preserve">des </w:t>
      </w:r>
      <w:r w:rsidR="00077D14">
        <w:rPr>
          <w:rFonts w:cs="Times New Roman"/>
        </w:rPr>
        <w:t>8.4.4-</w:t>
      </w:r>
      <w:r w:rsidR="00BE1549">
        <w:rPr>
          <w:rFonts w:cs="Times New Roman"/>
        </w:rPr>
        <w:t>8.4.7</w:t>
      </w:r>
      <w:r w:rsidRPr="00883566">
        <w:rPr>
          <w:rFonts w:cs="Times New Roman"/>
        </w:rPr>
        <w:t xml:space="preserve"> välja toodud </w:t>
      </w:r>
      <w:r w:rsidRPr="00883566">
        <w:rPr>
          <w:rFonts w:cs="Times New Roman"/>
        </w:rPr>
        <w:lastRenderedPageBreak/>
        <w:t>täiendavad mittediskrimineerimise kohustus</w:t>
      </w:r>
      <w:r w:rsidR="00DC0705">
        <w:rPr>
          <w:rFonts w:cs="Times New Roman"/>
        </w:rPr>
        <w:t>ed</w:t>
      </w:r>
      <w:r w:rsidRPr="00883566">
        <w:rPr>
          <w:rFonts w:cs="Times New Roman"/>
        </w:rPr>
        <w:t xml:space="preserve"> võrreldes käesoleva otsuse ajal kehtivas TTJA 2017 hulgituru 3b otsuse lisa 1 </w:t>
      </w:r>
      <w:r w:rsidR="008C159A">
        <w:rPr>
          <w:rFonts w:cs="Times New Roman"/>
        </w:rPr>
        <w:t>ptk.-</w:t>
      </w:r>
      <w:r w:rsidRPr="00883566">
        <w:rPr>
          <w:rFonts w:cs="Times New Roman"/>
        </w:rPr>
        <w:t xml:space="preserve">s 6.3.4 sätestatud kohustustega. </w:t>
      </w:r>
    </w:p>
    <w:p w14:paraId="52D26A30" w14:textId="77777777" w:rsidR="00F03958" w:rsidRPr="00883566" w:rsidRDefault="00F03958" w:rsidP="00AA241E">
      <w:pPr>
        <w:jc w:val="both"/>
        <w:rPr>
          <w:rFonts w:cs="Times New Roman"/>
        </w:rPr>
      </w:pPr>
      <w:r w:rsidRPr="00883566">
        <w:rPr>
          <w:rFonts w:cs="Times New Roman"/>
        </w:rPr>
        <w:t>TTJA hinnangul ei ole kehtestatavad kohustused Teliale koormavad, kuna Telial on TTJA hinnangul olemas nimetatud kohustuste täitmiseks vajalik tehniline valmisolek ja ressurss.</w:t>
      </w:r>
    </w:p>
    <w:p w14:paraId="6252F920" w14:textId="77777777" w:rsidR="00F03958" w:rsidRPr="00883566" w:rsidRDefault="00F03958" w:rsidP="00AA241E">
      <w:pPr>
        <w:spacing w:before="120" w:after="120"/>
        <w:jc w:val="both"/>
        <w:rPr>
          <w:rFonts w:cs="Times New Roman"/>
          <w:lang w:eastAsia="et-EE"/>
        </w:rPr>
      </w:pPr>
    </w:p>
    <w:p w14:paraId="242C24A8" w14:textId="342D476E" w:rsidR="00F03958" w:rsidRPr="000C4DF0" w:rsidRDefault="00F03958" w:rsidP="00AA241E">
      <w:pPr>
        <w:spacing w:before="120" w:after="120"/>
        <w:jc w:val="both"/>
        <w:rPr>
          <w:rFonts w:cs="Times New Roman"/>
          <w:b/>
          <w:bCs/>
        </w:rPr>
      </w:pPr>
      <w:bookmarkStart w:id="1296" w:name="_Hlk137738511"/>
      <w:r w:rsidRPr="000C4DF0">
        <w:rPr>
          <w:rFonts w:cs="Times New Roman"/>
          <w:b/>
          <w:bCs/>
        </w:rPr>
        <w:t>TTJA kehtesta</w:t>
      </w:r>
      <w:r w:rsidR="00DC0705">
        <w:rPr>
          <w:rFonts w:cs="Times New Roman"/>
          <w:b/>
          <w:bCs/>
        </w:rPr>
        <w:t>b</w:t>
      </w:r>
      <w:r w:rsidRPr="000C4DF0">
        <w:rPr>
          <w:rFonts w:cs="Times New Roman"/>
          <w:b/>
          <w:bCs/>
        </w:rPr>
        <w:t xml:space="preserve"> Teliale </w:t>
      </w:r>
      <w:r w:rsidR="00A3232C" w:rsidRPr="000C4DF0">
        <w:rPr>
          <w:rFonts w:cs="Times New Roman"/>
          <w:b/>
          <w:bCs/>
        </w:rPr>
        <w:t>valguskaabelvõrgu</w:t>
      </w:r>
      <w:r w:rsidRPr="000C4DF0">
        <w:rPr>
          <w:rFonts w:cs="Times New Roman"/>
          <w:b/>
          <w:bCs/>
        </w:rPr>
        <w:t xml:space="preserve">s B piirkonna hulgiturul 3b otsuse peatükis </w:t>
      </w:r>
      <w:r w:rsidR="003D34B9" w:rsidRPr="000C4DF0">
        <w:rPr>
          <w:rFonts w:cs="Times New Roman"/>
          <w:b/>
          <w:bCs/>
        </w:rPr>
        <w:t>8.4.2</w:t>
      </w:r>
      <w:r w:rsidRPr="000C4DF0">
        <w:rPr>
          <w:rFonts w:cs="Times New Roman"/>
          <w:b/>
          <w:bCs/>
        </w:rPr>
        <w:t xml:space="preserve"> nimetatud konkurentsiprobleemide lahendamiseks, konkurentsi moonutamise ja takistamise tõkestamiseks ning sideettevõtjate võrdse ja mittediskrimineeriva kohtlemise tagamiseks </w:t>
      </w:r>
      <w:r w:rsidR="002C1C97" w:rsidRPr="000C4DF0">
        <w:rPr>
          <w:b/>
          <w:bCs/>
          <w:lang w:eastAsia="et-EE"/>
        </w:rPr>
        <w:t>ESS § 50 lg 1 punkti 3 alusel</w:t>
      </w:r>
      <w:r w:rsidR="001A2754">
        <w:rPr>
          <w:b/>
          <w:bCs/>
          <w:lang w:eastAsia="et-EE"/>
        </w:rPr>
        <w:t xml:space="preserve"> järgnevates</w:t>
      </w:r>
      <w:r w:rsidR="002C1C97" w:rsidRPr="000C4DF0">
        <w:rPr>
          <w:b/>
          <w:bCs/>
          <w:lang w:eastAsia="et-EE"/>
        </w:rPr>
        <w:t xml:space="preserve"> </w:t>
      </w:r>
      <w:r w:rsidR="001A2754">
        <w:rPr>
          <w:b/>
          <w:bCs/>
          <w:lang w:eastAsia="et-EE"/>
        </w:rPr>
        <w:t xml:space="preserve">alampeatükkides </w:t>
      </w:r>
      <w:r w:rsidR="005C3095">
        <w:rPr>
          <w:b/>
          <w:bCs/>
          <w:lang w:eastAsia="et-EE"/>
        </w:rPr>
        <w:t>8</w:t>
      </w:r>
      <w:r w:rsidR="001A2754">
        <w:rPr>
          <w:b/>
          <w:bCs/>
          <w:lang w:eastAsia="et-EE"/>
        </w:rPr>
        <w:t xml:space="preserve">.4.10.1 – </w:t>
      </w:r>
      <w:r w:rsidR="005C3095">
        <w:rPr>
          <w:b/>
          <w:bCs/>
          <w:lang w:eastAsia="et-EE"/>
        </w:rPr>
        <w:t>8</w:t>
      </w:r>
      <w:r w:rsidR="001A2754">
        <w:rPr>
          <w:b/>
          <w:bCs/>
          <w:lang w:eastAsia="et-EE"/>
        </w:rPr>
        <w:t xml:space="preserve">.4.10.5 sätestatud </w:t>
      </w:r>
      <w:r w:rsidR="002C1C97" w:rsidRPr="000C4DF0">
        <w:rPr>
          <w:b/>
          <w:bCs/>
          <w:lang w:eastAsia="et-EE"/>
        </w:rPr>
        <w:t>mittediskrimineerimise kohustused</w:t>
      </w:r>
      <w:r w:rsidR="001A2754">
        <w:rPr>
          <w:b/>
          <w:bCs/>
          <w:lang w:eastAsia="et-EE"/>
        </w:rPr>
        <w:t>.</w:t>
      </w:r>
    </w:p>
    <w:p w14:paraId="4C870750" w14:textId="77777777" w:rsidR="00F03958" w:rsidRPr="000C4DF0" w:rsidRDefault="00F03958" w:rsidP="00AA241E">
      <w:pPr>
        <w:spacing w:before="120" w:after="120"/>
        <w:jc w:val="both"/>
        <w:rPr>
          <w:rFonts w:cs="Times New Roman"/>
          <w:b/>
          <w:bCs/>
        </w:rPr>
      </w:pPr>
    </w:p>
    <w:p w14:paraId="7330706F" w14:textId="658C4306" w:rsidR="00F03958" w:rsidRPr="005C3095" w:rsidRDefault="001A2754" w:rsidP="005C3095">
      <w:pPr>
        <w:pStyle w:val="Pealkiri5"/>
      </w:pPr>
      <w:r w:rsidRPr="005C3095">
        <w:t xml:space="preserve">8.4.10.1 </w:t>
      </w:r>
      <w:r w:rsidR="00F03958" w:rsidRPr="005C3095">
        <w:t>Üldised</w:t>
      </w:r>
      <w:r w:rsidR="002C1C97" w:rsidRPr="005C3095">
        <w:t xml:space="preserve"> mittediskrimineerimise</w:t>
      </w:r>
      <w:r w:rsidR="00F03958" w:rsidRPr="005C3095">
        <w:t xml:space="preserve"> kohustused</w:t>
      </w:r>
    </w:p>
    <w:p w14:paraId="0972C4D0" w14:textId="77777777" w:rsidR="001A2754" w:rsidRDefault="001A2754" w:rsidP="00AA241E">
      <w:pPr>
        <w:spacing w:before="120" w:after="120"/>
        <w:ind w:left="720"/>
        <w:jc w:val="both"/>
        <w:rPr>
          <w:rFonts w:cs="Times New Roman"/>
          <w:b/>
          <w:bCs/>
        </w:rPr>
      </w:pPr>
    </w:p>
    <w:p w14:paraId="24565381" w14:textId="080BE25E" w:rsidR="00F03958" w:rsidRPr="000C4DF0" w:rsidRDefault="00F03958" w:rsidP="00AA241E">
      <w:pPr>
        <w:spacing w:before="120" w:after="120"/>
        <w:ind w:left="720"/>
        <w:jc w:val="both"/>
        <w:rPr>
          <w:rFonts w:cs="Times New Roman"/>
          <w:b/>
          <w:bCs/>
        </w:rPr>
      </w:pPr>
      <w:r w:rsidRPr="000C4DF0">
        <w:rPr>
          <w:rFonts w:cs="Times New Roman"/>
          <w:b/>
          <w:bCs/>
        </w:rPr>
        <w:t xml:space="preserve">Mittediskrimineerimise kohustuse raames peab Telia otsuse peatükis </w:t>
      </w:r>
      <w:r w:rsidR="00E14AB9" w:rsidRPr="000C4DF0">
        <w:rPr>
          <w:rFonts w:cs="Times New Roman"/>
          <w:b/>
          <w:bCs/>
        </w:rPr>
        <w:t>8.3.5</w:t>
      </w:r>
      <w:r w:rsidRPr="000C4DF0">
        <w:rPr>
          <w:rFonts w:cs="Times New Roman"/>
          <w:b/>
          <w:bCs/>
        </w:rPr>
        <w:t xml:space="preserve"> kohustatud </w:t>
      </w:r>
      <w:r w:rsidR="001A2754">
        <w:rPr>
          <w:rFonts w:cs="Times New Roman"/>
          <w:b/>
          <w:bCs/>
        </w:rPr>
        <w:t>juurdepääsu korral</w:t>
      </w:r>
      <w:r w:rsidRPr="000C4DF0">
        <w:rPr>
          <w:rFonts w:cs="Times New Roman"/>
          <w:b/>
          <w:bCs/>
        </w:rPr>
        <w:t xml:space="preserve"> rakendama teistele sideettevõtjatele samadel asjaoludel samaväärseid tingimusi ning osutama teenuseid ja avaldama informatsiooni teistele sideettevõtjatele samadel tingimustel ja samasuguse kvaliteediga nagu enda - või oma tütarettevõtjate - või partnerite puhul</w:t>
      </w:r>
      <w:r w:rsidR="005D2DF6">
        <w:rPr>
          <w:rFonts w:cs="Times New Roman"/>
          <w:b/>
          <w:bCs/>
        </w:rPr>
        <w:t xml:space="preserve">. </w:t>
      </w:r>
      <w:r w:rsidRPr="000C4DF0">
        <w:rPr>
          <w:rFonts w:cs="Times New Roman"/>
          <w:b/>
          <w:bCs/>
        </w:rPr>
        <w:t xml:space="preserve">. </w:t>
      </w:r>
    </w:p>
    <w:p w14:paraId="1ECE3509" w14:textId="173EA70D" w:rsidR="00F03958" w:rsidRPr="000C4DF0" w:rsidRDefault="00F03958" w:rsidP="00AA241E">
      <w:pPr>
        <w:spacing w:before="120" w:after="120"/>
        <w:ind w:left="720"/>
        <w:jc w:val="both"/>
        <w:rPr>
          <w:rFonts w:cs="Times New Roman"/>
          <w:b/>
          <w:bCs/>
        </w:rPr>
      </w:pPr>
      <w:r w:rsidRPr="000C4DF0">
        <w:rPr>
          <w:rFonts w:cs="Times New Roman"/>
          <w:b/>
          <w:bCs/>
        </w:rPr>
        <w:t xml:space="preserve">Mittediskrimineerimise kohustuse raames peab Telia otsuse peatükis </w:t>
      </w:r>
      <w:r w:rsidR="00E14AB9" w:rsidRPr="000C4DF0">
        <w:rPr>
          <w:rFonts w:cs="Times New Roman"/>
          <w:b/>
          <w:bCs/>
        </w:rPr>
        <w:t>8.3.5</w:t>
      </w:r>
      <w:r w:rsidRPr="000C4DF0">
        <w:rPr>
          <w:rFonts w:cs="Times New Roman"/>
          <w:b/>
          <w:bCs/>
        </w:rPr>
        <w:t xml:space="preserve"> kohustatud </w:t>
      </w:r>
      <w:r w:rsidR="005C3095">
        <w:rPr>
          <w:rFonts w:cs="Times New Roman"/>
          <w:b/>
          <w:bCs/>
        </w:rPr>
        <w:t>juurdepääsu korral</w:t>
      </w:r>
      <w:r w:rsidRPr="000C4DF0">
        <w:rPr>
          <w:rFonts w:cs="Times New Roman"/>
          <w:b/>
          <w:bCs/>
        </w:rPr>
        <w:t xml:space="preserve"> vastavalt kohustuse iseloomule täitma mh järgmisi nõudeid:</w:t>
      </w:r>
    </w:p>
    <w:p w14:paraId="774ECA70" w14:textId="4FC821D6" w:rsidR="001D7BCA" w:rsidRPr="005C3095" w:rsidRDefault="001D7BCA" w:rsidP="005C3095">
      <w:pPr>
        <w:pStyle w:val="Loendilik"/>
        <w:numPr>
          <w:ilvl w:val="0"/>
          <w:numId w:val="134"/>
        </w:numPr>
        <w:spacing w:before="120" w:after="120"/>
        <w:jc w:val="both"/>
        <w:rPr>
          <w:rFonts w:cs="Times New Roman"/>
          <w:b/>
          <w:bCs/>
        </w:rPr>
      </w:pPr>
      <w:r w:rsidRPr="005C3095">
        <w:rPr>
          <w:rFonts w:cs="Times New Roman"/>
          <w:b/>
          <w:bCs/>
        </w:rPr>
        <w:t>rakendama teistele sideettevõtjatele samasuguseid hindu nagu enda või oma tütarettevõtjate või partnerite puhul juhul, kui endale, oma tütarettevõtjatele või partneritele rakendatavad hinnad on madalamad, kui ptk</w:t>
      </w:r>
      <w:r w:rsidR="005C3095">
        <w:rPr>
          <w:rFonts w:cs="Times New Roman"/>
          <w:b/>
          <w:bCs/>
        </w:rPr>
        <w:t>.</w:t>
      </w:r>
      <w:r w:rsidRPr="005C3095">
        <w:rPr>
          <w:rFonts w:cs="Times New Roman"/>
          <w:b/>
          <w:bCs/>
        </w:rPr>
        <w:t>-s 8.6.4 sätestatud hinnaarvestuse põhised hinnad</w:t>
      </w:r>
      <w:r>
        <w:rPr>
          <w:rFonts w:cs="Times New Roman"/>
          <w:b/>
          <w:bCs/>
        </w:rPr>
        <w:t>;</w:t>
      </w:r>
    </w:p>
    <w:p w14:paraId="67D56472" w14:textId="6854EFBC" w:rsidR="00F03958" w:rsidRPr="005C3095" w:rsidRDefault="00F03958" w:rsidP="005C3095">
      <w:pPr>
        <w:pStyle w:val="Loendilik"/>
        <w:numPr>
          <w:ilvl w:val="0"/>
          <w:numId w:val="134"/>
        </w:numPr>
        <w:spacing w:before="120" w:after="120"/>
        <w:jc w:val="both"/>
        <w:rPr>
          <w:rFonts w:cs="Times New Roman"/>
          <w:b/>
          <w:bCs/>
        </w:rPr>
      </w:pPr>
      <w:r w:rsidRPr="005C3095">
        <w:rPr>
          <w:rFonts w:cs="Times New Roman"/>
          <w:b/>
          <w:bCs/>
        </w:rPr>
        <w:t xml:space="preserve">vältima sellist tegevust, mis takistaks </w:t>
      </w:r>
      <w:r w:rsidR="006E514C">
        <w:rPr>
          <w:rFonts w:cs="Times New Roman"/>
          <w:b/>
          <w:bCs/>
        </w:rPr>
        <w:t>hulgituru 3b</w:t>
      </w:r>
      <w:r w:rsidR="006E514C" w:rsidRPr="005C3095">
        <w:rPr>
          <w:rFonts w:cs="Times New Roman"/>
          <w:b/>
          <w:bCs/>
        </w:rPr>
        <w:t xml:space="preserve"> </w:t>
      </w:r>
      <w:r w:rsidRPr="005C3095">
        <w:rPr>
          <w:rFonts w:cs="Times New Roman"/>
          <w:b/>
          <w:bCs/>
        </w:rPr>
        <w:t xml:space="preserve">teenuse kasutajatel osutada oma klientidele samaväärseid </w:t>
      </w:r>
      <w:r w:rsidR="005C3095">
        <w:rPr>
          <w:rFonts w:cs="Times New Roman"/>
          <w:b/>
          <w:bCs/>
        </w:rPr>
        <w:t>interneti</w:t>
      </w:r>
      <w:r w:rsidR="005C3095" w:rsidRPr="005C3095">
        <w:rPr>
          <w:rFonts w:cs="Times New Roman"/>
          <w:b/>
          <w:bCs/>
        </w:rPr>
        <w:t xml:space="preserve">ühenduse </w:t>
      </w:r>
      <w:r w:rsidRPr="005C3095">
        <w:rPr>
          <w:rFonts w:cs="Times New Roman"/>
          <w:b/>
          <w:bCs/>
        </w:rPr>
        <w:t>teenuseid ja sisuteenuseid nagu Telia osutab oma klientidele või partneritele;</w:t>
      </w:r>
    </w:p>
    <w:p w14:paraId="007B62E1" w14:textId="2E05B762" w:rsidR="00F03958" w:rsidRPr="000C4DF0" w:rsidRDefault="00F03958" w:rsidP="005C3095">
      <w:pPr>
        <w:pStyle w:val="Loendilik"/>
        <w:numPr>
          <w:ilvl w:val="0"/>
          <w:numId w:val="134"/>
        </w:numPr>
        <w:spacing w:before="120" w:after="120"/>
        <w:jc w:val="both"/>
        <w:rPr>
          <w:rFonts w:cs="Times New Roman"/>
          <w:b/>
          <w:bCs/>
        </w:rPr>
      </w:pPr>
      <w:r w:rsidRPr="000C4DF0">
        <w:rPr>
          <w:rFonts w:cs="Times New Roman"/>
          <w:b/>
          <w:bCs/>
        </w:rPr>
        <w:t xml:space="preserve">tagama, et lõppkasutaja poolt kasutatava </w:t>
      </w:r>
      <w:r w:rsidR="005C3095">
        <w:rPr>
          <w:rFonts w:cs="Times New Roman"/>
          <w:b/>
          <w:bCs/>
        </w:rPr>
        <w:t>interneti</w:t>
      </w:r>
      <w:r w:rsidRPr="000C4DF0">
        <w:rPr>
          <w:rFonts w:cs="Times New Roman"/>
          <w:b/>
          <w:bCs/>
        </w:rPr>
        <w:t xml:space="preserve">ühenduse katkestus (sh katkestuse pikkus ja katkestusest teatamise viis) üleminekul Telia poolt osutatavalt </w:t>
      </w:r>
      <w:r w:rsidR="005C3095">
        <w:rPr>
          <w:rFonts w:cs="Times New Roman"/>
          <w:b/>
          <w:bCs/>
        </w:rPr>
        <w:t>interneti</w:t>
      </w:r>
      <w:r w:rsidRPr="000C4DF0">
        <w:rPr>
          <w:rFonts w:cs="Times New Roman"/>
          <w:b/>
          <w:bCs/>
        </w:rPr>
        <w:t>ühenduse jaeteenuselt hulgituru</w:t>
      </w:r>
      <w:r w:rsidR="006E514C">
        <w:rPr>
          <w:rFonts w:cs="Times New Roman"/>
          <w:b/>
          <w:bCs/>
        </w:rPr>
        <w:t xml:space="preserve"> 3b</w:t>
      </w:r>
      <w:r w:rsidRPr="000C4DF0">
        <w:rPr>
          <w:rFonts w:cs="Times New Roman"/>
          <w:b/>
          <w:bCs/>
        </w:rPr>
        <w:t xml:space="preserve"> teenuse kasutaja poolt osutatavale </w:t>
      </w:r>
      <w:r w:rsidR="007B1E56">
        <w:rPr>
          <w:rFonts w:cs="Times New Roman"/>
          <w:b/>
          <w:bCs/>
        </w:rPr>
        <w:t>interneti</w:t>
      </w:r>
      <w:r w:rsidRPr="000C4DF0">
        <w:rPr>
          <w:rFonts w:cs="Times New Roman"/>
          <w:b/>
          <w:bCs/>
        </w:rPr>
        <w:t xml:space="preserve">ühenduse jaeteenusele toimuks samadel tingimustel nagu katkestus, mis toimub, kui Telia vahetab enda lõppkasutaja puhul ühe Telia </w:t>
      </w:r>
      <w:r w:rsidR="007B1E56">
        <w:rPr>
          <w:rFonts w:cs="Times New Roman"/>
          <w:b/>
          <w:bCs/>
        </w:rPr>
        <w:t>interneti</w:t>
      </w:r>
      <w:r w:rsidRPr="000C4DF0">
        <w:rPr>
          <w:rFonts w:cs="Times New Roman"/>
          <w:b/>
          <w:bCs/>
        </w:rPr>
        <w:t xml:space="preserve">ühenduse jaeteenuse teise Telia </w:t>
      </w:r>
      <w:r w:rsidR="007B1E56">
        <w:rPr>
          <w:rFonts w:cs="Times New Roman"/>
          <w:b/>
          <w:bCs/>
        </w:rPr>
        <w:t>interneti</w:t>
      </w:r>
      <w:r w:rsidRPr="000C4DF0">
        <w:rPr>
          <w:rFonts w:cs="Times New Roman"/>
          <w:b/>
          <w:bCs/>
        </w:rPr>
        <w:t>ühenduse jaeteenuse vastu;</w:t>
      </w:r>
    </w:p>
    <w:p w14:paraId="188CEFB6" w14:textId="75841F03" w:rsidR="00F03958" w:rsidRPr="000C4DF0" w:rsidRDefault="00F03958" w:rsidP="005C3095">
      <w:pPr>
        <w:pStyle w:val="Loendilik"/>
        <w:numPr>
          <w:ilvl w:val="0"/>
          <w:numId w:val="134"/>
        </w:numPr>
        <w:spacing w:before="120" w:after="120"/>
        <w:jc w:val="both"/>
        <w:rPr>
          <w:rFonts w:cs="Times New Roman"/>
          <w:b/>
          <w:bCs/>
        </w:rPr>
      </w:pPr>
      <w:r w:rsidRPr="000C4DF0">
        <w:rPr>
          <w:rFonts w:cs="Times New Roman"/>
          <w:b/>
          <w:bCs/>
        </w:rPr>
        <w:t xml:space="preserve">tagama, et teistele sideettevõtjatele Telia sidevõrgu lõpp-punkti </w:t>
      </w:r>
      <w:r w:rsidR="007B1E56">
        <w:rPr>
          <w:rFonts w:cs="Times New Roman"/>
          <w:b/>
          <w:bCs/>
        </w:rPr>
        <w:t>interneti</w:t>
      </w:r>
      <w:r w:rsidR="007B1E56" w:rsidRPr="000C4DF0">
        <w:rPr>
          <w:rFonts w:cs="Times New Roman"/>
          <w:b/>
          <w:bCs/>
        </w:rPr>
        <w:t xml:space="preserve">ühenduse </w:t>
      </w:r>
      <w:r w:rsidRPr="000C4DF0">
        <w:rPr>
          <w:rFonts w:cs="Times New Roman"/>
          <w:b/>
          <w:bCs/>
        </w:rPr>
        <w:t xml:space="preserve">tehniliste võimaluste avaldamine toimub samadel </w:t>
      </w:r>
      <w:r w:rsidRPr="000C4DF0">
        <w:rPr>
          <w:rFonts w:cs="Times New Roman"/>
          <w:b/>
          <w:bCs/>
        </w:rPr>
        <w:lastRenderedPageBreak/>
        <w:t xml:space="preserve">tingimustel (sh samal viisil) ja samasuguse kvaliteediga nagu Telia avaldab enda üksustele lõpp-punktide </w:t>
      </w:r>
      <w:r w:rsidR="007B1E56">
        <w:rPr>
          <w:rFonts w:cs="Times New Roman"/>
          <w:b/>
          <w:bCs/>
        </w:rPr>
        <w:t>interneti</w:t>
      </w:r>
      <w:r w:rsidRPr="000C4DF0">
        <w:rPr>
          <w:rFonts w:cs="Times New Roman"/>
          <w:b/>
          <w:bCs/>
        </w:rPr>
        <w:t>ühenduse tehnilisi võimalusi;</w:t>
      </w:r>
    </w:p>
    <w:p w14:paraId="71D4E5C4" w14:textId="647AAD12" w:rsidR="00F03958" w:rsidRPr="000C4DF0" w:rsidRDefault="00F03958" w:rsidP="005C3095">
      <w:pPr>
        <w:pStyle w:val="Loendilik"/>
        <w:numPr>
          <w:ilvl w:val="0"/>
          <w:numId w:val="134"/>
        </w:numPr>
        <w:spacing w:before="120" w:after="120"/>
        <w:jc w:val="both"/>
        <w:rPr>
          <w:rFonts w:cs="Times New Roman"/>
          <w:b/>
          <w:bCs/>
        </w:rPr>
      </w:pPr>
      <w:r w:rsidRPr="000C4DF0">
        <w:rPr>
          <w:rFonts w:cs="Times New Roman"/>
          <w:b/>
          <w:bCs/>
        </w:rPr>
        <w:t xml:space="preserve">rakendama hulgituru 3b teenuste tehniliste puuduste kõrvaldamisel samasid tingimusi ja samasugust kvaliteeti, nagu Telia rakendab enda lõppkasutajatel esinevate </w:t>
      </w:r>
      <w:r w:rsidR="006E514C">
        <w:rPr>
          <w:rFonts w:cs="Times New Roman"/>
          <w:b/>
          <w:bCs/>
        </w:rPr>
        <w:t>interneti</w:t>
      </w:r>
      <w:r w:rsidR="006E514C" w:rsidRPr="000C4DF0">
        <w:rPr>
          <w:rFonts w:cs="Times New Roman"/>
          <w:b/>
          <w:bCs/>
        </w:rPr>
        <w:t xml:space="preserve">ühenduse </w:t>
      </w:r>
      <w:r w:rsidRPr="000C4DF0">
        <w:rPr>
          <w:rFonts w:cs="Times New Roman"/>
          <w:b/>
          <w:bCs/>
        </w:rPr>
        <w:t>tehniliste puuduste korral</w:t>
      </w:r>
      <w:r w:rsidR="006E514C">
        <w:rPr>
          <w:rFonts w:cs="Times New Roman"/>
          <w:b/>
          <w:bCs/>
        </w:rPr>
        <w:t>.</w:t>
      </w:r>
    </w:p>
    <w:p w14:paraId="2C819FAB" w14:textId="77777777" w:rsidR="00F03958" w:rsidRPr="000C4DF0" w:rsidRDefault="00F03958" w:rsidP="00AA241E">
      <w:pPr>
        <w:spacing w:before="120" w:after="120"/>
        <w:jc w:val="both"/>
        <w:rPr>
          <w:rFonts w:cs="Times New Roman"/>
          <w:b/>
          <w:bCs/>
        </w:rPr>
      </w:pPr>
    </w:p>
    <w:p w14:paraId="03D72CDB" w14:textId="20CC0BA8" w:rsidR="00F03958" w:rsidRPr="00CD717E" w:rsidRDefault="00CD717E" w:rsidP="00CD717E">
      <w:pPr>
        <w:pStyle w:val="Pealkiri5"/>
      </w:pPr>
      <w:r w:rsidRPr="00CD717E">
        <w:t xml:space="preserve">8.4.10.2 </w:t>
      </w:r>
      <w:r w:rsidR="00F03958" w:rsidRPr="00CD717E">
        <w:t xml:space="preserve">Sisendite </w:t>
      </w:r>
      <w:r w:rsidR="000F01A7" w:rsidRPr="00CD717E">
        <w:t xml:space="preserve">või </w:t>
      </w:r>
      <w:r w:rsidR="00F03958" w:rsidRPr="00CD717E">
        <w:t>väljundite võrdväärsus</w:t>
      </w:r>
    </w:p>
    <w:p w14:paraId="64F01BCD" w14:textId="77777777" w:rsidR="00CD717E" w:rsidRDefault="00CD717E">
      <w:pPr>
        <w:spacing w:before="120" w:after="120"/>
        <w:ind w:left="720"/>
        <w:jc w:val="both"/>
        <w:rPr>
          <w:rFonts w:cs="Times New Roman"/>
          <w:b/>
          <w:bCs/>
        </w:rPr>
      </w:pPr>
    </w:p>
    <w:p w14:paraId="70E076D7" w14:textId="2B0AE112" w:rsidR="00F03958" w:rsidRPr="000C4DF0" w:rsidRDefault="00F03958" w:rsidP="00CD717E">
      <w:pPr>
        <w:spacing w:before="120" w:after="120"/>
        <w:ind w:left="720"/>
        <w:jc w:val="both"/>
        <w:rPr>
          <w:rFonts w:cs="Times New Roman"/>
          <w:b/>
          <w:bCs/>
        </w:rPr>
      </w:pPr>
      <w:r w:rsidRPr="000C4DF0">
        <w:rPr>
          <w:rFonts w:cs="Times New Roman"/>
          <w:b/>
          <w:bCs/>
        </w:rPr>
        <w:t xml:space="preserve">Telia </w:t>
      </w:r>
      <w:r w:rsidR="00CD717E">
        <w:rPr>
          <w:rFonts w:cs="Times New Roman"/>
          <w:b/>
          <w:bCs/>
        </w:rPr>
        <w:t xml:space="preserve">ei ole kohustatud </w:t>
      </w:r>
      <w:r w:rsidR="00CD717E" w:rsidRPr="0090663A">
        <w:rPr>
          <w:b/>
          <w:bCs/>
          <w:lang w:eastAsia="et-EE"/>
        </w:rPr>
        <w:t xml:space="preserve">peatükis </w:t>
      </w:r>
      <w:r w:rsidR="00CD717E">
        <w:rPr>
          <w:b/>
          <w:bCs/>
          <w:lang w:eastAsia="et-EE"/>
        </w:rPr>
        <w:t>8</w:t>
      </w:r>
      <w:r w:rsidR="00CD717E" w:rsidRPr="0090663A">
        <w:rPr>
          <w:b/>
          <w:bCs/>
          <w:lang w:eastAsia="et-EE"/>
        </w:rPr>
        <w:t xml:space="preserve">.3.5 kohustatud </w:t>
      </w:r>
      <w:r w:rsidR="00CD717E">
        <w:rPr>
          <w:b/>
          <w:bCs/>
          <w:lang w:eastAsia="et-EE"/>
        </w:rPr>
        <w:t>juurdepääsu</w:t>
      </w:r>
      <w:r w:rsidR="00CD717E" w:rsidRPr="0090663A">
        <w:rPr>
          <w:b/>
          <w:bCs/>
          <w:lang w:eastAsia="et-EE"/>
        </w:rPr>
        <w:t xml:space="preserve"> </w:t>
      </w:r>
      <w:r w:rsidR="00CD717E">
        <w:rPr>
          <w:b/>
          <w:bCs/>
          <w:lang w:eastAsia="et-EE"/>
        </w:rPr>
        <w:t>korral</w:t>
      </w:r>
      <w:r w:rsidR="00CD717E" w:rsidRPr="0090663A">
        <w:rPr>
          <w:b/>
          <w:bCs/>
          <w:lang w:eastAsia="et-EE"/>
        </w:rPr>
        <w:t xml:space="preserve"> </w:t>
      </w:r>
      <w:r w:rsidR="00CD717E">
        <w:rPr>
          <w:rFonts w:cs="Times New Roman"/>
          <w:b/>
          <w:bCs/>
        </w:rPr>
        <w:t xml:space="preserve">rakendama sisendite võrdväärsust, </w:t>
      </w:r>
      <w:r w:rsidR="000F01A7">
        <w:rPr>
          <w:rFonts w:cs="Times New Roman"/>
          <w:b/>
          <w:bCs/>
        </w:rPr>
        <w:t xml:space="preserve">mistõttu </w:t>
      </w:r>
      <w:r w:rsidR="00CD717E">
        <w:rPr>
          <w:rFonts w:cs="Times New Roman"/>
          <w:b/>
          <w:bCs/>
        </w:rPr>
        <w:t xml:space="preserve">Telia </w:t>
      </w:r>
      <w:r w:rsidRPr="000C4DF0">
        <w:rPr>
          <w:rFonts w:cs="Times New Roman"/>
          <w:b/>
          <w:bCs/>
        </w:rPr>
        <w:t xml:space="preserve">peab osutama </w:t>
      </w:r>
      <w:r w:rsidR="00CD717E">
        <w:rPr>
          <w:rFonts w:cs="Times New Roman"/>
          <w:b/>
          <w:bCs/>
        </w:rPr>
        <w:t xml:space="preserve">vastavat juurdepääsu </w:t>
      </w:r>
      <w:r w:rsidRPr="000C4DF0">
        <w:rPr>
          <w:rFonts w:cs="Times New Roman"/>
          <w:b/>
          <w:bCs/>
        </w:rPr>
        <w:t>väljundite võrdväärsuse alusel.</w:t>
      </w:r>
    </w:p>
    <w:p w14:paraId="6E3C1987" w14:textId="77777777" w:rsidR="00F03958" w:rsidRDefault="00F03958" w:rsidP="00AA241E">
      <w:pPr>
        <w:spacing w:before="120" w:after="120"/>
        <w:jc w:val="both"/>
        <w:rPr>
          <w:rFonts w:cs="Times New Roman"/>
          <w:b/>
          <w:bCs/>
        </w:rPr>
      </w:pPr>
    </w:p>
    <w:p w14:paraId="4EB6552B" w14:textId="2C53A9D0" w:rsidR="006E514C" w:rsidRDefault="006E514C" w:rsidP="006E514C">
      <w:pPr>
        <w:ind w:firstLine="720"/>
        <w:jc w:val="both"/>
        <w:rPr>
          <w:rFonts w:cs="Times New Roman"/>
          <w:b/>
          <w:bCs/>
        </w:rPr>
      </w:pPr>
      <w:r>
        <w:rPr>
          <w:rFonts w:cs="Times New Roman"/>
        </w:rPr>
        <w:t>Täiendavaid selgitused eeltoodud kohustuse osas on ptk.-s 8.4.4.</w:t>
      </w:r>
    </w:p>
    <w:p w14:paraId="65A57B25" w14:textId="43EE2FAF" w:rsidR="006E514C" w:rsidRDefault="006E514C" w:rsidP="00AA241E">
      <w:pPr>
        <w:spacing w:before="120" w:after="120"/>
        <w:jc w:val="both"/>
        <w:rPr>
          <w:rFonts w:cs="Times New Roman"/>
          <w:b/>
          <w:bCs/>
        </w:rPr>
      </w:pPr>
    </w:p>
    <w:p w14:paraId="67DAE811" w14:textId="77777777" w:rsidR="006E514C" w:rsidRPr="000C4DF0" w:rsidRDefault="006E514C" w:rsidP="00AA241E">
      <w:pPr>
        <w:spacing w:before="120" w:after="120"/>
        <w:jc w:val="both"/>
        <w:rPr>
          <w:rFonts w:cs="Times New Roman"/>
          <w:b/>
          <w:bCs/>
        </w:rPr>
      </w:pPr>
    </w:p>
    <w:p w14:paraId="12AC40F7" w14:textId="2BCD1A90" w:rsidR="00F03958" w:rsidRPr="00CD717E" w:rsidRDefault="00CD717E" w:rsidP="00CD717E">
      <w:pPr>
        <w:pStyle w:val="Pealkiri5"/>
      </w:pPr>
      <w:r>
        <w:t xml:space="preserve">8.4.10.3 </w:t>
      </w:r>
      <w:r w:rsidR="00F03958" w:rsidRPr="00CD717E">
        <w:t>Tulemusnäitajad, teenustaseme kokkulepped ja garantiid</w:t>
      </w:r>
    </w:p>
    <w:p w14:paraId="001E56FC" w14:textId="77777777" w:rsidR="00CD717E" w:rsidRPr="000C4DF0" w:rsidRDefault="00CD717E" w:rsidP="00AA241E">
      <w:pPr>
        <w:spacing w:before="120" w:after="120"/>
        <w:jc w:val="both"/>
        <w:rPr>
          <w:rFonts w:cs="Times New Roman"/>
          <w:b/>
          <w:bCs/>
          <w:u w:val="single"/>
        </w:rPr>
      </w:pPr>
    </w:p>
    <w:p w14:paraId="7544ED03" w14:textId="77777777" w:rsidR="00F03958" w:rsidRPr="000C4DF0" w:rsidRDefault="00F03958" w:rsidP="00AA241E">
      <w:pPr>
        <w:spacing w:before="120" w:after="120"/>
        <w:ind w:left="720"/>
        <w:jc w:val="both"/>
        <w:rPr>
          <w:rFonts w:cs="Times New Roman"/>
          <w:b/>
          <w:bCs/>
        </w:rPr>
      </w:pPr>
      <w:r w:rsidRPr="000C4DF0">
        <w:rPr>
          <w:rFonts w:cs="Times New Roman"/>
          <w:b/>
          <w:bCs/>
        </w:rPr>
        <w:t>a) Telia peab vähemalt üks (1) kord kalendriaastas avaldama TTJA-</w:t>
      </w:r>
      <w:proofErr w:type="spellStart"/>
      <w:r w:rsidRPr="000C4DF0">
        <w:rPr>
          <w:rFonts w:cs="Times New Roman"/>
          <w:b/>
          <w:bCs/>
        </w:rPr>
        <w:t>le</w:t>
      </w:r>
      <w:proofErr w:type="spellEnd"/>
      <w:r w:rsidRPr="000C4DF0">
        <w:rPr>
          <w:rFonts w:cs="Times New Roman"/>
          <w:b/>
          <w:bCs/>
        </w:rPr>
        <w:t xml:space="preserve"> ja Telia hulgituru 3b teenuseid kasutavatele teistele sideettevõtjatele tagasiside andmiseks oma hulgituru 3b teenuste osutamise põhilised tulemusnäitajad ja nendest lähtuvad teenustaseme kokkulepped ning garantiid, lähtudes võimalikult suurel määral EK 2024 kohustuste soovituse vastavatest nõuetest. Samuti peab Telia avaldama ka tulemusnäitajate kogumise meetodi.</w:t>
      </w:r>
    </w:p>
    <w:p w14:paraId="70458F83" w14:textId="2A8321C3" w:rsidR="00F03958" w:rsidRPr="000C4DF0" w:rsidRDefault="00F03958" w:rsidP="00AA241E">
      <w:pPr>
        <w:spacing w:before="120" w:after="120"/>
        <w:ind w:left="720"/>
        <w:jc w:val="both"/>
        <w:rPr>
          <w:rFonts w:cs="Times New Roman"/>
          <w:b/>
          <w:bCs/>
        </w:rPr>
      </w:pPr>
      <w:r w:rsidRPr="000C4DF0">
        <w:rPr>
          <w:rFonts w:cs="Times New Roman"/>
          <w:b/>
          <w:bCs/>
        </w:rPr>
        <w:t>b) TTJA-l ja teistel sideettevõtjatel peab olema võimalus anda Teliale tagasisidet vähemalt  kakskümmend (20) tööpäeva Telia poolt eeltoodud punktis a nimetatud teabe avaldamisest.</w:t>
      </w:r>
    </w:p>
    <w:p w14:paraId="379F8582" w14:textId="03B30006" w:rsidR="00F03958" w:rsidRPr="000C4DF0" w:rsidRDefault="00F03958" w:rsidP="00AA241E">
      <w:pPr>
        <w:spacing w:before="120" w:after="120"/>
        <w:ind w:left="720"/>
        <w:jc w:val="both"/>
        <w:rPr>
          <w:rFonts w:cs="Times New Roman"/>
          <w:b/>
          <w:bCs/>
        </w:rPr>
      </w:pPr>
      <w:r w:rsidRPr="000C4DF0">
        <w:rPr>
          <w:rFonts w:cs="Times New Roman"/>
          <w:b/>
          <w:bCs/>
        </w:rPr>
        <w:t xml:space="preserve">c) Saadud tagasisidet võimalikult suurel määral arvesse võttes peab Telia rakendama vastavate tulemusnäitajate alusel koostatud teenustaseme kokkulepped ja garantiid juba sõlmitud hulgituru 3b teenuste lepingutes ja vastavas näidispakkumises hiljemalt kuuekümne (60) tööpäeva pärast Telia poolt eeltoodud punktis a nimetatud teabe avaldamist. </w:t>
      </w:r>
    </w:p>
    <w:p w14:paraId="7DD19BDF" w14:textId="6CA18016" w:rsidR="00F03958" w:rsidRDefault="00F03958" w:rsidP="00AA241E">
      <w:pPr>
        <w:spacing w:before="120" w:after="120"/>
        <w:ind w:left="720"/>
        <w:jc w:val="both"/>
        <w:rPr>
          <w:rFonts w:cs="Times New Roman"/>
          <w:b/>
          <w:bCs/>
        </w:rPr>
      </w:pPr>
      <w:r w:rsidRPr="000C4DF0">
        <w:rPr>
          <w:rFonts w:cs="Times New Roman"/>
          <w:b/>
          <w:bCs/>
        </w:rPr>
        <w:t xml:space="preserve">d) Esmakordselt peab Telia eeltoodud punktis a nimetatud teabe avaldama hiljemalt </w:t>
      </w:r>
      <w:r w:rsidR="008C159A">
        <w:rPr>
          <w:rFonts w:cs="Times New Roman"/>
          <w:b/>
          <w:bCs/>
        </w:rPr>
        <w:t>ptk.-</w:t>
      </w:r>
      <w:r w:rsidR="00750889" w:rsidRPr="000C4DF0">
        <w:rPr>
          <w:rFonts w:cs="Times New Roman"/>
          <w:b/>
          <w:bCs/>
        </w:rPr>
        <w:t xml:space="preserve">s </w:t>
      </w:r>
      <w:r w:rsidR="00B20A02" w:rsidRPr="000C4DF0">
        <w:rPr>
          <w:rFonts w:cs="Times New Roman"/>
          <w:b/>
          <w:bCs/>
        </w:rPr>
        <w:t>8.7 sätestatud tähtajal</w:t>
      </w:r>
      <w:r w:rsidRPr="000C4DF0">
        <w:rPr>
          <w:rFonts w:cs="Times New Roman"/>
          <w:b/>
          <w:bCs/>
        </w:rPr>
        <w:t>.</w:t>
      </w:r>
    </w:p>
    <w:p w14:paraId="0EF870DE" w14:textId="77777777" w:rsidR="00CD717E" w:rsidRDefault="00CD717E" w:rsidP="00AA241E">
      <w:pPr>
        <w:spacing w:before="120" w:after="120"/>
        <w:ind w:left="720"/>
        <w:jc w:val="both"/>
        <w:rPr>
          <w:rFonts w:cs="Times New Roman"/>
          <w:b/>
          <w:bCs/>
        </w:rPr>
      </w:pPr>
    </w:p>
    <w:p w14:paraId="6D6F5558" w14:textId="7F63D8B8" w:rsidR="00CD717E" w:rsidRDefault="00CD717E" w:rsidP="00CD717E">
      <w:pPr>
        <w:ind w:firstLine="720"/>
        <w:jc w:val="both"/>
        <w:rPr>
          <w:rFonts w:cs="Times New Roman"/>
          <w:b/>
          <w:bCs/>
        </w:rPr>
      </w:pPr>
      <w:r>
        <w:rPr>
          <w:rFonts w:cs="Times New Roman"/>
        </w:rPr>
        <w:lastRenderedPageBreak/>
        <w:t>Täiendavaid selgitused eeltoodud kohustuse osas on ptk.-s 8.4.5.</w:t>
      </w:r>
    </w:p>
    <w:p w14:paraId="6D55BD6F" w14:textId="77777777" w:rsidR="00F03958" w:rsidRPr="000C4DF0" w:rsidRDefault="00F03958" w:rsidP="00AA241E">
      <w:pPr>
        <w:spacing w:before="120" w:after="120"/>
        <w:ind w:left="720"/>
        <w:jc w:val="both"/>
        <w:rPr>
          <w:rFonts w:cs="Times New Roman"/>
          <w:b/>
          <w:bCs/>
        </w:rPr>
      </w:pPr>
    </w:p>
    <w:p w14:paraId="0D513C3F" w14:textId="2F6D3597" w:rsidR="00F03958" w:rsidRPr="00CD717E" w:rsidRDefault="00CD717E" w:rsidP="00CD717E">
      <w:pPr>
        <w:pStyle w:val="Pealkiri5"/>
      </w:pPr>
      <w:r>
        <w:t xml:space="preserve">8.4.10.4 </w:t>
      </w:r>
      <w:r w:rsidR="00F03958" w:rsidRPr="00CD717E">
        <w:t>Uute jaemüügipakkumiste tehnilise jäljendatavuse test</w:t>
      </w:r>
    </w:p>
    <w:p w14:paraId="6E444AE0" w14:textId="77777777" w:rsidR="00CD717E" w:rsidRPr="000C4DF0" w:rsidRDefault="00CD717E" w:rsidP="00AA241E">
      <w:pPr>
        <w:spacing w:before="120" w:after="120"/>
        <w:jc w:val="both"/>
        <w:rPr>
          <w:rFonts w:cs="Times New Roman"/>
          <w:b/>
          <w:bCs/>
          <w:u w:val="single"/>
        </w:rPr>
      </w:pPr>
    </w:p>
    <w:p w14:paraId="0080E62D" w14:textId="6917C64E" w:rsidR="00F03958" w:rsidRPr="000C4DF0" w:rsidRDefault="00F03958" w:rsidP="00AA241E">
      <w:pPr>
        <w:spacing w:before="120" w:after="120"/>
        <w:ind w:left="720"/>
        <w:jc w:val="both"/>
        <w:rPr>
          <w:rFonts w:cs="Times New Roman"/>
          <w:b/>
          <w:bCs/>
        </w:rPr>
      </w:pPr>
      <w:r w:rsidRPr="000C4DF0">
        <w:rPr>
          <w:rFonts w:cs="Times New Roman"/>
          <w:b/>
          <w:bCs/>
        </w:rPr>
        <w:t>a) Telia on kohustatud uute</w:t>
      </w:r>
      <w:r w:rsidR="000F01A7">
        <w:rPr>
          <w:rFonts w:cs="Times New Roman"/>
          <w:b/>
          <w:bCs/>
        </w:rPr>
        <w:t>,</w:t>
      </w:r>
      <w:r w:rsidRPr="000C4DF0">
        <w:rPr>
          <w:rFonts w:cs="Times New Roman"/>
          <w:b/>
          <w:bCs/>
        </w:rPr>
        <w:t xml:space="preserve"> standardsete ja masstootena käsitletavate internetiühendusi sisaldavate jaemüügipakkumiste osas läbi viima vastava jaemüügipakkumise tehnilise jäljendatavuse testi, mis teeb kindlaks, kas olemasolevad või uued Telia hulgituru 3b teenused võimaldavad teistel sideettevõtjatel tehniliselt jäljendada vastavas uues jaemüügipakkumises sisaldava internetiühenduse pakkumist jaetasandil.</w:t>
      </w:r>
    </w:p>
    <w:p w14:paraId="6C0B030B" w14:textId="37AE4CA3" w:rsidR="00F03958" w:rsidRPr="000C4DF0" w:rsidRDefault="00F03958" w:rsidP="00AA241E">
      <w:pPr>
        <w:spacing w:before="120" w:after="120"/>
        <w:ind w:left="720"/>
        <w:jc w:val="both"/>
        <w:rPr>
          <w:rFonts w:cs="Times New Roman"/>
          <w:b/>
          <w:bCs/>
        </w:rPr>
      </w:pPr>
      <w:r w:rsidRPr="000C4DF0">
        <w:rPr>
          <w:rFonts w:cs="Times New Roman"/>
          <w:b/>
          <w:bCs/>
        </w:rPr>
        <w:t>b) Telia peab vähemalt kakskümmend (20) tööpäeva enne eeltoodud punktis a nimetatud jaemüügipakkumiste rakendamist esitama TTJA-</w:t>
      </w:r>
      <w:proofErr w:type="spellStart"/>
      <w:r w:rsidRPr="000C4DF0">
        <w:rPr>
          <w:rFonts w:cs="Times New Roman"/>
          <w:b/>
          <w:bCs/>
        </w:rPr>
        <w:t>le</w:t>
      </w:r>
      <w:proofErr w:type="spellEnd"/>
      <w:r w:rsidRPr="000C4DF0">
        <w:rPr>
          <w:rFonts w:cs="Times New Roman"/>
          <w:b/>
          <w:bCs/>
        </w:rPr>
        <w:t xml:space="preserve"> vastava tehnilise jäljendatavuse testi tulemused, </w:t>
      </w:r>
      <w:r w:rsidR="002C1C97" w:rsidRPr="000C4DF0">
        <w:rPr>
          <w:rFonts w:cs="Times New Roman"/>
          <w:b/>
          <w:bCs/>
        </w:rPr>
        <w:t xml:space="preserve">lähtudes võimalikult suurel määral EK 2024 kohustuste soovituse vastavatest selgitustest, </w:t>
      </w:r>
      <w:r w:rsidRPr="000C4DF0">
        <w:rPr>
          <w:rFonts w:cs="Times New Roman"/>
          <w:b/>
          <w:bCs/>
        </w:rPr>
        <w:t>sealhulgas kogu vajaliku teabe selle tõendamiseks, et vastava jaemüügipakkumise tehniline jäljendatavus on Telia olemasolevate või uute hulgituru 3b teenuste poolt täielikult tagatud.</w:t>
      </w:r>
    </w:p>
    <w:p w14:paraId="7D80ADC3" w14:textId="77777777" w:rsidR="00F03958" w:rsidRDefault="00F03958" w:rsidP="00AA241E">
      <w:pPr>
        <w:spacing w:before="120" w:after="120"/>
        <w:ind w:left="720"/>
        <w:jc w:val="both"/>
        <w:rPr>
          <w:rFonts w:cs="Times New Roman"/>
          <w:b/>
          <w:bCs/>
        </w:rPr>
      </w:pPr>
      <w:r w:rsidRPr="000C4DF0">
        <w:rPr>
          <w:rFonts w:cs="Times New Roman"/>
          <w:b/>
          <w:bCs/>
        </w:rPr>
        <w:t>c) TTJA hindab eeltoodud punktis b nimetatud testi tulemusi ning vajadusel teeb ettekirjutuse, et Telia muudaks asjaomaseid hulgituru 3b teenuseid nii, et uue jaemüügipakkumise tehniline jäljendatavus oleks tagatud ja/või MTE lõpetaks või peataks asjaomase jaemüügipakkumise, kuni tehnilise jäljendatavus on tagatud.</w:t>
      </w:r>
    </w:p>
    <w:p w14:paraId="7C6769B5" w14:textId="77777777" w:rsidR="00CD717E" w:rsidRDefault="00CD717E" w:rsidP="00AA241E">
      <w:pPr>
        <w:spacing w:before="120" w:after="120"/>
        <w:ind w:left="720"/>
        <w:jc w:val="both"/>
        <w:rPr>
          <w:rFonts w:cs="Times New Roman"/>
          <w:b/>
          <w:bCs/>
        </w:rPr>
      </w:pPr>
    </w:p>
    <w:p w14:paraId="7DECBDF1" w14:textId="0D7C3C03" w:rsidR="00CD717E" w:rsidRDefault="00CD717E" w:rsidP="00CD717E">
      <w:pPr>
        <w:ind w:firstLine="720"/>
        <w:jc w:val="both"/>
        <w:rPr>
          <w:rFonts w:cs="Times New Roman"/>
          <w:b/>
          <w:bCs/>
        </w:rPr>
      </w:pPr>
      <w:r>
        <w:rPr>
          <w:rFonts w:cs="Times New Roman"/>
        </w:rPr>
        <w:t>Täiendavaid selgitused eeltoodud kohustuse osas on ptk.-s 8.4.6.</w:t>
      </w:r>
    </w:p>
    <w:p w14:paraId="4C970574" w14:textId="77777777" w:rsidR="00F03958" w:rsidRPr="000C4DF0" w:rsidRDefault="00F03958" w:rsidP="00AA241E">
      <w:pPr>
        <w:spacing w:before="120" w:after="120"/>
        <w:ind w:left="720"/>
        <w:jc w:val="both"/>
        <w:rPr>
          <w:rFonts w:cs="Times New Roman"/>
          <w:b/>
          <w:bCs/>
        </w:rPr>
      </w:pPr>
    </w:p>
    <w:p w14:paraId="58B91778" w14:textId="6A7B9B7D" w:rsidR="00F03958" w:rsidRPr="00CD717E" w:rsidRDefault="00CD717E" w:rsidP="00CD717E">
      <w:pPr>
        <w:pStyle w:val="Pealkiri5"/>
      </w:pPr>
      <w:r>
        <w:t xml:space="preserve">8.4.10.5 </w:t>
      </w:r>
      <w:r w:rsidR="00F03958" w:rsidRPr="00CD717E">
        <w:t>Teabe asümmeetria</w:t>
      </w:r>
    </w:p>
    <w:p w14:paraId="4482D60D" w14:textId="77777777" w:rsidR="00CD717E" w:rsidRDefault="00CD717E" w:rsidP="00AA241E">
      <w:pPr>
        <w:spacing w:before="120" w:after="120"/>
        <w:ind w:left="720"/>
        <w:jc w:val="both"/>
        <w:rPr>
          <w:rFonts w:cs="Times New Roman"/>
          <w:b/>
          <w:bCs/>
        </w:rPr>
      </w:pPr>
    </w:p>
    <w:p w14:paraId="4FC638C0" w14:textId="2DCA49ED" w:rsidR="00F03958" w:rsidRPr="000C4DF0" w:rsidRDefault="00F03958" w:rsidP="00AA241E">
      <w:pPr>
        <w:spacing w:before="120" w:after="120"/>
        <w:ind w:left="720"/>
        <w:jc w:val="both"/>
        <w:rPr>
          <w:rFonts w:cs="Times New Roman"/>
          <w:b/>
          <w:bCs/>
        </w:rPr>
      </w:pPr>
      <w:r w:rsidRPr="000C4DF0">
        <w:rPr>
          <w:rFonts w:cs="Times New Roman"/>
          <w:b/>
          <w:bCs/>
        </w:rPr>
        <w:t>Telia peab igal kalendriaastal ühe korra esitama TTJA-</w:t>
      </w:r>
      <w:proofErr w:type="spellStart"/>
      <w:r w:rsidRPr="000C4DF0">
        <w:rPr>
          <w:rFonts w:cs="Times New Roman"/>
          <w:b/>
          <w:bCs/>
        </w:rPr>
        <w:t>le</w:t>
      </w:r>
      <w:proofErr w:type="spellEnd"/>
      <w:r w:rsidRPr="000C4DF0">
        <w:rPr>
          <w:rFonts w:cs="Times New Roman"/>
          <w:b/>
          <w:bCs/>
        </w:rPr>
        <w:t xml:space="preserve"> aruande, milles kirjeldatakse: </w:t>
      </w:r>
    </w:p>
    <w:p w14:paraId="027BF5A5" w14:textId="77777777" w:rsidR="00F03958" w:rsidRPr="000C4DF0" w:rsidRDefault="00F03958" w:rsidP="00AA241E">
      <w:pPr>
        <w:spacing w:before="120" w:after="120"/>
        <w:ind w:left="1440"/>
        <w:jc w:val="both"/>
        <w:rPr>
          <w:rFonts w:cs="Times New Roman"/>
          <w:b/>
          <w:bCs/>
        </w:rPr>
      </w:pPr>
      <w:r w:rsidRPr="000C4DF0">
        <w:rPr>
          <w:rFonts w:cs="Times New Roman"/>
          <w:b/>
          <w:bCs/>
        </w:rPr>
        <w:t>a) meetmeid, millega tagatakse, et Telia hulgi- ja jaemüüki korraldavad ettevõttesised üksused või asjaomased partnerid ei jaga omavahel tundlikku teavet, mis võiks anda MTE-</w:t>
      </w:r>
      <w:proofErr w:type="spellStart"/>
      <w:r w:rsidRPr="000C4DF0">
        <w:rPr>
          <w:rFonts w:cs="Times New Roman"/>
          <w:b/>
          <w:bCs/>
        </w:rPr>
        <w:t>le</w:t>
      </w:r>
      <w:proofErr w:type="spellEnd"/>
      <w:r w:rsidRPr="000C4DF0">
        <w:rPr>
          <w:rFonts w:cs="Times New Roman"/>
          <w:b/>
          <w:bCs/>
        </w:rPr>
        <w:t xml:space="preserve"> konkurentsieelise jaeteenuste osutamisel; </w:t>
      </w:r>
    </w:p>
    <w:p w14:paraId="688B70E3" w14:textId="77777777" w:rsidR="00F03958" w:rsidRPr="000C4DF0" w:rsidRDefault="00F03958" w:rsidP="00AA241E">
      <w:pPr>
        <w:spacing w:before="120" w:after="120"/>
        <w:ind w:left="1440"/>
        <w:jc w:val="both"/>
        <w:rPr>
          <w:rFonts w:cs="Times New Roman"/>
          <w:b/>
          <w:bCs/>
        </w:rPr>
      </w:pPr>
      <w:r w:rsidRPr="000C4DF0">
        <w:rPr>
          <w:rFonts w:cs="Times New Roman"/>
          <w:b/>
          <w:bCs/>
        </w:rPr>
        <w:t>b) meetmeid, millega tagatakse, et MTE jaemüügiga tegelevad töötajad ei osale MTE sellistes struktuurides, mis kas otseselt või kaudselt vastutavad hulgimüügisisenditele juurdepääsu haldamise eest;</w:t>
      </w:r>
    </w:p>
    <w:p w14:paraId="4876AC47" w14:textId="77777777" w:rsidR="00F03958" w:rsidRPr="000C4DF0" w:rsidRDefault="00F03958" w:rsidP="00AA241E">
      <w:pPr>
        <w:spacing w:before="120" w:after="120"/>
        <w:ind w:left="1440"/>
        <w:jc w:val="both"/>
        <w:rPr>
          <w:rFonts w:cs="Times New Roman"/>
          <w:b/>
          <w:bCs/>
        </w:rPr>
      </w:pPr>
      <w:r w:rsidRPr="000C4DF0">
        <w:rPr>
          <w:rFonts w:cs="Times New Roman"/>
          <w:b/>
          <w:bCs/>
        </w:rPr>
        <w:lastRenderedPageBreak/>
        <w:t>c) kõiki väidetavaid ESS § 64 lõike 2 punkti 3 täitmise rikkumisi ning sellega seoses rakendatud parandusmeetmeid rikkumiste lõpetamiseks ja edaspidiseks vältimiseks.</w:t>
      </w:r>
    </w:p>
    <w:p w14:paraId="0BBBFB49" w14:textId="0154DF59" w:rsidR="00F03958" w:rsidRPr="000C4DF0" w:rsidRDefault="00F03958" w:rsidP="00AA241E">
      <w:pPr>
        <w:spacing w:before="120" w:after="120"/>
        <w:ind w:left="1440"/>
        <w:jc w:val="both"/>
        <w:rPr>
          <w:rFonts w:cs="Times New Roman"/>
          <w:b/>
          <w:bCs/>
        </w:rPr>
      </w:pPr>
      <w:r w:rsidRPr="000C4DF0">
        <w:rPr>
          <w:rFonts w:cs="Times New Roman"/>
          <w:b/>
          <w:bCs/>
        </w:rPr>
        <w:t>d) esmakordselt peab Telia eeltoodud punktides a - c nimetatud teabe esitama TTJA-</w:t>
      </w:r>
      <w:proofErr w:type="spellStart"/>
      <w:r w:rsidRPr="000C4DF0">
        <w:rPr>
          <w:rFonts w:cs="Times New Roman"/>
          <w:b/>
          <w:bCs/>
        </w:rPr>
        <w:t>le</w:t>
      </w:r>
      <w:proofErr w:type="spellEnd"/>
      <w:r w:rsidRPr="000C4DF0">
        <w:rPr>
          <w:rFonts w:cs="Times New Roman"/>
          <w:b/>
          <w:bCs/>
        </w:rPr>
        <w:t xml:space="preserve"> hiljemalt kaheksakümmend (80) tööpäeva pärast käesoleva otsuse kehtestamist.</w:t>
      </w:r>
    </w:p>
    <w:p w14:paraId="45A3CAAE" w14:textId="77777777" w:rsidR="00F03958" w:rsidRDefault="00F03958" w:rsidP="00AA241E">
      <w:pPr>
        <w:spacing w:before="120" w:after="120"/>
        <w:jc w:val="both"/>
        <w:rPr>
          <w:rFonts w:cs="Times New Roman"/>
        </w:rPr>
      </w:pPr>
    </w:p>
    <w:p w14:paraId="317DC708" w14:textId="1556FDB4" w:rsidR="00CD717E" w:rsidRDefault="00CD717E" w:rsidP="00CD717E">
      <w:pPr>
        <w:ind w:firstLine="720"/>
        <w:jc w:val="both"/>
        <w:rPr>
          <w:rFonts w:cs="Times New Roman"/>
          <w:b/>
          <w:bCs/>
        </w:rPr>
      </w:pPr>
      <w:r>
        <w:rPr>
          <w:rFonts w:cs="Times New Roman"/>
        </w:rPr>
        <w:t>Täiendavaid selgitused eeltoodud kohustuse osas on ptk.-s 8.4.7.</w:t>
      </w:r>
    </w:p>
    <w:p w14:paraId="1327B5E9" w14:textId="414954C0" w:rsidR="00CD717E" w:rsidRPr="00883566" w:rsidRDefault="00CD717E" w:rsidP="00AA241E">
      <w:pPr>
        <w:spacing w:before="120" w:after="120"/>
        <w:jc w:val="both"/>
        <w:rPr>
          <w:rFonts w:cs="Times New Roman"/>
        </w:rPr>
      </w:pPr>
    </w:p>
    <w:bookmarkEnd w:id="1296"/>
    <w:p w14:paraId="37A340AA" w14:textId="77777777" w:rsidR="00F03958" w:rsidRPr="00883566" w:rsidRDefault="00F03958" w:rsidP="00AA241E">
      <w:pPr>
        <w:spacing w:before="120" w:after="120"/>
        <w:jc w:val="both"/>
        <w:rPr>
          <w:rFonts w:cs="Times New Roman"/>
          <w:b/>
          <w:lang w:eastAsia="et-EE"/>
        </w:rPr>
      </w:pPr>
    </w:p>
    <w:p w14:paraId="0CF4903A" w14:textId="04F3ED12" w:rsidR="00F03958" w:rsidRPr="00883566" w:rsidRDefault="00C8798B" w:rsidP="00AA241E">
      <w:pPr>
        <w:pStyle w:val="Pealkiri2"/>
        <w:jc w:val="both"/>
      </w:pPr>
      <w:bookmarkStart w:id="1297" w:name="_Toc212974440"/>
      <w:bookmarkStart w:id="1298" w:name="_Toc213122168"/>
      <w:bookmarkStart w:id="1299" w:name="_Toc213140789"/>
      <w:bookmarkStart w:id="1300" w:name="_Toc215466514"/>
      <w:bookmarkStart w:id="1301" w:name="_Toc216228067"/>
      <w:bookmarkStart w:id="1302" w:name="_Toc457983660"/>
      <w:bookmarkStart w:id="1303" w:name="_Toc464639367"/>
      <w:bookmarkStart w:id="1304" w:name="_Toc470614569"/>
      <w:bookmarkStart w:id="1305" w:name="_Toc472597892"/>
      <w:bookmarkStart w:id="1306" w:name="_Toc35339852"/>
      <w:bookmarkStart w:id="1307" w:name="_Toc66262840"/>
      <w:bookmarkStart w:id="1308" w:name="_Toc151026098"/>
      <w:bookmarkStart w:id="1309" w:name="_Toc174710891"/>
      <w:r>
        <w:t>Läb</w:t>
      </w:r>
      <w:r w:rsidR="00F03958" w:rsidRPr="00883566">
        <w:t>ipaistvuskohustused</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1D4DCC13" w14:textId="77777777" w:rsidR="00F03958" w:rsidRPr="00883566" w:rsidRDefault="00F03958" w:rsidP="00AA241E">
      <w:pPr>
        <w:spacing w:before="120" w:after="120"/>
        <w:jc w:val="both"/>
        <w:rPr>
          <w:rFonts w:cs="Times New Roman"/>
          <w:lang w:eastAsia="et-EE"/>
        </w:rPr>
      </w:pPr>
    </w:p>
    <w:p w14:paraId="4C9AC7EC" w14:textId="00E2AC71" w:rsidR="00F03958" w:rsidRPr="00883566" w:rsidRDefault="00F03958" w:rsidP="00AA241E">
      <w:pPr>
        <w:spacing w:line="259" w:lineRule="auto"/>
        <w:jc w:val="both"/>
        <w:rPr>
          <w:rFonts w:cs="Times New Roman"/>
          <w:lang w:eastAsia="en-US"/>
        </w:rPr>
      </w:pPr>
      <w:r w:rsidRPr="00883566">
        <w:rPr>
          <w:rFonts w:cs="Times New Roman"/>
        </w:rPr>
        <w:t xml:space="preserve">Käesoleva otsuse koostamise ajal kehtivad Telia hulgituru 3b teenustele läbipaistvuskohustused TTJA 2017 hulgituru 3b otsuse alusel. Lähtudes käesoleva otsuse </w:t>
      </w:r>
      <w:r w:rsidR="008C159A">
        <w:rPr>
          <w:rFonts w:cs="Times New Roman"/>
        </w:rPr>
        <w:t>ptk.-</w:t>
      </w:r>
      <w:r w:rsidRPr="00883566">
        <w:rPr>
          <w:rFonts w:cs="Times New Roman"/>
        </w:rPr>
        <w:t xml:space="preserve">st </w:t>
      </w:r>
      <w:r w:rsidR="00E14AB9">
        <w:rPr>
          <w:rFonts w:cs="Times New Roman"/>
        </w:rPr>
        <w:t>8.1.2</w:t>
      </w:r>
      <w:r w:rsidRPr="00883566">
        <w:rPr>
          <w:rFonts w:cs="Times New Roman"/>
        </w:rPr>
        <w:t xml:space="preserve"> tunnistatakse TTJA 2017 hulgituru 3b otsus ja selles kehtestatud kohustused kehtetuks. Käesolevas otsuses kehtestatavad kohustused on suunatud Telia </w:t>
      </w:r>
      <w:r w:rsidR="00A3232C">
        <w:rPr>
          <w:rFonts w:cs="Times New Roman"/>
        </w:rPr>
        <w:t>valguskaabelvõrgu</w:t>
      </w:r>
      <w:r w:rsidRPr="00883566">
        <w:rPr>
          <w:rFonts w:cs="Times New Roman"/>
        </w:rPr>
        <w:t xml:space="preserve">s (nii ülekande-, kui ka juurdepääsuvõrgu) lairibaühendusele keskse juurdepääsu </w:t>
      </w:r>
      <w:r w:rsidR="001D412C">
        <w:rPr>
          <w:rFonts w:cs="Times New Roman"/>
        </w:rPr>
        <w:t>hulgiteenustele</w:t>
      </w:r>
      <w:r w:rsidRPr="00883566">
        <w:rPr>
          <w:rFonts w:cs="Times New Roman"/>
        </w:rPr>
        <w:t xml:space="preserve"> piirkonnas B. Järgnevalt analüüsitakse ja tuvastatakse konkurentsiprobleemide vältimiseks ja konkurentsi edendamiseks asjakohaste kohustused võttes arvesse TTJA 2017 hulgituru 3b otsuses sätestatud kohustusi, uut EK 2024 kohustuste soovitust ning TTJA 2021 hulgituru 3b otsuse eelnõus ja TTJA 2023 hulgituru 3b otsuse eelnõus kajastatud sideettevõtjate arvamusi võimalike konkurentsiprobleemide osas. TTJA hinnangul on kohustuste järjepidevuse tagamiseks mõistlik ja proportsionaalne lähtuda TTJA 2017 hulgituru 3b otsuses sätestatud kohustustest neid vajadusel muutes ja/või täiendades.</w:t>
      </w:r>
    </w:p>
    <w:p w14:paraId="68F48C76" w14:textId="68BDB97E" w:rsidR="00F03958" w:rsidRPr="00883566" w:rsidRDefault="00F03958" w:rsidP="00AA241E">
      <w:pPr>
        <w:spacing w:line="259" w:lineRule="auto"/>
        <w:jc w:val="both"/>
        <w:rPr>
          <w:rFonts w:cs="Times New Roman"/>
          <w:lang w:eastAsia="en-US"/>
        </w:rPr>
      </w:pPr>
      <w:r w:rsidRPr="00883566">
        <w:rPr>
          <w:rFonts w:cs="Times New Roman"/>
        </w:rPr>
        <w:t xml:space="preserve">Täpsemalt kehtivad Teliale käesoleva otsuse koostamise ajal TTJA 2017 hulgituru 3b otsuse lisa 1 </w:t>
      </w:r>
      <w:r w:rsidR="008C159A">
        <w:rPr>
          <w:rFonts w:cs="Times New Roman"/>
        </w:rPr>
        <w:t xml:space="preserve">ptk. </w:t>
      </w:r>
      <w:r w:rsidRPr="00883566">
        <w:rPr>
          <w:rFonts w:cs="Times New Roman"/>
        </w:rPr>
        <w:t>6.4.4 alusel järgmised läbipaistvuskohustused:</w:t>
      </w:r>
    </w:p>
    <w:p w14:paraId="08BD8202" w14:textId="77777777" w:rsidR="00F03958" w:rsidRPr="00883566" w:rsidRDefault="00F03958" w:rsidP="00AA241E">
      <w:pPr>
        <w:spacing w:before="120" w:after="120"/>
        <w:jc w:val="both"/>
        <w:rPr>
          <w:rFonts w:cs="Times New Roman"/>
          <w:i/>
          <w:iCs/>
        </w:rPr>
      </w:pPr>
    </w:p>
    <w:p w14:paraId="693132DB" w14:textId="30D45BF6" w:rsidR="00F03958" w:rsidRPr="00883566" w:rsidRDefault="00F03958" w:rsidP="00AA241E">
      <w:pPr>
        <w:numPr>
          <w:ilvl w:val="0"/>
          <w:numId w:val="6"/>
        </w:numPr>
        <w:spacing w:before="120" w:after="120" w:line="240" w:lineRule="auto"/>
        <w:ind w:left="785"/>
        <w:jc w:val="both"/>
        <w:rPr>
          <w:i/>
          <w:iCs/>
          <w:lang w:eastAsia="et-EE"/>
        </w:rPr>
      </w:pPr>
      <w:r w:rsidRPr="00883566">
        <w:rPr>
          <w:i/>
          <w:iCs/>
          <w:lang w:eastAsia="et-EE"/>
        </w:rPr>
        <w:t xml:space="preserve">TJA otsustab kohustada Teliat lairiba juurdepääsu hulgiturul otsuse peatükkides </w:t>
      </w:r>
      <w:r w:rsidRPr="00883566">
        <w:rPr>
          <w:i/>
          <w:iCs/>
          <w:lang w:eastAsia="et-EE"/>
        </w:rPr>
        <w:fldChar w:fldCharType="begin"/>
      </w:r>
      <w:r w:rsidRPr="00883566">
        <w:rPr>
          <w:i/>
          <w:iCs/>
          <w:lang w:eastAsia="et-EE"/>
        </w:rPr>
        <w:instrText xml:space="preserve"> REF _Ref465421593 \h  \* MERGEFORMAT </w:instrText>
      </w:r>
      <w:r w:rsidRPr="00883566">
        <w:rPr>
          <w:i/>
          <w:iCs/>
          <w:lang w:eastAsia="et-EE"/>
        </w:rPr>
      </w:r>
      <w:r w:rsidRPr="00883566">
        <w:rPr>
          <w:i/>
          <w:iCs/>
          <w:lang w:eastAsia="et-EE"/>
        </w:rPr>
        <w:fldChar w:fldCharType="separate"/>
      </w:r>
      <w:r w:rsidRPr="00883566">
        <w:rPr>
          <w:i/>
          <w:iCs/>
          <w:lang w:eastAsia="et-EE"/>
        </w:rPr>
        <w:t>6.2.2. Juurdepääsuga seotud konkurentsiprobleemid</w:t>
      </w:r>
      <w:r w:rsidRPr="00883566">
        <w:rPr>
          <w:i/>
          <w:iCs/>
          <w:lang w:eastAsia="et-EE"/>
        </w:rPr>
        <w:fldChar w:fldCharType="end"/>
      </w:r>
      <w:r w:rsidRPr="00883566">
        <w:rPr>
          <w:i/>
          <w:iCs/>
          <w:lang w:eastAsia="et-EE"/>
        </w:rPr>
        <w:t xml:space="preserve">“, </w:t>
      </w:r>
      <w:r w:rsidRPr="00883566">
        <w:rPr>
          <w:i/>
          <w:iCs/>
          <w:lang w:eastAsia="et-EE"/>
        </w:rPr>
        <w:fldChar w:fldCharType="begin"/>
      </w:r>
      <w:r w:rsidRPr="00883566">
        <w:rPr>
          <w:i/>
          <w:iCs/>
          <w:lang w:eastAsia="et-EE"/>
        </w:rPr>
        <w:instrText xml:space="preserve"> REF _Ref465421602 \h  \* MERGEFORMAT </w:instrText>
      </w:r>
      <w:r w:rsidRPr="00883566">
        <w:rPr>
          <w:i/>
          <w:iCs/>
          <w:lang w:eastAsia="et-EE"/>
        </w:rPr>
      </w:r>
      <w:r w:rsidRPr="00883566">
        <w:rPr>
          <w:i/>
          <w:iCs/>
          <w:lang w:eastAsia="et-EE"/>
        </w:rPr>
        <w:fldChar w:fldCharType="separate"/>
      </w:r>
      <w:r w:rsidRPr="00883566">
        <w:rPr>
          <w:i/>
          <w:iCs/>
          <w:lang w:eastAsia="et-EE"/>
        </w:rPr>
        <w:t>6.3.2. Diskrimineerimisega seotud konkurentsiprobleemid</w:t>
      </w:r>
      <w:r w:rsidRPr="00883566">
        <w:rPr>
          <w:i/>
          <w:iCs/>
          <w:lang w:eastAsia="et-EE"/>
        </w:rPr>
        <w:fldChar w:fldCharType="end"/>
      </w:r>
      <w:r w:rsidRPr="00883566">
        <w:rPr>
          <w:i/>
          <w:iCs/>
          <w:lang w:eastAsia="et-EE"/>
        </w:rPr>
        <w:t xml:space="preserve">“, </w:t>
      </w:r>
      <w:r w:rsidRPr="00883566">
        <w:rPr>
          <w:i/>
          <w:iCs/>
          <w:lang w:eastAsia="et-EE"/>
        </w:rPr>
        <w:fldChar w:fldCharType="begin"/>
      </w:r>
      <w:r w:rsidRPr="00883566">
        <w:rPr>
          <w:i/>
          <w:iCs/>
          <w:lang w:eastAsia="et-EE"/>
        </w:rPr>
        <w:instrText xml:space="preserve"> REF _Ref465421619 \h  \* MERGEFORMAT </w:instrText>
      </w:r>
      <w:r w:rsidRPr="00883566">
        <w:rPr>
          <w:i/>
          <w:iCs/>
          <w:lang w:eastAsia="et-EE"/>
        </w:rPr>
      </w:r>
      <w:r w:rsidRPr="00883566">
        <w:rPr>
          <w:i/>
          <w:iCs/>
          <w:lang w:eastAsia="et-EE"/>
        </w:rPr>
        <w:fldChar w:fldCharType="separate"/>
      </w:r>
      <w:r w:rsidRPr="00883566">
        <w:rPr>
          <w:i/>
          <w:iCs/>
          <w:lang w:eastAsia="et-EE"/>
        </w:rPr>
        <w:t>6.5.2. Hinnaga seotud konkurentsiprobleemid ja hindade analüüs</w:t>
      </w:r>
      <w:r w:rsidRPr="00883566">
        <w:rPr>
          <w:i/>
          <w:iCs/>
          <w:lang w:eastAsia="et-EE"/>
        </w:rPr>
        <w:fldChar w:fldCharType="end"/>
      </w:r>
      <w:r w:rsidRPr="00883566">
        <w:rPr>
          <w:i/>
          <w:iCs/>
          <w:lang w:eastAsia="et-EE"/>
        </w:rPr>
        <w:t xml:space="preserve">“ nimetatud konkurentsiprobleemide lahendamise ning sideteenuste koos-talitusvõime ja läbivühendatavuse toetamiseks ESS-i alusel: </w:t>
      </w:r>
    </w:p>
    <w:p w14:paraId="1F78FB3D" w14:textId="23F507DB" w:rsidR="00F03958" w:rsidRPr="00883566" w:rsidRDefault="00F03958" w:rsidP="00AA241E">
      <w:pPr>
        <w:numPr>
          <w:ilvl w:val="0"/>
          <w:numId w:val="54"/>
        </w:numPr>
        <w:spacing w:before="120" w:after="120" w:line="240" w:lineRule="auto"/>
        <w:ind w:left="1134"/>
        <w:jc w:val="both"/>
        <w:rPr>
          <w:i/>
          <w:iCs/>
          <w:lang w:eastAsia="et-EE"/>
        </w:rPr>
      </w:pPr>
      <w:r w:rsidRPr="00883566">
        <w:rPr>
          <w:i/>
          <w:iCs/>
          <w:lang w:eastAsia="et-EE"/>
        </w:rPr>
        <w:t xml:space="preserve">avaldama TJA nõudmisel otsuse peatükis </w:t>
      </w:r>
      <w:r w:rsidRPr="00883566">
        <w:rPr>
          <w:i/>
          <w:iCs/>
          <w:lang w:eastAsia="et-EE"/>
        </w:rPr>
        <w:fldChar w:fldCharType="begin"/>
      </w:r>
      <w:r w:rsidRPr="00883566">
        <w:rPr>
          <w:i/>
          <w:iCs/>
          <w:lang w:eastAsia="et-EE"/>
        </w:rPr>
        <w:instrText xml:space="preserve"> REF _Ref465421719 \h  \* MERGEFORMAT </w:instrText>
      </w:r>
      <w:r w:rsidRPr="00883566">
        <w:rPr>
          <w:i/>
          <w:iCs/>
          <w:lang w:eastAsia="et-EE"/>
        </w:rPr>
      </w:r>
      <w:r w:rsidRPr="00883566">
        <w:rPr>
          <w:i/>
          <w:iCs/>
          <w:lang w:eastAsia="et-EE"/>
        </w:rPr>
        <w:fldChar w:fldCharType="separate"/>
      </w:r>
      <w:r w:rsidRPr="00883566">
        <w:rPr>
          <w:i/>
          <w:iCs/>
          <w:lang w:eastAsia="et-EE"/>
        </w:rPr>
        <w:t>6.2.4. Juurdepääsu kohustuste kehtestamine</w:t>
      </w:r>
      <w:r w:rsidRPr="00883566">
        <w:rPr>
          <w:i/>
          <w:iCs/>
          <w:lang w:eastAsia="et-EE"/>
        </w:rPr>
        <w:fldChar w:fldCharType="end"/>
      </w:r>
      <w:r w:rsidRPr="00883566">
        <w:rPr>
          <w:i/>
          <w:iCs/>
          <w:lang w:eastAsia="et-EE"/>
        </w:rPr>
        <w:t>“  kirjeldatud teenustega seotud andmed kuluarvestuse, tehniliste tingimuste, võrgu omaduste, teenuse osutamise tingimuste ja tasude kohta, välja arvatud juhul, kui vastavad andmed sisalduvad juba näidispakkumises</w:t>
      </w:r>
      <w:r w:rsidRPr="00883566">
        <w:rPr>
          <w:i/>
          <w:iCs/>
          <w:vertAlign w:val="superscript"/>
          <w:lang w:eastAsia="et-EE"/>
        </w:rPr>
        <w:footnoteReference w:id="242"/>
      </w:r>
      <w:r w:rsidRPr="00883566">
        <w:rPr>
          <w:i/>
          <w:iCs/>
          <w:lang w:eastAsia="et-EE"/>
        </w:rPr>
        <w:t>;</w:t>
      </w:r>
    </w:p>
    <w:p w14:paraId="7F4B1A6A" w14:textId="4F3488FB" w:rsidR="00F03958" w:rsidRPr="00883566" w:rsidRDefault="00F03958" w:rsidP="00AA241E">
      <w:pPr>
        <w:numPr>
          <w:ilvl w:val="0"/>
          <w:numId w:val="54"/>
        </w:numPr>
        <w:spacing w:before="120" w:after="120" w:line="240" w:lineRule="auto"/>
        <w:ind w:left="1134"/>
        <w:jc w:val="both"/>
        <w:rPr>
          <w:i/>
          <w:iCs/>
          <w:lang w:eastAsia="et-EE"/>
        </w:rPr>
      </w:pPr>
      <w:r w:rsidRPr="00883566">
        <w:rPr>
          <w:i/>
          <w:iCs/>
          <w:lang w:eastAsia="et-EE"/>
        </w:rPr>
        <w:lastRenderedPageBreak/>
        <w:t xml:space="preserve">avaldama teise sideettevõtja taotluse korral teave peatükis </w:t>
      </w:r>
      <w:r w:rsidRPr="00883566">
        <w:rPr>
          <w:i/>
          <w:iCs/>
          <w:lang w:eastAsia="et-EE"/>
        </w:rPr>
        <w:fldChar w:fldCharType="begin"/>
      </w:r>
      <w:r w:rsidRPr="00883566">
        <w:rPr>
          <w:i/>
          <w:iCs/>
          <w:lang w:eastAsia="et-EE"/>
        </w:rPr>
        <w:instrText xml:space="preserve"> REF _Ref465421762 \h  \* MERGEFORMAT </w:instrText>
      </w:r>
      <w:r w:rsidRPr="00883566">
        <w:rPr>
          <w:i/>
          <w:iCs/>
          <w:lang w:eastAsia="et-EE"/>
        </w:rPr>
      </w:r>
      <w:r w:rsidRPr="00883566">
        <w:rPr>
          <w:i/>
          <w:iCs/>
          <w:lang w:eastAsia="et-EE"/>
        </w:rPr>
        <w:fldChar w:fldCharType="separate"/>
      </w:r>
      <w:r w:rsidRPr="00883566">
        <w:rPr>
          <w:i/>
          <w:iCs/>
          <w:lang w:eastAsia="et-EE"/>
        </w:rPr>
        <w:t>6.2.4. Juurdepääsu kohustuste kehtestamine</w:t>
      </w:r>
      <w:r w:rsidRPr="00883566">
        <w:rPr>
          <w:i/>
          <w:iCs/>
          <w:lang w:eastAsia="et-EE"/>
        </w:rPr>
        <w:fldChar w:fldCharType="end"/>
      </w:r>
      <w:r w:rsidRPr="00883566">
        <w:rPr>
          <w:i/>
          <w:iCs/>
          <w:lang w:eastAsia="et-EE"/>
        </w:rPr>
        <w:t>“ kirjeldatud teenuste tehniliste tingimuste kohta esimese mõistlikult teostatava tähtaja jooksul ja mitte pikema tähtaja jooksul kui Telia avaldab vastavat teavet enda allüksustele, sealhulgas määratlema nimetatud teabe avaldamise tähtaeg oma näidispakkumises ja igal kalendri aastal</w:t>
      </w:r>
      <w:r w:rsidRPr="00883566">
        <w:rPr>
          <w:i/>
          <w:iCs/>
          <w:vertAlign w:val="superscript"/>
          <w:lang w:eastAsia="et-EE"/>
        </w:rPr>
        <w:t xml:space="preserve"> </w:t>
      </w:r>
      <w:r w:rsidRPr="00883566">
        <w:rPr>
          <w:i/>
          <w:iCs/>
          <w:lang w:eastAsia="et-EE"/>
        </w:rPr>
        <w:t>kontrollima selle vastavust enda allüksustele vastava teabe avaldamise ajaga ning vajadusel uuendama näidispakkumist</w:t>
      </w:r>
      <w:r w:rsidRPr="00883566">
        <w:rPr>
          <w:i/>
          <w:iCs/>
          <w:vertAlign w:val="superscript"/>
          <w:lang w:eastAsia="et-EE"/>
        </w:rPr>
        <w:footnoteReference w:id="243"/>
      </w:r>
      <w:r w:rsidRPr="00883566">
        <w:rPr>
          <w:i/>
          <w:iCs/>
          <w:lang w:eastAsia="et-EE"/>
        </w:rPr>
        <w:t xml:space="preserve">; </w:t>
      </w:r>
    </w:p>
    <w:p w14:paraId="7F414ABE" w14:textId="77777777" w:rsidR="00F03958" w:rsidRPr="00883566" w:rsidRDefault="00F03958" w:rsidP="00AA241E">
      <w:pPr>
        <w:numPr>
          <w:ilvl w:val="0"/>
          <w:numId w:val="54"/>
        </w:numPr>
        <w:spacing w:before="120" w:after="120" w:line="240" w:lineRule="auto"/>
        <w:ind w:left="1134"/>
        <w:jc w:val="both"/>
        <w:rPr>
          <w:i/>
          <w:iCs/>
          <w:lang w:eastAsia="et-EE"/>
        </w:rPr>
      </w:pPr>
      <w:r w:rsidRPr="00883566">
        <w:rPr>
          <w:i/>
          <w:iCs/>
          <w:lang w:eastAsia="et-EE"/>
        </w:rPr>
        <w:t>kui Telia teeb eelmises punktis kirjeldatud tehniliste tingimuste välja selgitamisel kindlaks, et teenust ei ole võimalik osutada, peab Telia esitama vastava teabe koos põhjendustega taotluse esitanud sideettevõtjale;</w:t>
      </w:r>
    </w:p>
    <w:p w14:paraId="06DD4D25" w14:textId="77777777" w:rsidR="00F03958" w:rsidRPr="00883566" w:rsidRDefault="00F03958" w:rsidP="00AA241E">
      <w:pPr>
        <w:numPr>
          <w:ilvl w:val="0"/>
          <w:numId w:val="54"/>
        </w:numPr>
        <w:spacing w:before="120" w:after="120" w:line="240" w:lineRule="auto"/>
        <w:ind w:left="1134"/>
        <w:jc w:val="both"/>
        <w:rPr>
          <w:i/>
          <w:iCs/>
          <w:lang w:eastAsia="et-EE"/>
        </w:rPr>
      </w:pPr>
      <w:r w:rsidRPr="00883566">
        <w:rPr>
          <w:i/>
          <w:iCs/>
          <w:lang w:eastAsia="et-EE"/>
        </w:rPr>
        <w:t>koostama ja avaldama lairibaühendusele juurdepääsu hulgiteenuste näidis-pakkumine ja selle muudatused vastavalt ESS § 53 lõikele 4 ning esitada vastav näidispakkumine ja selle muudatused TJA-e üks kuu enne avaldamist</w:t>
      </w:r>
      <w:r w:rsidRPr="00883566">
        <w:rPr>
          <w:i/>
          <w:iCs/>
          <w:vertAlign w:val="superscript"/>
          <w:lang w:eastAsia="et-EE"/>
        </w:rPr>
        <w:footnoteReference w:id="244"/>
      </w:r>
      <w:r w:rsidRPr="00883566">
        <w:rPr>
          <w:i/>
          <w:iCs/>
          <w:lang w:eastAsia="et-EE"/>
        </w:rPr>
        <w:t xml:space="preserve">; </w:t>
      </w:r>
    </w:p>
    <w:p w14:paraId="72E52A21" w14:textId="77777777" w:rsidR="00F03958" w:rsidRPr="00883566" w:rsidRDefault="00F03958" w:rsidP="00AA241E">
      <w:pPr>
        <w:numPr>
          <w:ilvl w:val="0"/>
          <w:numId w:val="54"/>
        </w:numPr>
        <w:spacing w:before="120" w:after="120" w:line="240" w:lineRule="auto"/>
        <w:ind w:left="1134"/>
        <w:jc w:val="both"/>
        <w:rPr>
          <w:i/>
          <w:iCs/>
          <w:lang w:eastAsia="et-EE"/>
        </w:rPr>
      </w:pPr>
      <w:r w:rsidRPr="00883566">
        <w:rPr>
          <w:i/>
          <w:iCs/>
          <w:lang w:eastAsia="et-EE"/>
        </w:rPr>
        <w:t>eelmises punktis nimetatud näidispakkumine peab sisaldama muu hulgas</w:t>
      </w:r>
      <w:r w:rsidRPr="00883566">
        <w:rPr>
          <w:i/>
          <w:iCs/>
          <w:vertAlign w:val="superscript"/>
          <w:lang w:eastAsia="et-EE"/>
        </w:rPr>
        <w:footnoteReference w:id="245"/>
      </w:r>
      <w:r w:rsidRPr="00883566">
        <w:rPr>
          <w:i/>
          <w:iCs/>
          <w:lang w:eastAsia="et-EE"/>
        </w:rPr>
        <w:t>:</w:t>
      </w:r>
    </w:p>
    <w:p w14:paraId="5C8E1BD6" w14:textId="77777777" w:rsidR="00F03958" w:rsidRPr="00883566" w:rsidRDefault="00F03958" w:rsidP="00AA241E">
      <w:pPr>
        <w:spacing w:before="120" w:after="120"/>
        <w:ind w:left="1276"/>
        <w:jc w:val="both"/>
        <w:rPr>
          <w:i/>
          <w:iCs/>
          <w:lang w:eastAsia="et-EE"/>
        </w:rPr>
      </w:pPr>
      <w:r w:rsidRPr="00883566">
        <w:rPr>
          <w:i/>
          <w:iCs/>
          <w:lang w:eastAsia="et-EE"/>
        </w:rPr>
        <w:t>a) ESS § 53 lõikes 1 sätestatud tingimusi;</w:t>
      </w:r>
    </w:p>
    <w:p w14:paraId="52CED7A7" w14:textId="77777777" w:rsidR="00F03958" w:rsidRPr="00883566" w:rsidRDefault="00F03958" w:rsidP="00AA241E">
      <w:pPr>
        <w:spacing w:before="120" w:after="120"/>
        <w:ind w:left="1276"/>
        <w:jc w:val="both"/>
        <w:rPr>
          <w:i/>
          <w:iCs/>
          <w:lang w:eastAsia="et-EE"/>
        </w:rPr>
      </w:pPr>
      <w:r w:rsidRPr="00883566">
        <w:rPr>
          <w:i/>
          <w:iCs/>
          <w:lang w:eastAsia="et-EE"/>
        </w:rPr>
        <w:t>b) teenuste tellimise ja tellimuste täitmiste korda (sh taotluste täitmiste tähtaegasid);</w:t>
      </w:r>
    </w:p>
    <w:p w14:paraId="6434059F" w14:textId="77777777" w:rsidR="00F03958" w:rsidRPr="00883566" w:rsidRDefault="00F03958" w:rsidP="00AA241E">
      <w:pPr>
        <w:spacing w:before="120" w:after="120"/>
        <w:ind w:left="1276"/>
        <w:jc w:val="both"/>
        <w:rPr>
          <w:i/>
          <w:iCs/>
          <w:lang w:eastAsia="et-EE"/>
        </w:rPr>
      </w:pPr>
      <w:r w:rsidRPr="00883566">
        <w:rPr>
          <w:i/>
          <w:iCs/>
          <w:lang w:eastAsia="et-EE"/>
        </w:rPr>
        <w:t>c) tellitava teenuse kvaliteedi testimise korda;</w:t>
      </w:r>
    </w:p>
    <w:p w14:paraId="3AC88A71" w14:textId="77777777" w:rsidR="00F03958" w:rsidRPr="00883566" w:rsidRDefault="00F03958" w:rsidP="00AA241E">
      <w:pPr>
        <w:spacing w:before="120" w:after="120"/>
        <w:ind w:left="1276"/>
        <w:jc w:val="both"/>
        <w:rPr>
          <w:i/>
          <w:iCs/>
          <w:lang w:eastAsia="et-EE"/>
        </w:rPr>
      </w:pPr>
      <w:r w:rsidRPr="00883566">
        <w:rPr>
          <w:i/>
          <w:iCs/>
          <w:lang w:eastAsia="et-EE"/>
        </w:rPr>
        <w:t>d) lõppkasutaja poolt kasutatava sideteenuse katkestuse tingimusi (sh katkestuse pikkus ja katkestusest teatamise viis) üleminekul Telia poolt osutatavalt lairibateenuselt hulgiteenust kasutava sideettevõtja  osutatavale lairibateenusele.</w:t>
      </w:r>
    </w:p>
    <w:p w14:paraId="3A73D72F" w14:textId="77777777" w:rsidR="00F03958" w:rsidRPr="00883566" w:rsidRDefault="00F03958" w:rsidP="00AA241E">
      <w:pPr>
        <w:numPr>
          <w:ilvl w:val="0"/>
          <w:numId w:val="6"/>
        </w:numPr>
        <w:spacing w:before="120" w:after="120" w:line="240" w:lineRule="auto"/>
        <w:ind w:left="785"/>
        <w:jc w:val="both"/>
        <w:rPr>
          <w:i/>
          <w:iCs/>
          <w:lang w:eastAsia="et-EE"/>
        </w:rPr>
      </w:pPr>
      <w:r w:rsidRPr="00883566">
        <w:rPr>
          <w:i/>
          <w:iCs/>
          <w:lang w:eastAsia="et-EE"/>
        </w:rPr>
        <w:t>Vastavalt ESS § 53 lõikele 5 on TJA-l õigus nõuda sideettevõtjalt muudatuste tegemist näidispakkumisse, kui see ei ole kooskõlas näidispakkumise avaldamise kohustuse eesmärkidega.</w:t>
      </w:r>
    </w:p>
    <w:p w14:paraId="09130084" w14:textId="77777777" w:rsidR="00F03958" w:rsidRPr="00883566" w:rsidRDefault="00F03958" w:rsidP="00AA241E">
      <w:pPr>
        <w:spacing w:before="120" w:after="120"/>
        <w:jc w:val="both"/>
        <w:rPr>
          <w:rFonts w:cs="Times New Roman"/>
        </w:rPr>
      </w:pPr>
    </w:p>
    <w:p w14:paraId="390784A5" w14:textId="77777777" w:rsidR="00F03958" w:rsidRPr="00883566" w:rsidRDefault="00F03958" w:rsidP="00AA241E">
      <w:pPr>
        <w:spacing w:before="120" w:after="120"/>
        <w:jc w:val="both"/>
        <w:rPr>
          <w:rFonts w:cs="Times New Roman"/>
          <w:lang w:eastAsia="et-EE"/>
        </w:rPr>
      </w:pPr>
    </w:p>
    <w:p w14:paraId="4D40C393" w14:textId="77777777" w:rsidR="00C8798B" w:rsidRPr="00C8798B" w:rsidRDefault="00C8798B"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1310" w:name="_Toc174094677"/>
      <w:bookmarkStart w:id="1311" w:name="_Toc174094944"/>
      <w:bookmarkStart w:id="1312" w:name="_Toc174095210"/>
      <w:bookmarkStart w:id="1313" w:name="_Toc174095475"/>
      <w:bookmarkStart w:id="1314" w:name="_Toc174096013"/>
      <w:bookmarkStart w:id="1315" w:name="_Toc174096279"/>
      <w:bookmarkStart w:id="1316" w:name="_Toc174536176"/>
      <w:bookmarkStart w:id="1317" w:name="_Toc174617276"/>
      <w:bookmarkStart w:id="1318" w:name="_Toc174618633"/>
      <w:bookmarkStart w:id="1319" w:name="_Toc174627695"/>
      <w:bookmarkStart w:id="1320" w:name="_Toc174705119"/>
      <w:bookmarkStart w:id="1321" w:name="_Toc174709663"/>
      <w:bookmarkStart w:id="1322" w:name="_Toc174710892"/>
      <w:bookmarkStart w:id="1323" w:name="_Toc212974441"/>
      <w:bookmarkStart w:id="1324" w:name="_Toc213122169"/>
      <w:bookmarkStart w:id="1325" w:name="_Toc213140790"/>
      <w:bookmarkStart w:id="1326" w:name="_Toc215466515"/>
      <w:bookmarkStart w:id="1327" w:name="_Toc216228068"/>
      <w:bookmarkStart w:id="1328" w:name="_Toc457983661"/>
      <w:bookmarkStart w:id="1329" w:name="_Toc464639368"/>
      <w:bookmarkStart w:id="1330" w:name="_Toc470614570"/>
      <w:bookmarkStart w:id="1331" w:name="_Toc472597893"/>
      <w:bookmarkStart w:id="1332" w:name="_Toc35339853"/>
      <w:bookmarkStart w:id="1333" w:name="_Toc66262841"/>
      <w:bookmarkStart w:id="1334" w:name="_Toc15102609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14:paraId="70788CB9" w14:textId="5F1CE537" w:rsidR="00F03958" w:rsidRPr="00883566" w:rsidRDefault="00F03958" w:rsidP="009805E1">
      <w:pPr>
        <w:pStyle w:val="Pealkiri3"/>
      </w:pPr>
      <w:bookmarkStart w:id="1335" w:name="_Toc174710893"/>
      <w:r w:rsidRPr="00883566">
        <w:t>Läbipaistvuskohustuste eesmärk</w:t>
      </w:r>
      <w:bookmarkEnd w:id="1323"/>
      <w:bookmarkEnd w:id="1324"/>
      <w:bookmarkEnd w:id="1325"/>
      <w:bookmarkEnd w:id="1326"/>
      <w:bookmarkEnd w:id="1327"/>
      <w:bookmarkEnd w:id="1328"/>
      <w:r w:rsidRPr="00883566">
        <w:t xml:space="preserve"> ja alused</w:t>
      </w:r>
      <w:bookmarkEnd w:id="1329"/>
      <w:bookmarkEnd w:id="1330"/>
      <w:bookmarkEnd w:id="1331"/>
      <w:bookmarkEnd w:id="1332"/>
      <w:bookmarkEnd w:id="1333"/>
      <w:bookmarkEnd w:id="1334"/>
      <w:bookmarkEnd w:id="1335"/>
    </w:p>
    <w:p w14:paraId="5BBB8CCB" w14:textId="77777777" w:rsidR="00F03958" w:rsidRPr="00883566" w:rsidRDefault="00F03958" w:rsidP="00AA241E">
      <w:pPr>
        <w:jc w:val="both"/>
        <w:rPr>
          <w:rFonts w:cs="Times New Roman"/>
        </w:rPr>
      </w:pPr>
      <w:bookmarkStart w:id="1336" w:name="_Toc464639369"/>
      <w:bookmarkStart w:id="1337" w:name="_Ref465421520"/>
      <w:bookmarkStart w:id="1338" w:name="_Toc470614571"/>
      <w:bookmarkStart w:id="1339" w:name="_Toc472597894"/>
      <w:bookmarkStart w:id="1340" w:name="_Toc35339854"/>
      <w:bookmarkStart w:id="1341" w:name="_Toc66262842"/>
      <w:bookmarkStart w:id="1342" w:name="_Toc332865992"/>
      <w:bookmarkStart w:id="1343" w:name="_Toc435703529"/>
      <w:bookmarkStart w:id="1344" w:name="_Toc436038419"/>
      <w:bookmarkStart w:id="1345" w:name="_Toc448402228"/>
      <w:bookmarkStart w:id="1346" w:name="_Toc212974442"/>
      <w:bookmarkStart w:id="1347" w:name="_Toc213122170"/>
      <w:bookmarkStart w:id="1348" w:name="_Toc213140791"/>
      <w:bookmarkStart w:id="1349" w:name="_Toc215466516"/>
      <w:bookmarkStart w:id="1350" w:name="_Toc216228069"/>
      <w:bookmarkStart w:id="1351" w:name="_Toc457983662"/>
    </w:p>
    <w:p w14:paraId="45151DB0" w14:textId="77777777" w:rsidR="00F03958" w:rsidRPr="00883566" w:rsidRDefault="00F03958" w:rsidP="00AA241E">
      <w:pPr>
        <w:jc w:val="both"/>
        <w:rPr>
          <w:rFonts w:cs="Times New Roman"/>
        </w:rPr>
      </w:pPr>
      <w:r w:rsidRPr="00883566">
        <w:rPr>
          <w:rFonts w:cs="Times New Roman"/>
        </w:rPr>
        <w:t>Läbipaistvuskohustuste eesmärgiks</w:t>
      </w:r>
      <w:r w:rsidRPr="00883566">
        <w:rPr>
          <w:rFonts w:cs="Times New Roman"/>
          <w:vertAlign w:val="superscript"/>
        </w:rPr>
        <w:footnoteReference w:id="246"/>
      </w:r>
      <w:r w:rsidRPr="00883566">
        <w:rPr>
          <w:rFonts w:cs="Times New Roman"/>
        </w:rPr>
        <w:t xml:space="preserve"> on aidata muuta juurdepääsu läbirääkimised kiiremaks, vältida vaidlusi ja anda turule tegutsevatele ettevõtjatele kindlustunde selle kohta, et teenuste pakkumise tingimused ei ole diskrimineerivad. Koostalitlusvõime tagamisel võib eriti oluliseks osutuda tehniliste liideste avatus ja läbipaistvus. Kui riigi reguleeriv asutus kehtestab kohustuse muuta teave avalikuks, peaks ta olema suuteline täpsemalt määratlema ka teabe kättesaadavaks </w:t>
      </w:r>
      <w:r w:rsidRPr="00883566">
        <w:rPr>
          <w:rFonts w:cs="Times New Roman"/>
        </w:rPr>
        <w:lastRenderedPageBreak/>
        <w:t xml:space="preserve">muutmise viisi ja selle, kas teave on tasuline, võttes seejuures arvesse asjaomase teabe laadi ja eesmärke. </w:t>
      </w:r>
    </w:p>
    <w:p w14:paraId="5620CFE3" w14:textId="56097E08" w:rsidR="00F03958" w:rsidRPr="00883566" w:rsidRDefault="00F03958" w:rsidP="00AA241E">
      <w:pPr>
        <w:jc w:val="both"/>
        <w:rPr>
          <w:rFonts w:cs="Times New Roman"/>
        </w:rPr>
      </w:pPr>
      <w:r w:rsidRPr="00883566">
        <w:rPr>
          <w:rFonts w:cs="Times New Roman"/>
        </w:rPr>
        <w:t>TTJA võib</w:t>
      </w:r>
      <w:r w:rsidRPr="00883566">
        <w:rPr>
          <w:rFonts w:cs="Times New Roman"/>
          <w:vertAlign w:val="superscript"/>
        </w:rPr>
        <w:footnoteReference w:id="247"/>
      </w:r>
      <w:r w:rsidRPr="00883566">
        <w:rPr>
          <w:rFonts w:cs="Times New Roman"/>
        </w:rPr>
        <w:t xml:space="preserve"> MTE-</w:t>
      </w:r>
      <w:proofErr w:type="spellStart"/>
      <w:r w:rsidRPr="00883566">
        <w:rPr>
          <w:rFonts w:cs="Times New Roman"/>
        </w:rPr>
        <w:t>le</w:t>
      </w:r>
      <w:proofErr w:type="spellEnd"/>
      <w:r w:rsidRPr="00883566">
        <w:rPr>
          <w:rFonts w:cs="Times New Roman"/>
        </w:rPr>
        <w:t xml:space="preserve"> kehtestada kohustus</w:t>
      </w:r>
      <w:r w:rsidR="007C01D1">
        <w:rPr>
          <w:rFonts w:cs="Times New Roman"/>
        </w:rPr>
        <w:t>e</w:t>
      </w:r>
      <w:r w:rsidRPr="00883566">
        <w:rPr>
          <w:rFonts w:cs="Times New Roman"/>
        </w:rPr>
        <w:t xml:space="preserve"> avaldada juurdepääsuga seotud andmed kuluarvestuse, tasude, tehniliste tingimuste, võrgu omaduste ja arenduste, teenuse osutamise tingimuste, sealhulgas nende tingimuste kohta, mis piiravad juurdepääsu teenusele ning selle rakendusele ja kasutamisele eelkõige seoses üleminekuga pärandtaristult, peamiselt vaskpaarvõrgult või samaväärse kvaliteediga sidevõrgult uuele taristule, peamiselt valguskaabelvõrgule või samaväärse kvaliteediga sidevõrgule. Samuti võib</w:t>
      </w:r>
      <w:r w:rsidRPr="00883566">
        <w:rPr>
          <w:rFonts w:cs="Times New Roman"/>
          <w:vertAlign w:val="superscript"/>
        </w:rPr>
        <w:footnoteReference w:id="248"/>
      </w:r>
      <w:r w:rsidRPr="00883566">
        <w:rPr>
          <w:rFonts w:cs="Times New Roman"/>
        </w:rPr>
        <w:t xml:space="preserve">  TTJA kehtestada MTE-</w:t>
      </w:r>
      <w:proofErr w:type="spellStart"/>
      <w:r w:rsidRPr="00883566">
        <w:rPr>
          <w:rFonts w:cs="Times New Roman"/>
        </w:rPr>
        <w:t>le</w:t>
      </w:r>
      <w:proofErr w:type="spellEnd"/>
      <w:r w:rsidRPr="00883566">
        <w:rPr>
          <w:rFonts w:cs="Times New Roman"/>
        </w:rPr>
        <w:t xml:space="preserve"> kohustuse avaldada näidispakkumine konkreetse juurdepääsu teenuse kohta, mis peab sisaldama vastava teenuse osutamise tingimusi, sealhulgas tasusid, vastavalt ESS §-le 53.</w:t>
      </w:r>
    </w:p>
    <w:p w14:paraId="43D42755" w14:textId="77777777" w:rsidR="00F03958" w:rsidRPr="00883566" w:rsidRDefault="00F03958" w:rsidP="00AA241E">
      <w:pPr>
        <w:jc w:val="both"/>
        <w:rPr>
          <w:rFonts w:cs="Times New Roman"/>
        </w:rPr>
      </w:pPr>
    </w:p>
    <w:p w14:paraId="3CF5C8FD" w14:textId="729246F2" w:rsidR="00F03958" w:rsidRPr="00883566" w:rsidRDefault="00F03958" w:rsidP="009805E1">
      <w:pPr>
        <w:pStyle w:val="Pealkiri3"/>
      </w:pPr>
      <w:bookmarkStart w:id="1352" w:name="_Toc151026100"/>
      <w:bookmarkStart w:id="1353" w:name="_Toc174710894"/>
      <w:r w:rsidRPr="00883566">
        <w:t>Läbipaistvusega seotud konkurentsiprobleemid</w:t>
      </w:r>
      <w:bookmarkEnd w:id="1336"/>
      <w:bookmarkEnd w:id="1337"/>
      <w:bookmarkEnd w:id="1338"/>
      <w:bookmarkEnd w:id="1339"/>
      <w:bookmarkEnd w:id="1340"/>
      <w:bookmarkEnd w:id="1341"/>
      <w:bookmarkEnd w:id="1352"/>
      <w:bookmarkEnd w:id="1353"/>
    </w:p>
    <w:p w14:paraId="3C2C54F9" w14:textId="77777777" w:rsidR="00F03958" w:rsidRPr="00883566" w:rsidRDefault="00F03958" w:rsidP="00AA241E">
      <w:pPr>
        <w:jc w:val="both"/>
        <w:rPr>
          <w:lang w:eastAsia="lv-LV"/>
        </w:rPr>
      </w:pPr>
    </w:p>
    <w:p w14:paraId="0BC49DBE" w14:textId="77777777" w:rsidR="00F03958" w:rsidRPr="00883566" w:rsidRDefault="00F03958" w:rsidP="00AA241E">
      <w:pPr>
        <w:jc w:val="both"/>
        <w:rPr>
          <w:rFonts w:cs="Times New Roman"/>
        </w:rPr>
      </w:pPr>
      <w:bookmarkStart w:id="1354" w:name="_Toc464639370"/>
      <w:bookmarkStart w:id="1355" w:name="_Toc470614572"/>
      <w:bookmarkStart w:id="1356" w:name="_Toc472597895"/>
      <w:bookmarkStart w:id="1357" w:name="_Toc35339855"/>
      <w:bookmarkStart w:id="1358" w:name="_Toc66262843"/>
      <w:r w:rsidRPr="00883566">
        <w:rPr>
          <w:rFonts w:cs="Times New Roman"/>
        </w:rPr>
        <w:t>Läbipaistvuskohustus aitab kaasa juurdepääsuga viivitamisega, diskrimineerimisega ja hinnaga seotud  konkurentsiprobleemide  lahendamisele</w:t>
      </w:r>
      <w:r w:rsidRPr="00883566">
        <w:rPr>
          <w:rFonts w:cs="Times New Roman"/>
          <w:vertAlign w:val="superscript"/>
        </w:rPr>
        <w:footnoteReference w:id="249"/>
      </w:r>
      <w:r w:rsidRPr="00883566">
        <w:rPr>
          <w:rFonts w:cs="Times New Roman"/>
        </w:rPr>
        <w:t>. Samas ainult läbipaistvuskohustus üksi ei suuda üldjuhul nimetatud konkurentsiprobleeme lahendada või ära hoida. Läbipaistvuskohustust kasutatakse teiste kohustustega kaasneva ning neid efektiivsemaks muutva kohustusena. Näiteks sidevõrgule juurdepääsust keeldumise konkurentsiprobleemi lahendamisele aitavad läbipaistvuskohustused kaasa sellega, et muudavad juurdepääsu tingimused kõigile kättesaadavaks, läbipaistvaks ning juurdepääsu läbirääkimised kiiremaks. Tehniliste liideste avatus ja läbipaistvus on aga sideteenuste koostalitusvõime tagamisel eriti olulised. Diskrimineerimisega seotud konkurentsiprobleemide lahendamisele aitavad läbipaistvuskohustused kaasa sellega, et annavad võimaluse tuvastada diskrimineerivat käitumist võimaldades vabalt jälgida ja võrrelda avalikustatud teenuste tingimusi, mille puhul diskrimineerimine võiks aset leida. Ülemäära kõrgete hindade rakendamise vältimist toetab läbipaistvuskohustus läbi hindade avalikustamise, mis aitab kiiremini nimetatud konkurentsiprobleemi tuvastada.</w:t>
      </w:r>
    </w:p>
    <w:p w14:paraId="10E427DE" w14:textId="59C602D6" w:rsidR="00F03958" w:rsidRPr="00883566" w:rsidRDefault="00F03958" w:rsidP="00AA241E">
      <w:pPr>
        <w:jc w:val="both"/>
        <w:rPr>
          <w:rFonts w:cs="Times New Roman"/>
        </w:rPr>
      </w:pPr>
      <w:r w:rsidRPr="00883566">
        <w:rPr>
          <w:rFonts w:cs="Times New Roman"/>
        </w:rPr>
        <w:t>BEREC (Euroopa Sideamet) on avaldanud seisukoha, mis käsitleb sidevõrgu lairiba juurdepääsu hulgiturul MTE-</w:t>
      </w:r>
      <w:proofErr w:type="spellStart"/>
      <w:r w:rsidRPr="00883566">
        <w:rPr>
          <w:rFonts w:cs="Times New Roman"/>
        </w:rPr>
        <w:t>le</w:t>
      </w:r>
      <w:proofErr w:type="spellEnd"/>
      <w:r w:rsidRPr="00883566">
        <w:rPr>
          <w:rFonts w:cs="Times New Roman"/>
        </w:rPr>
        <w:t xml:space="preserve"> kohustuste kehtestamise parimaid tavasid</w:t>
      </w:r>
      <w:r w:rsidRPr="00883566">
        <w:rPr>
          <w:rFonts w:cs="Times New Roman"/>
          <w:vertAlign w:val="superscript"/>
        </w:rPr>
        <w:footnoteReference w:id="250"/>
      </w:r>
      <w:r w:rsidRPr="00883566">
        <w:rPr>
          <w:rFonts w:cs="Times New Roman"/>
        </w:rPr>
        <w:t xml:space="preserve">. Selles tuuakse välja sagedamini esineda võivad läbipaistvusega seotud konkurentsiprobleemid sidevõrgu lairiba juurdepääsu </w:t>
      </w:r>
      <w:r w:rsidRPr="00883566">
        <w:rPr>
          <w:rFonts w:cs="Times New Roman"/>
        </w:rPr>
        <w:lastRenderedPageBreak/>
        <w:t xml:space="preserve">hulgituru teenuste osas, mis takistavad alternatiivsetel sideettevõtjatel tõhusalt konkureerida </w:t>
      </w:r>
      <w:r w:rsidR="00BE68C5">
        <w:rPr>
          <w:rFonts w:cs="Times New Roman"/>
        </w:rPr>
        <w:t>jaetur</w:t>
      </w:r>
      <w:r w:rsidRPr="00883566">
        <w:rPr>
          <w:rFonts w:cs="Times New Roman"/>
        </w:rPr>
        <w:t xml:space="preserve">ul: </w:t>
      </w:r>
    </w:p>
    <w:p w14:paraId="1BDA18B6" w14:textId="77777777" w:rsidR="00F03958" w:rsidRPr="00883566" w:rsidRDefault="00F03958" w:rsidP="00AA241E">
      <w:pPr>
        <w:jc w:val="both"/>
        <w:rPr>
          <w:rFonts w:cs="Times New Roman"/>
        </w:rPr>
      </w:pPr>
    </w:p>
    <w:p w14:paraId="18F2C647" w14:textId="77777777" w:rsidR="00F03958" w:rsidRPr="00883566" w:rsidRDefault="00F03958" w:rsidP="00AA241E">
      <w:pPr>
        <w:numPr>
          <w:ilvl w:val="0"/>
          <w:numId w:val="10"/>
        </w:numPr>
        <w:spacing w:line="259" w:lineRule="auto"/>
        <w:jc w:val="both"/>
        <w:rPr>
          <w:rFonts w:cs="Times New Roman"/>
        </w:rPr>
      </w:pPr>
      <w:r w:rsidRPr="00883566">
        <w:rPr>
          <w:rFonts w:cs="Times New Roman"/>
        </w:rPr>
        <w:t>MTE ei paku juurdepääsutingimuste kohta piisavat selgust ega läbipaistvust.</w:t>
      </w:r>
    </w:p>
    <w:p w14:paraId="34AD4233" w14:textId="77777777" w:rsidR="00F03958" w:rsidRPr="00883566" w:rsidRDefault="00F03958" w:rsidP="00AA241E">
      <w:pPr>
        <w:jc w:val="both"/>
        <w:rPr>
          <w:rFonts w:cs="Times New Roman"/>
        </w:rPr>
      </w:pPr>
    </w:p>
    <w:p w14:paraId="75D15F0A" w14:textId="77777777" w:rsidR="00F03958" w:rsidRPr="00883566" w:rsidRDefault="00F03958" w:rsidP="00AA241E">
      <w:pPr>
        <w:numPr>
          <w:ilvl w:val="0"/>
          <w:numId w:val="10"/>
        </w:numPr>
        <w:spacing w:line="259" w:lineRule="auto"/>
        <w:jc w:val="both"/>
        <w:rPr>
          <w:rFonts w:cs="Times New Roman"/>
        </w:rPr>
      </w:pPr>
      <w:r w:rsidRPr="00883566">
        <w:rPr>
          <w:rFonts w:cs="Times New Roman"/>
        </w:rPr>
        <w:t>MTE viivitab näidispakkumise avaldamisega alternatiivsetele sideettevõtjatele, viivitades seeläbi juurdepääsu pakkumisega oma sidevõrgule.</w:t>
      </w:r>
    </w:p>
    <w:p w14:paraId="7C37EB87" w14:textId="77777777" w:rsidR="00F03958" w:rsidRPr="00883566" w:rsidRDefault="00F03958" w:rsidP="00AA241E">
      <w:pPr>
        <w:jc w:val="both"/>
        <w:rPr>
          <w:rFonts w:cs="Times New Roman"/>
        </w:rPr>
      </w:pPr>
    </w:p>
    <w:p w14:paraId="0853A5A3" w14:textId="77777777" w:rsidR="00F03958" w:rsidRPr="00883566" w:rsidRDefault="00F03958" w:rsidP="00AA241E">
      <w:pPr>
        <w:numPr>
          <w:ilvl w:val="0"/>
          <w:numId w:val="10"/>
        </w:numPr>
        <w:spacing w:line="259" w:lineRule="auto"/>
        <w:jc w:val="both"/>
        <w:rPr>
          <w:rFonts w:cs="Times New Roman"/>
        </w:rPr>
      </w:pPr>
      <w:r w:rsidRPr="00883566">
        <w:rPr>
          <w:rFonts w:cs="Times New Roman"/>
        </w:rPr>
        <w:t>MTE ei võta näidispakkumise väljatöötamisel arvesse alternatiivsetelt sideettevõtjatelt saadud mõistlikke seisukohti, mistõttu ei pruugi näidispakkumine täita oma eesmärki.</w:t>
      </w:r>
    </w:p>
    <w:p w14:paraId="0C0620FB" w14:textId="77777777" w:rsidR="00F03958" w:rsidRPr="00883566" w:rsidRDefault="00F03958" w:rsidP="00AA241E">
      <w:pPr>
        <w:jc w:val="both"/>
        <w:rPr>
          <w:rFonts w:cs="Times New Roman"/>
        </w:rPr>
      </w:pPr>
    </w:p>
    <w:p w14:paraId="622BEA97" w14:textId="77777777" w:rsidR="00F03958" w:rsidRPr="00883566" w:rsidRDefault="00F03958" w:rsidP="00AA241E">
      <w:pPr>
        <w:numPr>
          <w:ilvl w:val="0"/>
          <w:numId w:val="10"/>
        </w:numPr>
        <w:spacing w:line="259" w:lineRule="auto"/>
        <w:jc w:val="both"/>
        <w:rPr>
          <w:rFonts w:cs="Times New Roman"/>
        </w:rPr>
      </w:pPr>
      <w:r w:rsidRPr="00883566">
        <w:rPr>
          <w:rFonts w:cs="Times New Roman"/>
        </w:rPr>
        <w:t>MTE ei avalda õigeaegselt alternatiivetele sideettevõtjatele olulist teavet, millele tal on eelisjuurdepääs (nt sidevõrgu arenduse alguse või lõpetamise tähtajad).</w:t>
      </w:r>
    </w:p>
    <w:p w14:paraId="49D37F8B" w14:textId="77777777" w:rsidR="00F03958" w:rsidRPr="00883566" w:rsidRDefault="00F03958" w:rsidP="00AA241E">
      <w:pPr>
        <w:jc w:val="both"/>
        <w:rPr>
          <w:rFonts w:cs="Times New Roman"/>
        </w:rPr>
      </w:pPr>
    </w:p>
    <w:p w14:paraId="51D0C56C" w14:textId="7333184A" w:rsidR="00F03958" w:rsidRPr="00883566" w:rsidRDefault="00F03958" w:rsidP="00AA241E">
      <w:pPr>
        <w:jc w:val="both"/>
        <w:rPr>
          <w:rFonts w:cs="Times New Roman"/>
        </w:rPr>
      </w:pPr>
      <w:r w:rsidRPr="00883566">
        <w:rPr>
          <w:rFonts w:cs="Times New Roman"/>
        </w:rPr>
        <w:t xml:space="preserve">TTJA hinnangul on eelkirjeldatud läbipaistvusega seotud konkurentsiprobleemide esinemine järgmise turuanalüüsini kestval perioodil tõenäoline, kuna puuduvad alused eeldada, et Telia vertikaalne integreeritus ja turujõud </w:t>
      </w:r>
      <w:r w:rsidR="00A3232C">
        <w:rPr>
          <w:rFonts w:cs="Times New Roman"/>
        </w:rPr>
        <w:t>valguskaabelvõrgu</w:t>
      </w:r>
      <w:r w:rsidRPr="00883566">
        <w:rPr>
          <w:rFonts w:cs="Times New Roman"/>
        </w:rPr>
        <w:t>s piirkonna B hulgiturul 3b nimetatud perioodil märkimisväärselt väheneks. See annab Teliale võime piirata läbipaistvust nimetatud hulgituru teenuste osas takistades seeläbi teiste sideettevõtjate jaeturule sisenemist ning kahjustades seeläbi konkurentsi jaemüügi tasandil ning lõppkasutajate huve.</w:t>
      </w:r>
    </w:p>
    <w:p w14:paraId="5132967A" w14:textId="77777777" w:rsidR="00F03958" w:rsidRPr="00883566" w:rsidRDefault="00F03958" w:rsidP="00AA241E">
      <w:pPr>
        <w:jc w:val="both"/>
        <w:rPr>
          <w:rFonts w:cs="Times New Roman"/>
        </w:rPr>
      </w:pPr>
    </w:p>
    <w:p w14:paraId="1CC3A2C9" w14:textId="77777777" w:rsidR="00F03958" w:rsidRPr="00883566" w:rsidRDefault="00F03958" w:rsidP="00AA241E">
      <w:pPr>
        <w:jc w:val="both"/>
        <w:rPr>
          <w:rFonts w:cs="Times New Roman"/>
        </w:rPr>
      </w:pPr>
    </w:p>
    <w:p w14:paraId="1848B20B" w14:textId="70B89531" w:rsidR="00F03958" w:rsidRPr="00883566" w:rsidRDefault="00F03958" w:rsidP="009805E1">
      <w:pPr>
        <w:pStyle w:val="Pealkiri3"/>
      </w:pPr>
      <w:bookmarkStart w:id="1359" w:name="_Toc151026102"/>
      <w:bookmarkStart w:id="1360" w:name="_Toc174710895"/>
      <w:bookmarkEnd w:id="1342"/>
      <w:bookmarkEnd w:id="1343"/>
      <w:bookmarkEnd w:id="1344"/>
      <w:bookmarkEnd w:id="1345"/>
      <w:bookmarkEnd w:id="1354"/>
      <w:bookmarkEnd w:id="1355"/>
      <w:bookmarkEnd w:id="1356"/>
      <w:bookmarkEnd w:id="1357"/>
      <w:bookmarkEnd w:id="1358"/>
      <w:r w:rsidRPr="00883566">
        <w:t>Läbipaistvuskohustuse asendamine juurdepääsu- või mittediskrimineerimise- või hinnakohustusega</w:t>
      </w:r>
      <w:bookmarkEnd w:id="1359"/>
      <w:bookmarkEnd w:id="1360"/>
    </w:p>
    <w:p w14:paraId="37E30C3D" w14:textId="77777777" w:rsidR="00F03958" w:rsidRPr="00883566" w:rsidRDefault="00F03958" w:rsidP="00AA241E">
      <w:pPr>
        <w:jc w:val="both"/>
        <w:rPr>
          <w:rFonts w:cs="Times New Roman"/>
        </w:rPr>
      </w:pPr>
    </w:p>
    <w:p w14:paraId="1C595B80" w14:textId="77777777" w:rsidR="00F03958" w:rsidRPr="00883566" w:rsidRDefault="00F03958" w:rsidP="00AA241E">
      <w:pPr>
        <w:spacing w:before="120" w:after="120"/>
        <w:jc w:val="both"/>
        <w:rPr>
          <w:rFonts w:cs="Times New Roman"/>
          <w:lang w:eastAsia="et-EE"/>
        </w:rPr>
      </w:pPr>
      <w:r w:rsidRPr="00883566">
        <w:rPr>
          <w:rFonts w:cs="Times New Roman"/>
        </w:rPr>
        <w:t>TTJA kaalus erinevaid ESS § 50 lõigetes 3, 4, 5, 7 sätestatud meetmete rakendamist läbipaistvusega seotud konkurentsiprobleemide lahendamiseks ja leidis, et:</w:t>
      </w:r>
    </w:p>
    <w:p w14:paraId="2B180116"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mittediskrimineerimise kohustus</w:t>
      </w:r>
      <w:r w:rsidRPr="00883566">
        <w:rPr>
          <w:rFonts w:cs="Times New Roman"/>
          <w:vertAlign w:val="superscript"/>
          <w:lang w:eastAsia="et-EE"/>
        </w:rPr>
        <w:footnoteReference w:id="251"/>
      </w:r>
      <w:r w:rsidRPr="00883566">
        <w:rPr>
          <w:rFonts w:cs="Times New Roman"/>
          <w:vertAlign w:val="superscript"/>
          <w:lang w:eastAsia="et-EE"/>
        </w:rPr>
        <w:t xml:space="preserve"> </w:t>
      </w:r>
      <w:r w:rsidRPr="00883566">
        <w:rPr>
          <w:rFonts w:cs="Times New Roman"/>
          <w:lang w:eastAsia="et-EE"/>
        </w:rPr>
        <w:t xml:space="preserve">ei ole teabe kättesaadavuse tagamiseks piisav, kuna see tagab küll teabe võrdse kättesaadavuse, kuid ei taga teabe kompaktset (näiteks </w:t>
      </w:r>
      <w:r w:rsidRPr="00883566">
        <w:rPr>
          <w:rFonts w:cs="Times New Roman"/>
          <w:lang w:eastAsia="et-EE"/>
        </w:rPr>
        <w:lastRenderedPageBreak/>
        <w:t xml:space="preserve">näidispakkumise kujul) avalikustamist konkreetse teenuse jaoks efektiivseimal viisil (näiteks veebilehel); </w:t>
      </w:r>
    </w:p>
    <w:p w14:paraId="52EE7CB0"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juurdepääsu kohustused ning hinnakontrolli ja kuluarvestuse kohustused</w:t>
      </w:r>
      <w:r w:rsidRPr="00883566">
        <w:rPr>
          <w:rFonts w:cs="Times New Roman"/>
          <w:vertAlign w:val="superscript"/>
          <w:lang w:eastAsia="et-EE"/>
        </w:rPr>
        <w:footnoteReference w:id="252"/>
      </w:r>
      <w:r w:rsidRPr="00883566">
        <w:rPr>
          <w:rFonts w:cs="Times New Roman"/>
          <w:lang w:eastAsia="et-EE"/>
        </w:rPr>
        <w:t xml:space="preserve"> ei ole  piisavad, kuna nimetatud kohustused ei sätesta konkreetseid kohustusi teabe kättesaadavuse kohta. </w:t>
      </w:r>
    </w:p>
    <w:p w14:paraId="223241A8" w14:textId="77777777" w:rsidR="00F03958" w:rsidRPr="00883566" w:rsidRDefault="00F03958" w:rsidP="00AA241E">
      <w:pPr>
        <w:spacing w:before="120" w:after="120"/>
        <w:jc w:val="both"/>
        <w:rPr>
          <w:rFonts w:cs="Times New Roman"/>
          <w:lang w:eastAsia="et-EE"/>
        </w:rPr>
      </w:pPr>
    </w:p>
    <w:p w14:paraId="7D0D9C13" w14:textId="74406C90" w:rsidR="00F03958" w:rsidRPr="00883566" w:rsidRDefault="00F03958" w:rsidP="009805E1">
      <w:pPr>
        <w:pStyle w:val="Pealkiri3"/>
      </w:pPr>
      <w:bookmarkStart w:id="1361" w:name="_Toc151026103"/>
      <w:bookmarkStart w:id="1362" w:name="_Toc174710896"/>
      <w:r w:rsidRPr="00883566">
        <w:t>Läbipaistvuskohustuse  kohustuse kooskõla ESS §-ga 135</w:t>
      </w:r>
      <w:bookmarkEnd w:id="1361"/>
      <w:bookmarkEnd w:id="1362"/>
    </w:p>
    <w:p w14:paraId="0E298123" w14:textId="77777777" w:rsidR="00F03958" w:rsidRPr="00883566" w:rsidRDefault="00F03958" w:rsidP="00AA241E">
      <w:pPr>
        <w:spacing w:before="120" w:after="120"/>
        <w:jc w:val="both"/>
        <w:rPr>
          <w:rFonts w:cs="Times New Roman"/>
          <w:lang w:eastAsia="et-EE"/>
        </w:rPr>
      </w:pPr>
    </w:p>
    <w:p w14:paraId="694BD57B" w14:textId="77777777" w:rsidR="00F03958" w:rsidRPr="00883566" w:rsidRDefault="00F03958" w:rsidP="00AA241E">
      <w:pPr>
        <w:spacing w:before="120" w:after="120"/>
        <w:jc w:val="both"/>
        <w:rPr>
          <w:rFonts w:cs="Times New Roman"/>
          <w:lang w:eastAsia="et-EE"/>
        </w:rPr>
      </w:pPr>
      <w:r w:rsidRPr="00883566">
        <w:rPr>
          <w:rFonts w:cs="Times New Roman"/>
        </w:rPr>
        <w:t>Kooskõla ESS § 135 lõikega 1 on tagatud, kuna läbipaistvuskohustuste eesmärk on aidata kaasa sideteenuse turu arengule ja selle kehtestamine Teliale on:</w:t>
      </w:r>
    </w:p>
    <w:p w14:paraId="1D49D19D"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rPr>
        <w:t>mõistlik ja otstarbekas, kuna juurdepääsu teenuste osutamise tingimuste ja hindade avaldamine aitab tagada lähedalt seotud turgudel konkurentsi ja stabiilsust;</w:t>
      </w:r>
    </w:p>
    <w:p w14:paraId="33FB262A"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rPr>
        <w:t>mittediskrimineeriv, kuna Telia poolt osutatavad hulgituru 3b teenused mõjutavad konkurentsi vertikaalselt allapoole seotud jaeturgudel Telia ulatusliku infrastruktuuri olemasolu tõttu oluliselt suuremal määral kui teiste sideettevõtjate poolt nimetatud turu koosseisu kuuluvad teenused. Sellest tulenevalt on õigustatud Teliale läbipaistvuskohustuste kehtestamine, et tõkestada Telia võimalust oma märkimisväärset turujõudu ära kasutada konkurentsi takistamiseks;</w:t>
      </w:r>
    </w:p>
    <w:p w14:paraId="44F3E097"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rPr>
        <w:t>läbipaistev, kuna kohustus on kavandatud selliselt, et isikule oleks üheselt arusaadav, mida TTJA tema suhtes on otsustanud ning millised õigused ja kohustused sellest temale tulenevad.</w:t>
      </w:r>
    </w:p>
    <w:p w14:paraId="5AFBD7B2" w14:textId="77777777" w:rsidR="00F03958" w:rsidRPr="00883566" w:rsidRDefault="00F03958" w:rsidP="00AA241E">
      <w:pPr>
        <w:numPr>
          <w:ilvl w:val="0"/>
          <w:numId w:val="8"/>
        </w:numPr>
        <w:spacing w:before="120" w:after="120" w:line="240" w:lineRule="auto"/>
        <w:ind w:left="567" w:firstLine="0"/>
        <w:jc w:val="both"/>
        <w:rPr>
          <w:rFonts w:cs="Times New Roman"/>
          <w:lang w:eastAsia="et-EE"/>
        </w:rPr>
      </w:pPr>
      <w:r w:rsidRPr="00883566">
        <w:rPr>
          <w:rFonts w:cs="Times New Roman"/>
          <w:lang w:eastAsia="et-EE"/>
        </w:rPr>
        <w:t xml:space="preserve">suunatud käesoleva seaduse §-s 134 lõikes 1 sätestatud konkreetse eesmärgi, edendada konkurentsi elektroonilise side ja sellega seotud teenuste osutamisel, saavutamisele ning on seda eesmärki arvestades TTJA hinnangul proportsionaalne. </w:t>
      </w:r>
    </w:p>
    <w:p w14:paraId="0A8EB583" w14:textId="77777777" w:rsidR="00F03958" w:rsidRPr="00883566" w:rsidRDefault="00F03958" w:rsidP="00AA241E">
      <w:pPr>
        <w:spacing w:before="120" w:after="120"/>
        <w:jc w:val="both"/>
        <w:rPr>
          <w:rFonts w:cs="Times New Roman"/>
          <w:lang w:eastAsia="et-EE"/>
        </w:rPr>
      </w:pPr>
    </w:p>
    <w:p w14:paraId="1FD62102" w14:textId="6691C293" w:rsidR="00F03958" w:rsidRPr="00883566" w:rsidRDefault="00F03958" w:rsidP="009805E1">
      <w:pPr>
        <w:pStyle w:val="Pealkiri3"/>
      </w:pPr>
      <w:bookmarkStart w:id="1363" w:name="_Toc464639371"/>
      <w:bookmarkStart w:id="1364" w:name="_Ref465422194"/>
      <w:bookmarkStart w:id="1365" w:name="_Toc470614573"/>
      <w:bookmarkStart w:id="1366" w:name="_Toc472597896"/>
      <w:bookmarkStart w:id="1367" w:name="_Toc35339856"/>
      <w:bookmarkStart w:id="1368" w:name="_Toc66262844"/>
      <w:bookmarkStart w:id="1369" w:name="_Toc151026104"/>
      <w:bookmarkStart w:id="1370" w:name="_Toc174710897"/>
      <w:r w:rsidRPr="00883566">
        <w:t>Läbipaistvuskohustuste kehtestamine</w:t>
      </w:r>
      <w:bookmarkEnd w:id="1346"/>
      <w:bookmarkEnd w:id="1347"/>
      <w:bookmarkEnd w:id="1348"/>
      <w:bookmarkEnd w:id="1349"/>
      <w:bookmarkEnd w:id="1350"/>
      <w:bookmarkEnd w:id="1351"/>
      <w:bookmarkEnd w:id="1363"/>
      <w:bookmarkEnd w:id="1364"/>
      <w:bookmarkEnd w:id="1365"/>
      <w:bookmarkEnd w:id="1366"/>
      <w:bookmarkEnd w:id="1367"/>
      <w:bookmarkEnd w:id="1368"/>
      <w:bookmarkEnd w:id="1369"/>
      <w:bookmarkEnd w:id="1370"/>
    </w:p>
    <w:p w14:paraId="74BD08F7" w14:textId="77777777" w:rsidR="00F03958" w:rsidRPr="00883566" w:rsidRDefault="00F03958" w:rsidP="00AA241E">
      <w:pPr>
        <w:jc w:val="both"/>
        <w:rPr>
          <w:lang w:eastAsia="lv-LV"/>
        </w:rPr>
      </w:pPr>
    </w:p>
    <w:p w14:paraId="130DD143" w14:textId="2E27FE00" w:rsidR="00F03958" w:rsidRPr="00883566" w:rsidRDefault="00F03958" w:rsidP="00AA241E">
      <w:pPr>
        <w:spacing w:line="259" w:lineRule="auto"/>
        <w:jc w:val="both"/>
        <w:rPr>
          <w:rFonts w:cs="Times New Roman"/>
          <w:lang w:eastAsia="en-US"/>
        </w:rPr>
      </w:pPr>
      <w:r w:rsidRPr="00883566">
        <w:rPr>
          <w:rFonts w:cs="Times New Roman"/>
        </w:rPr>
        <w:t xml:space="preserve">Käesoleva otsuse koostamise ajal kehtivad üleriigiliselt Telia </w:t>
      </w:r>
      <w:r w:rsidR="00532579">
        <w:rPr>
          <w:rFonts w:cs="Times New Roman"/>
        </w:rPr>
        <w:t>vaskpaar</w:t>
      </w:r>
      <w:r w:rsidRPr="00883566">
        <w:rPr>
          <w:rFonts w:cs="Times New Roman"/>
        </w:rPr>
        <w:t xml:space="preserve">- ja valguskaabelvõrgus Telia hulgituru 3b teenustele läbipaistvuskohustused TTJA 2017 hulgituru 3b otsuse lisa 1 </w:t>
      </w:r>
      <w:r w:rsidR="008C159A">
        <w:rPr>
          <w:rFonts w:cs="Times New Roman"/>
        </w:rPr>
        <w:t xml:space="preserve">ptk. </w:t>
      </w:r>
      <w:r w:rsidRPr="00883566">
        <w:rPr>
          <w:rFonts w:cs="Times New Roman"/>
        </w:rPr>
        <w:t xml:space="preserve">6.4.4 alusel. Lähtudes käesoleva otsuse </w:t>
      </w:r>
      <w:r w:rsidR="008C159A">
        <w:rPr>
          <w:rFonts w:cs="Times New Roman"/>
        </w:rPr>
        <w:t>ptk.-</w:t>
      </w:r>
      <w:r w:rsidRPr="00883566">
        <w:rPr>
          <w:rFonts w:cs="Times New Roman"/>
        </w:rPr>
        <w:t xml:space="preserve">st </w:t>
      </w:r>
      <w:r w:rsidR="00E14AB9">
        <w:rPr>
          <w:rFonts w:cs="Times New Roman"/>
        </w:rPr>
        <w:t>8.1.2</w:t>
      </w:r>
      <w:r w:rsidRPr="00883566">
        <w:rPr>
          <w:rFonts w:cs="Times New Roman"/>
        </w:rPr>
        <w:t xml:space="preserve"> tunnistatakse TTJA 2017 hulgituru 3b otsus ja selles kehtestatud </w:t>
      </w:r>
      <w:r w:rsidR="002F7ECE">
        <w:rPr>
          <w:rFonts w:cs="Times New Roman"/>
        </w:rPr>
        <w:t xml:space="preserve">Telia </w:t>
      </w:r>
      <w:r w:rsidRPr="00883566">
        <w:rPr>
          <w:rFonts w:cs="Times New Roman"/>
        </w:rPr>
        <w:t xml:space="preserve">kohustused kehtetuks. Käesolevas </w:t>
      </w:r>
      <w:r w:rsidR="002F7ECE">
        <w:rPr>
          <w:rFonts w:cs="Times New Roman"/>
        </w:rPr>
        <w:t>peatükis</w:t>
      </w:r>
      <w:r w:rsidR="002F7ECE" w:rsidRPr="00883566">
        <w:rPr>
          <w:rFonts w:cs="Times New Roman"/>
        </w:rPr>
        <w:t xml:space="preserve"> kehtestatavad kohustused on suunatud </w:t>
      </w:r>
      <w:r w:rsidR="002F7ECE">
        <w:rPr>
          <w:rFonts w:cs="Times New Roman"/>
        </w:rPr>
        <w:t xml:space="preserve"> läbipaistvuse tagamisele valguskaabelvõrgu B</w:t>
      </w:r>
      <w:r w:rsidR="002F7ECE" w:rsidRPr="00883566">
        <w:rPr>
          <w:rFonts w:cs="Times New Roman"/>
        </w:rPr>
        <w:t xml:space="preserve"> piirkonna</w:t>
      </w:r>
      <w:r w:rsidR="002F7ECE">
        <w:rPr>
          <w:rFonts w:cs="Times New Roman"/>
        </w:rPr>
        <w:t xml:space="preserve"> hulgituru</w:t>
      </w:r>
      <w:r w:rsidR="00B97C32">
        <w:rPr>
          <w:rFonts w:cs="Times New Roman"/>
        </w:rPr>
        <w:t>l</w:t>
      </w:r>
      <w:r w:rsidR="002F7ECE">
        <w:rPr>
          <w:rFonts w:cs="Times New Roman"/>
        </w:rPr>
        <w:t xml:space="preserve"> 3b</w:t>
      </w:r>
      <w:r w:rsidR="00B97C32">
        <w:rPr>
          <w:rFonts w:cs="Times New Roman"/>
        </w:rPr>
        <w:t xml:space="preserve"> Telia osutavate</w:t>
      </w:r>
      <w:r w:rsidR="002F7ECE">
        <w:rPr>
          <w:rFonts w:cs="Times New Roman"/>
        </w:rPr>
        <w:t xml:space="preserve"> teenuste </w:t>
      </w:r>
      <w:r w:rsidR="00B97C32">
        <w:rPr>
          <w:rFonts w:cs="Times New Roman"/>
        </w:rPr>
        <w:t>osas</w:t>
      </w:r>
      <w:r w:rsidR="002F7ECE" w:rsidRPr="00883566">
        <w:rPr>
          <w:rFonts w:cs="Times New Roman"/>
        </w:rPr>
        <w:t>.</w:t>
      </w:r>
      <w:r w:rsidRPr="00883566">
        <w:rPr>
          <w:rFonts w:cs="Times New Roman"/>
        </w:rPr>
        <w:t xml:space="preserve"> </w:t>
      </w:r>
      <w:r w:rsidR="002F7ECE" w:rsidRPr="00883566">
        <w:rPr>
          <w:rFonts w:cs="Times New Roman"/>
        </w:rPr>
        <w:t>TTJA on kohustuste järjepidevuse tagamiseks lähtunud käesoleva otsuse koostamise ajal kehtiva TTJA 2017 hulgituru 3b otsuses sätestatud kohustustest neid vajadusel muutes ja/või täiendades</w:t>
      </w:r>
      <w:r w:rsidR="0012062C" w:rsidRPr="0012062C">
        <w:rPr>
          <w:rFonts w:cs="Times New Roman"/>
        </w:rPr>
        <w:t xml:space="preserve"> </w:t>
      </w:r>
      <w:r w:rsidR="0012062C">
        <w:rPr>
          <w:rFonts w:cs="Times New Roman"/>
        </w:rPr>
        <w:t>ja/või kustutades</w:t>
      </w:r>
      <w:r w:rsidR="002F7ECE" w:rsidRPr="00883566">
        <w:rPr>
          <w:rFonts w:cs="Times New Roman"/>
        </w:rPr>
        <w:t>.</w:t>
      </w:r>
    </w:p>
    <w:p w14:paraId="1421AF9D" w14:textId="332CDD93" w:rsidR="00F03958" w:rsidRPr="00883566" w:rsidRDefault="00F03958" w:rsidP="00AA241E">
      <w:pPr>
        <w:jc w:val="both"/>
        <w:rPr>
          <w:rFonts w:cs="Times New Roman"/>
        </w:rPr>
      </w:pPr>
      <w:r w:rsidRPr="00883566">
        <w:rPr>
          <w:rFonts w:cs="Times New Roman"/>
        </w:rPr>
        <w:lastRenderedPageBreak/>
        <w:t xml:space="preserve">Võttes arvesse TTJA 2017 hulgituru 3b otsuses sätestatud kohustusi ja tutvunud uut EK 2024 kohustuste soovitusega ning TTJA 2021 hulgituru 3b otsuse eelnõus ja TTJA 2023 hulgituru 3b otsuse eelnõus kajastatud sideettevõtjate arvamustega võimalike konkurentsiprobleemide osas, leiab TTJA, et puudub vajadus kehtestada Telia </w:t>
      </w:r>
      <w:r w:rsidR="00A3232C">
        <w:rPr>
          <w:rFonts w:cs="Times New Roman"/>
        </w:rPr>
        <w:t>valguskaabelvõrgu</w:t>
      </w:r>
      <w:r w:rsidRPr="00883566">
        <w:rPr>
          <w:rFonts w:cs="Times New Roman"/>
        </w:rPr>
        <w:t xml:space="preserve">s B piirkonnas Telia hulgituru 3b teenustele </w:t>
      </w:r>
      <w:r w:rsidR="0012062C">
        <w:rPr>
          <w:rFonts w:cs="Times New Roman"/>
        </w:rPr>
        <w:t xml:space="preserve">märkimisväärselt </w:t>
      </w:r>
      <w:r w:rsidRPr="00883566">
        <w:rPr>
          <w:rFonts w:cs="Times New Roman"/>
        </w:rPr>
        <w:t xml:space="preserve">erinevaid läbipaistvuskohustusi võrreldes käesoleva otsuse ajal kehtivas TTJA 2017 hulgituru 3b otsuse lisa 1 </w:t>
      </w:r>
      <w:r w:rsidR="008C159A">
        <w:rPr>
          <w:rFonts w:cs="Times New Roman"/>
        </w:rPr>
        <w:t>ptk.-</w:t>
      </w:r>
      <w:r w:rsidRPr="00883566">
        <w:rPr>
          <w:rFonts w:cs="Times New Roman"/>
        </w:rPr>
        <w:t>s 6.4.4 sätestatud läbipaistvuskohustustega.</w:t>
      </w:r>
    </w:p>
    <w:p w14:paraId="798A612B" w14:textId="5404C9B9" w:rsidR="0038502C" w:rsidRPr="00883566" w:rsidRDefault="0038502C" w:rsidP="00AA241E">
      <w:pPr>
        <w:jc w:val="both"/>
        <w:rPr>
          <w:rFonts w:cs="Times New Roman"/>
        </w:rPr>
      </w:pPr>
      <w:r w:rsidRPr="00883566">
        <w:rPr>
          <w:rFonts w:cs="Times New Roman"/>
        </w:rPr>
        <w:t>Kuna käesoleva</w:t>
      </w:r>
      <w:r>
        <w:rPr>
          <w:rFonts w:cs="Times New Roman"/>
        </w:rPr>
        <w:t>s</w:t>
      </w:r>
      <w:r w:rsidRPr="00883566">
        <w:rPr>
          <w:rFonts w:cs="Times New Roman"/>
        </w:rPr>
        <w:t xml:space="preserve"> </w:t>
      </w:r>
      <w:r>
        <w:rPr>
          <w:rFonts w:cs="Times New Roman"/>
        </w:rPr>
        <w:t>peatükis</w:t>
      </w:r>
      <w:r w:rsidRPr="00883566">
        <w:rPr>
          <w:rFonts w:cs="Times New Roman"/>
        </w:rPr>
        <w:t xml:space="preserve"> </w:t>
      </w:r>
      <w:r>
        <w:rPr>
          <w:rFonts w:cs="Times New Roman"/>
        </w:rPr>
        <w:t>kehtestatavad</w:t>
      </w:r>
      <w:r w:rsidRPr="00883566">
        <w:rPr>
          <w:rFonts w:cs="Times New Roman"/>
        </w:rPr>
        <w:t xml:space="preserve"> läbipaistvuskohustused ei </w:t>
      </w:r>
      <w:r>
        <w:rPr>
          <w:rFonts w:cs="Times New Roman"/>
        </w:rPr>
        <w:t xml:space="preserve">pane Teliale </w:t>
      </w:r>
      <w:r w:rsidR="000D1146">
        <w:rPr>
          <w:rFonts w:cs="Times New Roman"/>
        </w:rPr>
        <w:t xml:space="preserve">olulises mahus </w:t>
      </w:r>
      <w:r>
        <w:rPr>
          <w:rFonts w:cs="Times New Roman"/>
        </w:rPr>
        <w:t xml:space="preserve">täiendavaid kohustusi võrreldes </w:t>
      </w:r>
      <w:r w:rsidRPr="00883566">
        <w:rPr>
          <w:rFonts w:cs="Times New Roman"/>
        </w:rPr>
        <w:t xml:space="preserve">TTJA 2017 hulgituru </w:t>
      </w:r>
      <w:r>
        <w:rPr>
          <w:rFonts w:cs="Times New Roman"/>
        </w:rPr>
        <w:t>3b</w:t>
      </w:r>
      <w:r w:rsidRPr="00883566">
        <w:rPr>
          <w:rFonts w:cs="Times New Roman"/>
        </w:rPr>
        <w:t xml:space="preserve"> otsusega kehtestatud vastavate kohustuste</w:t>
      </w:r>
      <w:r>
        <w:rPr>
          <w:rFonts w:cs="Times New Roman"/>
        </w:rPr>
        <w:t>ga</w:t>
      </w:r>
      <w:r w:rsidRPr="00883566">
        <w:rPr>
          <w:rFonts w:cs="Times New Roman"/>
        </w:rPr>
        <w:t>, siis ei ole need Teliale koormavad, kuna Telial on TTJA hinnangul olemas nimetatud kohustuste täitmiseks vajalik tehniline valmisolek ja ressurss ning kogemus.</w:t>
      </w:r>
    </w:p>
    <w:p w14:paraId="719FE6BB" w14:textId="77777777" w:rsidR="00F03958" w:rsidRPr="00883566" w:rsidRDefault="00F03958" w:rsidP="00AA241E">
      <w:pPr>
        <w:spacing w:before="120" w:after="120"/>
        <w:jc w:val="both"/>
        <w:rPr>
          <w:rFonts w:cs="Times New Roman"/>
        </w:rPr>
      </w:pPr>
    </w:p>
    <w:p w14:paraId="1E6391D1" w14:textId="09CBBEA9" w:rsidR="00F03958" w:rsidRPr="001C1DAB" w:rsidRDefault="00F03958" w:rsidP="00AA241E">
      <w:pPr>
        <w:spacing w:before="120" w:after="120"/>
        <w:jc w:val="both"/>
        <w:rPr>
          <w:rFonts w:cs="Times New Roman"/>
          <w:b/>
          <w:bCs/>
        </w:rPr>
      </w:pPr>
      <w:r w:rsidRPr="001C1DAB">
        <w:rPr>
          <w:rFonts w:cs="Times New Roman"/>
          <w:b/>
          <w:bCs/>
        </w:rPr>
        <w:t>TTJA kohusta</w:t>
      </w:r>
      <w:r w:rsidR="0012062C">
        <w:rPr>
          <w:rFonts w:cs="Times New Roman"/>
          <w:b/>
          <w:bCs/>
        </w:rPr>
        <w:t>b</w:t>
      </w:r>
      <w:r w:rsidRPr="001C1DAB">
        <w:rPr>
          <w:rFonts w:cs="Times New Roman"/>
          <w:b/>
          <w:bCs/>
        </w:rPr>
        <w:t xml:space="preserve"> Teliat </w:t>
      </w:r>
      <w:r w:rsidR="00A3232C" w:rsidRPr="001C1DAB">
        <w:rPr>
          <w:rFonts w:cs="Times New Roman"/>
          <w:b/>
          <w:bCs/>
        </w:rPr>
        <w:t>valguskaabelvõrgu</w:t>
      </w:r>
      <w:r w:rsidRPr="001C1DAB">
        <w:rPr>
          <w:rFonts w:cs="Times New Roman"/>
          <w:b/>
          <w:bCs/>
        </w:rPr>
        <w:t xml:space="preserve">s B piirkonna hulgiturul 3b otsuse peatükis </w:t>
      </w:r>
      <w:r w:rsidR="00DA242E" w:rsidRPr="001C1DAB">
        <w:rPr>
          <w:rFonts w:cs="Times New Roman"/>
          <w:b/>
          <w:bCs/>
        </w:rPr>
        <w:t>8.5.2</w:t>
      </w:r>
      <w:r w:rsidRPr="001C1DAB">
        <w:rPr>
          <w:rFonts w:cs="Times New Roman"/>
          <w:b/>
          <w:bCs/>
        </w:rPr>
        <w:t xml:space="preserve"> nimetatud konkurentsiprobleemide lahendamise ning sideteenuste koos-talitusvõime ja läbivühendatavuse toetamiseks ESS-i alusel: </w:t>
      </w:r>
    </w:p>
    <w:p w14:paraId="6CDDB865" w14:textId="4088CE4F" w:rsidR="00F03958" w:rsidRPr="001C1DAB" w:rsidRDefault="00F03958" w:rsidP="00AA241E">
      <w:pPr>
        <w:numPr>
          <w:ilvl w:val="0"/>
          <w:numId w:val="55"/>
        </w:numPr>
        <w:spacing w:before="120" w:after="120"/>
        <w:jc w:val="both"/>
        <w:rPr>
          <w:rFonts w:cs="Times New Roman"/>
          <w:b/>
          <w:bCs/>
        </w:rPr>
      </w:pPr>
      <w:r w:rsidRPr="001C1DAB">
        <w:rPr>
          <w:rFonts w:cs="Times New Roman"/>
          <w:b/>
          <w:bCs/>
        </w:rPr>
        <w:t xml:space="preserve">avaldama TTJA ja/või teise sideettevõtja nõudmisel otsuse peatükis </w:t>
      </w:r>
      <w:r w:rsidR="00DA242E" w:rsidRPr="001C1DAB">
        <w:rPr>
          <w:rFonts w:cs="Times New Roman"/>
          <w:b/>
          <w:bCs/>
        </w:rPr>
        <w:t>8.3.5</w:t>
      </w:r>
      <w:r w:rsidRPr="001C1DAB">
        <w:rPr>
          <w:rFonts w:cs="Times New Roman"/>
          <w:b/>
          <w:bCs/>
        </w:rPr>
        <w:t xml:space="preserve"> kohustatud</w:t>
      </w:r>
      <w:r w:rsidR="006720CE" w:rsidRPr="001C1DAB">
        <w:rPr>
          <w:rFonts w:cs="Times New Roman"/>
          <w:b/>
          <w:bCs/>
        </w:rPr>
        <w:t xml:space="preserve"> </w:t>
      </w:r>
      <w:r w:rsidR="00171B61">
        <w:rPr>
          <w:rFonts w:cs="Times New Roman"/>
          <w:b/>
          <w:bCs/>
        </w:rPr>
        <w:t>juurdepääsuga</w:t>
      </w:r>
      <w:r w:rsidRPr="001C1DAB">
        <w:rPr>
          <w:rFonts w:cs="Times New Roman"/>
          <w:b/>
          <w:bCs/>
        </w:rPr>
        <w:t xml:space="preserve"> seotud andmed kuluarvestuse, tehniliste tingimuste, võrgu omaduste ja arenduste, teenuse osutamise tingimuste ja tasude kohta, seejuures teisetele sideettevõtjatele ei pea avaldama Telia ärisaladusi</w:t>
      </w:r>
      <w:r w:rsidRPr="001C1DAB">
        <w:rPr>
          <w:rFonts w:cs="Times New Roman"/>
          <w:b/>
          <w:bCs/>
          <w:vertAlign w:val="superscript"/>
        </w:rPr>
        <w:footnoteReference w:id="253"/>
      </w:r>
      <w:r w:rsidRPr="001C1DAB">
        <w:rPr>
          <w:rFonts w:cs="Times New Roman"/>
          <w:b/>
          <w:bCs/>
        </w:rPr>
        <w:t>;</w:t>
      </w:r>
    </w:p>
    <w:p w14:paraId="10F7E0BF" w14:textId="60066485" w:rsidR="00F03958" w:rsidRPr="001C1DAB" w:rsidRDefault="00F03958" w:rsidP="00AA241E">
      <w:pPr>
        <w:numPr>
          <w:ilvl w:val="0"/>
          <w:numId w:val="55"/>
        </w:numPr>
        <w:spacing w:before="120" w:after="120"/>
        <w:jc w:val="both"/>
        <w:rPr>
          <w:rFonts w:cs="Times New Roman"/>
          <w:b/>
          <w:bCs/>
        </w:rPr>
      </w:pPr>
      <w:r w:rsidRPr="001C1DAB">
        <w:rPr>
          <w:rFonts w:cs="Times New Roman"/>
          <w:b/>
          <w:bCs/>
        </w:rPr>
        <w:t xml:space="preserve">avaldama teise sideettevõtja taotluse korral teave peatükis </w:t>
      </w:r>
      <w:r w:rsidR="00DA242E" w:rsidRPr="001C1DAB">
        <w:rPr>
          <w:rFonts w:cs="Times New Roman"/>
          <w:b/>
          <w:bCs/>
        </w:rPr>
        <w:t>8.3.5</w:t>
      </w:r>
      <w:r w:rsidRPr="001C1DAB">
        <w:rPr>
          <w:rFonts w:cs="Times New Roman"/>
          <w:b/>
          <w:bCs/>
        </w:rPr>
        <w:t xml:space="preserve"> kohustatud</w:t>
      </w:r>
      <w:r w:rsidR="006720CE" w:rsidRPr="001C1DAB">
        <w:rPr>
          <w:rFonts w:cs="Times New Roman"/>
          <w:b/>
          <w:bCs/>
        </w:rPr>
        <w:t xml:space="preserve"> </w:t>
      </w:r>
      <w:r w:rsidR="00171B61">
        <w:rPr>
          <w:rFonts w:cs="Times New Roman"/>
          <w:b/>
          <w:bCs/>
        </w:rPr>
        <w:t>juurdepääsu</w:t>
      </w:r>
      <w:r w:rsidRPr="001C1DAB">
        <w:rPr>
          <w:rFonts w:cs="Times New Roman"/>
          <w:b/>
          <w:bCs/>
        </w:rPr>
        <w:t xml:space="preserve"> tehniliste tingimuste kohta esimese mõistlikult teostatava tähtaja jooksul ja mitte pikema tähtaja jooksul kui Telia avaldab vastavat teavet enda allüksustele, sealhulgas määratlema nimetatud teabe avaldamise tähtaeg oma näidispakkumises ja igal kalendriaastal</w:t>
      </w:r>
      <w:r w:rsidRPr="001C1DAB">
        <w:rPr>
          <w:rFonts w:cs="Times New Roman"/>
          <w:b/>
          <w:bCs/>
          <w:vertAlign w:val="superscript"/>
        </w:rPr>
        <w:t xml:space="preserve"> </w:t>
      </w:r>
      <w:r w:rsidRPr="001C1DAB">
        <w:rPr>
          <w:rFonts w:cs="Times New Roman"/>
          <w:b/>
          <w:bCs/>
        </w:rPr>
        <w:t>kontrollima selle vastavust enda allüksustele vastava teabe avaldamise ajaga ning vajadusel uuendama näidispakkumist</w:t>
      </w:r>
      <w:r w:rsidRPr="001C1DAB">
        <w:rPr>
          <w:rFonts w:cs="Times New Roman"/>
          <w:b/>
          <w:bCs/>
          <w:vertAlign w:val="superscript"/>
        </w:rPr>
        <w:footnoteReference w:id="254"/>
      </w:r>
      <w:r w:rsidR="00575C41" w:rsidRPr="001C1DAB">
        <w:rPr>
          <w:rFonts w:cs="Times New Roman"/>
          <w:b/>
          <w:bCs/>
        </w:rPr>
        <w:t xml:space="preserve">, vt ka </w:t>
      </w:r>
      <w:r w:rsidR="008C159A">
        <w:rPr>
          <w:rFonts w:cs="Times New Roman"/>
          <w:b/>
          <w:bCs/>
        </w:rPr>
        <w:t xml:space="preserve">ptk. </w:t>
      </w:r>
      <w:r w:rsidR="004365DE" w:rsidRPr="001C1DAB">
        <w:rPr>
          <w:rFonts w:cs="Times New Roman"/>
          <w:b/>
          <w:bCs/>
        </w:rPr>
        <w:t>8.4.10</w:t>
      </w:r>
      <w:r w:rsidR="00171B61">
        <w:rPr>
          <w:rFonts w:cs="Times New Roman"/>
          <w:b/>
          <w:bCs/>
        </w:rPr>
        <w:t>.3</w:t>
      </w:r>
      <w:r w:rsidR="004365DE" w:rsidRPr="001C1DAB">
        <w:rPr>
          <w:rFonts w:cs="Times New Roman"/>
          <w:b/>
          <w:bCs/>
        </w:rPr>
        <w:t xml:space="preserve"> „Tulemusnäitajad, teenustaseme kokkulepped ja garantiid“</w:t>
      </w:r>
      <w:r w:rsidRPr="001C1DAB">
        <w:rPr>
          <w:rFonts w:cs="Times New Roman"/>
          <w:b/>
          <w:bCs/>
        </w:rPr>
        <w:t xml:space="preserve">; </w:t>
      </w:r>
    </w:p>
    <w:p w14:paraId="1075C227" w14:textId="77777777" w:rsidR="00F03958" w:rsidRPr="001C1DAB" w:rsidRDefault="00F03958" w:rsidP="00AA241E">
      <w:pPr>
        <w:numPr>
          <w:ilvl w:val="0"/>
          <w:numId w:val="55"/>
        </w:numPr>
        <w:spacing w:before="120" w:after="120"/>
        <w:jc w:val="both"/>
        <w:rPr>
          <w:rFonts w:cs="Times New Roman"/>
          <w:b/>
          <w:bCs/>
        </w:rPr>
      </w:pPr>
      <w:r w:rsidRPr="001C1DAB">
        <w:rPr>
          <w:rFonts w:cs="Times New Roman"/>
          <w:b/>
          <w:bCs/>
        </w:rPr>
        <w:t>kui Telia teeb eelmises punktis kirjeldatud tehniliste tingimuste välja selgitamisel kindlaks, et teenust ei ole võimalik osutada, peab Telia esitama vastava teabe koos põhjendustega taotluse esitanud sideettevõtjale;</w:t>
      </w:r>
    </w:p>
    <w:p w14:paraId="10A5FF94" w14:textId="2E7B5B62" w:rsidR="00F03958" w:rsidRPr="001C1DAB" w:rsidRDefault="00F03958" w:rsidP="00AA241E">
      <w:pPr>
        <w:numPr>
          <w:ilvl w:val="0"/>
          <w:numId w:val="55"/>
        </w:numPr>
        <w:spacing w:before="120" w:after="120"/>
        <w:jc w:val="both"/>
        <w:rPr>
          <w:rFonts w:cs="Times New Roman"/>
          <w:b/>
          <w:bCs/>
        </w:rPr>
      </w:pPr>
      <w:r w:rsidRPr="001C1DAB">
        <w:rPr>
          <w:rFonts w:cs="Times New Roman"/>
          <w:b/>
          <w:bCs/>
        </w:rPr>
        <w:t xml:space="preserve">koostama ja avaldama peatükis </w:t>
      </w:r>
      <w:r w:rsidR="00DA242E" w:rsidRPr="001C1DAB">
        <w:rPr>
          <w:rFonts w:cs="Times New Roman"/>
          <w:b/>
          <w:bCs/>
        </w:rPr>
        <w:t>8.3.5</w:t>
      </w:r>
      <w:r w:rsidRPr="001C1DAB">
        <w:rPr>
          <w:rFonts w:cs="Times New Roman"/>
          <w:b/>
          <w:bCs/>
        </w:rPr>
        <w:t xml:space="preserve"> kohustatud </w:t>
      </w:r>
      <w:r w:rsidR="00171B61">
        <w:rPr>
          <w:rFonts w:cs="Times New Roman"/>
          <w:b/>
          <w:bCs/>
        </w:rPr>
        <w:t>juurdepääsu</w:t>
      </w:r>
      <w:r w:rsidRPr="001C1DAB">
        <w:rPr>
          <w:rFonts w:cs="Times New Roman"/>
          <w:b/>
          <w:bCs/>
        </w:rPr>
        <w:t xml:space="preserve"> teenuste näidispakkumine ja selle muudatused vastavalt ESS § 53 ning esita</w:t>
      </w:r>
      <w:r w:rsidR="007C3861">
        <w:rPr>
          <w:rFonts w:cs="Times New Roman"/>
          <w:b/>
          <w:bCs/>
        </w:rPr>
        <w:t>m</w:t>
      </w:r>
      <w:r w:rsidRPr="001C1DAB">
        <w:rPr>
          <w:rFonts w:cs="Times New Roman"/>
          <w:b/>
          <w:bCs/>
        </w:rPr>
        <w:t>a vastav näidispakkumine ja selle muudatused TTJA-</w:t>
      </w:r>
      <w:proofErr w:type="spellStart"/>
      <w:r w:rsidR="001C1DAB">
        <w:rPr>
          <w:rFonts w:cs="Times New Roman"/>
          <w:b/>
          <w:bCs/>
        </w:rPr>
        <w:t>l</w:t>
      </w:r>
      <w:r w:rsidRPr="001C1DAB">
        <w:rPr>
          <w:rFonts w:cs="Times New Roman"/>
          <w:b/>
          <w:bCs/>
        </w:rPr>
        <w:t>e</w:t>
      </w:r>
      <w:proofErr w:type="spellEnd"/>
      <w:r w:rsidRPr="001C1DAB">
        <w:rPr>
          <w:rFonts w:cs="Times New Roman"/>
          <w:b/>
          <w:bCs/>
        </w:rPr>
        <w:t xml:space="preserve"> </w:t>
      </w:r>
      <w:r w:rsidR="00CE492A">
        <w:rPr>
          <w:rFonts w:cs="Times New Roman"/>
          <w:b/>
          <w:bCs/>
        </w:rPr>
        <w:t xml:space="preserve">vähemalt </w:t>
      </w:r>
      <w:r w:rsidRPr="001C1DAB">
        <w:rPr>
          <w:rFonts w:cs="Times New Roman"/>
          <w:b/>
          <w:bCs/>
        </w:rPr>
        <w:t>üks kuu enne avaldamist</w:t>
      </w:r>
      <w:r w:rsidRPr="001C1DAB">
        <w:rPr>
          <w:rFonts w:cs="Times New Roman"/>
          <w:b/>
          <w:bCs/>
          <w:vertAlign w:val="superscript"/>
        </w:rPr>
        <w:footnoteReference w:id="255"/>
      </w:r>
      <w:r w:rsidRPr="001C1DAB">
        <w:rPr>
          <w:rFonts w:cs="Times New Roman"/>
          <w:b/>
          <w:bCs/>
        </w:rPr>
        <w:t xml:space="preserve">; </w:t>
      </w:r>
    </w:p>
    <w:p w14:paraId="352B0379" w14:textId="7F4E2B2A" w:rsidR="00415098" w:rsidRPr="001C1DAB" w:rsidRDefault="00F03958" w:rsidP="00415098">
      <w:pPr>
        <w:numPr>
          <w:ilvl w:val="0"/>
          <w:numId w:val="55"/>
        </w:numPr>
        <w:spacing w:before="120" w:after="120"/>
        <w:jc w:val="both"/>
        <w:rPr>
          <w:rFonts w:cs="Times New Roman"/>
          <w:b/>
          <w:bCs/>
          <w:lang w:eastAsia="et-EE"/>
        </w:rPr>
      </w:pPr>
      <w:r w:rsidRPr="001C1DAB">
        <w:rPr>
          <w:rFonts w:cs="Times New Roman"/>
          <w:b/>
          <w:bCs/>
        </w:rPr>
        <w:lastRenderedPageBreak/>
        <w:t>eelmises punktis nimetatud näidispakkumise andmekooseis peab vastama ESS § 53 lõikele 7</w:t>
      </w:r>
      <w:r w:rsidR="00415098" w:rsidRPr="001C1DAB">
        <w:rPr>
          <w:rFonts w:cs="Times New Roman"/>
          <w:b/>
          <w:bCs/>
        </w:rPr>
        <w:t>;</w:t>
      </w:r>
      <w:r w:rsidRPr="001C1DAB">
        <w:rPr>
          <w:rFonts w:cs="Times New Roman"/>
          <w:b/>
          <w:bCs/>
        </w:rPr>
        <w:t xml:space="preserve"> </w:t>
      </w:r>
    </w:p>
    <w:p w14:paraId="549929CF" w14:textId="77777777" w:rsidR="00415098" w:rsidRPr="001C1DAB" w:rsidRDefault="00F03958" w:rsidP="00527F73">
      <w:pPr>
        <w:numPr>
          <w:ilvl w:val="0"/>
          <w:numId w:val="55"/>
        </w:numPr>
        <w:spacing w:before="120" w:after="120"/>
        <w:ind w:left="1440"/>
        <w:jc w:val="both"/>
        <w:rPr>
          <w:rFonts w:cs="Times New Roman"/>
          <w:b/>
          <w:bCs/>
          <w:lang w:eastAsia="et-EE"/>
        </w:rPr>
      </w:pPr>
      <w:r w:rsidRPr="001C1DAB">
        <w:rPr>
          <w:rFonts w:cs="Times New Roman"/>
          <w:b/>
          <w:bCs/>
        </w:rPr>
        <w:t>avaldama</w:t>
      </w:r>
      <w:r w:rsidRPr="001C1DAB">
        <w:rPr>
          <w:rFonts w:cs="Times New Roman"/>
          <w:b/>
          <w:bCs/>
          <w:lang w:eastAsia="et-EE"/>
        </w:rPr>
        <w:t xml:space="preserve"> näidispakkumise oma veebilehel või selle puudumisel muul mõistlikul viisil ning esitama TTJA nõudmisel ärakirja sõlmitud juurdepääsulepingust</w:t>
      </w:r>
      <w:r w:rsidRPr="001C1DAB">
        <w:rPr>
          <w:rStyle w:val="Allmrkuseviide"/>
          <w:rFonts w:cs="Times New Roman"/>
          <w:b/>
          <w:bCs/>
          <w:lang w:eastAsia="et-EE"/>
        </w:rPr>
        <w:footnoteReference w:id="256"/>
      </w:r>
      <w:r w:rsidR="00415098" w:rsidRPr="001C1DAB">
        <w:rPr>
          <w:rFonts w:cs="Times New Roman"/>
          <w:b/>
          <w:bCs/>
          <w:lang w:eastAsia="et-EE"/>
        </w:rPr>
        <w:t>;</w:t>
      </w:r>
    </w:p>
    <w:p w14:paraId="372FD392" w14:textId="0E8663AA" w:rsidR="00F03958" w:rsidRPr="001C1DAB" w:rsidRDefault="00F03958" w:rsidP="00527F73">
      <w:pPr>
        <w:numPr>
          <w:ilvl w:val="0"/>
          <w:numId w:val="55"/>
        </w:numPr>
        <w:spacing w:before="120" w:after="120"/>
        <w:ind w:left="1440"/>
        <w:jc w:val="both"/>
        <w:rPr>
          <w:rFonts w:cs="Times New Roman"/>
          <w:b/>
          <w:bCs/>
          <w:lang w:eastAsia="et-EE"/>
        </w:rPr>
      </w:pPr>
      <w:r w:rsidRPr="001C1DAB">
        <w:rPr>
          <w:rFonts w:cs="Times New Roman"/>
          <w:b/>
          <w:bCs/>
          <w:lang w:eastAsia="et-EE"/>
        </w:rPr>
        <w:t>esitama TTJA-</w:t>
      </w:r>
      <w:proofErr w:type="spellStart"/>
      <w:r w:rsidRPr="001C1DAB">
        <w:rPr>
          <w:rFonts w:cs="Times New Roman"/>
          <w:b/>
          <w:bCs/>
          <w:lang w:eastAsia="et-EE"/>
        </w:rPr>
        <w:t>le</w:t>
      </w:r>
      <w:proofErr w:type="spellEnd"/>
      <w:r w:rsidRPr="001C1DAB">
        <w:rPr>
          <w:rFonts w:cs="Times New Roman"/>
          <w:b/>
          <w:bCs/>
          <w:lang w:eastAsia="et-EE"/>
        </w:rPr>
        <w:t xml:space="preserve"> ärakirja näidispakkumisest erinevatel tingimustel sõlmitud juurdepääsulepingust</w:t>
      </w:r>
      <w:r w:rsidR="0012062C">
        <w:rPr>
          <w:rStyle w:val="Allmrkuseviide"/>
          <w:rFonts w:cs="Times New Roman"/>
          <w:b/>
          <w:bCs/>
          <w:lang w:eastAsia="et-EE"/>
        </w:rPr>
        <w:footnoteReference w:id="257"/>
      </w:r>
      <w:r w:rsidRPr="001C1DAB">
        <w:rPr>
          <w:rFonts w:cs="Times New Roman"/>
          <w:b/>
          <w:bCs/>
          <w:lang w:eastAsia="et-EE"/>
        </w:rPr>
        <w:t>.</w:t>
      </w:r>
    </w:p>
    <w:p w14:paraId="40D45BE2" w14:textId="77777777" w:rsidR="00F03958" w:rsidRPr="001C1DAB" w:rsidRDefault="00F03958" w:rsidP="00AA241E">
      <w:pPr>
        <w:spacing w:before="120" w:after="120"/>
        <w:jc w:val="both"/>
        <w:rPr>
          <w:rFonts w:cs="Times New Roman"/>
          <w:b/>
          <w:bCs/>
          <w:lang w:eastAsia="et-EE"/>
        </w:rPr>
      </w:pPr>
    </w:p>
    <w:p w14:paraId="2DD5D0C2" w14:textId="77777777" w:rsidR="00F03958" w:rsidRPr="001C1DAB" w:rsidRDefault="00F03958" w:rsidP="00AA241E">
      <w:pPr>
        <w:spacing w:before="120" w:after="120"/>
        <w:jc w:val="both"/>
        <w:rPr>
          <w:rFonts w:cs="Times New Roman"/>
          <w:b/>
          <w:bCs/>
          <w:lang w:eastAsia="et-EE"/>
        </w:rPr>
      </w:pPr>
      <w:r w:rsidRPr="001C1DAB">
        <w:rPr>
          <w:rFonts w:cs="Times New Roman"/>
          <w:b/>
          <w:bCs/>
          <w:lang w:eastAsia="et-EE"/>
        </w:rPr>
        <w:t>Sideettevõtjatel on õigus vastastikusel kokkuleppel sõlmida juurdepääsuleping ka näidispakkumisest erinevatel tingimustel, kui sõlmitava lepingu tingimused ei ole vastuolus näidispakkumise avaldamise kohustuse eesmärkidega</w:t>
      </w:r>
      <w:r w:rsidRPr="001C1DAB">
        <w:rPr>
          <w:rStyle w:val="Allmrkuseviide"/>
          <w:rFonts w:cs="Times New Roman"/>
          <w:b/>
          <w:bCs/>
          <w:lang w:eastAsia="et-EE"/>
        </w:rPr>
        <w:footnoteReference w:id="258"/>
      </w:r>
      <w:r w:rsidRPr="001C1DAB">
        <w:rPr>
          <w:rFonts w:cs="Times New Roman"/>
          <w:b/>
          <w:bCs/>
          <w:lang w:eastAsia="et-EE"/>
        </w:rPr>
        <w:t>.</w:t>
      </w:r>
    </w:p>
    <w:p w14:paraId="7EB66C47" w14:textId="77777777" w:rsidR="00F03958" w:rsidRPr="001C1DAB" w:rsidRDefault="00F03958" w:rsidP="00AA241E">
      <w:pPr>
        <w:spacing w:before="120" w:after="120"/>
        <w:jc w:val="both"/>
        <w:rPr>
          <w:rFonts w:cs="Times New Roman"/>
          <w:b/>
          <w:bCs/>
          <w:lang w:eastAsia="et-EE"/>
        </w:rPr>
      </w:pPr>
      <w:r w:rsidRPr="001C1DAB">
        <w:rPr>
          <w:rFonts w:cs="Times New Roman"/>
          <w:b/>
          <w:bCs/>
          <w:lang w:eastAsia="et-EE"/>
        </w:rPr>
        <w:t>Kui näidispakkumine ei ole kooskõlas näidispakkumise avaldamise kohustuse eesmärkidega, on TTJA-l õigus nõuda Telialt muudatuste tegemist näidispakkumisse</w:t>
      </w:r>
      <w:r w:rsidRPr="001C1DAB">
        <w:rPr>
          <w:rStyle w:val="Allmrkuseviide"/>
          <w:rFonts w:cs="Times New Roman"/>
          <w:b/>
          <w:bCs/>
          <w:lang w:eastAsia="et-EE"/>
        </w:rPr>
        <w:footnoteReference w:id="259"/>
      </w:r>
      <w:r w:rsidRPr="001C1DAB">
        <w:rPr>
          <w:rFonts w:cs="Times New Roman"/>
          <w:b/>
          <w:bCs/>
          <w:lang w:eastAsia="et-EE"/>
        </w:rPr>
        <w:t>.</w:t>
      </w:r>
    </w:p>
    <w:p w14:paraId="3764DCC6" w14:textId="77777777" w:rsidR="00F03958" w:rsidRPr="00883566" w:rsidRDefault="00F03958" w:rsidP="00AA241E">
      <w:pPr>
        <w:spacing w:before="120" w:after="120"/>
        <w:jc w:val="both"/>
        <w:rPr>
          <w:rFonts w:cs="Times New Roman"/>
          <w:lang w:eastAsia="et-EE"/>
        </w:rPr>
      </w:pPr>
    </w:p>
    <w:p w14:paraId="337670DF" w14:textId="0B842C2E" w:rsidR="00F03958" w:rsidRPr="00883566" w:rsidRDefault="00F03958" w:rsidP="00AA241E">
      <w:pPr>
        <w:pStyle w:val="Pealkiri2"/>
        <w:jc w:val="both"/>
      </w:pPr>
      <w:bookmarkStart w:id="1371" w:name="_Toc457983664"/>
      <w:bookmarkStart w:id="1372" w:name="_Toc464639372"/>
      <w:bookmarkStart w:id="1373" w:name="_Toc470614574"/>
      <w:bookmarkStart w:id="1374" w:name="_Toc472597897"/>
      <w:bookmarkStart w:id="1375" w:name="_Toc35339857"/>
      <w:bookmarkStart w:id="1376" w:name="_Toc66262845"/>
      <w:bookmarkStart w:id="1377" w:name="_Toc151026105"/>
      <w:bookmarkStart w:id="1378" w:name="_Toc174710898"/>
      <w:r w:rsidRPr="00883566">
        <w:t>Hinnakohustus</w:t>
      </w:r>
      <w:bookmarkEnd w:id="1371"/>
      <w:bookmarkEnd w:id="1372"/>
      <w:bookmarkEnd w:id="1373"/>
      <w:bookmarkEnd w:id="1374"/>
      <w:bookmarkEnd w:id="1375"/>
      <w:bookmarkEnd w:id="1376"/>
      <w:bookmarkEnd w:id="1377"/>
      <w:r w:rsidRPr="00883566">
        <w:t>ed</w:t>
      </w:r>
      <w:bookmarkEnd w:id="1378"/>
    </w:p>
    <w:p w14:paraId="61D4E5CA" w14:textId="77777777" w:rsidR="00F03958" w:rsidRPr="00883566" w:rsidRDefault="00F03958" w:rsidP="00AA241E">
      <w:pPr>
        <w:spacing w:line="259" w:lineRule="auto"/>
        <w:jc w:val="both"/>
        <w:rPr>
          <w:rFonts w:cs="Times New Roman"/>
        </w:rPr>
      </w:pPr>
    </w:p>
    <w:p w14:paraId="3F805ADD" w14:textId="0FCE7CE5" w:rsidR="00F03958" w:rsidRPr="00883566" w:rsidRDefault="00F03958" w:rsidP="00AA241E">
      <w:pPr>
        <w:spacing w:line="259" w:lineRule="auto"/>
        <w:jc w:val="both"/>
        <w:rPr>
          <w:rFonts w:cs="Times New Roman"/>
          <w:lang w:eastAsia="en-US"/>
        </w:rPr>
      </w:pPr>
      <w:r w:rsidRPr="00883566">
        <w:rPr>
          <w:rFonts w:cs="Times New Roman"/>
        </w:rPr>
        <w:t xml:space="preserve">Käesoleva otsuse koostamise ajal kehtivad Telia hulgituru 3b teenustele hinnakohustused TTJA 2017 hulgituru 3b otsuse alusel. Lähtudes käesoleva otsuse </w:t>
      </w:r>
      <w:r w:rsidR="008C159A">
        <w:rPr>
          <w:rFonts w:cs="Times New Roman"/>
        </w:rPr>
        <w:t>ptk.-</w:t>
      </w:r>
      <w:r w:rsidRPr="00883566">
        <w:rPr>
          <w:rFonts w:cs="Times New Roman"/>
        </w:rPr>
        <w:t xml:space="preserve">st </w:t>
      </w:r>
      <w:r w:rsidR="00DA242E">
        <w:rPr>
          <w:rFonts w:cs="Times New Roman"/>
        </w:rPr>
        <w:t>8.1.2</w:t>
      </w:r>
      <w:r w:rsidRPr="00883566">
        <w:rPr>
          <w:rFonts w:cs="Times New Roman"/>
        </w:rPr>
        <w:t xml:space="preserve"> tunnistatakse TTJA 2017 hulgituru 3b otsus ja selles kehtestatud kohustused kehtetuks. Käesolevas otsuses kehtestatavad kohustused on suunatud Telia </w:t>
      </w:r>
      <w:r w:rsidR="00A3232C">
        <w:rPr>
          <w:rFonts w:cs="Times New Roman"/>
        </w:rPr>
        <w:t>valguskaabelvõrgu</w:t>
      </w:r>
      <w:r w:rsidRPr="00883566">
        <w:rPr>
          <w:rFonts w:cs="Times New Roman"/>
        </w:rPr>
        <w:t xml:space="preserve">s (nii ülekande-, kui ka juurdepääsuvõrgu) lairibaühendusele keskse juurdepääsu </w:t>
      </w:r>
      <w:r w:rsidR="001D412C">
        <w:rPr>
          <w:rFonts w:cs="Times New Roman"/>
        </w:rPr>
        <w:t>hulgiteenustele</w:t>
      </w:r>
      <w:r w:rsidRPr="00883566">
        <w:rPr>
          <w:rFonts w:cs="Times New Roman"/>
        </w:rPr>
        <w:t xml:space="preserve"> piirkonnas B. Järgnevalt analüüsitakse ja tuvastatakse konkurentsiprobleemide vältimiseks ja konkurentsi edendamiseks asjakohaste kohustused võttes arvesse TTJA 2017 hulgituru 3b otsuses sätestatud kohustusi, uut EK 2024 kohustuste soovitust ning TTJA 2021 hulgituru 3b otsuse eelnõus ja TTJA 2023 hulgituru 3b otsuse eelnõus kajastatud sideettevõtjate arvamusi võimalike konkurentsiprobleemide osas. TTJA hinnangul on kohustuste järjepidevuse tagamiseks mõistlik ja proportsionaalne lähtuda TTJA 2017 hulgituru 3b otsuses sätestatud kohustustest neid vajadusel muutes ja/või täiendades.</w:t>
      </w:r>
    </w:p>
    <w:p w14:paraId="3A2A9A04" w14:textId="4C879896" w:rsidR="00F03958" w:rsidRPr="00883566" w:rsidRDefault="00F03958" w:rsidP="00AA241E">
      <w:pPr>
        <w:spacing w:line="259" w:lineRule="auto"/>
        <w:jc w:val="both"/>
        <w:rPr>
          <w:rFonts w:cs="Times New Roman"/>
        </w:rPr>
      </w:pPr>
      <w:r w:rsidRPr="00883566">
        <w:rPr>
          <w:rFonts w:cs="Times New Roman"/>
        </w:rPr>
        <w:t xml:space="preserve">Täpsemalt kehtivad Teliale käesoleva otsuse koostamise ajal TTJA 2017 hulgituru 3b otsuse lisa 1 </w:t>
      </w:r>
      <w:r w:rsidR="008C159A">
        <w:rPr>
          <w:rFonts w:cs="Times New Roman"/>
        </w:rPr>
        <w:t xml:space="preserve">ptk. </w:t>
      </w:r>
      <w:r w:rsidRPr="00883566">
        <w:rPr>
          <w:rFonts w:cs="Times New Roman"/>
        </w:rPr>
        <w:t>6.5.4 alusel järgmised hinnakohustused:</w:t>
      </w:r>
    </w:p>
    <w:p w14:paraId="0F635B1B" w14:textId="77777777" w:rsidR="00F03958" w:rsidRPr="00883566" w:rsidRDefault="00F03958" w:rsidP="00AA241E">
      <w:pPr>
        <w:spacing w:line="259" w:lineRule="auto"/>
        <w:jc w:val="both"/>
        <w:rPr>
          <w:rFonts w:cs="Times New Roman"/>
          <w:lang w:eastAsia="en-US"/>
        </w:rPr>
      </w:pPr>
    </w:p>
    <w:p w14:paraId="71AAD181" w14:textId="28583D10" w:rsidR="00F03958" w:rsidRPr="00883566" w:rsidRDefault="00F03958" w:rsidP="00AA241E">
      <w:pPr>
        <w:numPr>
          <w:ilvl w:val="0"/>
          <w:numId w:val="6"/>
        </w:numPr>
        <w:spacing w:before="120" w:after="120" w:line="240" w:lineRule="auto"/>
        <w:ind w:left="785"/>
        <w:jc w:val="both"/>
        <w:rPr>
          <w:i/>
          <w:iCs/>
          <w:lang w:eastAsia="et-EE"/>
        </w:rPr>
      </w:pPr>
      <w:r w:rsidRPr="00883566">
        <w:rPr>
          <w:i/>
          <w:iCs/>
          <w:lang w:eastAsia="et-EE"/>
        </w:rPr>
        <w:t xml:space="preserve">TJA otsustab kehtestada Teliale lairibale juurdepääsu hulgiturul otsuse peatükis </w:t>
      </w:r>
      <w:r w:rsidRPr="00883566">
        <w:rPr>
          <w:i/>
          <w:iCs/>
          <w:lang w:eastAsia="et-EE"/>
        </w:rPr>
        <w:fldChar w:fldCharType="begin"/>
      </w:r>
      <w:r w:rsidRPr="00883566">
        <w:rPr>
          <w:i/>
          <w:iCs/>
          <w:lang w:eastAsia="et-EE"/>
        </w:rPr>
        <w:instrText xml:space="preserve"> REF _Ref465422104 \h  \* MERGEFORMAT </w:instrText>
      </w:r>
      <w:r w:rsidRPr="00883566">
        <w:rPr>
          <w:i/>
          <w:iCs/>
          <w:lang w:eastAsia="et-EE"/>
        </w:rPr>
      </w:r>
      <w:r w:rsidRPr="00883566">
        <w:rPr>
          <w:i/>
          <w:iCs/>
          <w:lang w:eastAsia="et-EE"/>
        </w:rPr>
        <w:fldChar w:fldCharType="separate"/>
      </w:r>
      <w:r w:rsidRPr="00883566">
        <w:rPr>
          <w:i/>
          <w:iCs/>
          <w:lang w:eastAsia="et-EE"/>
        </w:rPr>
        <w:t>6.5.2. Hinnaga seotud konkurentsiprobleemid ja hindade analüüs</w:t>
      </w:r>
      <w:r w:rsidRPr="00883566">
        <w:rPr>
          <w:i/>
          <w:iCs/>
          <w:lang w:eastAsia="et-EE"/>
        </w:rPr>
        <w:fldChar w:fldCharType="end"/>
      </w:r>
      <w:r w:rsidRPr="00883566">
        <w:rPr>
          <w:i/>
          <w:iCs/>
          <w:lang w:eastAsia="et-EE"/>
        </w:rPr>
        <w:t xml:space="preserve">“  kirjeldatud </w:t>
      </w:r>
      <w:r w:rsidRPr="00883566">
        <w:rPr>
          <w:i/>
          <w:iCs/>
          <w:lang w:eastAsia="et-EE"/>
        </w:rPr>
        <w:lastRenderedPageBreak/>
        <w:t>konkurentsi probleemide vältimiseks ning lõppkasutajate huvide kaitseks ESS § 50 lg 1 punktis 4 sätestatud kulude eraldi arvestuse kohustuse ning ESS § 50 lõige 1 punktis 7 sätestatud kuludele orienteeritud tasudega seotud kohustuse.</w:t>
      </w:r>
    </w:p>
    <w:p w14:paraId="413432A1" w14:textId="77777777" w:rsidR="00F03958" w:rsidRPr="00883566" w:rsidRDefault="00F03958" w:rsidP="00AA241E">
      <w:pPr>
        <w:numPr>
          <w:ilvl w:val="0"/>
          <w:numId w:val="6"/>
        </w:numPr>
        <w:spacing w:before="120" w:after="120" w:line="240" w:lineRule="auto"/>
        <w:ind w:left="785"/>
        <w:jc w:val="both"/>
        <w:rPr>
          <w:i/>
          <w:iCs/>
          <w:lang w:eastAsia="et-EE"/>
        </w:rPr>
      </w:pPr>
      <w:r w:rsidRPr="00883566">
        <w:rPr>
          <w:i/>
          <w:iCs/>
          <w:lang w:eastAsia="et-EE"/>
        </w:rPr>
        <w:t>Kulude eraldi arvestuse ja kuludele orienteeritud tasude kohustuse raames otsustab TJA kohustada Teliat järgmisteks tegevusteks:</w:t>
      </w:r>
    </w:p>
    <w:p w14:paraId="0A873291" w14:textId="77777777" w:rsidR="00F03958" w:rsidRPr="00883566" w:rsidRDefault="00F03958" w:rsidP="00AA241E">
      <w:pPr>
        <w:numPr>
          <w:ilvl w:val="0"/>
          <w:numId w:val="48"/>
        </w:numPr>
        <w:spacing w:before="120" w:after="120" w:line="240" w:lineRule="auto"/>
        <w:jc w:val="both"/>
        <w:rPr>
          <w:i/>
          <w:iCs/>
          <w:lang w:eastAsia="et-EE"/>
        </w:rPr>
      </w:pPr>
      <w:r w:rsidRPr="00883566">
        <w:rPr>
          <w:i/>
          <w:iCs/>
          <w:lang w:eastAsia="et-EE"/>
        </w:rPr>
        <w:t>Telia peab rakendama teistele sideettevõtjatele ja/või endale osutatava lairiba juurdepääsu hulgituru teenuste kulude eraldi arvestamiseks otsuse lisas 5 toodud TD HC FDC-meetodit;</w:t>
      </w:r>
    </w:p>
    <w:p w14:paraId="7FABA39D" w14:textId="77777777" w:rsidR="00F03958" w:rsidRPr="00883566" w:rsidRDefault="00F03958" w:rsidP="00AA241E">
      <w:pPr>
        <w:numPr>
          <w:ilvl w:val="0"/>
          <w:numId w:val="48"/>
        </w:numPr>
        <w:spacing w:before="120" w:after="120" w:line="240" w:lineRule="auto"/>
        <w:ind w:left="1134"/>
        <w:jc w:val="both"/>
        <w:rPr>
          <w:i/>
          <w:iCs/>
          <w:lang w:eastAsia="et-EE"/>
        </w:rPr>
      </w:pPr>
      <w:r w:rsidRPr="00883566">
        <w:rPr>
          <w:i/>
          <w:iCs/>
          <w:lang w:eastAsia="et-EE"/>
        </w:rPr>
        <w:t>Telia peab rakendama teistele sideettevõtjatele osutavatele lairiba juurdepääsu hulgituru teenustele hindu, mis ei ole kõrgemad kui otsuse lisas 5 toodud TD HC FDC-meetodi põhised kuludele orienteeritud hinnad;</w:t>
      </w:r>
    </w:p>
    <w:p w14:paraId="76B0AE0D" w14:textId="77777777" w:rsidR="00F03958" w:rsidRPr="00883566" w:rsidRDefault="00F03958" w:rsidP="00AA241E">
      <w:pPr>
        <w:numPr>
          <w:ilvl w:val="0"/>
          <w:numId w:val="48"/>
        </w:numPr>
        <w:spacing w:before="120" w:after="120" w:line="240" w:lineRule="auto"/>
        <w:ind w:left="1134"/>
        <w:jc w:val="both"/>
        <w:rPr>
          <w:i/>
          <w:iCs/>
          <w:lang w:eastAsia="et-EE"/>
        </w:rPr>
      </w:pPr>
      <w:r w:rsidRPr="00883566">
        <w:rPr>
          <w:i/>
          <w:iCs/>
          <w:lang w:eastAsia="et-EE"/>
        </w:rPr>
        <w:t>Telia võib rakendada lairiba juurdepääsu hulgituru teenustele allahindluseid kui need on tegevuspõhised;</w:t>
      </w:r>
    </w:p>
    <w:p w14:paraId="731217D7" w14:textId="77777777" w:rsidR="00F03958" w:rsidRPr="00883566" w:rsidRDefault="00F03958" w:rsidP="00AA241E">
      <w:pPr>
        <w:numPr>
          <w:ilvl w:val="0"/>
          <w:numId w:val="48"/>
        </w:numPr>
        <w:spacing w:before="120" w:after="120" w:line="240" w:lineRule="auto"/>
        <w:ind w:left="1134"/>
        <w:jc w:val="both"/>
        <w:rPr>
          <w:i/>
          <w:iCs/>
          <w:lang w:eastAsia="et-EE"/>
        </w:rPr>
      </w:pPr>
      <w:r w:rsidRPr="00883566">
        <w:rPr>
          <w:i/>
          <w:iCs/>
          <w:lang w:eastAsia="et-EE"/>
        </w:rPr>
        <w:t>Telia võib rakendada lairibale juurdepääsu hulgituru teenustele erinevaid hindasid, kui need on põhjendatud kvaliteedi erinevustega ja/või piirkondlike iseärasustega;</w:t>
      </w:r>
    </w:p>
    <w:p w14:paraId="18297B55" w14:textId="77777777" w:rsidR="00F03958" w:rsidRPr="00883566" w:rsidRDefault="00F03958" w:rsidP="00AA241E">
      <w:pPr>
        <w:numPr>
          <w:ilvl w:val="0"/>
          <w:numId w:val="48"/>
        </w:numPr>
        <w:spacing w:before="120" w:after="120" w:line="240" w:lineRule="auto"/>
        <w:ind w:left="1134"/>
        <w:jc w:val="both"/>
        <w:rPr>
          <w:i/>
          <w:iCs/>
          <w:lang w:eastAsia="et-EE"/>
        </w:rPr>
      </w:pPr>
      <w:r w:rsidRPr="00883566">
        <w:rPr>
          <w:i/>
          <w:iCs/>
          <w:lang w:eastAsia="et-EE"/>
        </w:rPr>
        <w:t>Telia ei või lairiba juurdepääsu hulgituru teenuste liitumishindadesse arvestada oma põhivarana arvele võetud kulusid, millelt  arvestatakse kulumit;</w:t>
      </w:r>
    </w:p>
    <w:p w14:paraId="0A6D38D5" w14:textId="77777777" w:rsidR="00F03958" w:rsidRPr="00883566" w:rsidRDefault="00F03958" w:rsidP="00AA241E">
      <w:pPr>
        <w:numPr>
          <w:ilvl w:val="0"/>
          <w:numId w:val="48"/>
        </w:numPr>
        <w:spacing w:before="120" w:after="120" w:line="240" w:lineRule="auto"/>
        <w:ind w:left="1134"/>
        <w:jc w:val="both"/>
        <w:rPr>
          <w:i/>
          <w:iCs/>
          <w:lang w:eastAsia="et-EE"/>
        </w:rPr>
      </w:pPr>
      <w:r w:rsidRPr="00883566">
        <w:rPr>
          <w:i/>
          <w:iCs/>
          <w:lang w:eastAsia="et-EE"/>
        </w:rPr>
        <w:t>Telia peab regulaarselt vähemalt üks kord aastas lairiba juurdepääsu hulgituru teenuste hinnad ümber arvestama lähtudes viimase majandusaasta kuludest;</w:t>
      </w:r>
    </w:p>
    <w:p w14:paraId="1B2A0BC3" w14:textId="77777777" w:rsidR="00F03958" w:rsidRDefault="00F03958" w:rsidP="00AA241E">
      <w:pPr>
        <w:numPr>
          <w:ilvl w:val="0"/>
          <w:numId w:val="48"/>
        </w:numPr>
        <w:spacing w:before="120" w:after="120" w:line="240" w:lineRule="auto"/>
        <w:ind w:left="1134"/>
        <w:jc w:val="both"/>
        <w:rPr>
          <w:i/>
          <w:iCs/>
          <w:lang w:eastAsia="et-EE"/>
        </w:rPr>
      </w:pPr>
      <w:r w:rsidRPr="00883566">
        <w:rPr>
          <w:i/>
          <w:iCs/>
          <w:lang w:eastAsia="et-EE"/>
        </w:rPr>
        <w:t>Telia peab lairiba juurdepääsu hulgituru teenuste koosseisu kuuluvate vaskpaarile juurdepääsu hindade aluseks võtma kindlaksmääratud asukohas kohaliku juurdepääsu hulgituru märkimisväärse turujõuga ettevõtjaks tunnistamise otsuse alusel arvestatud vaskpaarile juurdepääsu hinnad.</w:t>
      </w:r>
    </w:p>
    <w:p w14:paraId="09D25F11" w14:textId="77777777" w:rsidR="00215CA5" w:rsidRPr="00883566" w:rsidRDefault="00215CA5" w:rsidP="00215CA5">
      <w:pPr>
        <w:spacing w:before="120" w:after="120" w:line="240" w:lineRule="auto"/>
        <w:ind w:left="1134"/>
        <w:jc w:val="both"/>
        <w:rPr>
          <w:i/>
          <w:iCs/>
          <w:lang w:eastAsia="et-EE"/>
        </w:rPr>
      </w:pPr>
    </w:p>
    <w:p w14:paraId="40711C08" w14:textId="77777777" w:rsidR="00FB1694" w:rsidRPr="00FB1694" w:rsidRDefault="00FB1694" w:rsidP="00FB1694">
      <w:pPr>
        <w:pStyle w:val="Loendilik"/>
        <w:keepNext/>
        <w:keepLines/>
        <w:numPr>
          <w:ilvl w:val="1"/>
          <w:numId w:val="83"/>
        </w:numPr>
        <w:spacing w:before="240" w:after="240" w:line="360" w:lineRule="auto"/>
        <w:contextualSpacing w:val="0"/>
        <w:outlineLvl w:val="2"/>
        <w:rPr>
          <w:rFonts w:eastAsia="Calibri" w:cstheme="majorBidi"/>
          <w:bCs/>
          <w:i/>
          <w:iCs/>
          <w:vanish/>
          <w:color w:val="000000" w:themeColor="text1"/>
          <w:lang w:eastAsia="en-US"/>
        </w:rPr>
      </w:pPr>
    </w:p>
    <w:p w14:paraId="255BD577" w14:textId="39530199" w:rsidR="00215CA5" w:rsidRPr="00883566" w:rsidRDefault="00215CA5" w:rsidP="009805E1">
      <w:pPr>
        <w:pStyle w:val="Pealkiri3"/>
      </w:pPr>
      <w:r w:rsidRPr="00883566">
        <w:t>Hinnakohustuste eesmärk ja alused</w:t>
      </w:r>
    </w:p>
    <w:p w14:paraId="4F18ED01" w14:textId="77777777" w:rsidR="00215CA5" w:rsidRPr="00883566" w:rsidRDefault="00215CA5" w:rsidP="00215CA5">
      <w:pPr>
        <w:jc w:val="both"/>
        <w:rPr>
          <w:rFonts w:cs="Times New Roman"/>
        </w:rPr>
      </w:pPr>
    </w:p>
    <w:p w14:paraId="0A4910BD" w14:textId="30AFB2B7" w:rsidR="00215CA5" w:rsidRPr="00883566" w:rsidRDefault="00215CA5" w:rsidP="00215CA5">
      <w:pPr>
        <w:jc w:val="both"/>
        <w:rPr>
          <w:rFonts w:cs="Times New Roman"/>
        </w:rPr>
      </w:pPr>
      <w:r w:rsidRPr="00883566">
        <w:rPr>
          <w:rFonts w:cs="Times New Roman"/>
        </w:rPr>
        <w:t xml:space="preserve">Hinnakohustus on suunatud alltoodud </w:t>
      </w:r>
      <w:r w:rsidR="008C159A">
        <w:rPr>
          <w:rFonts w:cs="Times New Roman"/>
        </w:rPr>
        <w:t>ptk.-</w:t>
      </w:r>
      <w:r w:rsidRPr="00883566">
        <w:rPr>
          <w:rFonts w:cs="Times New Roman"/>
        </w:rPr>
        <w:t xml:space="preserve">s </w:t>
      </w:r>
      <w:r w:rsidR="00FF2669">
        <w:rPr>
          <w:rFonts w:cs="Times New Roman"/>
        </w:rPr>
        <w:t>8</w:t>
      </w:r>
      <w:r>
        <w:rPr>
          <w:rFonts w:cs="Times New Roman"/>
        </w:rPr>
        <w:t>.6.2</w:t>
      </w:r>
      <w:r w:rsidRPr="00883566">
        <w:rPr>
          <w:rFonts w:cs="Times New Roman"/>
        </w:rPr>
        <w:t xml:space="preserve"> </w:t>
      </w:r>
      <w:r w:rsidRPr="00883566">
        <w:rPr>
          <w:rFonts w:cs="Times New Roman"/>
        </w:rPr>
        <w:fldChar w:fldCharType="begin"/>
      </w:r>
      <w:r w:rsidRPr="00883566">
        <w:rPr>
          <w:rFonts w:cs="Times New Roman"/>
        </w:rPr>
        <w:instrText xml:space="preserve"> REF _Ref465331603 \h  \* MERGEFORMAT </w:instrText>
      </w:r>
      <w:r w:rsidRPr="00883566">
        <w:rPr>
          <w:rFonts w:cs="Times New Roman"/>
        </w:rPr>
      </w:r>
      <w:r w:rsidRPr="00883566">
        <w:rPr>
          <w:rFonts w:cs="Times New Roman"/>
        </w:rPr>
        <w:fldChar w:fldCharType="separate"/>
      </w:r>
      <w:r w:rsidRPr="00883566">
        <w:rPr>
          <w:rFonts w:cs="Times New Roman"/>
        </w:rPr>
        <w:fldChar w:fldCharType="end"/>
      </w:r>
      <w:r w:rsidRPr="00883566">
        <w:rPr>
          <w:rFonts w:cs="Times New Roman"/>
        </w:rPr>
        <w:t xml:space="preserve">kirjeldatud hinnaga seotud konkurentsiprobleemide vältimisele. </w:t>
      </w:r>
    </w:p>
    <w:p w14:paraId="3013E02D" w14:textId="77777777" w:rsidR="00215CA5" w:rsidRPr="00883566" w:rsidRDefault="00215CA5" w:rsidP="00215CA5">
      <w:pPr>
        <w:jc w:val="both"/>
        <w:rPr>
          <w:rFonts w:cs="Times New Roman"/>
        </w:rPr>
      </w:pPr>
      <w:r w:rsidRPr="00883566">
        <w:rPr>
          <w:rFonts w:cs="Times New Roman"/>
        </w:rPr>
        <w:t>Hinnakohustuste kehtestamine edendab konkurentsi elektroonilise side ja sellega seotud teenuste osutamisel</w:t>
      </w:r>
      <w:r w:rsidRPr="00883566">
        <w:rPr>
          <w:rFonts w:cs="Times New Roman"/>
          <w:vertAlign w:val="superscript"/>
        </w:rPr>
        <w:footnoteReference w:id="260"/>
      </w:r>
      <w:r w:rsidRPr="00883566">
        <w:rPr>
          <w:rFonts w:cs="Times New Roman"/>
        </w:rPr>
        <w:t xml:space="preserve"> ja aitab kaasa sideteenuste turu arengule</w:t>
      </w:r>
      <w:r w:rsidRPr="00883566">
        <w:rPr>
          <w:rFonts w:cs="Times New Roman"/>
          <w:vertAlign w:val="superscript"/>
        </w:rPr>
        <w:footnoteReference w:id="261"/>
      </w:r>
      <w:r w:rsidRPr="00883566">
        <w:rPr>
          <w:rFonts w:cs="Times New Roman"/>
        </w:rPr>
        <w:t>. Nimetatud kohustus väldib ülemäärase hinna rakendamist, hinnadiskrimineerimisega ja ristsubsideerimisega seotud konkurentsiprobleeme. See omakorda tõkestab konkurentsi moonutamise või takistamise sideteenuste turgudel ning toetab üleeuroopaliste sidevõrkude loomist ja arendamist ning üle-euroopaliste sideteenuste koostalitusvõimet ja läbivühendatavust.</w:t>
      </w:r>
    </w:p>
    <w:p w14:paraId="058BFD10" w14:textId="77777777" w:rsidR="00215CA5" w:rsidRPr="00883566" w:rsidRDefault="00215CA5" w:rsidP="00215CA5">
      <w:pPr>
        <w:jc w:val="both"/>
        <w:rPr>
          <w:rFonts w:cs="Times New Roman"/>
        </w:rPr>
      </w:pPr>
      <w:r w:rsidRPr="00883566">
        <w:rPr>
          <w:rFonts w:cs="Times New Roman"/>
        </w:rPr>
        <w:lastRenderedPageBreak/>
        <w:t>TTJA võib</w:t>
      </w:r>
      <w:r w:rsidRPr="00883566">
        <w:rPr>
          <w:rFonts w:cs="Times New Roman"/>
          <w:vertAlign w:val="superscript"/>
        </w:rPr>
        <w:footnoteReference w:id="262"/>
      </w:r>
      <w:r w:rsidRPr="00883566">
        <w:rPr>
          <w:rFonts w:cs="Times New Roman"/>
        </w:rPr>
        <w:t xml:space="preserve"> sideettevõtja suhtes, kes on tunnistatud MTE-ks, kehtestada juurdepääsuga seotud tegevuste kohta eraldi arvestuse pidamise kohustuse, mille raames TTJA võib nõuda, et vertikaalselt integreeritud ettevõtja muudaks läbipaistvaks oma hulgimüügi hinnad ja sisemised transferthinnad (siirdehinnad). Selline raamatupidamise lahusus võimaldab muuta sisemised ülekandehinnad nähtavaks ja seega saavad riigi reguleerivad asutused vajaduse korral kontrollida mittediskrimineerimise kohustuse täitmist. Seoses sellega avaldas EK soovituse 2005/698/EÜ.</w:t>
      </w:r>
      <w:r w:rsidRPr="00883566">
        <w:rPr>
          <w:rStyle w:val="Allmrkuseviide"/>
          <w:rFonts w:cs="Times New Roman"/>
        </w:rPr>
        <w:footnoteReference w:id="263"/>
      </w:r>
    </w:p>
    <w:p w14:paraId="6677F2B3" w14:textId="77777777" w:rsidR="00215CA5" w:rsidRPr="00883566" w:rsidRDefault="00215CA5" w:rsidP="00215CA5">
      <w:pPr>
        <w:jc w:val="both"/>
        <w:rPr>
          <w:rFonts w:cs="Times New Roman"/>
        </w:rPr>
      </w:pPr>
      <w:r w:rsidRPr="00883566">
        <w:rPr>
          <w:rFonts w:cs="Times New Roman"/>
        </w:rPr>
        <w:t>TTJA võib</w:t>
      </w:r>
      <w:r w:rsidRPr="00883566">
        <w:rPr>
          <w:rFonts w:cs="Times New Roman"/>
          <w:vertAlign w:val="superscript"/>
        </w:rPr>
        <w:footnoteReference w:id="264"/>
      </w:r>
      <w:r w:rsidRPr="00883566">
        <w:rPr>
          <w:rFonts w:cs="Times New Roman"/>
        </w:rPr>
        <w:t xml:space="preserve"> sideettevõtja suhtes, kes on tunnistatud MTE-ks, kehtestada vastaval turul juurdepääsu puudutavate kulude katmise ja hinnakontrolliga seotud kohustuse ning kuludele orienteeritud tasudega ja kuluarvestussüsteemiga seotud kohustuse (edaspidi </w:t>
      </w:r>
      <w:r w:rsidRPr="00883566">
        <w:rPr>
          <w:rFonts w:cs="Times New Roman"/>
          <w:i/>
        </w:rPr>
        <w:t>hinnakohustused</w:t>
      </w:r>
      <w:r w:rsidRPr="00883566">
        <w:rPr>
          <w:rFonts w:cs="Times New Roman"/>
        </w:rPr>
        <w:t xml:space="preserve">). </w:t>
      </w:r>
    </w:p>
    <w:p w14:paraId="22A6BD75" w14:textId="77777777" w:rsidR="00215CA5" w:rsidRPr="00883566" w:rsidRDefault="00215CA5" w:rsidP="00215CA5">
      <w:pPr>
        <w:jc w:val="both"/>
        <w:rPr>
          <w:rFonts w:cs="Times New Roman"/>
        </w:rPr>
      </w:pPr>
      <w:r w:rsidRPr="00883566">
        <w:rPr>
          <w:rFonts w:cs="Times New Roman"/>
        </w:rPr>
        <w:t>Nimetatud hinnakohustusi võib</w:t>
      </w:r>
      <w:r w:rsidRPr="00883566">
        <w:rPr>
          <w:rFonts w:cs="Times New Roman"/>
          <w:vertAlign w:val="superscript"/>
        </w:rPr>
        <w:footnoteReference w:id="265"/>
      </w:r>
      <w:r w:rsidRPr="00883566">
        <w:rPr>
          <w:rFonts w:cs="Times New Roman"/>
        </w:rPr>
        <w:t xml:space="preserve"> TTJA kehtestada tingimusel, et ta on turuanalüüsi käigus tuvastanud, et konkurentsi mittetoimimise tõttu on MTE-l võimalik hoida hindu ülemäära kõrgel või madalal tasemel, moonutades konkurentsi ja kahjustades lõppkasutajate huve.</w:t>
      </w:r>
    </w:p>
    <w:p w14:paraId="71BEF1B7" w14:textId="77777777" w:rsidR="00215CA5" w:rsidRPr="00883566" w:rsidRDefault="00215CA5" w:rsidP="00215CA5">
      <w:pPr>
        <w:jc w:val="both"/>
        <w:rPr>
          <w:rFonts w:cs="Times New Roman"/>
        </w:rPr>
      </w:pPr>
      <w:r w:rsidRPr="00883566">
        <w:rPr>
          <w:rFonts w:cs="Times New Roman"/>
        </w:rPr>
        <w:t>Kehtestades hinnakohustusi</w:t>
      </w:r>
      <w:r w:rsidRPr="00883566">
        <w:rPr>
          <w:rFonts w:cs="Times New Roman"/>
          <w:vertAlign w:val="superscript"/>
        </w:rPr>
        <w:footnoteReference w:id="266"/>
      </w:r>
      <w:r w:rsidRPr="00883566">
        <w:rPr>
          <w:rFonts w:cs="Times New Roman"/>
        </w:rPr>
        <w:t xml:space="preserve"> ja soodustades sideettevõtja investeerimist järgmise põlvkonna sidevõrkudesse, võtab TTJA arvesse sideettevõtja tehtud investeeringuid ning et märkimisväärse turujõuga ettevõtjal peab olema võimalik teenida otstarbekalt kasutatud kapitalilt mõistlikku kasumit, võttes arvesse kaasnevaid riske, mis on omased nimetud konkreetse uue võrguprojekti investeeringutele. Samuti lähtub TTJA sideettevõtjale hinnakohustuste kehtestamisel põhimõttest, et igasugune TTJA nõutav kulude katmise mehhanism või hinna kujundamise meetod peab teenima efektiivse ja pideva konkurentsi huvi ja suurendama tarbijate kasu seoses järgmise põlvkonna võrkude, eelkõige väga suure läbilaskevõimega võrkude kasutuselevõtuga. Selleks võib TTJA arvestada ka hindu, mis on kasutusel teistel võrreldavatel turgudel.</w:t>
      </w:r>
    </w:p>
    <w:p w14:paraId="454BECDF" w14:textId="77777777" w:rsidR="00215CA5" w:rsidRPr="00883566" w:rsidRDefault="00215CA5" w:rsidP="00215CA5">
      <w:pPr>
        <w:jc w:val="both"/>
        <w:rPr>
          <w:rFonts w:cs="Times New Roman"/>
        </w:rPr>
      </w:pPr>
      <w:r w:rsidRPr="00883566">
        <w:rPr>
          <w:rFonts w:cs="Times New Roman"/>
        </w:rPr>
        <w:t>Kohustuse valikul arvestab</w:t>
      </w:r>
      <w:r w:rsidRPr="00883566">
        <w:rPr>
          <w:rFonts w:cs="Times New Roman"/>
          <w:vertAlign w:val="superscript"/>
        </w:rPr>
        <w:footnoteReference w:id="267"/>
      </w:r>
      <w:r w:rsidRPr="00883566">
        <w:rPr>
          <w:rFonts w:cs="Times New Roman"/>
        </w:rPr>
        <w:t xml:space="preserve"> TTJA muu hulgas EK elektroonilise side turgu puudutavate soovituste ja seisukohtadega ning EL sideturu regulaatorite koostöös kujundatud vastava praktikaga. Neist peamised on järgmised:</w:t>
      </w:r>
    </w:p>
    <w:p w14:paraId="0CCAF65D" w14:textId="77777777" w:rsidR="00215CA5" w:rsidRPr="00883566" w:rsidRDefault="00215CA5" w:rsidP="00FF2669">
      <w:pPr>
        <w:pStyle w:val="Loendilik"/>
        <w:numPr>
          <w:ilvl w:val="0"/>
          <w:numId w:val="131"/>
        </w:numPr>
        <w:spacing w:after="0" w:line="259" w:lineRule="auto"/>
        <w:ind w:left="754" w:hanging="357"/>
        <w:jc w:val="both"/>
        <w:rPr>
          <w:rFonts w:cs="Times New Roman"/>
        </w:rPr>
      </w:pPr>
      <w:r w:rsidRPr="00883566">
        <w:rPr>
          <w:rFonts w:cs="Times New Roman"/>
        </w:rPr>
        <w:t xml:space="preserve">EK soovitus (EL) 2024/539, 6. veebruar 2024, </w:t>
      </w:r>
      <w:proofErr w:type="spellStart"/>
      <w:r w:rsidRPr="00883566">
        <w:rPr>
          <w:rFonts w:cs="Times New Roman"/>
        </w:rPr>
        <w:t>gigabitiühenduvuse</w:t>
      </w:r>
      <w:proofErr w:type="spellEnd"/>
      <w:r w:rsidRPr="00883566">
        <w:rPr>
          <w:rFonts w:cs="Times New Roman"/>
        </w:rPr>
        <w:t xml:space="preserve"> regulatiivse edendamise kohta (edaspidi ka EK 2024 kohustuste soovitus</w:t>
      </w:r>
      <w:r w:rsidRPr="00883566">
        <w:rPr>
          <w:rFonts w:cs="Times New Roman"/>
          <w:vertAlign w:val="superscript"/>
        </w:rPr>
        <w:footnoteReference w:id="268"/>
      </w:r>
      <w:r w:rsidRPr="00883566">
        <w:rPr>
          <w:rFonts w:cs="Times New Roman"/>
        </w:rPr>
        <w:t>);</w:t>
      </w:r>
    </w:p>
    <w:p w14:paraId="615A0EF9" w14:textId="77777777" w:rsidR="00215CA5" w:rsidRPr="00883566" w:rsidRDefault="00215CA5" w:rsidP="00FF2669">
      <w:pPr>
        <w:pStyle w:val="Loendilik"/>
        <w:numPr>
          <w:ilvl w:val="0"/>
          <w:numId w:val="131"/>
        </w:numPr>
        <w:spacing w:after="0" w:line="259" w:lineRule="auto"/>
        <w:ind w:left="828" w:hanging="431"/>
        <w:jc w:val="both"/>
        <w:rPr>
          <w:rFonts w:cs="Times New Roman"/>
        </w:rPr>
      </w:pPr>
      <w:r w:rsidRPr="00883566">
        <w:rPr>
          <w:rFonts w:cs="Times New Roman"/>
        </w:rPr>
        <w:t>Selgitavad märkused</w:t>
      </w:r>
      <w:r w:rsidRPr="00883566">
        <w:rPr>
          <w:rFonts w:cs="Times New Roman"/>
          <w:vertAlign w:val="superscript"/>
        </w:rPr>
        <w:footnoteReference w:id="269"/>
      </w:r>
      <w:r w:rsidRPr="00883566">
        <w:rPr>
          <w:rFonts w:cs="Times New Roman"/>
        </w:rPr>
        <w:t xml:space="preserve"> EK 2024 kohustuste soovitusele (edaspidi ka EK 2024 kohustuste soovituse selgitavad märkused);</w:t>
      </w:r>
    </w:p>
    <w:p w14:paraId="56FD4158" w14:textId="77777777" w:rsidR="00215CA5" w:rsidRPr="00883566" w:rsidRDefault="00215CA5" w:rsidP="00FF2669">
      <w:pPr>
        <w:pStyle w:val="Loendilik"/>
        <w:numPr>
          <w:ilvl w:val="0"/>
          <w:numId w:val="131"/>
        </w:numPr>
        <w:spacing w:after="0" w:line="259" w:lineRule="auto"/>
        <w:ind w:left="828" w:hanging="431"/>
        <w:jc w:val="both"/>
        <w:rPr>
          <w:rFonts w:cs="Times New Roman"/>
        </w:rPr>
      </w:pPr>
      <w:r w:rsidRPr="00883566">
        <w:rPr>
          <w:rFonts w:cs="Times New Roman"/>
        </w:rPr>
        <w:lastRenderedPageBreak/>
        <w:t>BEREC-i (Euroopa Sideameti) ühine seisukoht parimate tavade kohta parandusmeetmetes sidevõrgu lairiba juurdepääsu hulgiturul, mis on kehtestatud MTE-</w:t>
      </w:r>
      <w:proofErr w:type="spellStart"/>
      <w:r w:rsidRPr="00883566">
        <w:rPr>
          <w:rFonts w:cs="Times New Roman"/>
        </w:rPr>
        <w:t>le</w:t>
      </w:r>
      <w:proofErr w:type="spellEnd"/>
      <w:r w:rsidRPr="00883566">
        <w:rPr>
          <w:rFonts w:cs="Times New Roman"/>
        </w:rPr>
        <w:t xml:space="preserve"> asjaomasel turul</w:t>
      </w:r>
      <w:r w:rsidRPr="00883566">
        <w:rPr>
          <w:rStyle w:val="Allmrkuseviide"/>
          <w:rFonts w:cs="Times New Roman"/>
        </w:rPr>
        <w:footnoteReference w:id="270"/>
      </w:r>
      <w:r w:rsidRPr="00883566">
        <w:rPr>
          <w:rFonts w:cs="Times New Roman"/>
        </w:rPr>
        <w:t xml:space="preserve">, </w:t>
      </w:r>
      <w:proofErr w:type="spellStart"/>
      <w:r w:rsidRPr="00883566">
        <w:rPr>
          <w:rFonts w:cs="Times New Roman"/>
        </w:rPr>
        <w:t>BoR</w:t>
      </w:r>
      <w:proofErr w:type="spellEnd"/>
      <w:r w:rsidRPr="00883566">
        <w:rPr>
          <w:rFonts w:cs="Times New Roman"/>
        </w:rPr>
        <w:t xml:space="preserve"> (12) 128;</w:t>
      </w:r>
    </w:p>
    <w:p w14:paraId="4CC0B378" w14:textId="77777777" w:rsidR="00215CA5" w:rsidRPr="00883566" w:rsidRDefault="00215CA5" w:rsidP="00FF2669">
      <w:pPr>
        <w:pStyle w:val="Loendilik"/>
        <w:numPr>
          <w:ilvl w:val="0"/>
          <w:numId w:val="131"/>
        </w:numPr>
        <w:spacing w:line="259" w:lineRule="auto"/>
        <w:ind w:left="828" w:hanging="431"/>
        <w:jc w:val="both"/>
        <w:rPr>
          <w:rFonts w:cs="Times New Roman"/>
        </w:rPr>
      </w:pPr>
      <w:r w:rsidRPr="00883566">
        <w:rPr>
          <w:rFonts w:cs="Times New Roman"/>
        </w:rPr>
        <w:t>EK soovitus 2005/698/EÜ</w:t>
      </w:r>
      <w:r w:rsidRPr="00883566">
        <w:rPr>
          <w:rStyle w:val="Allmrkuseviide"/>
          <w:rFonts w:cs="Times New Roman"/>
        </w:rPr>
        <w:footnoteReference w:id="271"/>
      </w:r>
      <w:r w:rsidRPr="00883566">
        <w:rPr>
          <w:rFonts w:cs="Times New Roman"/>
        </w:rPr>
        <w:t xml:space="preserve">, 19. september 2005, raamatupidamise lahususe ja kuluarvestussüsteemide kohta vastavalt elektroonilist sidet reguleerivale raamistikule (edaspidi ka </w:t>
      </w:r>
      <w:r w:rsidRPr="00883566">
        <w:rPr>
          <w:rFonts w:cs="Times New Roman"/>
          <w:i/>
        </w:rPr>
        <w:t>EK 2005 soovitus</w:t>
      </w:r>
      <w:r w:rsidRPr="00883566">
        <w:rPr>
          <w:rFonts w:cs="Times New Roman"/>
        </w:rPr>
        <w:t>).</w:t>
      </w:r>
    </w:p>
    <w:p w14:paraId="16EBB54D" w14:textId="77777777" w:rsidR="005134E5" w:rsidRDefault="005134E5" w:rsidP="00215CA5">
      <w:pPr>
        <w:jc w:val="both"/>
        <w:rPr>
          <w:rFonts w:cs="Times New Roman"/>
        </w:rPr>
      </w:pPr>
    </w:p>
    <w:p w14:paraId="17B1EF05" w14:textId="66424205" w:rsidR="00215CA5" w:rsidRPr="00883566" w:rsidRDefault="00215CA5" w:rsidP="00215CA5">
      <w:pPr>
        <w:jc w:val="both"/>
        <w:rPr>
          <w:rFonts w:cs="Times New Roman"/>
        </w:rPr>
      </w:pPr>
      <w:r w:rsidRPr="00883566">
        <w:rPr>
          <w:rFonts w:cs="Times New Roman"/>
        </w:rPr>
        <w:t>Kui riigi reguleeriv asutus arvutab välja kohustusliku teenuse loomisega kaasnevad kulud, on otstarbekas arvestada mõistlik kasum kasutatud kapitalilt, kaasa arvatud kulutused tööjõule ja ehituskulud, ning kohandada vajaduse korral kapitali väärtust, et see kajastaks varade väärtust ja tegevuse tõhusust kõnealusel ajal. Kulude tagasiteenimise meetod peaks olema kooskõlas oludega ning võtma arvesse vajadust suurendada tõhusust, püsivat konkurentsi ja väga suure läbilaskevõimega võrkude kasutuselevõttu ning seeläbi võimalikult suurendama lõppkasutajate kasu, arvestades lisaks vajadusega tagada prognoositavad ja stabiilsed hulgihinnad, mis on kõigi operaatorite huvides, kes soovivad võtta kasutusele uued ja täiustatud võrgud</w:t>
      </w:r>
      <w:r w:rsidRPr="00883566">
        <w:rPr>
          <w:rStyle w:val="Allmrkuseviide"/>
          <w:rFonts w:cs="Times New Roman"/>
        </w:rPr>
        <w:footnoteReference w:id="272"/>
      </w:r>
      <w:r w:rsidRPr="00883566">
        <w:rPr>
          <w:rFonts w:cs="Times New Roman"/>
        </w:rPr>
        <w:t>.</w:t>
      </w:r>
    </w:p>
    <w:p w14:paraId="3711FD26" w14:textId="77777777" w:rsidR="00F03958" w:rsidRPr="00883566" w:rsidRDefault="00F03958" w:rsidP="00AA241E">
      <w:pPr>
        <w:jc w:val="both"/>
        <w:rPr>
          <w:lang w:eastAsia="en-US"/>
        </w:rPr>
      </w:pPr>
    </w:p>
    <w:p w14:paraId="48297551" w14:textId="77777777" w:rsidR="00F03958" w:rsidRPr="00883566" w:rsidRDefault="00F03958" w:rsidP="00AA241E">
      <w:pPr>
        <w:jc w:val="both"/>
        <w:rPr>
          <w:lang w:eastAsia="en-US"/>
        </w:rPr>
      </w:pPr>
    </w:p>
    <w:p w14:paraId="650A14D3" w14:textId="27B98996" w:rsidR="00F03958" w:rsidRPr="00883566" w:rsidRDefault="00F03958" w:rsidP="009805E1">
      <w:pPr>
        <w:pStyle w:val="Pealkiri3"/>
      </w:pPr>
      <w:bookmarkStart w:id="1379" w:name="_Toc174094684"/>
      <w:bookmarkStart w:id="1380" w:name="_Toc174094951"/>
      <w:bookmarkStart w:id="1381" w:name="_Toc174095217"/>
      <w:bookmarkStart w:id="1382" w:name="_Toc174095482"/>
      <w:bookmarkStart w:id="1383" w:name="_Toc174096020"/>
      <w:bookmarkStart w:id="1384" w:name="_Toc174096286"/>
      <w:bookmarkStart w:id="1385" w:name="_Toc174536183"/>
      <w:bookmarkStart w:id="1386" w:name="_Toc174617283"/>
      <w:bookmarkStart w:id="1387" w:name="_Toc174618640"/>
      <w:bookmarkStart w:id="1388" w:name="_Toc174627702"/>
      <w:bookmarkStart w:id="1389" w:name="_Toc174705126"/>
      <w:bookmarkStart w:id="1390" w:name="_Toc174709670"/>
      <w:bookmarkStart w:id="1391" w:name="_Toc174710899"/>
      <w:bookmarkStart w:id="1392" w:name="_Toc435703533"/>
      <w:bookmarkStart w:id="1393" w:name="_Toc436038423"/>
      <w:bookmarkStart w:id="1394" w:name="_Toc448402232"/>
      <w:bookmarkStart w:id="1395" w:name="_Toc464639374"/>
      <w:bookmarkStart w:id="1396" w:name="_Ref465331593"/>
      <w:bookmarkStart w:id="1397" w:name="_Ref465331603"/>
      <w:bookmarkStart w:id="1398" w:name="_Ref465421375"/>
      <w:bookmarkStart w:id="1399" w:name="_Ref465421619"/>
      <w:bookmarkStart w:id="1400" w:name="_Ref465422104"/>
      <w:bookmarkStart w:id="1401" w:name="_Toc470614576"/>
      <w:bookmarkStart w:id="1402" w:name="_Toc472597899"/>
      <w:bookmarkStart w:id="1403" w:name="_Toc35339859"/>
      <w:bookmarkStart w:id="1404" w:name="_Toc66262847"/>
      <w:bookmarkStart w:id="1405" w:name="_Toc151026107"/>
      <w:bookmarkStart w:id="1406" w:name="_Toc174710900"/>
      <w:bookmarkStart w:id="1407" w:name="_Hlk34743704"/>
      <w:bookmarkStart w:id="1408" w:name="_Hlk34741761"/>
      <w:bookmarkStart w:id="1409" w:name="_Toc212974450"/>
      <w:bookmarkStart w:id="1410" w:name="_Toc213122175"/>
      <w:bookmarkStart w:id="1411" w:name="_Toc213140796"/>
      <w:bookmarkStart w:id="1412" w:name="_Toc215466520"/>
      <w:bookmarkStart w:id="1413" w:name="_Toc225751407"/>
      <w:bookmarkStart w:id="1414" w:name="_Toc457983666"/>
      <w:bookmarkEnd w:id="1379"/>
      <w:bookmarkEnd w:id="1380"/>
      <w:bookmarkEnd w:id="1381"/>
      <w:bookmarkEnd w:id="1382"/>
      <w:bookmarkEnd w:id="1383"/>
      <w:bookmarkEnd w:id="1384"/>
      <w:bookmarkEnd w:id="1385"/>
      <w:bookmarkEnd w:id="1386"/>
      <w:bookmarkEnd w:id="1387"/>
      <w:bookmarkEnd w:id="1388"/>
      <w:bookmarkEnd w:id="1389"/>
      <w:bookmarkEnd w:id="1390"/>
      <w:bookmarkEnd w:id="1391"/>
      <w:r w:rsidRPr="00883566">
        <w:t>Hinnaga seotud konkurentsiprobleemid</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r w:rsidRPr="00883566">
        <w:t xml:space="preserve"> </w:t>
      </w:r>
      <w:bookmarkEnd w:id="1405"/>
      <w:r w:rsidRPr="00883566">
        <w:t>ja Telia hindade analüüs</w:t>
      </w:r>
      <w:bookmarkEnd w:id="1406"/>
    </w:p>
    <w:bookmarkEnd w:id="1407"/>
    <w:p w14:paraId="4ECDBF6A" w14:textId="77777777" w:rsidR="00F03958" w:rsidRPr="00883566" w:rsidRDefault="00F03958" w:rsidP="00AA241E">
      <w:pPr>
        <w:spacing w:before="120" w:after="120" w:line="259" w:lineRule="auto"/>
        <w:jc w:val="both"/>
        <w:rPr>
          <w:rFonts w:cs="Times New Roman"/>
          <w:lang w:eastAsia="et-EE"/>
        </w:rPr>
      </w:pPr>
    </w:p>
    <w:p w14:paraId="46351A67" w14:textId="77777777" w:rsidR="00F03958" w:rsidRPr="00883566" w:rsidRDefault="00F03958" w:rsidP="00AA241E">
      <w:pPr>
        <w:spacing w:before="120" w:after="120" w:line="259" w:lineRule="auto"/>
        <w:jc w:val="both"/>
        <w:rPr>
          <w:rFonts w:cs="Times New Roman"/>
          <w:lang w:eastAsia="et-EE"/>
        </w:rPr>
      </w:pPr>
      <w:r w:rsidRPr="00883566">
        <w:rPr>
          <w:rFonts w:cs="Times New Roman"/>
        </w:rPr>
        <w:t>Hulgituru 3b teenuste osas on hinnaga seotud konkurentsiprobleemid üldjuhul seotud ülemäärase hulgihinnaga. Ülemäärane hind on hind, mis võimaldab ettevõtjal teenida kõrgemaid kasumeid, kui võiks teenida efektiivse konkurentsiga turul. Selle konkurentsiprobleemi põhiliseks allikaks on sideettevõtja märkimisväärne turujõud. Ülemäärane hind on omakorda sisendiks hinnadiskrimineerimise ja ristsubsideerimise konkurentsiprobleemidele.</w:t>
      </w:r>
    </w:p>
    <w:p w14:paraId="7E42B389" w14:textId="4EC3DCC0" w:rsidR="00F03958" w:rsidRPr="00883566" w:rsidRDefault="00F03958" w:rsidP="00AA241E">
      <w:pPr>
        <w:spacing w:before="120" w:after="120" w:line="259" w:lineRule="auto"/>
        <w:jc w:val="both"/>
        <w:rPr>
          <w:rFonts w:cs="Times New Roman"/>
          <w:lang w:eastAsia="et-EE"/>
        </w:rPr>
      </w:pPr>
      <w:r w:rsidRPr="00883566">
        <w:rPr>
          <w:rFonts w:cs="Times New Roman"/>
        </w:rPr>
        <w:t xml:space="preserve">Hinnadiskrimineerimisel sisemise ja välimise varustamise vahel nõuab vertikaalselt integreeritud sideettevõtja temaga jaeturul konkureerivalt sideettevõtjalt hulgiteenuste eest kõrgemat hinda, kui oma jaeteenust pakkuvalt üksuselt. Ehk teisisõnu toimub diskrimineerimine sisemise ja välimise varustamise vahel. Hulgiteenuste turul märkimisväärse turujõuga vertikaalselt integreeritud sideettevõtja võib läbi hinnadiskrimineerimise tõsta oma konkurentide kulusid </w:t>
      </w:r>
      <w:r w:rsidR="00BE68C5">
        <w:rPr>
          <w:rFonts w:cs="Times New Roman"/>
        </w:rPr>
        <w:t>jaetur</w:t>
      </w:r>
      <w:r w:rsidRPr="00883566">
        <w:rPr>
          <w:rFonts w:cs="Times New Roman"/>
        </w:rPr>
        <w:t xml:space="preserve">ul rakendades </w:t>
      </w:r>
      <w:r w:rsidRPr="00883566">
        <w:rPr>
          <w:rFonts w:cs="Times New Roman"/>
        </w:rPr>
        <w:lastRenderedPageBreak/>
        <w:t>ülemäärast hulgiteenuse hinda, mis võib viia konkurentide jaemüügi piiramiseni ning seeläbi üleüldise konkurentsiolukorra kahjustamiseni.</w:t>
      </w:r>
    </w:p>
    <w:p w14:paraId="5FEE91F8" w14:textId="77777777" w:rsidR="00F03958" w:rsidRPr="00883566" w:rsidRDefault="00F03958" w:rsidP="00AA241E">
      <w:pPr>
        <w:spacing w:before="120" w:after="120" w:line="259" w:lineRule="auto"/>
        <w:jc w:val="both"/>
        <w:rPr>
          <w:rFonts w:cs="Times New Roman"/>
          <w:lang w:eastAsia="et-EE"/>
        </w:rPr>
      </w:pPr>
      <w:r w:rsidRPr="00883566">
        <w:rPr>
          <w:rFonts w:cs="Times New Roman"/>
        </w:rPr>
        <w:t>Ristsubsideerimisega on tegemist juhul, kui vertikaalselt integreeritud märkimisväärse turujõuga ettevõtja poolt nõutakse hulgiturul kuludest märkimisväärselt kõrgemat (ülemäärast) hinda ning vertikaalselt allapoole seotud turul rakendatakse kuludest madalamat hinda (kuludest madalama hinna rakendamine on käsitatav ka röövelliku hinnakujundusena). Juhul kui hulgitasandi hind on ülemäärane ning jaetasandi hind röövellik (allapoole kulusid), annab see vertikaalselt integreeritud märkimisväärse turujõuga ettevõtjale võimaluse laiendada oma turujõudu vertikaalselt allapoole seotud turule. Seega on ristsubsideerimise üheks teguriks hulgiteenuste ülemäärane hind, mis võimaldab ettevõtjal teenida kõrgemaid kasumeid, kui võiks teenida efektiivse konkurentsiga turul.</w:t>
      </w:r>
    </w:p>
    <w:p w14:paraId="5E62B307" w14:textId="77777777" w:rsidR="00F03958" w:rsidRPr="00883566" w:rsidRDefault="00F03958" w:rsidP="00AA241E">
      <w:pPr>
        <w:spacing w:before="120" w:after="120" w:line="259" w:lineRule="auto"/>
        <w:jc w:val="both"/>
        <w:rPr>
          <w:rFonts w:cs="Times New Roman"/>
          <w:lang w:eastAsia="et-EE"/>
        </w:rPr>
      </w:pPr>
      <w:r w:rsidRPr="00883566">
        <w:rPr>
          <w:rFonts w:cs="Times New Roman"/>
        </w:rPr>
        <w:t>Nii hinnadiskrimineerimisel sisemise ja välise varustamise vahel, kui ka ristsubsideerimise korral on üheks tagajärjeks ka jae- ja hulgihindade vahelise marginaali kokku surumine, mis ei võimalda konkureerivatel sideettevõtjatel teenida majanduslikult põhjendatud kasumit ning seeläbi väheneb huvi pakkuda konkurentsi vertikaalselt integreeritud sideettevõtjale jaeturul.</w:t>
      </w:r>
    </w:p>
    <w:p w14:paraId="0B7B0EE1" w14:textId="77777777" w:rsidR="00F03958" w:rsidRPr="00883566" w:rsidRDefault="00F03958" w:rsidP="00AA241E">
      <w:pPr>
        <w:spacing w:before="120" w:after="120" w:line="259" w:lineRule="auto"/>
        <w:jc w:val="both"/>
        <w:rPr>
          <w:rFonts w:cs="Times New Roman"/>
          <w:lang w:eastAsia="et-EE"/>
        </w:rPr>
      </w:pPr>
      <w:r w:rsidRPr="00883566">
        <w:rPr>
          <w:rFonts w:cs="Times New Roman"/>
        </w:rPr>
        <w:t>Eeltoodust järeldub, et ülemäärane hind hulgitasandil võib takistada efektiivse konkurentsi toimimist jaetasandil, mis omakorda võib kahjustada lõppkasutajate huve.</w:t>
      </w:r>
    </w:p>
    <w:p w14:paraId="0AF68078" w14:textId="3BA8762F" w:rsidR="00F03958" w:rsidRPr="00883566" w:rsidRDefault="00F03958" w:rsidP="00AA241E">
      <w:pPr>
        <w:spacing w:before="120" w:after="120" w:line="259" w:lineRule="auto"/>
        <w:jc w:val="both"/>
        <w:rPr>
          <w:rFonts w:cs="Times New Roman"/>
          <w:lang w:eastAsia="et-EE"/>
        </w:rPr>
      </w:pPr>
      <w:r w:rsidRPr="00883566">
        <w:rPr>
          <w:rFonts w:cs="Times New Roman"/>
          <w:lang w:eastAsia="et-EE"/>
        </w:rPr>
        <w:t>BEREC on avaldanud seisukoha, mis käsitleb lairiba juurdepääsu hulgiturul MTE kohustuste kehtestamise parimaid tavasid</w:t>
      </w:r>
      <w:r w:rsidRPr="00883566">
        <w:rPr>
          <w:rFonts w:cs="Times New Roman"/>
          <w:vertAlign w:val="superscript"/>
          <w:lang w:eastAsia="et-EE"/>
        </w:rPr>
        <w:footnoteReference w:id="273"/>
      </w:r>
      <w:r w:rsidRPr="00883566">
        <w:rPr>
          <w:rFonts w:cs="Times New Roman"/>
          <w:lang w:eastAsia="et-EE"/>
        </w:rPr>
        <w:t xml:space="preserve">. Selles tuuakse välja sagedamini esineda võivad hinnaga seotud konkurentsiprobleemid hulgituru 3b teenuste osas, mis takistavad alternatiivsetel sideettevõtjatel tõhusalt konkureerida </w:t>
      </w:r>
      <w:r w:rsidR="00BE68C5">
        <w:rPr>
          <w:rFonts w:cs="Times New Roman"/>
          <w:lang w:eastAsia="et-EE"/>
        </w:rPr>
        <w:t>jaetur</w:t>
      </w:r>
      <w:r w:rsidRPr="00883566">
        <w:rPr>
          <w:rFonts w:cs="Times New Roman"/>
          <w:lang w:eastAsia="et-EE"/>
        </w:rPr>
        <w:t>ul:</w:t>
      </w:r>
    </w:p>
    <w:p w14:paraId="2DAB2DF2" w14:textId="77777777" w:rsidR="00F03958" w:rsidRPr="00883566" w:rsidRDefault="00F03958" w:rsidP="005134E5">
      <w:pPr>
        <w:numPr>
          <w:ilvl w:val="0"/>
          <w:numId w:val="132"/>
        </w:numPr>
        <w:spacing w:before="120" w:after="120" w:line="259" w:lineRule="auto"/>
        <w:contextualSpacing/>
        <w:jc w:val="both"/>
        <w:rPr>
          <w:rFonts w:cs="Times New Roman"/>
          <w:lang w:eastAsia="et-EE"/>
        </w:rPr>
      </w:pPr>
      <w:r w:rsidRPr="00883566">
        <w:rPr>
          <w:rFonts w:cs="Times New Roman"/>
        </w:rPr>
        <w:t>MTE võib luua ebakõla erinevate hulgiteenuste hindade vahel, mis võib põhjustada negatiivse stiimuli investeeringute tegemiseks alternatiivsete sideettevõtjate poolt;</w:t>
      </w:r>
    </w:p>
    <w:p w14:paraId="1B0E7927" w14:textId="77777777" w:rsidR="00F03958" w:rsidRPr="00883566" w:rsidRDefault="00F03958" w:rsidP="005134E5">
      <w:pPr>
        <w:numPr>
          <w:ilvl w:val="0"/>
          <w:numId w:val="132"/>
        </w:numPr>
        <w:spacing w:before="120" w:after="120" w:line="259" w:lineRule="auto"/>
        <w:contextualSpacing/>
        <w:jc w:val="both"/>
        <w:rPr>
          <w:rFonts w:cs="Times New Roman"/>
          <w:lang w:eastAsia="et-EE"/>
        </w:rPr>
      </w:pPr>
      <w:r w:rsidRPr="00883566">
        <w:rPr>
          <w:rFonts w:cs="Times New Roman"/>
        </w:rPr>
        <w:t>MTE võib rakendada jae- ja hulgiteenuste hindade vahe kokku surumist, mis ei võimalda alternatiivsetel sideettevõtjatel teenida jaeteenustelt piisavat marginaali;</w:t>
      </w:r>
    </w:p>
    <w:p w14:paraId="154A97A6" w14:textId="77777777" w:rsidR="00F03958" w:rsidRPr="00883566" w:rsidRDefault="00F03958" w:rsidP="005134E5">
      <w:pPr>
        <w:numPr>
          <w:ilvl w:val="0"/>
          <w:numId w:val="132"/>
        </w:numPr>
        <w:spacing w:before="120" w:after="120" w:line="259" w:lineRule="auto"/>
        <w:contextualSpacing/>
        <w:jc w:val="both"/>
        <w:rPr>
          <w:rFonts w:cs="Times New Roman"/>
          <w:lang w:eastAsia="et-EE"/>
        </w:rPr>
      </w:pPr>
      <w:r w:rsidRPr="00883566">
        <w:rPr>
          <w:rFonts w:cs="Times New Roman"/>
        </w:rPr>
        <w:t>MTE võib rakendada hulgiteenustele hindasid, mis diskrimineerivad alternatiivseid sideettevõtjaid ja/või ei võimalda neil edendada elujõulist konkurentsi ning äritegevust jaetasandil.</w:t>
      </w:r>
    </w:p>
    <w:p w14:paraId="69A883E8" w14:textId="77777777" w:rsidR="00F03958" w:rsidRPr="00883566" w:rsidRDefault="00F03958" w:rsidP="00AA241E">
      <w:pPr>
        <w:spacing w:before="120" w:after="120"/>
        <w:ind w:left="360"/>
        <w:contextualSpacing/>
        <w:jc w:val="both"/>
        <w:rPr>
          <w:rFonts w:cs="Times New Roman"/>
          <w:lang w:eastAsia="et-EE"/>
        </w:rPr>
      </w:pPr>
    </w:p>
    <w:p w14:paraId="00D95BDD" w14:textId="77777777" w:rsidR="00F03958" w:rsidRPr="00883566" w:rsidRDefault="00F03958" w:rsidP="00AA241E">
      <w:pPr>
        <w:spacing w:before="120" w:after="120" w:line="259" w:lineRule="auto"/>
        <w:jc w:val="both"/>
        <w:rPr>
          <w:rFonts w:cs="Times New Roman"/>
          <w:lang w:eastAsia="et-EE"/>
        </w:rPr>
      </w:pPr>
      <w:r w:rsidRPr="00883566">
        <w:rPr>
          <w:rFonts w:cs="Times New Roman"/>
          <w:i/>
        </w:rPr>
        <w:t>Ex ante</w:t>
      </w:r>
      <w:r w:rsidRPr="00883566">
        <w:rPr>
          <w:rFonts w:cs="Times New Roman"/>
        </w:rPr>
        <w:t xml:space="preserve"> kohustuste kehtestamise peamiseks aluseks ei ole hinnang, kas ettevõtja tegevus on tekitanud konkurentsiprobleeme. Kohustuste kehtestamise peamiseks aluseks on kindlaks teha, kas ettevõtja turujõud ja majanduslik tugevus annab talle võime tekitada konkurentsiprobleeme. Seega tuleb hulgiturul 3b esineda võivaid hinnaga seotud konkurentsiprobleeme hinnata ennekõike  potentsiaalselt esineda võivate konkurentsiprobleemidena.</w:t>
      </w:r>
    </w:p>
    <w:p w14:paraId="35F453F7" w14:textId="319A78B4" w:rsidR="00F03958" w:rsidRPr="00883566" w:rsidRDefault="00F03958" w:rsidP="00AA241E">
      <w:pPr>
        <w:spacing w:before="120" w:after="120"/>
        <w:jc w:val="both"/>
        <w:rPr>
          <w:rFonts w:cs="Times New Roman"/>
          <w:lang w:eastAsia="et-EE"/>
        </w:rPr>
      </w:pPr>
      <w:r w:rsidRPr="00883566">
        <w:rPr>
          <w:rFonts w:cs="Times New Roman"/>
        </w:rPr>
        <w:t xml:space="preserve">Käesoleva otsuse koostamise ajal on üleriigiliselt Telia </w:t>
      </w:r>
      <w:r w:rsidR="00532579">
        <w:rPr>
          <w:rFonts w:cs="Times New Roman"/>
        </w:rPr>
        <w:t>vaskpaar</w:t>
      </w:r>
      <w:r w:rsidRPr="00883566">
        <w:rPr>
          <w:rFonts w:cs="Times New Roman"/>
        </w:rPr>
        <w:t xml:space="preserve">- ja </w:t>
      </w:r>
      <w:r w:rsidR="00A3232C">
        <w:rPr>
          <w:rFonts w:cs="Times New Roman"/>
        </w:rPr>
        <w:t>valguskaabelvõrgu</w:t>
      </w:r>
      <w:r w:rsidRPr="00883566">
        <w:rPr>
          <w:rFonts w:cs="Times New Roman"/>
        </w:rPr>
        <w:t xml:space="preserve">s hulgituru 3b teenuste hinnad reguleeritud TTJA 2017 hulgituru 3b otsuse lisa 1 </w:t>
      </w:r>
      <w:r w:rsidR="008C159A">
        <w:rPr>
          <w:rFonts w:cs="Times New Roman"/>
        </w:rPr>
        <w:t xml:space="preserve">ptk. </w:t>
      </w:r>
      <w:r w:rsidRPr="00883566">
        <w:rPr>
          <w:rFonts w:cs="Times New Roman"/>
        </w:rPr>
        <w:t xml:space="preserve">6.5.4 alusel. Selle kohaselt peavad Telia rakendatava hulgituru 3b teenuste hinnad olema arvestatud kuludele orienteeritult, ajaloolistel kuludel, ülevalt alla ja täielikult jaotatud kuludel  põhineva </w:t>
      </w:r>
      <w:r w:rsidRPr="00883566">
        <w:rPr>
          <w:rFonts w:cs="Times New Roman"/>
        </w:rPr>
        <w:lastRenderedPageBreak/>
        <w:t>hinnaarvestuse metoodika (</w:t>
      </w:r>
      <w:r w:rsidRPr="00883566">
        <w:rPr>
          <w:rFonts w:cs="Times New Roman"/>
          <w:i/>
          <w:iCs/>
        </w:rPr>
        <w:t xml:space="preserve">HC TD FDC – </w:t>
      </w:r>
      <w:proofErr w:type="spellStart"/>
      <w:r w:rsidRPr="00883566">
        <w:rPr>
          <w:rFonts w:cs="Times New Roman"/>
          <w:i/>
          <w:iCs/>
        </w:rPr>
        <w:t>historical</w:t>
      </w:r>
      <w:proofErr w:type="spellEnd"/>
      <w:r w:rsidRPr="00883566">
        <w:rPr>
          <w:rFonts w:cs="Times New Roman"/>
          <w:i/>
          <w:iCs/>
        </w:rPr>
        <w:t xml:space="preserve"> </w:t>
      </w:r>
      <w:proofErr w:type="spellStart"/>
      <w:r w:rsidRPr="00883566">
        <w:rPr>
          <w:rFonts w:cs="Times New Roman"/>
          <w:i/>
          <w:iCs/>
        </w:rPr>
        <w:t>cost</w:t>
      </w:r>
      <w:proofErr w:type="spellEnd"/>
      <w:r w:rsidRPr="00883566">
        <w:rPr>
          <w:rFonts w:cs="Times New Roman"/>
          <w:i/>
          <w:iCs/>
        </w:rPr>
        <w:t xml:space="preserve">, </w:t>
      </w:r>
      <w:proofErr w:type="spellStart"/>
      <w:r w:rsidRPr="00883566">
        <w:rPr>
          <w:rFonts w:cs="Times New Roman"/>
          <w:i/>
          <w:iCs/>
        </w:rPr>
        <w:t>top</w:t>
      </w:r>
      <w:proofErr w:type="spellEnd"/>
      <w:r w:rsidRPr="00883566">
        <w:rPr>
          <w:rFonts w:cs="Times New Roman"/>
          <w:i/>
          <w:iCs/>
        </w:rPr>
        <w:t xml:space="preserve"> </w:t>
      </w:r>
      <w:proofErr w:type="spellStart"/>
      <w:r w:rsidRPr="00883566">
        <w:rPr>
          <w:rFonts w:cs="Times New Roman"/>
          <w:i/>
          <w:iCs/>
        </w:rPr>
        <w:t>down</w:t>
      </w:r>
      <w:proofErr w:type="spellEnd"/>
      <w:r w:rsidRPr="00883566">
        <w:rPr>
          <w:rFonts w:cs="Times New Roman"/>
          <w:i/>
          <w:iCs/>
        </w:rPr>
        <w:t xml:space="preserve">, </w:t>
      </w:r>
      <w:proofErr w:type="spellStart"/>
      <w:r w:rsidRPr="00883566">
        <w:rPr>
          <w:rFonts w:cs="Times New Roman"/>
          <w:i/>
          <w:iCs/>
        </w:rPr>
        <w:t>full</w:t>
      </w:r>
      <w:proofErr w:type="spellEnd"/>
      <w:r w:rsidRPr="00883566">
        <w:rPr>
          <w:rFonts w:cs="Times New Roman"/>
          <w:i/>
          <w:iCs/>
        </w:rPr>
        <w:t xml:space="preserve"> </w:t>
      </w:r>
      <w:proofErr w:type="spellStart"/>
      <w:r w:rsidRPr="00883566">
        <w:rPr>
          <w:rFonts w:cs="Times New Roman"/>
          <w:i/>
          <w:iCs/>
        </w:rPr>
        <w:t>distributed</w:t>
      </w:r>
      <w:proofErr w:type="spellEnd"/>
      <w:r w:rsidRPr="00883566">
        <w:rPr>
          <w:rFonts w:cs="Times New Roman"/>
          <w:i/>
          <w:iCs/>
        </w:rPr>
        <w:t xml:space="preserve"> </w:t>
      </w:r>
      <w:proofErr w:type="spellStart"/>
      <w:r w:rsidRPr="00883566">
        <w:rPr>
          <w:rFonts w:cs="Times New Roman"/>
          <w:i/>
          <w:iCs/>
        </w:rPr>
        <w:t>costing</w:t>
      </w:r>
      <w:proofErr w:type="spellEnd"/>
      <w:r w:rsidRPr="00883566">
        <w:rPr>
          <w:rFonts w:cs="Times New Roman"/>
        </w:rPr>
        <w:t xml:space="preserve">) alusel. TTJA kontrollib nimetatud hinnakohustuse järgimist ja avaldab selle tulemused oma kodulehel, vt </w:t>
      </w:r>
      <w:hyperlink r:id="rId48">
        <w:r w:rsidRPr="00883566">
          <w:rPr>
            <w:rStyle w:val="Hperlink"/>
            <w:rFonts w:cs="Times New Roman"/>
          </w:rPr>
          <w:t>https://www.ttja.ee/ariklient/side-ja-meediateenused/sideteenused/sideturg</w:t>
        </w:r>
      </w:hyperlink>
      <w:r w:rsidRPr="00883566">
        <w:rPr>
          <w:rFonts w:cs="Times New Roman"/>
        </w:rPr>
        <w:t xml:space="preserve"> (vt lehekülje lõppu). TTJA ei tuvastanud Telia 2023 aastal hulgituru 3b teenuste hindadega seotud konkurentsiprobleeme. </w:t>
      </w:r>
    </w:p>
    <w:p w14:paraId="7945F37C" w14:textId="77777777" w:rsidR="00F03958" w:rsidRPr="00883566" w:rsidRDefault="00F03958" w:rsidP="00AA241E">
      <w:pPr>
        <w:spacing w:before="120" w:after="120"/>
        <w:jc w:val="both"/>
        <w:rPr>
          <w:rFonts w:cs="Times New Roman"/>
          <w:lang w:eastAsia="et-EE"/>
        </w:rPr>
      </w:pPr>
      <w:r w:rsidRPr="00883566">
        <w:rPr>
          <w:rFonts w:cs="Times New Roman"/>
        </w:rPr>
        <w:t>Samas ilma TTJA 2017 hulgituru 3b otsuses kehtestatud hinnakohustuse rakendamiseta oleks tõenäoline, et Telia rakendaks hulgituru 3b teenustele ülemäärast hinda, eelkõige, kuna Telial teenuste struktuur on suunatud jaeteenuste osutamisele ja seetõttu eksisteerib huvi osutada vastavaid hulgiteenuseid hinnaga, mis ei võimaldaks konkureerida Telia jaeteenustega.</w:t>
      </w:r>
    </w:p>
    <w:p w14:paraId="0B9AC433" w14:textId="696951A1" w:rsidR="00F03958" w:rsidRPr="00883566" w:rsidRDefault="00F03958" w:rsidP="00AA241E">
      <w:pPr>
        <w:spacing w:before="120" w:after="120"/>
        <w:jc w:val="both"/>
        <w:rPr>
          <w:rFonts w:cs="Times New Roman"/>
        </w:rPr>
      </w:pPr>
      <w:r w:rsidRPr="00883566">
        <w:rPr>
          <w:rFonts w:cs="Times New Roman"/>
        </w:rPr>
        <w:t xml:space="preserve">Lisaks on hinnakohustuste mitte rakendamisel hinnaga seotud konkurentsiprobleemide esinemine järgmise turuanalüüsi kestval perioodil tõenäoline, kuna puuduvad alused eeldada, et Telia vertikaalne integreeritus ja turujõud </w:t>
      </w:r>
      <w:r w:rsidR="00A3232C">
        <w:rPr>
          <w:rFonts w:cs="Times New Roman"/>
        </w:rPr>
        <w:t>valguskaabelvõrgu</w:t>
      </w:r>
      <w:r w:rsidRPr="00883566">
        <w:rPr>
          <w:rFonts w:cs="Times New Roman"/>
        </w:rPr>
        <w:t>s B piirkonna hulgiturul 3b nimetatud perioodil märkimisväärselt väheneks. See annab Teliale võime rakendada ülemääraseid hindasid hulgituru 3b teenustele takistades teiste sideettevõtjate jaeturule sisenemist ning kahjustades seeläbi konkurentsi jaemüügi tasandil ning lõppkasutajate huve.</w:t>
      </w:r>
    </w:p>
    <w:p w14:paraId="4EE1CB8B" w14:textId="13DFFD03" w:rsidR="00F03958" w:rsidRPr="00883566" w:rsidRDefault="00F03958" w:rsidP="009805E1">
      <w:pPr>
        <w:pStyle w:val="Pealkiri3"/>
      </w:pPr>
      <w:bookmarkStart w:id="1415" w:name="_Toc174710901"/>
      <w:r w:rsidRPr="00883566">
        <w:t>Sobiva hinnakohustuse valimine</w:t>
      </w:r>
      <w:bookmarkEnd w:id="1415"/>
    </w:p>
    <w:p w14:paraId="0E00A607" w14:textId="77777777" w:rsidR="00F03958" w:rsidRPr="00883566" w:rsidRDefault="00F03958" w:rsidP="00AA241E">
      <w:pPr>
        <w:spacing w:before="240" w:after="120"/>
        <w:jc w:val="both"/>
        <w:rPr>
          <w:rFonts w:cs="Times New Roman"/>
          <w:lang w:eastAsia="et-EE"/>
        </w:rPr>
      </w:pPr>
      <w:r w:rsidRPr="00883566">
        <w:rPr>
          <w:rFonts w:cs="Times New Roman"/>
          <w:lang w:eastAsia="et-EE"/>
        </w:rPr>
        <w:t>EK 2024 kohustuste soovituse kohaselt:</w:t>
      </w:r>
    </w:p>
    <w:p w14:paraId="49EE1EBA" w14:textId="77777777" w:rsidR="00F03958" w:rsidRPr="00883566" w:rsidRDefault="00F03958" w:rsidP="00AA241E">
      <w:pPr>
        <w:spacing w:before="240" w:after="120"/>
        <w:ind w:left="359"/>
        <w:jc w:val="both"/>
        <w:rPr>
          <w:rFonts w:cs="Times New Roman"/>
          <w:lang w:eastAsia="et-EE"/>
        </w:rPr>
      </w:pPr>
      <w:r w:rsidRPr="00883566">
        <w:rPr>
          <w:rFonts w:cs="Times New Roman"/>
          <w:lang w:eastAsia="et-EE"/>
        </w:rPr>
        <w:t>38. Riigi reguleeriv asutus peaks direktiivi (EL) 2018/1972 artikli 74 alusel soovitatavalt loobuma väga suure läbilaskevõimega võrkude hulgimüügisisendite puhul hulgitasandi reguleeritud juurdepääsuhindade kehtestamisest või säilitamisest juhul, kui sama meetme raames kehtestab riigi reguleeriv asutus MTE suhtes seoses väga suure läbilaskevõimega võrkude hulgimüügisisenditega direktiivi (EL) 2018/1972 artikli 70 kohased mittediskrimineerimise kohustused, mis vastavad kõigile järgmistele tingimustele:</w:t>
      </w:r>
    </w:p>
    <w:p w14:paraId="4F1DAAA6" w14:textId="77777777" w:rsidR="00F03958" w:rsidRPr="00883566" w:rsidRDefault="00F03958" w:rsidP="00AA241E">
      <w:pPr>
        <w:spacing w:before="240" w:after="120"/>
        <w:ind w:left="619"/>
        <w:jc w:val="both"/>
        <w:rPr>
          <w:rFonts w:cs="Times New Roman"/>
          <w:lang w:eastAsia="et-EE"/>
        </w:rPr>
      </w:pPr>
      <w:r w:rsidRPr="00883566">
        <w:rPr>
          <w:rFonts w:cs="Times New Roman"/>
          <w:lang w:eastAsia="et-EE"/>
        </w:rPr>
        <w:t xml:space="preserve">a) </w:t>
      </w:r>
      <w:r w:rsidRPr="00883566">
        <w:rPr>
          <w:rFonts w:cs="Times New Roman"/>
          <w:b/>
          <w:bCs/>
          <w:lang w:eastAsia="et-EE"/>
        </w:rPr>
        <w:t>riigi reguleeriv asutus kehtestab sisendite võrdväärsuse kohustused või väljundite võrdväärsuse kohustused</w:t>
      </w:r>
      <w:r w:rsidRPr="00883566">
        <w:rPr>
          <w:rFonts w:cs="Times New Roman"/>
          <w:lang w:eastAsia="et-EE"/>
        </w:rPr>
        <w:t>, kui ta on kindlaks teinud, et sisendite võrdväärsuse kohustused ei oleks proportsionaalsed ja et väljundite võrdväärsuse kohustustest piisaks tegeliku mittediskrimineerimise tagamiseks;</w:t>
      </w:r>
    </w:p>
    <w:p w14:paraId="40287D6B" w14:textId="77777777" w:rsidR="00F03958" w:rsidRPr="00883566" w:rsidRDefault="00F03958" w:rsidP="00AA241E">
      <w:pPr>
        <w:spacing w:before="240" w:after="120"/>
        <w:ind w:left="619"/>
        <w:jc w:val="both"/>
        <w:rPr>
          <w:rFonts w:cs="Times New Roman"/>
          <w:lang w:eastAsia="et-EE"/>
        </w:rPr>
      </w:pPr>
      <w:r w:rsidRPr="00883566">
        <w:rPr>
          <w:rFonts w:cs="Times New Roman"/>
          <w:lang w:eastAsia="et-EE"/>
        </w:rPr>
        <w:t xml:space="preserve">b) </w:t>
      </w:r>
      <w:r w:rsidRPr="00883566">
        <w:rPr>
          <w:rFonts w:cs="Times New Roman"/>
          <w:b/>
          <w:bCs/>
          <w:lang w:eastAsia="et-EE"/>
        </w:rPr>
        <w:t>riigi reguleeriv asutus kehtestab tehnilise jäljendatavuse ja sobivate seiremehhanismidega seotud kohustused</w:t>
      </w:r>
      <w:r w:rsidRPr="00883566">
        <w:rPr>
          <w:rFonts w:cs="Times New Roman"/>
          <w:lang w:eastAsia="et-EE"/>
        </w:rPr>
        <w:t>, mida kohaldatakse kooskõlas EK 2024 kohustuste soovituse punktidega 18–24, juhul kui sisendite võrdväärsuse põhimõtet täiel määral ei rakendata;</w:t>
      </w:r>
    </w:p>
    <w:p w14:paraId="6C6046EA" w14:textId="77777777" w:rsidR="00F03958" w:rsidRPr="00883566" w:rsidRDefault="00F03958" w:rsidP="00AA241E">
      <w:pPr>
        <w:spacing w:before="240" w:after="120"/>
        <w:ind w:left="619"/>
        <w:jc w:val="both"/>
        <w:rPr>
          <w:rFonts w:cs="Times New Roman"/>
          <w:lang w:eastAsia="et-EE"/>
        </w:rPr>
      </w:pPr>
      <w:r w:rsidRPr="00883566">
        <w:rPr>
          <w:rFonts w:cs="Times New Roman"/>
          <w:lang w:eastAsia="et-EE"/>
        </w:rPr>
        <w:t xml:space="preserve">c) riigi reguleeriv asutus kehtestab kohustused seoses EK 2024 kohustuste soovituse punktide 46 ja 47 kohase </w:t>
      </w:r>
      <w:r w:rsidRPr="00883566">
        <w:rPr>
          <w:rFonts w:cs="Times New Roman"/>
          <w:b/>
          <w:bCs/>
          <w:lang w:eastAsia="et-EE"/>
        </w:rPr>
        <w:t>majandusliku jäljendatavuse testiga</w:t>
      </w:r>
      <w:r w:rsidRPr="00883566">
        <w:rPr>
          <w:rFonts w:cs="Times New Roman"/>
          <w:lang w:eastAsia="et-EE"/>
        </w:rPr>
        <w:t>;</w:t>
      </w:r>
    </w:p>
    <w:p w14:paraId="448D5F11" w14:textId="77777777" w:rsidR="00F03958" w:rsidRPr="00883566" w:rsidRDefault="00F03958" w:rsidP="00AA241E">
      <w:pPr>
        <w:spacing w:before="240" w:after="120"/>
        <w:ind w:left="619"/>
        <w:jc w:val="both"/>
        <w:rPr>
          <w:rFonts w:cs="Times New Roman"/>
          <w:lang w:eastAsia="et-EE"/>
        </w:rPr>
      </w:pPr>
      <w:r w:rsidRPr="00883566">
        <w:rPr>
          <w:rFonts w:cs="Times New Roman"/>
          <w:lang w:eastAsia="et-EE"/>
        </w:rPr>
        <w:t>d) on olemas tõendatav jaehinnapiirang, mis tuleneb ühest alljärgnevast tegurist:</w:t>
      </w:r>
    </w:p>
    <w:p w14:paraId="7E84E3EB" w14:textId="77777777" w:rsidR="00F03958" w:rsidRPr="00883566" w:rsidRDefault="00F03958" w:rsidP="00AA241E">
      <w:pPr>
        <w:spacing w:before="240" w:after="120"/>
        <w:ind w:left="924"/>
        <w:jc w:val="both"/>
        <w:rPr>
          <w:rFonts w:cs="Times New Roman"/>
          <w:lang w:eastAsia="et-EE"/>
        </w:rPr>
      </w:pPr>
      <w:r w:rsidRPr="00883566">
        <w:rPr>
          <w:rFonts w:cs="Times New Roman"/>
          <w:lang w:eastAsia="et-EE"/>
        </w:rPr>
        <w:lastRenderedPageBreak/>
        <w:t>i) taristupõhine konkurents, mis tuleneb jaeteenuste pakkumisest alternatiivse(te) taristu(te) kaudu, mida ei kontrolli MTE;</w:t>
      </w:r>
    </w:p>
    <w:p w14:paraId="4B2898EB" w14:textId="77777777" w:rsidR="00F03958" w:rsidRPr="00883566" w:rsidRDefault="00F03958" w:rsidP="00AA241E">
      <w:pPr>
        <w:spacing w:before="240" w:after="120"/>
        <w:ind w:left="924"/>
        <w:jc w:val="both"/>
        <w:rPr>
          <w:rFonts w:cs="Times New Roman"/>
          <w:lang w:eastAsia="et-EE"/>
        </w:rPr>
      </w:pPr>
      <w:r w:rsidRPr="00883566">
        <w:rPr>
          <w:rFonts w:cs="Times New Roman"/>
          <w:lang w:eastAsia="et-EE"/>
        </w:rPr>
        <w:t xml:space="preserve">ii) </w:t>
      </w:r>
      <w:r w:rsidRPr="00883566">
        <w:rPr>
          <w:rFonts w:cs="Times New Roman"/>
          <w:b/>
          <w:bCs/>
          <w:lang w:eastAsia="et-EE"/>
        </w:rPr>
        <w:t>geograafilisest uuringust tulenevad selged ja realistlikud kohustused alternatiivsete võrkude kasutuselevõtuks</w:t>
      </w:r>
      <w:r w:rsidRPr="00883566">
        <w:rPr>
          <w:rFonts w:cs="Times New Roman"/>
          <w:lang w:eastAsia="et-EE"/>
        </w:rPr>
        <w:t>, et hõlmata turu läbivaatamise perioodi jooksul märkimisväärne osa piirkonnast, eriti kui seda toetavad toimivad juurdepääsulepingud MTE kontrollitavale tsiviilehituse taristule või kui kasutuselevõtt on juba alanud;</w:t>
      </w:r>
    </w:p>
    <w:p w14:paraId="6F7F5499" w14:textId="77777777" w:rsidR="00F03958" w:rsidRPr="00883566" w:rsidRDefault="00F03958" w:rsidP="00AA241E">
      <w:pPr>
        <w:spacing w:before="240" w:after="120"/>
        <w:ind w:left="924"/>
        <w:jc w:val="both"/>
        <w:rPr>
          <w:rFonts w:cs="Times New Roman"/>
          <w:lang w:eastAsia="et-EE"/>
        </w:rPr>
      </w:pPr>
      <w:r w:rsidRPr="00883566">
        <w:rPr>
          <w:rFonts w:cs="Times New Roman"/>
          <w:lang w:eastAsia="et-EE"/>
        </w:rPr>
        <w:t xml:space="preserve">iii) </w:t>
      </w:r>
      <w:r w:rsidRPr="00883566">
        <w:rPr>
          <w:rFonts w:cs="Times New Roman"/>
          <w:b/>
          <w:bCs/>
          <w:lang w:eastAsia="et-EE"/>
        </w:rPr>
        <w:t>reguleeritud ankurtoode,</w:t>
      </w:r>
      <w:r w:rsidRPr="00883566">
        <w:rPr>
          <w:rFonts w:cs="Times New Roman"/>
          <w:lang w:eastAsia="et-EE"/>
        </w:rPr>
        <w:t xml:space="preserve"> mille riigi reguleeriv asutus on kindlaks määranud kooskõlas EK 2024 kohustuste soovituse punktidega 41–45 ja mille suhtes kohaldatakse kuludele orienteeritud hinnakontrolli kohustust vastavalt käesoleva soovituse punktides 48–59 kirjeldatud soovitatavale kuluarvestusmetoodikale.</w:t>
      </w:r>
      <w:r w:rsidRPr="00883566">
        <w:rPr>
          <w:rFonts w:cs="Times New Roman"/>
          <w:lang w:eastAsia="et-EE"/>
        </w:rPr>
        <w:tab/>
      </w:r>
    </w:p>
    <w:p w14:paraId="02DD5AA3" w14:textId="77777777" w:rsidR="00F03958" w:rsidRPr="00883566" w:rsidRDefault="00F03958" w:rsidP="00AA241E">
      <w:pPr>
        <w:spacing w:before="240" w:after="120"/>
        <w:ind w:left="359"/>
        <w:jc w:val="both"/>
        <w:rPr>
          <w:rFonts w:cs="Times New Roman"/>
          <w:lang w:eastAsia="et-EE"/>
        </w:rPr>
      </w:pPr>
      <w:r w:rsidRPr="00883566">
        <w:rPr>
          <w:rFonts w:cs="Times New Roman"/>
          <w:lang w:eastAsia="et-EE"/>
        </w:rPr>
        <w:t>39. Turgudel, kus EK 2024 kohustuste soovituse punktis 38 loetletud tingimused on täidetud ainult teatavates piirkondades, peaksid riikide reguleerivad asutused võtma erinevaid parandusmeetmeid ja säilitama või kehtestama hinnakontrolli kohustused kooskõlas direktiivi (EL) 2018/1972 artikliga 74 ainult nendes piirkondades, kus kõnealused tingimused ei ole täidetud. Erinevate parandusmeetmete kehtestamine konkreetsel geograafilisel turul ei tohiks muuta riikide reguleerivate asutuste eeldusi, mille alusel rakendatakse soovitatavat kuluarvestusmetoodikat, ja seega ei tohiks see viia teistsuguse tulemuseni kui alternatiivne stsenaarium, mille puhul erinevaid parandusmeetmeid ei kehtestataks.</w:t>
      </w:r>
    </w:p>
    <w:p w14:paraId="00EAC5CF" w14:textId="3F4B4861" w:rsidR="00F03958" w:rsidRPr="00883566" w:rsidRDefault="00F03958" w:rsidP="00AA241E">
      <w:pPr>
        <w:spacing w:before="240" w:after="120"/>
        <w:ind w:left="359"/>
        <w:jc w:val="both"/>
        <w:rPr>
          <w:rFonts w:cs="Times New Roman"/>
          <w:lang w:eastAsia="et-EE"/>
        </w:rPr>
      </w:pPr>
      <w:r w:rsidRPr="00883566">
        <w:rPr>
          <w:rFonts w:cs="Times New Roman"/>
          <w:lang w:eastAsia="et-EE"/>
        </w:rPr>
        <w:t xml:space="preserve">40. Käesoleva soovituse punkti 38 alapunktis d sätestatud tingimusi ei tohiks käsitada ainsate asjaoludena, mille korral riikide reguleerivad asutused võivad otsustada loobuda reguleeritud juurdepääsuhindade kehtestamisest väga suure läbilaskevõimega võrkude hulgimüügisisendite puhul. Olenevalt tegeliku mittediskrimineerimise tõendamisest ja konkurentsitingimustest võib esineda muid olukordi, mil reguleeritud juurdepääsuhindade kehtestamine ei ole direktiivi (EL) 2018/1972 alusel vajalik. </w:t>
      </w:r>
      <w:r w:rsidRPr="00883566">
        <w:rPr>
          <w:rFonts w:cs="Times New Roman"/>
          <w:b/>
          <w:bCs/>
          <w:lang w:eastAsia="et-EE"/>
        </w:rPr>
        <w:t>Kooskõlas EK kohustuste soovituse punktiga 71 võib see eeskätt kehtida juhul, kui väga suure läbilaskevõimega võrgu kasutuselevõtu majanduslik otstarbekus oleks väike isegi siis, kui vastavas piirkonnas regulatsioon puuduks, näiteks hõreda asustustihedusega piirkondade puhul.</w:t>
      </w:r>
    </w:p>
    <w:p w14:paraId="49B33838" w14:textId="77777777" w:rsidR="00F03958" w:rsidRPr="00883566" w:rsidRDefault="00F03958" w:rsidP="00AA241E">
      <w:pPr>
        <w:spacing w:before="240" w:after="120"/>
        <w:ind w:left="359"/>
        <w:jc w:val="both"/>
        <w:rPr>
          <w:rFonts w:cs="Times New Roman"/>
          <w:lang w:eastAsia="et-EE"/>
        </w:rPr>
      </w:pPr>
      <w:r w:rsidRPr="00883566">
        <w:rPr>
          <w:rFonts w:cs="Times New Roman"/>
          <w:lang w:eastAsia="et-EE"/>
        </w:rPr>
        <w:t xml:space="preserve">46. </w:t>
      </w:r>
      <w:r w:rsidRPr="00883566">
        <w:rPr>
          <w:rFonts w:cs="Times New Roman"/>
          <w:b/>
          <w:bCs/>
          <w:lang w:eastAsia="et-EE"/>
        </w:rPr>
        <w:t xml:space="preserve">Riiklik reguleeriv asutus peaks kehtestama EK 2024 kohustuste soovituse punkti 38 alapunktis c osutatud majandusliku jäljendatavuse testi kohustuse, kui ta võtab vastu lõpliku meetme, milles ta otsustab mitte kehtestada või säilitada reguleeritud juurdepääsu hulgihindu </w:t>
      </w:r>
      <w:proofErr w:type="spellStart"/>
      <w:r w:rsidRPr="00883566">
        <w:rPr>
          <w:rFonts w:cs="Times New Roman"/>
          <w:b/>
          <w:bCs/>
          <w:lang w:eastAsia="et-EE"/>
        </w:rPr>
        <w:t>VHCNi</w:t>
      </w:r>
      <w:proofErr w:type="spellEnd"/>
      <w:r w:rsidRPr="00883566">
        <w:rPr>
          <w:rFonts w:cs="Times New Roman"/>
          <w:b/>
          <w:bCs/>
          <w:lang w:eastAsia="et-EE"/>
        </w:rPr>
        <w:t xml:space="preserve"> hulgimüügi sisendite suhtes</w:t>
      </w:r>
      <w:r w:rsidRPr="00883566">
        <w:rPr>
          <w:rFonts w:cs="Times New Roman"/>
          <w:lang w:eastAsia="et-EE"/>
        </w:rPr>
        <w:t xml:space="preserve"> ja sama lõplik meede peaks sisaldama järgmisi elemente, mille suhtes on korraldatud direktiivi (EL) 2018/1972 artikli 32 kohane konsultatsioon: </w:t>
      </w:r>
      <w:r w:rsidRPr="00883566">
        <w:rPr>
          <w:rFonts w:cs="Times New Roman"/>
          <w:i/>
          <w:iCs/>
          <w:lang w:eastAsia="et-EE"/>
        </w:rPr>
        <w:t>…järgneb loetelu, milliseid elemente majandusliku jäljendatavuse testi kohustus peaks sisaldama.</w:t>
      </w:r>
    </w:p>
    <w:p w14:paraId="7B8098A5" w14:textId="77777777" w:rsidR="00F03958" w:rsidRPr="00883566" w:rsidRDefault="00F03958" w:rsidP="00AA241E">
      <w:pPr>
        <w:spacing w:before="240" w:after="120"/>
        <w:jc w:val="both"/>
        <w:rPr>
          <w:rFonts w:cs="Times New Roman"/>
          <w:lang w:eastAsia="et-EE"/>
        </w:rPr>
      </w:pPr>
    </w:p>
    <w:p w14:paraId="0F6CFD03" w14:textId="77777777" w:rsidR="00F03958" w:rsidRPr="00883566" w:rsidRDefault="00F03958" w:rsidP="00AA241E">
      <w:pPr>
        <w:spacing w:before="240" w:after="120"/>
        <w:jc w:val="both"/>
        <w:rPr>
          <w:rFonts w:cs="Times New Roman"/>
          <w:b/>
          <w:bCs/>
          <w:lang w:eastAsia="et-EE"/>
        </w:rPr>
      </w:pPr>
      <w:r w:rsidRPr="00883566">
        <w:rPr>
          <w:rFonts w:cs="Times New Roman"/>
          <w:b/>
          <w:bCs/>
          <w:lang w:eastAsia="et-EE"/>
        </w:rPr>
        <w:lastRenderedPageBreak/>
        <w:t>Kokkuvõtlikult soovitab EK 2024 kohustuste soovitus, et valguskaablivõrkudes hulgituru 3b teenuste puhul tuleks võimalusel hoiduda EK 2024 kohustuse soovituse punktides 48-59 kirjeldatud kuluarvestusmetoodika (BU LRIC+) rakendamisest kui on täidetud EK 2024 kohustuste soovituse punktis 38 lõikudes a – d koos alamlõikudega toodud tingimused, et soodustada investeerimist valguskaablivõrkude rajamiseks ja kasutuselevõtuks.</w:t>
      </w:r>
    </w:p>
    <w:p w14:paraId="6333145C" w14:textId="22E8774A" w:rsidR="00F03958" w:rsidRPr="00883566" w:rsidRDefault="00F03958" w:rsidP="00AA241E">
      <w:pPr>
        <w:spacing w:before="240" w:after="120"/>
        <w:jc w:val="both"/>
        <w:rPr>
          <w:rFonts w:cs="Times New Roman"/>
          <w:lang w:eastAsia="et-EE"/>
        </w:rPr>
      </w:pPr>
      <w:r w:rsidRPr="00883566">
        <w:rPr>
          <w:rFonts w:cs="Times New Roman"/>
          <w:lang w:eastAsia="et-EE"/>
        </w:rPr>
        <w:t xml:space="preserve">TTJA analüüsis EK 2024 kohustuse soovituse punktis 38 lõikude a – d koos alamlõikudega toodud tingimuste täitmist </w:t>
      </w:r>
      <w:r w:rsidR="00A3232C">
        <w:rPr>
          <w:rFonts w:cs="Times New Roman"/>
          <w:lang w:eastAsia="et-EE"/>
        </w:rPr>
        <w:t>valguskaabelvõrgu</w:t>
      </w:r>
      <w:r w:rsidRPr="00883566">
        <w:rPr>
          <w:rFonts w:cs="Times New Roman"/>
          <w:lang w:eastAsia="et-EE"/>
        </w:rPr>
        <w:t xml:space="preserve">s B piirkonna hulgituru 3b teenuste osas ja koostas selle kohta järgneva kokkuvõtlikku Tabeli </w:t>
      </w:r>
      <w:r w:rsidR="00DA242E">
        <w:rPr>
          <w:rFonts w:cs="Times New Roman"/>
          <w:lang w:eastAsia="et-EE"/>
        </w:rPr>
        <w:t>47</w:t>
      </w:r>
      <w:r w:rsidRPr="00883566">
        <w:rPr>
          <w:rFonts w:cs="Times New Roman"/>
          <w:lang w:eastAsia="et-EE"/>
        </w:rPr>
        <w:t xml:space="preserve">. Analüüsi tulemusel selgus, et soovituse punktis 38 lõikes d nimetatud tingimused </w:t>
      </w:r>
      <w:r w:rsidR="00B43C94">
        <w:rPr>
          <w:rFonts w:cs="Times New Roman"/>
          <w:lang w:eastAsia="et-EE"/>
        </w:rPr>
        <w:t>(võttes arvesse ka soovituse punktis 40 sätestatud erisusi)</w:t>
      </w:r>
      <w:r w:rsidR="00B43C94" w:rsidRPr="00883566">
        <w:rPr>
          <w:rFonts w:cs="Times New Roman"/>
          <w:lang w:eastAsia="et-EE"/>
        </w:rPr>
        <w:t xml:space="preserve"> </w:t>
      </w:r>
      <w:r w:rsidRPr="00883566">
        <w:rPr>
          <w:rFonts w:cs="Times New Roman"/>
          <w:lang w:eastAsia="et-EE"/>
        </w:rPr>
        <w:t xml:space="preserve">on B piirkonna maalistes ja linnalistes geograafilistes üksustes täidetud mõnevõrra erinevalt. Täpsemalt maalistes geograafilistes üksustes on soovituse punkti 38 lõike d tingimus täidetud seeläbi, et seal on </w:t>
      </w:r>
      <w:r w:rsidR="00A3232C">
        <w:rPr>
          <w:rFonts w:cs="Times New Roman"/>
          <w:lang w:eastAsia="et-EE"/>
        </w:rPr>
        <w:t>valguskaabelvõrgu</w:t>
      </w:r>
      <w:r w:rsidRPr="00883566">
        <w:rPr>
          <w:rFonts w:cs="Times New Roman"/>
          <w:lang w:eastAsia="et-EE"/>
        </w:rPr>
        <w:t xml:space="preserve"> kasutuselevõtu majanduslik otstarbekus väike ja linnalistes geograafilistes üksustes seeläbi, et seal eksisteerib reguleeritud ankurtoode, milleks on Telia sidekaablitaristule juurdepääsu hulgiteenused, vt ka tabel all olevaid selgitusi. Soovituse punktide 38 lõikudes a – c sätestatud tingimused  on maalistes ja linnalistes üksustes täidetud ühte moodi.</w:t>
      </w:r>
    </w:p>
    <w:tbl>
      <w:tblPr>
        <w:tblStyle w:val="Kontuurtabel"/>
        <w:tblW w:w="0" w:type="auto"/>
        <w:tblLook w:val="04A0" w:firstRow="1" w:lastRow="0" w:firstColumn="1" w:lastColumn="0" w:noHBand="0" w:noVBand="1"/>
      </w:tblPr>
      <w:tblGrid>
        <w:gridCol w:w="3267"/>
        <w:gridCol w:w="2964"/>
        <w:gridCol w:w="3119"/>
      </w:tblGrid>
      <w:tr w:rsidR="00F03958" w:rsidRPr="00883566" w14:paraId="231D32B2" w14:textId="77777777">
        <w:tc>
          <w:tcPr>
            <w:tcW w:w="0" w:type="auto"/>
          </w:tcPr>
          <w:p w14:paraId="39A0F712" w14:textId="77777777" w:rsidR="00F03958" w:rsidRPr="00883566" w:rsidRDefault="00F03958" w:rsidP="00AA241E">
            <w:pPr>
              <w:spacing w:before="240" w:after="120"/>
              <w:jc w:val="both"/>
              <w:rPr>
                <w:rFonts w:cs="Times New Roman"/>
                <w:b/>
                <w:bCs/>
                <w:lang w:eastAsia="et-EE"/>
              </w:rPr>
            </w:pPr>
            <w:r w:rsidRPr="00883566">
              <w:rPr>
                <w:rFonts w:cs="Times New Roman"/>
                <w:b/>
                <w:bCs/>
                <w:lang w:eastAsia="et-EE"/>
              </w:rPr>
              <w:t>EK 2024 kohustuste soovituse p 38 lg a – d tingimus</w:t>
            </w:r>
          </w:p>
        </w:tc>
        <w:tc>
          <w:tcPr>
            <w:tcW w:w="0" w:type="auto"/>
          </w:tcPr>
          <w:p w14:paraId="6F334BB9" w14:textId="77777777" w:rsidR="00F03958" w:rsidRPr="00883566" w:rsidRDefault="00F03958" w:rsidP="00AA241E">
            <w:pPr>
              <w:spacing w:before="240" w:after="120"/>
              <w:jc w:val="both"/>
              <w:rPr>
                <w:rFonts w:cs="Times New Roman"/>
                <w:b/>
                <w:bCs/>
                <w:lang w:eastAsia="et-EE"/>
              </w:rPr>
            </w:pPr>
            <w:r w:rsidRPr="00883566">
              <w:rPr>
                <w:rFonts w:cs="Times New Roman"/>
                <w:b/>
                <w:bCs/>
                <w:lang w:eastAsia="et-EE"/>
              </w:rPr>
              <w:t>B piirkonna maalised geograafilised üksused (15 maakonda, millest on välja arvatud linnalised geograafilised üksused)</w:t>
            </w:r>
          </w:p>
        </w:tc>
        <w:tc>
          <w:tcPr>
            <w:tcW w:w="0" w:type="auto"/>
          </w:tcPr>
          <w:p w14:paraId="1DECDE69" w14:textId="77777777" w:rsidR="00F03958" w:rsidRPr="00883566" w:rsidRDefault="00F03958" w:rsidP="00AA241E">
            <w:pPr>
              <w:spacing w:before="240" w:after="120"/>
              <w:jc w:val="both"/>
              <w:rPr>
                <w:rFonts w:cs="Times New Roman"/>
                <w:b/>
                <w:bCs/>
                <w:lang w:eastAsia="et-EE"/>
              </w:rPr>
            </w:pPr>
            <w:r w:rsidRPr="00883566">
              <w:rPr>
                <w:rFonts w:cs="Times New Roman"/>
                <w:b/>
                <w:bCs/>
                <w:lang w:eastAsia="et-EE"/>
              </w:rPr>
              <w:t>B piirkonna linnalised geograafilised üksused (23 üksust)</w:t>
            </w:r>
          </w:p>
        </w:tc>
      </w:tr>
      <w:tr w:rsidR="00F03958" w:rsidRPr="006077AF" w14:paraId="75EC59AC" w14:textId="77777777">
        <w:tc>
          <w:tcPr>
            <w:tcW w:w="0" w:type="auto"/>
          </w:tcPr>
          <w:p w14:paraId="322E9442" w14:textId="77777777" w:rsidR="00F03958" w:rsidRPr="00883566" w:rsidRDefault="00F03958" w:rsidP="00AA241E">
            <w:pPr>
              <w:spacing w:before="240" w:after="120"/>
              <w:jc w:val="both"/>
              <w:rPr>
                <w:rFonts w:cs="Times New Roman"/>
                <w:b/>
                <w:bCs/>
                <w:lang w:eastAsia="et-EE"/>
              </w:rPr>
            </w:pPr>
            <w:r w:rsidRPr="00883566">
              <w:rPr>
                <w:rFonts w:cs="Times New Roman"/>
                <w:b/>
                <w:bCs/>
                <w:lang w:eastAsia="et-EE"/>
              </w:rPr>
              <w:t>a) MTE-</w:t>
            </w:r>
            <w:proofErr w:type="spellStart"/>
            <w:r w:rsidRPr="00883566">
              <w:rPr>
                <w:rFonts w:cs="Times New Roman"/>
                <w:b/>
                <w:bCs/>
                <w:lang w:eastAsia="et-EE"/>
              </w:rPr>
              <w:t>le</w:t>
            </w:r>
            <w:proofErr w:type="spellEnd"/>
            <w:r w:rsidRPr="00883566">
              <w:rPr>
                <w:rFonts w:cs="Times New Roman"/>
                <w:b/>
                <w:bCs/>
                <w:lang w:eastAsia="et-EE"/>
              </w:rPr>
              <w:t xml:space="preserve"> kehtestatakse sisendite või väljundite võrdväärsuse kohustus</w:t>
            </w:r>
          </w:p>
        </w:tc>
        <w:tc>
          <w:tcPr>
            <w:tcW w:w="0" w:type="auto"/>
          </w:tcPr>
          <w:p w14:paraId="3FFA674B" w14:textId="1AE1C7DE" w:rsidR="00F03958" w:rsidRPr="00883566" w:rsidRDefault="00F03958" w:rsidP="00AA241E">
            <w:pPr>
              <w:spacing w:before="240" w:after="120"/>
              <w:jc w:val="both"/>
              <w:rPr>
                <w:rFonts w:cs="Times New Roman"/>
                <w:b/>
                <w:bCs/>
                <w:color w:val="00B050"/>
                <w:lang w:eastAsia="et-EE"/>
              </w:rPr>
            </w:pPr>
            <w:r w:rsidRPr="00883566">
              <w:rPr>
                <w:rFonts w:cs="Times New Roman"/>
                <w:b/>
                <w:bCs/>
                <w:color w:val="00B050"/>
                <w:lang w:eastAsia="et-EE"/>
              </w:rPr>
              <w:t xml:space="preserve">JAH, kehtestatakse väljundite võrdväärsuse kohustus, vt </w:t>
            </w:r>
            <w:r w:rsidR="008C159A">
              <w:rPr>
                <w:rFonts w:cs="Times New Roman"/>
                <w:b/>
                <w:bCs/>
                <w:color w:val="00B050"/>
                <w:lang w:eastAsia="et-EE"/>
              </w:rPr>
              <w:t xml:space="preserve">ptk. </w:t>
            </w:r>
            <w:r w:rsidR="00175F02">
              <w:rPr>
                <w:rFonts w:cs="Times New Roman"/>
                <w:b/>
                <w:bCs/>
                <w:color w:val="00B050"/>
                <w:lang w:eastAsia="et-EE"/>
              </w:rPr>
              <w:t>8.4.10</w:t>
            </w:r>
          </w:p>
        </w:tc>
        <w:tc>
          <w:tcPr>
            <w:tcW w:w="0" w:type="auto"/>
          </w:tcPr>
          <w:p w14:paraId="04596E62" w14:textId="46AB511C" w:rsidR="00F03958" w:rsidRPr="00883566" w:rsidRDefault="00F03958" w:rsidP="00AA241E">
            <w:pPr>
              <w:spacing w:before="240" w:after="120"/>
              <w:jc w:val="both"/>
              <w:rPr>
                <w:rFonts w:cs="Times New Roman"/>
                <w:b/>
                <w:bCs/>
                <w:color w:val="00B050"/>
                <w:lang w:eastAsia="et-EE"/>
              </w:rPr>
            </w:pPr>
            <w:r w:rsidRPr="00883566">
              <w:rPr>
                <w:rFonts w:cs="Times New Roman"/>
                <w:b/>
                <w:bCs/>
                <w:color w:val="00B050"/>
                <w:lang w:eastAsia="et-EE"/>
              </w:rPr>
              <w:t xml:space="preserve">JAH, kehtestataks väljundite võrdväärsuse kohustus, vt </w:t>
            </w:r>
            <w:r w:rsidR="008C159A">
              <w:rPr>
                <w:rFonts w:cs="Times New Roman"/>
                <w:b/>
                <w:bCs/>
                <w:color w:val="00B050"/>
                <w:lang w:eastAsia="et-EE"/>
              </w:rPr>
              <w:t xml:space="preserve">ptk. </w:t>
            </w:r>
            <w:r w:rsidR="00175F02">
              <w:rPr>
                <w:rFonts w:cs="Times New Roman"/>
                <w:b/>
                <w:bCs/>
                <w:color w:val="00B050"/>
                <w:lang w:eastAsia="et-EE"/>
              </w:rPr>
              <w:t>8.4.10</w:t>
            </w:r>
          </w:p>
        </w:tc>
      </w:tr>
      <w:tr w:rsidR="00F03958" w:rsidRPr="006077AF" w14:paraId="1C33A2C3" w14:textId="77777777">
        <w:tc>
          <w:tcPr>
            <w:tcW w:w="0" w:type="auto"/>
          </w:tcPr>
          <w:p w14:paraId="073924E8" w14:textId="77777777" w:rsidR="00F03958" w:rsidRPr="00883566" w:rsidRDefault="00F03958" w:rsidP="00AA241E">
            <w:pPr>
              <w:spacing w:before="240" w:after="120"/>
              <w:jc w:val="both"/>
              <w:rPr>
                <w:rFonts w:cs="Times New Roman"/>
                <w:b/>
                <w:bCs/>
                <w:lang w:eastAsia="et-EE"/>
              </w:rPr>
            </w:pPr>
            <w:r w:rsidRPr="00883566">
              <w:rPr>
                <w:rFonts w:cs="Times New Roman"/>
                <w:b/>
                <w:bCs/>
                <w:lang w:eastAsia="et-EE"/>
              </w:rPr>
              <w:t>b) MTE-</w:t>
            </w:r>
            <w:proofErr w:type="spellStart"/>
            <w:r w:rsidRPr="00883566">
              <w:rPr>
                <w:rFonts w:cs="Times New Roman"/>
                <w:b/>
                <w:bCs/>
                <w:lang w:eastAsia="et-EE"/>
              </w:rPr>
              <w:t>le</w:t>
            </w:r>
            <w:proofErr w:type="spellEnd"/>
            <w:r w:rsidRPr="00883566">
              <w:rPr>
                <w:rFonts w:cs="Times New Roman"/>
                <w:b/>
                <w:bCs/>
                <w:lang w:eastAsia="et-EE"/>
              </w:rPr>
              <w:t xml:space="preserve"> kehtestatakse tehnilise jäljendatavuse test, kui sisendite võrdväärsust täiel määral ei rakendata</w:t>
            </w:r>
          </w:p>
        </w:tc>
        <w:tc>
          <w:tcPr>
            <w:tcW w:w="0" w:type="auto"/>
          </w:tcPr>
          <w:p w14:paraId="364990DA" w14:textId="41A32054" w:rsidR="00F03958" w:rsidRPr="00883566" w:rsidRDefault="00F03958" w:rsidP="00AA241E">
            <w:pPr>
              <w:spacing w:before="240" w:after="120"/>
              <w:jc w:val="both"/>
              <w:rPr>
                <w:rFonts w:cs="Times New Roman"/>
                <w:b/>
                <w:bCs/>
                <w:color w:val="00B050"/>
                <w:lang w:eastAsia="et-EE"/>
              </w:rPr>
            </w:pPr>
            <w:r w:rsidRPr="00883566">
              <w:rPr>
                <w:rFonts w:cs="Times New Roman"/>
                <w:b/>
                <w:bCs/>
                <w:color w:val="00B050"/>
                <w:lang w:eastAsia="et-EE"/>
              </w:rPr>
              <w:t xml:space="preserve">JAH, kehtestatakse uute jaemüügipakkumiste tehnilise jäljendatavuse test, vt </w:t>
            </w:r>
            <w:r w:rsidR="008C159A">
              <w:rPr>
                <w:rFonts w:cs="Times New Roman"/>
                <w:b/>
                <w:bCs/>
                <w:color w:val="00B050"/>
                <w:lang w:eastAsia="et-EE"/>
              </w:rPr>
              <w:t xml:space="preserve">ptk. </w:t>
            </w:r>
            <w:r w:rsidR="00175F02">
              <w:rPr>
                <w:rFonts w:cs="Times New Roman"/>
                <w:b/>
                <w:bCs/>
                <w:color w:val="00B050"/>
                <w:lang w:eastAsia="et-EE"/>
              </w:rPr>
              <w:t>8.4.10</w:t>
            </w:r>
          </w:p>
        </w:tc>
        <w:tc>
          <w:tcPr>
            <w:tcW w:w="0" w:type="auto"/>
          </w:tcPr>
          <w:p w14:paraId="3F46DA5B" w14:textId="539F827C" w:rsidR="00F03958" w:rsidRPr="00883566" w:rsidRDefault="00F03958" w:rsidP="00AA241E">
            <w:pPr>
              <w:spacing w:before="240" w:after="120"/>
              <w:jc w:val="both"/>
              <w:rPr>
                <w:rFonts w:cs="Times New Roman"/>
                <w:b/>
                <w:bCs/>
                <w:color w:val="00B050"/>
                <w:lang w:eastAsia="et-EE"/>
              </w:rPr>
            </w:pPr>
            <w:r w:rsidRPr="00883566">
              <w:rPr>
                <w:rFonts w:cs="Times New Roman"/>
                <w:b/>
                <w:bCs/>
                <w:color w:val="00B050"/>
                <w:lang w:eastAsia="et-EE"/>
              </w:rPr>
              <w:t xml:space="preserve">JAH, kehtestatakse uute jaemüügipakkumiste tehnilise jäljendatavuse test, vt </w:t>
            </w:r>
            <w:r w:rsidR="008C159A">
              <w:rPr>
                <w:rFonts w:cs="Times New Roman"/>
                <w:b/>
                <w:bCs/>
                <w:color w:val="00B050"/>
                <w:lang w:eastAsia="et-EE"/>
              </w:rPr>
              <w:t xml:space="preserve">ptk. </w:t>
            </w:r>
            <w:r w:rsidR="00175F02">
              <w:rPr>
                <w:rFonts w:cs="Times New Roman"/>
                <w:b/>
                <w:bCs/>
                <w:color w:val="00B050"/>
                <w:lang w:eastAsia="et-EE"/>
              </w:rPr>
              <w:t>8.4.10</w:t>
            </w:r>
          </w:p>
        </w:tc>
      </w:tr>
      <w:tr w:rsidR="00F03958" w:rsidRPr="006077AF" w14:paraId="1FDC58B2" w14:textId="77777777">
        <w:tc>
          <w:tcPr>
            <w:tcW w:w="0" w:type="auto"/>
          </w:tcPr>
          <w:p w14:paraId="03F7D42E" w14:textId="77777777" w:rsidR="00F03958" w:rsidRPr="00883566" w:rsidRDefault="00F03958" w:rsidP="00AA241E">
            <w:pPr>
              <w:spacing w:before="240" w:after="120"/>
              <w:jc w:val="both"/>
              <w:rPr>
                <w:rFonts w:cs="Times New Roman"/>
                <w:b/>
                <w:bCs/>
                <w:lang w:eastAsia="et-EE"/>
              </w:rPr>
            </w:pPr>
            <w:r w:rsidRPr="00883566">
              <w:rPr>
                <w:rFonts w:cs="Times New Roman"/>
                <w:b/>
                <w:bCs/>
                <w:lang w:eastAsia="et-EE"/>
              </w:rPr>
              <w:t>c) MTE-</w:t>
            </w:r>
            <w:proofErr w:type="spellStart"/>
            <w:r w:rsidRPr="00883566">
              <w:rPr>
                <w:rFonts w:cs="Times New Roman"/>
                <w:b/>
                <w:bCs/>
                <w:lang w:eastAsia="et-EE"/>
              </w:rPr>
              <w:t>le</w:t>
            </w:r>
            <w:proofErr w:type="spellEnd"/>
            <w:r w:rsidRPr="00883566">
              <w:rPr>
                <w:rFonts w:cs="Times New Roman"/>
                <w:b/>
                <w:bCs/>
                <w:lang w:eastAsia="et-EE"/>
              </w:rPr>
              <w:t xml:space="preserve"> kehtestatakse majandusliku jäljendatavuse test</w:t>
            </w:r>
          </w:p>
        </w:tc>
        <w:tc>
          <w:tcPr>
            <w:tcW w:w="0" w:type="auto"/>
          </w:tcPr>
          <w:p w14:paraId="5593AB2C" w14:textId="3F2DA08C" w:rsidR="00F03958" w:rsidRPr="00883566" w:rsidRDefault="00F03958" w:rsidP="00AA241E">
            <w:pPr>
              <w:spacing w:before="240" w:after="120"/>
              <w:jc w:val="both"/>
              <w:rPr>
                <w:rFonts w:cs="Times New Roman"/>
                <w:b/>
                <w:bCs/>
                <w:color w:val="7030A0"/>
                <w:lang w:eastAsia="et-EE"/>
              </w:rPr>
            </w:pPr>
            <w:r w:rsidRPr="00883566">
              <w:rPr>
                <w:rFonts w:cs="Times New Roman"/>
                <w:b/>
                <w:bCs/>
                <w:color w:val="00B050"/>
                <w:lang w:eastAsia="et-EE"/>
              </w:rPr>
              <w:t xml:space="preserve">JAH, TTJA kavandab vastava kohustuse kehtestamist pärast otsuse vastu võtmist, vt alltoodud </w:t>
            </w:r>
            <w:r w:rsidR="00175F02">
              <w:rPr>
                <w:rFonts w:cs="Times New Roman"/>
                <w:b/>
                <w:bCs/>
                <w:color w:val="00B050"/>
                <w:lang w:eastAsia="et-EE"/>
              </w:rPr>
              <w:t xml:space="preserve">selgitusi ja </w:t>
            </w:r>
            <w:r w:rsidR="008C159A">
              <w:rPr>
                <w:rFonts w:cs="Times New Roman"/>
                <w:b/>
                <w:bCs/>
                <w:color w:val="00B050"/>
                <w:lang w:eastAsia="et-EE"/>
              </w:rPr>
              <w:t xml:space="preserve">ptk. </w:t>
            </w:r>
            <w:r w:rsidR="00175F02">
              <w:rPr>
                <w:rFonts w:cs="Times New Roman"/>
                <w:b/>
                <w:bCs/>
                <w:color w:val="00B050"/>
                <w:lang w:eastAsia="et-EE"/>
              </w:rPr>
              <w:t>8.6.4</w:t>
            </w:r>
          </w:p>
        </w:tc>
        <w:tc>
          <w:tcPr>
            <w:tcW w:w="0" w:type="auto"/>
          </w:tcPr>
          <w:p w14:paraId="1D1A953F" w14:textId="165F6C2F" w:rsidR="00F03958" w:rsidRPr="00883566" w:rsidRDefault="00F03958" w:rsidP="00AA241E">
            <w:pPr>
              <w:spacing w:before="240" w:after="120"/>
              <w:jc w:val="both"/>
              <w:rPr>
                <w:rFonts w:cs="Times New Roman"/>
                <w:b/>
                <w:bCs/>
                <w:color w:val="7030A0"/>
                <w:lang w:eastAsia="et-EE"/>
              </w:rPr>
            </w:pPr>
            <w:r w:rsidRPr="00883566">
              <w:rPr>
                <w:rFonts w:cs="Times New Roman"/>
                <w:b/>
                <w:bCs/>
                <w:color w:val="00B050"/>
                <w:lang w:eastAsia="et-EE"/>
              </w:rPr>
              <w:t>JAH, TTJA kavandab vastava kohustuse kehtestamist pärast otsuse vastu võtmist, vt alltoodud selgitusi</w:t>
            </w:r>
            <w:r w:rsidR="00175F02">
              <w:rPr>
                <w:rFonts w:cs="Times New Roman"/>
                <w:b/>
                <w:bCs/>
                <w:color w:val="00B050"/>
                <w:lang w:eastAsia="et-EE"/>
              </w:rPr>
              <w:t xml:space="preserve"> ja </w:t>
            </w:r>
            <w:r w:rsidR="008C159A">
              <w:rPr>
                <w:rFonts w:cs="Times New Roman"/>
                <w:b/>
                <w:bCs/>
                <w:color w:val="00B050"/>
                <w:lang w:eastAsia="et-EE"/>
              </w:rPr>
              <w:t xml:space="preserve">ptk. </w:t>
            </w:r>
            <w:r w:rsidR="00175F02">
              <w:rPr>
                <w:rFonts w:cs="Times New Roman"/>
                <w:b/>
                <w:bCs/>
                <w:color w:val="00B050"/>
                <w:lang w:eastAsia="et-EE"/>
              </w:rPr>
              <w:t>8.6.4</w:t>
            </w:r>
          </w:p>
        </w:tc>
      </w:tr>
      <w:tr w:rsidR="00F03958" w:rsidRPr="006077AF" w14:paraId="034A67D4" w14:textId="77777777">
        <w:tc>
          <w:tcPr>
            <w:tcW w:w="0" w:type="auto"/>
          </w:tcPr>
          <w:p w14:paraId="63437117" w14:textId="6C8BCE36" w:rsidR="00F03958" w:rsidRPr="00883566" w:rsidRDefault="00F03958" w:rsidP="00AA241E">
            <w:pPr>
              <w:spacing w:before="240" w:after="120"/>
              <w:jc w:val="both"/>
              <w:rPr>
                <w:rFonts w:cs="Times New Roman"/>
                <w:b/>
                <w:bCs/>
                <w:lang w:eastAsia="et-EE"/>
              </w:rPr>
            </w:pPr>
            <w:r w:rsidRPr="00883566">
              <w:rPr>
                <w:rFonts w:cs="Times New Roman"/>
                <w:b/>
                <w:bCs/>
                <w:lang w:eastAsia="et-EE"/>
              </w:rPr>
              <w:t xml:space="preserve">d) On olemas jaehinnapiirang (vähemalt üks alltoodud punktides i – iii toodud tingimuse peab olema </w:t>
            </w:r>
            <w:r w:rsidRPr="00883566">
              <w:rPr>
                <w:rFonts w:cs="Times New Roman"/>
                <w:b/>
                <w:bCs/>
                <w:lang w:eastAsia="et-EE"/>
              </w:rPr>
              <w:lastRenderedPageBreak/>
              <w:t xml:space="preserve">täidetud) või </w:t>
            </w:r>
            <w:r w:rsidR="00A3232C">
              <w:rPr>
                <w:rFonts w:cs="Times New Roman"/>
                <w:b/>
                <w:bCs/>
                <w:lang w:eastAsia="et-EE"/>
              </w:rPr>
              <w:t>valguskaabelvõrgu</w:t>
            </w:r>
            <w:r w:rsidRPr="00883566">
              <w:rPr>
                <w:rFonts w:cs="Times New Roman"/>
                <w:b/>
                <w:bCs/>
                <w:lang w:eastAsia="et-EE"/>
              </w:rPr>
              <w:t xml:space="preserve">  kasutuselevõtu majanduslik otstarbekus on väike (alltoodud punkt iv)</w:t>
            </w:r>
          </w:p>
        </w:tc>
        <w:tc>
          <w:tcPr>
            <w:tcW w:w="0" w:type="auto"/>
          </w:tcPr>
          <w:p w14:paraId="2D5663B0" w14:textId="331525E7" w:rsidR="00F03958" w:rsidRPr="00883566" w:rsidRDefault="00F03958" w:rsidP="00AA241E">
            <w:pPr>
              <w:spacing w:before="240" w:after="120"/>
              <w:jc w:val="both"/>
              <w:rPr>
                <w:rFonts w:cs="Times New Roman"/>
                <w:b/>
                <w:bCs/>
                <w:lang w:eastAsia="et-EE"/>
              </w:rPr>
            </w:pPr>
            <w:r w:rsidRPr="00883566">
              <w:rPr>
                <w:rFonts w:cs="Times New Roman"/>
                <w:b/>
                <w:bCs/>
                <w:color w:val="00B050"/>
                <w:lang w:eastAsia="et-EE"/>
              </w:rPr>
              <w:lastRenderedPageBreak/>
              <w:t xml:space="preserve">JAH, kuna </w:t>
            </w:r>
            <w:r w:rsidR="00A3232C">
              <w:rPr>
                <w:rFonts w:cs="Times New Roman"/>
                <w:b/>
                <w:bCs/>
                <w:color w:val="00B050"/>
                <w:lang w:eastAsia="et-EE"/>
              </w:rPr>
              <w:t>valguskaabelvõrgu</w:t>
            </w:r>
            <w:r w:rsidRPr="00883566">
              <w:rPr>
                <w:rFonts w:cs="Times New Roman"/>
                <w:b/>
                <w:bCs/>
                <w:color w:val="00B050"/>
                <w:lang w:eastAsia="et-EE"/>
              </w:rPr>
              <w:t xml:space="preserve"> kasutuselevõtu majanduslik otstarbekus </w:t>
            </w:r>
            <w:r w:rsidRPr="00883566">
              <w:rPr>
                <w:rFonts w:cs="Times New Roman"/>
                <w:b/>
                <w:bCs/>
                <w:color w:val="00B050"/>
                <w:lang w:eastAsia="et-EE"/>
              </w:rPr>
              <w:lastRenderedPageBreak/>
              <w:t>on väike, vt alltoodud punkti (iv) selgitusi</w:t>
            </w:r>
          </w:p>
        </w:tc>
        <w:tc>
          <w:tcPr>
            <w:tcW w:w="0" w:type="auto"/>
          </w:tcPr>
          <w:p w14:paraId="663B12BA" w14:textId="77777777" w:rsidR="00F03958" w:rsidRPr="00883566" w:rsidRDefault="00F03958" w:rsidP="00AA241E">
            <w:pPr>
              <w:spacing w:before="240" w:after="120"/>
              <w:jc w:val="both"/>
              <w:rPr>
                <w:rFonts w:cs="Times New Roman"/>
                <w:b/>
                <w:bCs/>
                <w:lang w:eastAsia="et-EE"/>
              </w:rPr>
            </w:pPr>
            <w:r w:rsidRPr="00883566">
              <w:rPr>
                <w:rFonts w:cs="Times New Roman"/>
                <w:b/>
                <w:bCs/>
                <w:color w:val="00B050"/>
                <w:lang w:eastAsia="et-EE"/>
              </w:rPr>
              <w:lastRenderedPageBreak/>
              <w:t xml:space="preserve">JAH, kuna eksisteerib reguleeritud ankurtoode, milleks on Telia sidekaablitaristule </w:t>
            </w:r>
            <w:r w:rsidRPr="00883566">
              <w:rPr>
                <w:rFonts w:cs="Times New Roman"/>
                <w:b/>
                <w:bCs/>
                <w:color w:val="00B050"/>
                <w:lang w:eastAsia="et-EE"/>
              </w:rPr>
              <w:lastRenderedPageBreak/>
              <w:t>juurdepääsu hulgiteenused, vt alltoodud punkti (iii) selgitusi</w:t>
            </w:r>
          </w:p>
        </w:tc>
      </w:tr>
      <w:tr w:rsidR="00F03958" w:rsidRPr="00883566" w14:paraId="437FEC20" w14:textId="77777777">
        <w:tc>
          <w:tcPr>
            <w:tcW w:w="0" w:type="auto"/>
          </w:tcPr>
          <w:p w14:paraId="587DE5F6" w14:textId="77777777" w:rsidR="00F03958" w:rsidRPr="00883566" w:rsidRDefault="00F03958" w:rsidP="00AA241E">
            <w:pPr>
              <w:spacing w:before="240" w:after="120"/>
              <w:jc w:val="both"/>
              <w:rPr>
                <w:rFonts w:cs="Times New Roman"/>
                <w:i/>
                <w:iCs/>
                <w:lang w:eastAsia="et-EE"/>
              </w:rPr>
            </w:pPr>
            <w:r w:rsidRPr="00883566">
              <w:rPr>
                <w:rFonts w:cs="Times New Roman"/>
                <w:i/>
                <w:iCs/>
                <w:lang w:eastAsia="et-EE"/>
              </w:rPr>
              <w:lastRenderedPageBreak/>
              <w:t>i) eksisteerib taristupõhine (sidevõrkude) konkurents, mis tuleneb jaeteenuste pakkumisest alternatiivse(te) taristu(te) kaudu, mida ei kontrolli MTE</w:t>
            </w:r>
          </w:p>
        </w:tc>
        <w:tc>
          <w:tcPr>
            <w:tcW w:w="0" w:type="auto"/>
          </w:tcPr>
          <w:p w14:paraId="70EC062D" w14:textId="77777777" w:rsidR="00F03958" w:rsidRPr="00883566" w:rsidRDefault="00F03958" w:rsidP="00AA241E">
            <w:pPr>
              <w:spacing w:before="240" w:after="120"/>
              <w:jc w:val="both"/>
              <w:rPr>
                <w:rFonts w:cs="Times New Roman"/>
                <w:i/>
                <w:iCs/>
                <w:color w:val="FF0000"/>
                <w:lang w:eastAsia="et-EE"/>
              </w:rPr>
            </w:pPr>
            <w:r w:rsidRPr="00883566">
              <w:rPr>
                <w:rFonts w:cs="Times New Roman"/>
                <w:i/>
                <w:iCs/>
                <w:color w:val="FF0000"/>
                <w:lang w:eastAsia="et-EE"/>
              </w:rPr>
              <w:t>EI, vt tabeli all toodud selgitusi</w:t>
            </w:r>
          </w:p>
        </w:tc>
        <w:tc>
          <w:tcPr>
            <w:tcW w:w="0" w:type="auto"/>
          </w:tcPr>
          <w:p w14:paraId="29B5EE33" w14:textId="77777777" w:rsidR="00F03958" w:rsidRPr="00883566" w:rsidRDefault="00F03958" w:rsidP="00AA241E">
            <w:pPr>
              <w:spacing w:before="240" w:after="120"/>
              <w:jc w:val="both"/>
              <w:rPr>
                <w:rFonts w:cs="Times New Roman"/>
                <w:i/>
                <w:iCs/>
                <w:color w:val="FF0000"/>
                <w:lang w:eastAsia="et-EE"/>
              </w:rPr>
            </w:pPr>
            <w:r w:rsidRPr="00883566">
              <w:rPr>
                <w:rFonts w:cs="Times New Roman"/>
                <w:i/>
                <w:iCs/>
                <w:color w:val="FF0000"/>
                <w:lang w:eastAsia="et-EE"/>
              </w:rPr>
              <w:t>EI, vt tabeli all toodud selgitusi</w:t>
            </w:r>
          </w:p>
        </w:tc>
      </w:tr>
      <w:tr w:rsidR="00F03958" w:rsidRPr="00883566" w14:paraId="68C016D9" w14:textId="77777777">
        <w:tc>
          <w:tcPr>
            <w:tcW w:w="0" w:type="auto"/>
          </w:tcPr>
          <w:p w14:paraId="1D925A0C" w14:textId="77777777" w:rsidR="00F03958" w:rsidRPr="00883566" w:rsidRDefault="00F03958" w:rsidP="00AA241E">
            <w:pPr>
              <w:spacing w:before="240" w:after="120"/>
              <w:jc w:val="both"/>
              <w:rPr>
                <w:rFonts w:cs="Times New Roman"/>
                <w:i/>
                <w:iCs/>
                <w:lang w:eastAsia="et-EE"/>
              </w:rPr>
            </w:pPr>
            <w:r w:rsidRPr="00883566">
              <w:rPr>
                <w:rFonts w:cs="Times New Roman"/>
                <w:i/>
                <w:iCs/>
                <w:lang w:eastAsia="et-EE"/>
              </w:rPr>
              <w:t>ii) geograafilisest uuringust tulenevad selged ja realistlikud kohustused alternatiivsete sidevõrkude kasutuselevõtuks, et hõlmata turu läbivaatamise perioodi jooksul märkimisväärne osa piirkonnast</w:t>
            </w:r>
          </w:p>
        </w:tc>
        <w:tc>
          <w:tcPr>
            <w:tcW w:w="0" w:type="auto"/>
          </w:tcPr>
          <w:p w14:paraId="129550B5" w14:textId="77777777" w:rsidR="00F03958" w:rsidRPr="00883566" w:rsidRDefault="00F03958" w:rsidP="00AA241E">
            <w:pPr>
              <w:spacing w:before="240" w:after="120"/>
              <w:jc w:val="both"/>
              <w:rPr>
                <w:rFonts w:cs="Times New Roman"/>
                <w:i/>
                <w:iCs/>
                <w:lang w:eastAsia="et-EE"/>
              </w:rPr>
            </w:pPr>
            <w:r w:rsidRPr="00883566">
              <w:rPr>
                <w:rFonts w:cs="Times New Roman"/>
                <w:i/>
                <w:iCs/>
                <w:color w:val="FF0000"/>
                <w:lang w:eastAsia="et-EE"/>
              </w:rPr>
              <w:t>EI, vt tabeli all toodud selgitusi</w:t>
            </w:r>
          </w:p>
        </w:tc>
        <w:tc>
          <w:tcPr>
            <w:tcW w:w="0" w:type="auto"/>
          </w:tcPr>
          <w:p w14:paraId="0545FB23" w14:textId="77777777" w:rsidR="00F03958" w:rsidRPr="00883566" w:rsidRDefault="00F03958" w:rsidP="00AA241E">
            <w:pPr>
              <w:spacing w:before="240" w:after="120"/>
              <w:jc w:val="both"/>
              <w:rPr>
                <w:rFonts w:cs="Times New Roman"/>
                <w:i/>
                <w:iCs/>
                <w:lang w:eastAsia="et-EE"/>
              </w:rPr>
            </w:pPr>
            <w:r w:rsidRPr="00883566">
              <w:rPr>
                <w:rFonts w:cs="Times New Roman"/>
                <w:i/>
                <w:iCs/>
                <w:color w:val="FF0000"/>
                <w:lang w:eastAsia="et-EE"/>
              </w:rPr>
              <w:t>EI, vt tabeli all toodud selgitusi</w:t>
            </w:r>
          </w:p>
        </w:tc>
      </w:tr>
      <w:tr w:rsidR="00F03958" w:rsidRPr="00883566" w14:paraId="367605C8" w14:textId="77777777">
        <w:tc>
          <w:tcPr>
            <w:tcW w:w="0" w:type="auto"/>
          </w:tcPr>
          <w:p w14:paraId="2C397852" w14:textId="77777777" w:rsidR="00F03958" w:rsidRPr="00883566" w:rsidRDefault="00F03958" w:rsidP="00AA241E">
            <w:pPr>
              <w:spacing w:before="240" w:after="120"/>
              <w:jc w:val="both"/>
              <w:rPr>
                <w:rFonts w:cs="Times New Roman"/>
                <w:i/>
                <w:iCs/>
                <w:lang w:eastAsia="et-EE"/>
              </w:rPr>
            </w:pPr>
            <w:r w:rsidRPr="00883566">
              <w:rPr>
                <w:rFonts w:cs="Times New Roman"/>
                <w:i/>
                <w:iCs/>
                <w:lang w:eastAsia="et-EE"/>
              </w:rPr>
              <w:t xml:space="preserve">iii) eksisteerib reguleeritud ankurtoode hulgitasandil </w:t>
            </w:r>
          </w:p>
        </w:tc>
        <w:tc>
          <w:tcPr>
            <w:tcW w:w="0" w:type="auto"/>
          </w:tcPr>
          <w:p w14:paraId="33C9B470" w14:textId="77777777" w:rsidR="00F03958" w:rsidRPr="00883566" w:rsidRDefault="00F03958" w:rsidP="00AA241E">
            <w:pPr>
              <w:spacing w:before="240" w:after="120"/>
              <w:jc w:val="both"/>
              <w:rPr>
                <w:rFonts w:cs="Times New Roman"/>
                <w:i/>
                <w:iCs/>
                <w:color w:val="FF0000"/>
                <w:lang w:eastAsia="et-EE"/>
              </w:rPr>
            </w:pPr>
            <w:r w:rsidRPr="00883566">
              <w:rPr>
                <w:rFonts w:cs="Times New Roman"/>
                <w:i/>
                <w:iCs/>
                <w:color w:val="FF0000"/>
                <w:lang w:eastAsia="et-EE"/>
              </w:rPr>
              <w:t>EI, vt tabeli all toodud selgitusi</w:t>
            </w:r>
          </w:p>
        </w:tc>
        <w:tc>
          <w:tcPr>
            <w:tcW w:w="0" w:type="auto"/>
          </w:tcPr>
          <w:p w14:paraId="5C1BED93" w14:textId="77777777" w:rsidR="00F03958" w:rsidRPr="00883566" w:rsidRDefault="00F03958" w:rsidP="00AA241E">
            <w:pPr>
              <w:spacing w:before="240" w:after="120"/>
              <w:jc w:val="both"/>
              <w:rPr>
                <w:rFonts w:cs="Times New Roman"/>
                <w:i/>
                <w:iCs/>
                <w:color w:val="FF0000"/>
                <w:lang w:eastAsia="et-EE"/>
              </w:rPr>
            </w:pPr>
            <w:r w:rsidRPr="00883566">
              <w:rPr>
                <w:rFonts w:cs="Times New Roman"/>
                <w:i/>
                <w:iCs/>
                <w:color w:val="00B050"/>
                <w:lang w:eastAsia="et-EE"/>
              </w:rPr>
              <w:t>JAH, vt tabeli all toodud selgitusi</w:t>
            </w:r>
          </w:p>
        </w:tc>
      </w:tr>
      <w:tr w:rsidR="00F03958" w:rsidRPr="00883566" w14:paraId="41D61C4A" w14:textId="77777777">
        <w:tc>
          <w:tcPr>
            <w:tcW w:w="0" w:type="auto"/>
          </w:tcPr>
          <w:p w14:paraId="68C89A47" w14:textId="55AA7DF0" w:rsidR="00F03958" w:rsidRPr="00883566" w:rsidRDefault="00F03958" w:rsidP="00AA241E">
            <w:pPr>
              <w:spacing w:before="240" w:after="120"/>
              <w:jc w:val="both"/>
              <w:rPr>
                <w:rFonts w:cs="Times New Roman"/>
                <w:i/>
                <w:iCs/>
                <w:lang w:eastAsia="et-EE"/>
              </w:rPr>
            </w:pPr>
            <w:r w:rsidRPr="00883566">
              <w:rPr>
                <w:rFonts w:cs="Times New Roman"/>
                <w:i/>
                <w:iCs/>
                <w:lang w:eastAsia="et-EE"/>
              </w:rPr>
              <w:t xml:space="preserve">iv) </w:t>
            </w:r>
            <w:r w:rsidR="00A3232C">
              <w:rPr>
                <w:rFonts w:cs="Times New Roman"/>
                <w:i/>
                <w:iCs/>
                <w:lang w:eastAsia="et-EE"/>
              </w:rPr>
              <w:t>valguskaabelvõrgu</w:t>
            </w:r>
            <w:r w:rsidRPr="00883566">
              <w:rPr>
                <w:rFonts w:cs="Times New Roman"/>
                <w:i/>
                <w:iCs/>
                <w:lang w:eastAsia="et-EE"/>
              </w:rPr>
              <w:t xml:space="preserve">  kasutuselevõtu majanduslik otstarbekus on väike isegi siis, kui vastavas piirkonnas regulatsioon puuduks, näiteks hõreda asustustihedusega piirkondade puhul</w:t>
            </w:r>
          </w:p>
        </w:tc>
        <w:tc>
          <w:tcPr>
            <w:tcW w:w="0" w:type="auto"/>
          </w:tcPr>
          <w:p w14:paraId="72D380B6" w14:textId="77777777" w:rsidR="00F03958" w:rsidRPr="00883566" w:rsidRDefault="00F03958" w:rsidP="00AA241E">
            <w:pPr>
              <w:spacing w:before="240" w:after="120"/>
              <w:jc w:val="both"/>
              <w:rPr>
                <w:rFonts w:cs="Times New Roman"/>
                <w:i/>
                <w:iCs/>
                <w:color w:val="FF0000"/>
                <w:lang w:eastAsia="et-EE"/>
              </w:rPr>
            </w:pPr>
            <w:r w:rsidRPr="00883566">
              <w:rPr>
                <w:rFonts w:cs="Times New Roman"/>
                <w:i/>
                <w:iCs/>
                <w:color w:val="00B050"/>
                <w:lang w:eastAsia="et-EE"/>
              </w:rPr>
              <w:t>JAH, vt tabeli all toodud selgitusi</w:t>
            </w:r>
          </w:p>
        </w:tc>
        <w:tc>
          <w:tcPr>
            <w:tcW w:w="0" w:type="auto"/>
          </w:tcPr>
          <w:p w14:paraId="36FDCE0A" w14:textId="77777777" w:rsidR="00F03958" w:rsidRPr="00883566" w:rsidRDefault="00F03958" w:rsidP="00AA241E">
            <w:pPr>
              <w:spacing w:before="240" w:after="120"/>
              <w:jc w:val="both"/>
              <w:rPr>
                <w:rFonts w:cs="Times New Roman"/>
                <w:i/>
                <w:iCs/>
                <w:color w:val="0070C0"/>
                <w:lang w:eastAsia="et-EE"/>
              </w:rPr>
            </w:pPr>
            <w:r w:rsidRPr="0063430D">
              <w:rPr>
                <w:rFonts w:cs="Times New Roman"/>
                <w:i/>
                <w:iCs/>
                <w:color w:val="FF0000"/>
                <w:lang w:eastAsia="et-EE"/>
              </w:rPr>
              <w:t xml:space="preserve">EI, vt tabel all toodud selgitusi </w:t>
            </w:r>
          </w:p>
        </w:tc>
      </w:tr>
    </w:tbl>
    <w:p w14:paraId="4E0827BC" w14:textId="631C21F7" w:rsidR="00F03958" w:rsidRPr="00883566" w:rsidRDefault="00247D84" w:rsidP="00AA241E">
      <w:pPr>
        <w:pStyle w:val="Pealdis"/>
        <w:jc w:val="both"/>
        <w:rPr>
          <w:lang w:eastAsia="et-EE"/>
        </w:rPr>
      </w:pPr>
      <w:r>
        <w:t xml:space="preserve">Tabel </w:t>
      </w:r>
      <w:r>
        <w:fldChar w:fldCharType="begin"/>
      </w:r>
      <w:r>
        <w:instrText xml:space="preserve"> SEQ Tabel \* ARABIC </w:instrText>
      </w:r>
      <w:r>
        <w:fldChar w:fldCharType="separate"/>
      </w:r>
      <w:r>
        <w:rPr>
          <w:noProof/>
        </w:rPr>
        <w:t>47</w:t>
      </w:r>
      <w:r>
        <w:fldChar w:fldCharType="end"/>
      </w:r>
      <w:r>
        <w:t xml:space="preserve"> </w:t>
      </w:r>
      <w:r w:rsidR="00F03958" w:rsidRPr="00883566">
        <w:rPr>
          <w:lang w:eastAsia="et-EE"/>
        </w:rPr>
        <w:t>EK 2024 kohustuste soovituse punkti 38 lõikude a – d koos alamlõikudega täitmise ülevaade</w:t>
      </w:r>
    </w:p>
    <w:p w14:paraId="29E943DF" w14:textId="77777777" w:rsidR="00F03958" w:rsidRPr="00883566" w:rsidRDefault="00F03958" w:rsidP="00AA241E">
      <w:pPr>
        <w:spacing w:before="240" w:after="120"/>
        <w:jc w:val="both"/>
        <w:rPr>
          <w:rFonts w:cs="Times New Roman"/>
          <w:b/>
          <w:bCs/>
          <w:lang w:eastAsia="et-EE"/>
        </w:rPr>
      </w:pPr>
      <w:r w:rsidRPr="00883566">
        <w:rPr>
          <w:rFonts w:cs="Times New Roman"/>
          <w:b/>
          <w:bCs/>
          <w:lang w:eastAsia="et-EE"/>
        </w:rPr>
        <w:t>EK kohustuste soovituse punkt 38 lõikes d sätestatud tegurid ja punktis 40 sätestatud asjaolu, millest vähemalt ühe olemasolul, tuleks loobuda hulgituru 3b teenuste hindade reguleerimisest, on täidetud või mitte täidetud järgmiselt:</w:t>
      </w:r>
    </w:p>
    <w:p w14:paraId="74DD7D0D" w14:textId="77777777" w:rsidR="00F03958" w:rsidRPr="00883566" w:rsidRDefault="00F03958" w:rsidP="00AA241E">
      <w:pPr>
        <w:spacing w:before="240" w:after="120"/>
        <w:ind w:left="720"/>
        <w:jc w:val="both"/>
        <w:rPr>
          <w:rFonts w:cs="Times New Roman"/>
          <w:lang w:eastAsia="et-EE"/>
        </w:rPr>
      </w:pPr>
      <w:r w:rsidRPr="00883566">
        <w:rPr>
          <w:rFonts w:cs="Times New Roman"/>
          <w:lang w:eastAsia="et-EE"/>
        </w:rPr>
        <w:t xml:space="preserve">i) </w:t>
      </w:r>
      <w:r w:rsidRPr="00883566">
        <w:rPr>
          <w:rFonts w:cs="Times New Roman"/>
          <w:b/>
          <w:bCs/>
          <w:lang w:eastAsia="et-EE"/>
        </w:rPr>
        <w:t>B piirkonna valguskaablivõrkudes puudub taristupõhine (erinevate valguskaablivõrkude vaheline) konkurents</w:t>
      </w:r>
      <w:r w:rsidRPr="00883566">
        <w:rPr>
          <w:rFonts w:cs="Times New Roman"/>
          <w:lang w:eastAsia="et-EE"/>
        </w:rPr>
        <w:t xml:space="preserve">, mis tuleneb jaeteenuste pakkumisest alternatiivse(te) taristu(te) (alternatiivsete valguskaablivõrkude) kaudu, mida ei kontrolli MTE, kuna </w:t>
      </w:r>
    </w:p>
    <w:p w14:paraId="70136104" w14:textId="1E03E3E3" w:rsidR="00F03958" w:rsidRPr="00883566" w:rsidRDefault="00F03958" w:rsidP="00AA241E">
      <w:pPr>
        <w:spacing w:before="240" w:after="120"/>
        <w:ind w:left="1440"/>
        <w:jc w:val="both"/>
        <w:rPr>
          <w:rFonts w:cs="Times New Roman"/>
          <w:lang w:eastAsia="et-EE"/>
        </w:rPr>
      </w:pPr>
      <w:r w:rsidRPr="00883566">
        <w:rPr>
          <w:rFonts w:cs="Times New Roman"/>
          <w:lang w:eastAsia="et-EE"/>
        </w:rPr>
        <w:lastRenderedPageBreak/>
        <w:t xml:space="preserve">a) ainult ca 20% elu- ja mitteeluruumidest on kaetud kahe erineva sideettevõtja internetiühenduse liitumise võimalusega </w:t>
      </w:r>
      <w:r w:rsidR="00A3232C">
        <w:rPr>
          <w:rFonts w:cs="Times New Roman"/>
          <w:lang w:eastAsia="et-EE"/>
        </w:rPr>
        <w:t>valguskaabelvõrgu</w:t>
      </w:r>
      <w:r w:rsidRPr="00883566">
        <w:rPr>
          <w:rFonts w:cs="Times New Roman"/>
          <w:lang w:eastAsia="et-EE"/>
        </w:rPr>
        <w:t xml:space="preserve">s, vt </w:t>
      </w:r>
      <w:r w:rsidR="008C159A">
        <w:rPr>
          <w:rFonts w:cs="Times New Roman"/>
          <w:lang w:eastAsia="et-EE"/>
        </w:rPr>
        <w:t xml:space="preserve">ptk. </w:t>
      </w:r>
      <w:r w:rsidR="00174CB7">
        <w:rPr>
          <w:rFonts w:cs="Times New Roman"/>
          <w:lang w:eastAsia="et-EE"/>
        </w:rPr>
        <w:t>2.3.</w:t>
      </w:r>
      <w:r w:rsidR="00175F02">
        <w:rPr>
          <w:rFonts w:cs="Times New Roman"/>
          <w:lang w:eastAsia="et-EE"/>
        </w:rPr>
        <w:t>5</w:t>
      </w:r>
      <w:r w:rsidR="00174CB7" w:rsidRPr="00883566">
        <w:rPr>
          <w:rFonts w:cs="Times New Roman"/>
          <w:lang w:eastAsia="et-EE"/>
        </w:rPr>
        <w:t xml:space="preserve"> </w:t>
      </w:r>
      <w:r w:rsidR="00174CB7">
        <w:rPr>
          <w:rFonts w:cs="Times New Roman"/>
          <w:lang w:eastAsia="et-EE"/>
        </w:rPr>
        <w:t>T</w:t>
      </w:r>
      <w:r w:rsidR="00174CB7" w:rsidRPr="00883566">
        <w:rPr>
          <w:rFonts w:cs="Times New Roman"/>
          <w:lang w:eastAsia="et-EE"/>
        </w:rPr>
        <w:t>abel</w:t>
      </w:r>
      <w:r w:rsidR="00174CB7">
        <w:rPr>
          <w:rFonts w:cs="Times New Roman"/>
          <w:lang w:eastAsia="et-EE"/>
        </w:rPr>
        <w:t xml:space="preserve"> 10</w:t>
      </w:r>
      <w:r w:rsidRPr="00883566">
        <w:rPr>
          <w:rFonts w:cs="Times New Roman"/>
          <w:lang w:eastAsia="et-EE"/>
        </w:rPr>
        <w:t xml:space="preserve"> ning siia hulka on loetud ka elu- ja mitteeluruumid, mis on kaetud ainult riigiabiga rajatud operaatorneutraalsete valguskaabli põhiste juurdepääsuvõrkude (sh Telia ei ole käesoleva otsuse koostamise ajani rajanud ühtegi juurdepääsuvõrku riigiabiga) poolt, kus on kuni viiel sideettevõtjal võrdväärne juurdepääsu kliendiliini kiule; </w:t>
      </w:r>
    </w:p>
    <w:p w14:paraId="327DDC0D" w14:textId="6ACC428E" w:rsidR="00F03958" w:rsidRPr="00883566" w:rsidRDefault="00F03958" w:rsidP="00AA241E">
      <w:pPr>
        <w:spacing w:before="240" w:after="120"/>
        <w:ind w:left="1440"/>
        <w:jc w:val="both"/>
        <w:rPr>
          <w:rFonts w:cs="Times New Roman"/>
          <w:lang w:eastAsia="et-EE"/>
        </w:rPr>
      </w:pPr>
      <w:r w:rsidRPr="00883566">
        <w:rPr>
          <w:rFonts w:cs="Times New Roman"/>
          <w:lang w:eastAsia="et-EE"/>
        </w:rPr>
        <w:t xml:space="preserve">b) Telia osakaal jaeklientide kasutuses internetiühendustest on ca </w:t>
      </w:r>
      <w:r w:rsidR="006C5EC9">
        <w:rPr>
          <w:rFonts w:cs="Times New Roman"/>
        </w:rPr>
        <w:t>…</w:t>
      </w:r>
      <w:r w:rsidR="006C5EC9" w:rsidRPr="00883566">
        <w:rPr>
          <w:rFonts w:cs="Times New Roman"/>
        </w:rPr>
        <w:t>*</w:t>
      </w:r>
      <w:r w:rsidRPr="00883566">
        <w:rPr>
          <w:rFonts w:cs="Times New Roman"/>
          <w:lang w:eastAsia="et-EE"/>
        </w:rPr>
        <w:t>%</w:t>
      </w:r>
      <w:r w:rsidR="00174CB7">
        <w:rPr>
          <w:rFonts w:cs="Times New Roman"/>
          <w:lang w:eastAsia="et-EE"/>
        </w:rPr>
        <w:t xml:space="preserve">, </w:t>
      </w:r>
      <w:r w:rsidR="00174CB7" w:rsidRPr="00883566">
        <w:rPr>
          <w:rFonts w:cs="Times New Roman"/>
          <w:lang w:eastAsia="et-EE"/>
        </w:rPr>
        <w:t xml:space="preserve">vt </w:t>
      </w:r>
      <w:r w:rsidR="008C159A">
        <w:rPr>
          <w:rFonts w:cs="Times New Roman"/>
          <w:lang w:eastAsia="et-EE"/>
        </w:rPr>
        <w:t xml:space="preserve">ptk. </w:t>
      </w:r>
      <w:r w:rsidR="00174CB7">
        <w:rPr>
          <w:rFonts w:cs="Times New Roman"/>
          <w:lang w:eastAsia="et-EE"/>
        </w:rPr>
        <w:t>2.3.</w:t>
      </w:r>
      <w:r w:rsidR="00175F02">
        <w:rPr>
          <w:rFonts w:cs="Times New Roman"/>
          <w:lang w:eastAsia="et-EE"/>
        </w:rPr>
        <w:t>5</w:t>
      </w:r>
      <w:r w:rsidR="00174CB7" w:rsidRPr="00883566">
        <w:rPr>
          <w:rFonts w:cs="Times New Roman"/>
          <w:lang w:eastAsia="et-EE"/>
        </w:rPr>
        <w:t xml:space="preserve"> </w:t>
      </w:r>
      <w:r w:rsidR="00174CB7">
        <w:rPr>
          <w:rFonts w:cs="Times New Roman"/>
          <w:lang w:eastAsia="et-EE"/>
        </w:rPr>
        <w:t>T</w:t>
      </w:r>
      <w:r w:rsidR="00174CB7" w:rsidRPr="00883566">
        <w:rPr>
          <w:rFonts w:cs="Times New Roman"/>
          <w:lang w:eastAsia="et-EE"/>
        </w:rPr>
        <w:t>abel</w:t>
      </w:r>
      <w:r w:rsidR="00174CB7">
        <w:rPr>
          <w:rFonts w:cs="Times New Roman"/>
          <w:lang w:eastAsia="et-EE"/>
        </w:rPr>
        <w:t xml:space="preserve"> 10</w:t>
      </w:r>
      <w:r w:rsidRPr="00883566">
        <w:rPr>
          <w:rFonts w:cs="Times New Roman"/>
          <w:lang w:eastAsia="et-EE"/>
        </w:rPr>
        <w:t>;</w:t>
      </w:r>
    </w:p>
    <w:p w14:paraId="216FB378" w14:textId="77777777" w:rsidR="00F03958" w:rsidRPr="00883566" w:rsidRDefault="00F03958" w:rsidP="00AA241E">
      <w:pPr>
        <w:spacing w:before="240" w:after="120"/>
        <w:ind w:left="1440"/>
        <w:jc w:val="both"/>
        <w:rPr>
          <w:rFonts w:cs="Times New Roman"/>
          <w:lang w:eastAsia="et-EE"/>
        </w:rPr>
      </w:pPr>
      <w:r w:rsidRPr="00883566">
        <w:rPr>
          <w:rFonts w:cs="Times New Roman"/>
          <w:lang w:eastAsia="et-EE"/>
        </w:rPr>
        <w:t>b) ei ole ette näha, et need osakaalud järgmise turuanalüüsi kestval perioodile märkimisväärselt muutuks;</w:t>
      </w:r>
    </w:p>
    <w:p w14:paraId="5544C6C7" w14:textId="77777777" w:rsidR="00F03958" w:rsidRPr="00883566" w:rsidRDefault="00F03958" w:rsidP="00AA241E">
      <w:pPr>
        <w:spacing w:before="240" w:after="120"/>
        <w:ind w:left="720"/>
        <w:jc w:val="both"/>
        <w:rPr>
          <w:rFonts w:cs="Times New Roman"/>
          <w:lang w:eastAsia="et-EE"/>
        </w:rPr>
      </w:pPr>
      <w:r w:rsidRPr="00883566">
        <w:rPr>
          <w:rFonts w:cs="Times New Roman"/>
          <w:lang w:eastAsia="et-EE"/>
        </w:rPr>
        <w:t xml:space="preserve">ii) </w:t>
      </w:r>
      <w:r w:rsidRPr="00883566">
        <w:rPr>
          <w:rFonts w:cs="Times New Roman"/>
          <w:b/>
          <w:bCs/>
          <w:lang w:eastAsia="et-EE"/>
        </w:rPr>
        <w:t>B piirkonnas puuduvad geograafilisest uuringust tulenevad selged ja realistlikud kohustused alternatiivsete valguskaablivõrkude kasutuselevõtuks, et hõlmata turu läbivaatamise perioodi jooksul märkimisväärne osa piirkonnast alternatiivsete valguskaablivõrkudega</w:t>
      </w:r>
      <w:r w:rsidRPr="00883566">
        <w:rPr>
          <w:rFonts w:cs="Times New Roman"/>
          <w:lang w:eastAsia="et-EE"/>
        </w:rPr>
        <w:t>, kuna</w:t>
      </w:r>
    </w:p>
    <w:p w14:paraId="4A8AA55F" w14:textId="77777777" w:rsidR="00F03958" w:rsidRPr="00883566" w:rsidRDefault="00F03958" w:rsidP="00AA241E">
      <w:pPr>
        <w:spacing w:before="240" w:after="120"/>
        <w:ind w:left="1440"/>
        <w:jc w:val="both"/>
        <w:rPr>
          <w:rFonts w:cs="Times New Roman"/>
          <w:lang w:eastAsia="et-EE"/>
        </w:rPr>
      </w:pPr>
      <w:r w:rsidRPr="00883566">
        <w:rPr>
          <w:rFonts w:cs="Times New Roman"/>
          <w:lang w:eastAsia="et-EE"/>
        </w:rPr>
        <w:t>a) riigiabiga rajatakse B piirkonnas valgete alades küll täiendavalt operaatorneutraalseid valguskaablivõrke, kuid nende kasutuselevõtu kiirus on madal, mistõttu ei hõlma need järgmise turuanalüüsini kestval perioodil märkimisväärset osa B piirkonnast ja</w:t>
      </w:r>
    </w:p>
    <w:p w14:paraId="43F708A0" w14:textId="0E7249A1" w:rsidR="00F03958" w:rsidRPr="00883566" w:rsidRDefault="00F03958" w:rsidP="00AA241E">
      <w:pPr>
        <w:spacing w:before="240" w:after="120"/>
        <w:ind w:left="1440"/>
        <w:jc w:val="both"/>
        <w:rPr>
          <w:rFonts w:cs="Times New Roman"/>
          <w:lang w:eastAsia="et-EE"/>
        </w:rPr>
      </w:pPr>
      <w:r w:rsidRPr="00883566">
        <w:rPr>
          <w:rFonts w:cs="Times New Roman"/>
          <w:lang w:eastAsia="et-EE"/>
        </w:rPr>
        <w:t xml:space="preserve">b) lisaks ei rajata neid B piirkonna elu- ja mitteeluruumideni, kus on olemas Telia valguskaablivõrk, kuna need ei kvalifitseerud riigiabi vajava valge alana, ehk riigiabiga rajatavate operaatorneutraalsete valguskaabli põhiste juurdepääsuvõrkude alusel ei ole ette näha sidevõrkude põhise konkurentsi survet Telia </w:t>
      </w:r>
      <w:r w:rsidR="00A3232C">
        <w:rPr>
          <w:rFonts w:cs="Times New Roman"/>
          <w:lang w:eastAsia="et-EE"/>
        </w:rPr>
        <w:t>valguskaabelvõrgu</w:t>
      </w:r>
      <w:r w:rsidRPr="00883566">
        <w:rPr>
          <w:rFonts w:cs="Times New Roman"/>
          <w:lang w:eastAsia="et-EE"/>
        </w:rPr>
        <w:t xml:space="preserve"> internetiühenduste teenustele;</w:t>
      </w:r>
    </w:p>
    <w:p w14:paraId="7712B72A" w14:textId="77777777" w:rsidR="00F03958" w:rsidRPr="00883566" w:rsidRDefault="00F03958" w:rsidP="00AA241E">
      <w:pPr>
        <w:spacing w:before="240" w:after="120"/>
        <w:ind w:left="720"/>
        <w:jc w:val="both"/>
        <w:rPr>
          <w:rFonts w:cs="Times New Roman"/>
          <w:lang w:eastAsia="et-EE"/>
        </w:rPr>
      </w:pPr>
      <w:r w:rsidRPr="00883566">
        <w:rPr>
          <w:rFonts w:cs="Times New Roman"/>
          <w:lang w:eastAsia="et-EE"/>
        </w:rPr>
        <w:t xml:space="preserve">iii) </w:t>
      </w:r>
      <w:r w:rsidRPr="00883566">
        <w:rPr>
          <w:rFonts w:cs="Times New Roman"/>
          <w:b/>
          <w:bCs/>
          <w:lang w:eastAsia="et-EE"/>
        </w:rPr>
        <w:t>B piirkonna linnalistes geograafiliste üksustes eksisteerib reguleeritud ankurtooted, kuid maalistes üksustes mitte</w:t>
      </w:r>
      <w:r w:rsidRPr="00883566">
        <w:rPr>
          <w:rFonts w:cs="Times New Roman"/>
          <w:lang w:eastAsia="et-EE"/>
        </w:rPr>
        <w:t>, kuna</w:t>
      </w:r>
    </w:p>
    <w:p w14:paraId="2409CCAE" w14:textId="158A2B00" w:rsidR="00F03958" w:rsidRPr="00883566" w:rsidRDefault="00F03958" w:rsidP="00AA241E">
      <w:pPr>
        <w:spacing w:before="240" w:after="120"/>
        <w:ind w:left="1440"/>
        <w:jc w:val="both"/>
        <w:rPr>
          <w:rFonts w:cs="Times New Roman"/>
          <w:lang w:eastAsia="et-EE"/>
        </w:rPr>
      </w:pPr>
      <w:r w:rsidRPr="00883566">
        <w:rPr>
          <w:rFonts w:cs="Times New Roman"/>
          <w:lang w:eastAsia="et-EE"/>
        </w:rPr>
        <w:t xml:space="preserve">a) B piirkonnas Telia vaskpaarivõrgu põhised hulgituru 1 ja 3b teenused de-reguleeritakse linnalistes ja maalistes geograafilistes üksustes käesoleva otsuse </w:t>
      </w:r>
      <w:r w:rsidR="008C159A">
        <w:rPr>
          <w:rFonts w:cs="Times New Roman"/>
          <w:lang w:eastAsia="et-EE"/>
        </w:rPr>
        <w:t>ptk.-</w:t>
      </w:r>
      <w:r w:rsidRPr="00883566">
        <w:rPr>
          <w:rFonts w:cs="Times New Roman"/>
          <w:lang w:eastAsia="et-EE"/>
        </w:rPr>
        <w:t xml:space="preserve">st </w:t>
      </w:r>
      <w:r w:rsidR="00150F55">
        <w:rPr>
          <w:rFonts w:cs="Times New Roman"/>
          <w:lang w:eastAsia="et-EE"/>
        </w:rPr>
        <w:t>7.1.2</w:t>
      </w:r>
      <w:r w:rsidRPr="00883566">
        <w:rPr>
          <w:rFonts w:cs="Times New Roman"/>
          <w:lang w:eastAsia="et-EE"/>
        </w:rPr>
        <w:t xml:space="preserve"> ja </w:t>
      </w:r>
      <w:r w:rsidR="008C159A">
        <w:rPr>
          <w:rFonts w:cs="Times New Roman"/>
          <w:lang w:eastAsia="et-EE"/>
        </w:rPr>
        <w:t>ptk.-</w:t>
      </w:r>
      <w:r w:rsidRPr="00883566">
        <w:rPr>
          <w:rFonts w:cs="Times New Roman"/>
          <w:lang w:eastAsia="et-EE"/>
        </w:rPr>
        <w:t xml:space="preserve">st </w:t>
      </w:r>
      <w:r w:rsidR="00150F55">
        <w:rPr>
          <w:rFonts w:cs="Times New Roman"/>
          <w:lang w:eastAsia="et-EE"/>
        </w:rPr>
        <w:t>8.1.2</w:t>
      </w:r>
      <w:r w:rsidRPr="00883566">
        <w:rPr>
          <w:rFonts w:cs="Times New Roman"/>
          <w:lang w:eastAsia="et-EE"/>
        </w:rPr>
        <w:t xml:space="preserve"> lähtuvalt.</w:t>
      </w:r>
    </w:p>
    <w:p w14:paraId="26FE03F5" w14:textId="77777777" w:rsidR="00F03958" w:rsidRPr="00883566" w:rsidRDefault="00F03958" w:rsidP="00AA241E">
      <w:pPr>
        <w:spacing w:before="240" w:after="120"/>
        <w:ind w:left="1440"/>
        <w:jc w:val="both"/>
        <w:rPr>
          <w:rFonts w:cs="Times New Roman"/>
          <w:lang w:eastAsia="et-EE"/>
        </w:rPr>
      </w:pPr>
      <w:r w:rsidRPr="00883566">
        <w:rPr>
          <w:rFonts w:cs="Times New Roman"/>
          <w:lang w:eastAsia="et-EE"/>
        </w:rPr>
        <w:t>b) B  piirkonna linnalistes ja maalistes geograafilistes üksustes ei paku ükski teine sideettevõtja oma sidevõrgu baasil EK 2024 kohustuse soovituse punktides 48-59 kirjeldatud kuluarvestusmetoodika (BU LRIC+) alusel kuludele orienteeritud hindadega hulgituru 1 või 3b teenuseid.</w:t>
      </w:r>
    </w:p>
    <w:p w14:paraId="79EA922F" w14:textId="36EE84DF" w:rsidR="00F03958" w:rsidRPr="00883566" w:rsidRDefault="00F03958" w:rsidP="00AA241E">
      <w:pPr>
        <w:spacing w:before="240" w:after="120"/>
        <w:ind w:left="1440"/>
        <w:jc w:val="both"/>
        <w:rPr>
          <w:rFonts w:cs="Times New Roman"/>
          <w:lang w:eastAsia="et-EE"/>
        </w:rPr>
      </w:pPr>
      <w:r w:rsidRPr="00883566">
        <w:rPr>
          <w:rFonts w:cs="Times New Roman"/>
          <w:lang w:eastAsia="et-EE"/>
        </w:rPr>
        <w:lastRenderedPageBreak/>
        <w:t>c) B piirkonna linnalistes geograafiliste üksustes toimib Telia sidekaablitaristule juurdepääsu hulgiteenused, mille hindadele kavandatakse kehtestada TTJA 2024 ST</w:t>
      </w:r>
      <w:r w:rsidR="001B7EC2">
        <w:rPr>
          <w:rFonts w:cs="Times New Roman"/>
          <w:lang w:eastAsia="et-EE"/>
        </w:rPr>
        <w:t>J</w:t>
      </w:r>
      <w:r w:rsidRPr="00883566">
        <w:rPr>
          <w:rFonts w:cs="Times New Roman"/>
          <w:lang w:eastAsia="et-EE"/>
        </w:rPr>
        <w:t xml:space="preserve"> hulgituru otsuse kavandi lisa 4 </w:t>
      </w:r>
      <w:r w:rsidR="008C159A">
        <w:rPr>
          <w:rFonts w:cs="Times New Roman"/>
          <w:lang w:eastAsia="et-EE"/>
        </w:rPr>
        <w:t xml:space="preserve">ptk. </w:t>
      </w:r>
      <w:r w:rsidRPr="00883566">
        <w:rPr>
          <w:rFonts w:cs="Times New Roman"/>
          <w:lang w:eastAsia="et-EE"/>
        </w:rPr>
        <w:t xml:space="preserve">6.4 kohaselt EK 2024 kohustuse soovituse punktide 48-59 kirjeldatud kuluarvestusmetoodika, piisavalt tõhusa reguleeritud ankurtootena järgmise turuanalüüsini kestva perioodi jooksul, kuna tiheasustusega linnalistes geograafilistes üksustes on TTJA hinnangul teistel sideettevõtjatel majanduslikult tasuv omakapitalil (ilma riigiabita) ja Telia sidekaablitaristule juurdepääsu hulgiteenuste (mis on reguleeritud) baasil rajada märkimisväärses mahus valguskaablivõrke ja osutada nende baasil jaeteenuseid ning tõenäoliselt saavutatakse ka piisav mastaabisääst, et seeläbi osutada piisavat konkurentsi survet ja pakkuda tõendatavat jaehinnapiirangut Telia jaeteenustele. Samas B piirkonna maalistes üksustes kus elanike arv ja tihedus on madal, vt </w:t>
      </w:r>
      <w:r w:rsidR="008C159A">
        <w:rPr>
          <w:rFonts w:cs="Times New Roman"/>
          <w:lang w:eastAsia="et-EE"/>
        </w:rPr>
        <w:t xml:space="preserve">ptk. </w:t>
      </w:r>
      <w:r w:rsidR="00150F55">
        <w:rPr>
          <w:rFonts w:cs="Times New Roman"/>
          <w:lang w:eastAsia="et-EE"/>
        </w:rPr>
        <w:t>2.3.2</w:t>
      </w:r>
      <w:r w:rsidRPr="00883566">
        <w:rPr>
          <w:rFonts w:cs="Times New Roman"/>
          <w:lang w:eastAsia="et-EE"/>
        </w:rPr>
        <w:t xml:space="preserve"> Tabel</w:t>
      </w:r>
      <w:r w:rsidR="00150F55">
        <w:rPr>
          <w:rFonts w:cs="Times New Roman"/>
          <w:lang w:eastAsia="et-EE"/>
        </w:rPr>
        <w:t xml:space="preserve"> 7</w:t>
      </w:r>
      <w:r w:rsidRPr="00883566">
        <w:rPr>
          <w:rFonts w:cs="Times New Roman"/>
          <w:lang w:eastAsia="et-EE"/>
        </w:rPr>
        <w:t xml:space="preserve">, ei ole TTJA hinnangul tõenäoline, et teised sideettevõtjad peaksid majanduslikult tasuvaks järgmise turuanalüüsini kestval perioodil omakapitalil (ilma riigiabita) ja Telia sidekaablitaristule juurdepääsu teenuste baasil rajada märkimisväärses mahus valguskaablivõrke ja osutada nende baasil jaeteenuseid, et saavutada piisavat mastaabisäästu, et seeläbi osutada piisavat konkurentsi survet ja pakkuda tõendatavat jaehinnapiirangut Telia jaeteenustele. </w:t>
      </w:r>
    </w:p>
    <w:p w14:paraId="36F72084" w14:textId="1FBDF3CC" w:rsidR="00F03958" w:rsidRPr="00883566" w:rsidRDefault="00F03958" w:rsidP="00AA241E">
      <w:pPr>
        <w:spacing w:before="240" w:after="120"/>
        <w:ind w:left="720"/>
        <w:jc w:val="both"/>
      </w:pPr>
      <w:r w:rsidRPr="00883566">
        <w:rPr>
          <w:rFonts w:cs="Times New Roman"/>
          <w:b/>
          <w:bCs/>
          <w:lang w:eastAsia="et-EE"/>
        </w:rPr>
        <w:t xml:space="preserve">iv) B piirkonna maalistes geograafilistes üksustes on </w:t>
      </w:r>
      <w:r w:rsidR="00A3232C">
        <w:rPr>
          <w:rFonts w:cs="Times New Roman"/>
          <w:b/>
          <w:bCs/>
          <w:lang w:eastAsia="et-EE"/>
        </w:rPr>
        <w:t>valguskaabelvõrgu</w:t>
      </w:r>
      <w:r w:rsidRPr="00883566">
        <w:rPr>
          <w:rFonts w:cs="Times New Roman"/>
          <w:b/>
          <w:bCs/>
          <w:lang w:eastAsia="et-EE"/>
        </w:rPr>
        <w:t xml:space="preserve"> kasutuselevõtu majanduslik otstarbekus väike isegi siis, kui vastavas piirkonnas regulatsioon puuduks, kuid linnalistes geograafilistes üksustes mitte</w:t>
      </w:r>
      <w:r w:rsidRPr="00883566">
        <w:rPr>
          <w:rFonts w:cs="Times New Roman"/>
          <w:lang w:eastAsia="et-EE"/>
        </w:rPr>
        <w:t>, kuna</w:t>
      </w:r>
      <w:r w:rsidRPr="00883566">
        <w:t xml:space="preserve"> </w:t>
      </w:r>
    </w:p>
    <w:p w14:paraId="41A74324" w14:textId="32ACA63C" w:rsidR="00F03958" w:rsidRPr="00883566" w:rsidRDefault="00F03958" w:rsidP="00AA241E">
      <w:pPr>
        <w:spacing w:before="240" w:after="120"/>
        <w:ind w:left="1440"/>
        <w:jc w:val="both"/>
        <w:rPr>
          <w:rFonts w:cs="Times New Roman"/>
          <w:lang w:eastAsia="et-EE"/>
        </w:rPr>
      </w:pPr>
      <w:r w:rsidRPr="00883566">
        <w:rPr>
          <w:rFonts w:cs="Times New Roman"/>
          <w:lang w:eastAsia="et-EE"/>
        </w:rPr>
        <w:t>b)</w:t>
      </w:r>
      <w:r w:rsidRPr="00883566">
        <w:rPr>
          <w:rFonts w:cs="Times New Roman"/>
          <w:b/>
          <w:bCs/>
          <w:lang w:eastAsia="et-EE"/>
        </w:rPr>
        <w:t xml:space="preserve"> </w:t>
      </w:r>
      <w:r w:rsidRPr="00883566">
        <w:rPr>
          <w:rFonts w:cs="Times New Roman"/>
          <w:lang w:eastAsia="et-EE"/>
        </w:rPr>
        <w:t xml:space="preserve">elanike tihedus maalistes geograafilistes üksustes on väga madal, ca 30 või vähem elanikku ühe ruutkilomeetri kohta, vt </w:t>
      </w:r>
      <w:r w:rsidR="008C159A">
        <w:rPr>
          <w:rFonts w:cs="Times New Roman"/>
          <w:lang w:eastAsia="et-EE"/>
        </w:rPr>
        <w:t xml:space="preserve">ptk. </w:t>
      </w:r>
      <w:r w:rsidR="00150F55">
        <w:rPr>
          <w:rFonts w:cs="Times New Roman"/>
          <w:lang w:eastAsia="et-EE"/>
        </w:rPr>
        <w:t>2.3.2</w:t>
      </w:r>
      <w:r w:rsidRPr="00883566">
        <w:rPr>
          <w:rFonts w:cs="Times New Roman"/>
          <w:lang w:eastAsia="et-EE"/>
        </w:rPr>
        <w:t xml:space="preserve"> Tabel</w:t>
      </w:r>
      <w:r w:rsidR="00150F55">
        <w:rPr>
          <w:rFonts w:cs="Times New Roman"/>
          <w:lang w:eastAsia="et-EE"/>
        </w:rPr>
        <w:t xml:space="preserve"> 7</w:t>
      </w:r>
      <w:r w:rsidRPr="00883566">
        <w:rPr>
          <w:rFonts w:cs="Times New Roman"/>
          <w:lang w:eastAsia="et-EE"/>
        </w:rPr>
        <w:t>, mistõttu ei ole seal majanduslikult otstarbekas erakapitali baasil rajada ja võtta kasutusele enamasti isegi ühte valguskaablivõrku, kuna jaetasandi sideteenuste osas ei eksisteeri piisavat nõudlust;</w:t>
      </w:r>
    </w:p>
    <w:p w14:paraId="48C79817" w14:textId="77777777" w:rsidR="00F03958" w:rsidRPr="00883566" w:rsidRDefault="00F03958" w:rsidP="00AA241E">
      <w:pPr>
        <w:spacing w:before="240" w:after="120"/>
        <w:ind w:left="1440"/>
        <w:jc w:val="both"/>
        <w:rPr>
          <w:rFonts w:cs="Times New Roman"/>
          <w:lang w:eastAsia="et-EE"/>
        </w:rPr>
      </w:pPr>
      <w:r w:rsidRPr="00883566">
        <w:rPr>
          <w:rFonts w:cs="Times New Roman"/>
          <w:lang w:eastAsia="et-EE"/>
        </w:rPr>
        <w:t>a) elanike tihendus linnalistes geograafilistes üksustes on piisav, olenevalt üksusest vahemikus ca 300 kuni 1500 elanikku ühe ruutkilomeetri kohta, mistõttu on seal majanduslikult otstarbekas erakapitali baasil rajada ja võtta kasutusele vähemalt üks valguskaablivõrk, kuna jaetasandi sideteenuste osas eksisteerib piisav nõudlus.</w:t>
      </w:r>
    </w:p>
    <w:p w14:paraId="2C22864B" w14:textId="77777777" w:rsidR="00F03958" w:rsidRPr="00883566" w:rsidRDefault="00F03958" w:rsidP="00AA241E">
      <w:pPr>
        <w:spacing w:before="240" w:after="120"/>
        <w:jc w:val="both"/>
        <w:rPr>
          <w:rFonts w:cs="Times New Roman"/>
          <w:b/>
          <w:bCs/>
          <w:lang w:eastAsia="et-EE"/>
        </w:rPr>
      </w:pPr>
    </w:p>
    <w:p w14:paraId="4386C037" w14:textId="77777777" w:rsidR="00F03958" w:rsidRPr="00883566" w:rsidRDefault="00F03958" w:rsidP="00AA241E">
      <w:pPr>
        <w:spacing w:before="240" w:after="120"/>
        <w:jc w:val="both"/>
        <w:rPr>
          <w:rFonts w:cs="Times New Roman"/>
          <w:b/>
          <w:bCs/>
          <w:u w:val="single"/>
          <w:lang w:eastAsia="et-EE"/>
        </w:rPr>
      </w:pPr>
      <w:r w:rsidRPr="00883566">
        <w:rPr>
          <w:rFonts w:cs="Times New Roman"/>
          <w:b/>
          <w:bCs/>
          <w:u w:val="single"/>
          <w:lang w:eastAsia="et-EE"/>
        </w:rPr>
        <w:t>Majandusliku jäljendatavuse test</w:t>
      </w:r>
    </w:p>
    <w:p w14:paraId="2388D713" w14:textId="5FC5F892" w:rsidR="00F03958" w:rsidRPr="00883566" w:rsidRDefault="00F03958" w:rsidP="00AA241E">
      <w:pPr>
        <w:spacing w:before="240" w:after="120"/>
        <w:jc w:val="both"/>
        <w:rPr>
          <w:rFonts w:cs="Times New Roman"/>
          <w:lang w:eastAsia="et-EE"/>
        </w:rPr>
      </w:pPr>
      <w:r w:rsidRPr="00883566">
        <w:rPr>
          <w:rFonts w:cs="Times New Roman"/>
          <w:lang w:eastAsia="et-EE"/>
        </w:rPr>
        <w:t xml:space="preserve">Eeltoodust tulenevalt peab TTJA otstarbekaks ja proportsionaalseks ning kavandab kehtestada </w:t>
      </w:r>
      <w:r w:rsidR="00A3232C">
        <w:rPr>
          <w:rFonts w:cs="Times New Roman"/>
          <w:lang w:eastAsia="et-EE"/>
        </w:rPr>
        <w:t>valguskaabelvõrgu</w:t>
      </w:r>
      <w:r w:rsidRPr="00883566">
        <w:rPr>
          <w:rFonts w:cs="Times New Roman"/>
          <w:lang w:eastAsia="et-EE"/>
        </w:rPr>
        <w:t xml:space="preserve">s B piirkonna Telia hulgituru 3b teenuste osas majandusliku jäljendatavuse testi kohustuse, mis peab olema kooskõlas EK 2024 kohustuste soovituses punktides 46 – 47 ja vastava soovituse lisas III esitatud suunistega. Samas vajab majandusliku jäljendatavuse testi tingimuste </w:t>
      </w:r>
      <w:r w:rsidRPr="00883566">
        <w:rPr>
          <w:rFonts w:cs="Times New Roman"/>
          <w:lang w:eastAsia="et-EE"/>
        </w:rPr>
        <w:lastRenderedPageBreak/>
        <w:t>välja töötamine konsultatsioonifirmade kaasamist, millega võib kaasneda ka rahvusvahelise hanke menetlus. TTJA alustab vastava testi tingimuste välja töötamisega kohe pärast käesoleva otsuse kehtestamist ning rakendab need nii kiiresti kui võimalik.</w:t>
      </w:r>
    </w:p>
    <w:p w14:paraId="53AFA641" w14:textId="77777777" w:rsidR="00F03958" w:rsidRPr="00883566" w:rsidRDefault="00F03958" w:rsidP="00AA241E">
      <w:pPr>
        <w:spacing w:before="240" w:after="120"/>
        <w:jc w:val="both"/>
        <w:rPr>
          <w:rFonts w:cs="Times New Roman"/>
          <w:b/>
          <w:bCs/>
          <w:lang w:eastAsia="et-EE"/>
        </w:rPr>
      </w:pPr>
    </w:p>
    <w:p w14:paraId="1489E7DA" w14:textId="77777777" w:rsidR="00F03958" w:rsidRPr="00883566" w:rsidRDefault="00F03958" w:rsidP="00AA241E">
      <w:pPr>
        <w:spacing w:before="240" w:after="120"/>
        <w:jc w:val="both"/>
        <w:rPr>
          <w:rFonts w:cs="Times New Roman"/>
          <w:b/>
          <w:bCs/>
          <w:u w:val="single"/>
          <w:lang w:eastAsia="et-EE"/>
        </w:rPr>
      </w:pPr>
      <w:r w:rsidRPr="00883566">
        <w:rPr>
          <w:rFonts w:cs="Times New Roman"/>
          <w:b/>
          <w:bCs/>
          <w:u w:val="single"/>
          <w:lang w:eastAsia="et-EE"/>
        </w:rPr>
        <w:t>Kokkuvõte</w:t>
      </w:r>
    </w:p>
    <w:p w14:paraId="099060AD" w14:textId="09D64197" w:rsidR="00F03958" w:rsidRPr="00883566" w:rsidRDefault="00F03958" w:rsidP="00AA241E">
      <w:pPr>
        <w:spacing w:before="240" w:after="120"/>
        <w:jc w:val="both"/>
        <w:rPr>
          <w:rFonts w:cs="Times New Roman"/>
          <w:b/>
          <w:bCs/>
          <w:lang w:eastAsia="et-EE"/>
        </w:rPr>
      </w:pPr>
      <w:r w:rsidRPr="00883566">
        <w:rPr>
          <w:rFonts w:cs="Times New Roman"/>
          <w:b/>
          <w:bCs/>
          <w:lang w:eastAsia="et-EE"/>
        </w:rPr>
        <w:t xml:space="preserve">Võttes arvesse eeltoodud TTJA </w:t>
      </w:r>
      <w:r w:rsidR="00934690">
        <w:rPr>
          <w:rFonts w:cs="Times New Roman"/>
          <w:b/>
          <w:bCs/>
          <w:lang w:eastAsia="et-EE"/>
        </w:rPr>
        <w:t xml:space="preserve">ei </w:t>
      </w:r>
      <w:r w:rsidRPr="00883566">
        <w:rPr>
          <w:rFonts w:cs="Times New Roman"/>
          <w:b/>
          <w:bCs/>
          <w:lang w:eastAsia="et-EE"/>
        </w:rPr>
        <w:t xml:space="preserve">kehtesta </w:t>
      </w:r>
      <w:r w:rsidR="00A3232C">
        <w:rPr>
          <w:rFonts w:cs="Times New Roman"/>
          <w:b/>
          <w:bCs/>
          <w:lang w:eastAsia="et-EE"/>
        </w:rPr>
        <w:t>valguskaabelvõrgu</w:t>
      </w:r>
      <w:r w:rsidRPr="00883566">
        <w:rPr>
          <w:rFonts w:cs="Times New Roman"/>
          <w:b/>
          <w:bCs/>
          <w:lang w:eastAsia="et-EE"/>
        </w:rPr>
        <w:t>s B piirkonnas Telia hulgituru 3b teenustele EK 2024 kohustuse soovituse punktides 48-59 kirjeldatud kuluarvestusmetoodika</w:t>
      </w:r>
      <w:r w:rsidR="00934690">
        <w:rPr>
          <w:rFonts w:cs="Times New Roman"/>
          <w:b/>
          <w:bCs/>
          <w:lang w:eastAsia="et-EE"/>
        </w:rPr>
        <w:t>t</w:t>
      </w:r>
      <w:r w:rsidRPr="00883566">
        <w:rPr>
          <w:rFonts w:cs="Times New Roman"/>
          <w:b/>
          <w:bCs/>
          <w:lang w:eastAsia="et-EE"/>
        </w:rPr>
        <w:t xml:space="preserve"> (BU LRIC+) </w:t>
      </w:r>
      <w:r w:rsidR="00934690">
        <w:rPr>
          <w:rFonts w:cs="Times New Roman"/>
          <w:b/>
          <w:bCs/>
          <w:lang w:eastAsia="et-EE"/>
        </w:rPr>
        <w:t>, vaid</w:t>
      </w:r>
      <w:r w:rsidRPr="00883566">
        <w:rPr>
          <w:rFonts w:cs="Times New Roman"/>
          <w:b/>
          <w:bCs/>
          <w:lang w:eastAsia="et-EE"/>
        </w:rPr>
        <w:t xml:space="preserve"> kavandab koheselt peale käesoleva otsuse kehtestamist alustada vastavate teenuste osas majandusliku jäljendatavuse testi </w:t>
      </w:r>
      <w:r w:rsidR="009B7B32">
        <w:rPr>
          <w:rFonts w:cs="Times New Roman"/>
          <w:b/>
          <w:bCs/>
          <w:lang w:eastAsia="et-EE"/>
        </w:rPr>
        <w:t xml:space="preserve">põhjendatuse ja proportsionaalsuse analüüsiga, testi </w:t>
      </w:r>
      <w:r w:rsidRPr="00883566">
        <w:rPr>
          <w:rFonts w:cs="Times New Roman"/>
          <w:b/>
          <w:bCs/>
          <w:lang w:eastAsia="et-EE"/>
        </w:rPr>
        <w:t xml:space="preserve">tingimuste välja töötamisega ja </w:t>
      </w:r>
      <w:r w:rsidR="009B7B32">
        <w:rPr>
          <w:rFonts w:cs="Times New Roman"/>
          <w:b/>
          <w:bCs/>
          <w:lang w:eastAsia="et-EE"/>
        </w:rPr>
        <w:t xml:space="preserve">testi </w:t>
      </w:r>
      <w:r w:rsidRPr="00883566">
        <w:rPr>
          <w:rFonts w:cs="Times New Roman"/>
          <w:b/>
          <w:bCs/>
          <w:lang w:eastAsia="et-EE"/>
        </w:rPr>
        <w:t>rakenda</w:t>
      </w:r>
      <w:r w:rsidR="009B7B32">
        <w:rPr>
          <w:rFonts w:cs="Times New Roman"/>
          <w:b/>
          <w:bCs/>
          <w:lang w:eastAsia="et-EE"/>
        </w:rPr>
        <w:t>misega</w:t>
      </w:r>
      <w:r w:rsidRPr="00883566">
        <w:rPr>
          <w:rFonts w:cs="Times New Roman"/>
          <w:b/>
          <w:bCs/>
          <w:lang w:eastAsia="et-EE"/>
        </w:rPr>
        <w:t xml:space="preserve"> nii kiiresti kui võimalik. Seniks jäävad </w:t>
      </w:r>
      <w:r w:rsidR="00A3232C">
        <w:rPr>
          <w:rFonts w:cs="Times New Roman"/>
          <w:b/>
          <w:bCs/>
          <w:lang w:eastAsia="et-EE"/>
        </w:rPr>
        <w:t>valguskaabelvõrgu</w:t>
      </w:r>
      <w:r w:rsidRPr="00883566">
        <w:rPr>
          <w:rFonts w:cs="Times New Roman"/>
          <w:b/>
          <w:bCs/>
          <w:lang w:eastAsia="et-EE"/>
        </w:rPr>
        <w:t>s B piirkonnas Telia hulgituru 3b teenustele kehtima samad hinnakohustused, mis on sätestatud TTJA 2017 hulgituru 3b otsuses.</w:t>
      </w:r>
    </w:p>
    <w:p w14:paraId="02D99575" w14:textId="77777777" w:rsidR="00F03958" w:rsidRPr="00883566" w:rsidRDefault="00F03958" w:rsidP="00AA241E">
      <w:pPr>
        <w:spacing w:before="240" w:after="120"/>
        <w:jc w:val="both"/>
        <w:rPr>
          <w:rFonts w:cs="Times New Roman"/>
          <w:lang w:eastAsia="et-EE"/>
        </w:rPr>
      </w:pPr>
    </w:p>
    <w:p w14:paraId="70475D5A" w14:textId="12FA1470" w:rsidR="00F03958" w:rsidRPr="00883566" w:rsidRDefault="00F03958" w:rsidP="009805E1">
      <w:pPr>
        <w:pStyle w:val="Pealkiri3"/>
      </w:pPr>
      <w:bookmarkStart w:id="1416" w:name="_Toc174710902"/>
      <w:r w:rsidRPr="00883566">
        <w:t>Hinnakohustuse kehtestamine</w:t>
      </w:r>
      <w:bookmarkEnd w:id="1416"/>
    </w:p>
    <w:p w14:paraId="7CD53A35" w14:textId="77777777" w:rsidR="00F03958" w:rsidRPr="00883566" w:rsidRDefault="00F03958" w:rsidP="00AA241E">
      <w:pPr>
        <w:spacing w:before="120" w:after="120"/>
        <w:jc w:val="both"/>
        <w:rPr>
          <w:rFonts w:cs="Times New Roman"/>
        </w:rPr>
      </w:pPr>
    </w:p>
    <w:p w14:paraId="5DFEA66A" w14:textId="24B62415" w:rsidR="0039025F" w:rsidRPr="00883566" w:rsidRDefault="00F03958" w:rsidP="00AA241E">
      <w:pPr>
        <w:spacing w:line="259" w:lineRule="auto"/>
        <w:jc w:val="both"/>
        <w:rPr>
          <w:rFonts w:cs="Times New Roman"/>
          <w:lang w:eastAsia="en-US"/>
        </w:rPr>
      </w:pPr>
      <w:r w:rsidRPr="00883566">
        <w:rPr>
          <w:rFonts w:cs="Times New Roman"/>
        </w:rPr>
        <w:t xml:space="preserve">Käesoleva otsuse koostamise ajal kehtivad üleriigiliselt Telia </w:t>
      </w:r>
      <w:r w:rsidR="00532579">
        <w:rPr>
          <w:rFonts w:cs="Times New Roman"/>
        </w:rPr>
        <w:t>vaskpaar</w:t>
      </w:r>
      <w:r w:rsidRPr="00883566">
        <w:rPr>
          <w:rFonts w:cs="Times New Roman"/>
        </w:rPr>
        <w:t xml:space="preserve">- ja valguskaabelvõrgus Telia hulgituru 3b teenustele hinnakohustused TTJA 2017 hulgituru 3b otsuse lisa 1 </w:t>
      </w:r>
      <w:r w:rsidR="008C159A">
        <w:rPr>
          <w:rFonts w:cs="Times New Roman"/>
        </w:rPr>
        <w:t xml:space="preserve">ptk. </w:t>
      </w:r>
      <w:r w:rsidRPr="00883566">
        <w:rPr>
          <w:rFonts w:cs="Times New Roman"/>
        </w:rPr>
        <w:t xml:space="preserve">6.5.4 alusel. Lähtudes käesoleva otsuse </w:t>
      </w:r>
      <w:r w:rsidR="008C159A">
        <w:rPr>
          <w:rFonts w:cs="Times New Roman"/>
        </w:rPr>
        <w:t>ptk.-</w:t>
      </w:r>
      <w:r w:rsidRPr="00883566">
        <w:rPr>
          <w:rFonts w:cs="Times New Roman"/>
        </w:rPr>
        <w:t xml:space="preserve">st </w:t>
      </w:r>
      <w:r w:rsidR="00A46233">
        <w:rPr>
          <w:rFonts w:cs="Times New Roman"/>
        </w:rPr>
        <w:t>8</w:t>
      </w:r>
      <w:r w:rsidR="0039025F">
        <w:rPr>
          <w:rFonts w:cs="Times New Roman"/>
        </w:rPr>
        <w:t>.1.2</w:t>
      </w:r>
      <w:r w:rsidRPr="00883566">
        <w:rPr>
          <w:rFonts w:cs="Times New Roman"/>
        </w:rPr>
        <w:t xml:space="preserve"> tunnistatakse TTJA 2017 hulgituru 3b otsus ja selles kehtestatud </w:t>
      </w:r>
      <w:r w:rsidR="0039025F">
        <w:rPr>
          <w:rFonts w:cs="Times New Roman"/>
        </w:rPr>
        <w:t>Telia</w:t>
      </w:r>
      <w:r w:rsidRPr="00883566">
        <w:rPr>
          <w:rFonts w:cs="Times New Roman"/>
        </w:rPr>
        <w:t xml:space="preserve"> kohustused kehtetuks. </w:t>
      </w:r>
      <w:r w:rsidR="0039025F" w:rsidRPr="00883566">
        <w:rPr>
          <w:rFonts w:cs="Times New Roman"/>
        </w:rPr>
        <w:t xml:space="preserve">Käesolevas </w:t>
      </w:r>
      <w:r w:rsidR="0039025F">
        <w:rPr>
          <w:rFonts w:cs="Times New Roman"/>
        </w:rPr>
        <w:t>peatükis</w:t>
      </w:r>
      <w:r w:rsidR="0039025F" w:rsidRPr="00883566">
        <w:rPr>
          <w:rFonts w:cs="Times New Roman"/>
        </w:rPr>
        <w:t xml:space="preserve"> kehtestatavad kohustused on suunatud </w:t>
      </w:r>
      <w:r w:rsidR="0039025F">
        <w:rPr>
          <w:rFonts w:cs="Times New Roman"/>
        </w:rPr>
        <w:t xml:space="preserve"> konkurentsi soodustavate hindade tagamisele valguskaabelvõrgu B</w:t>
      </w:r>
      <w:r w:rsidR="0039025F" w:rsidRPr="00883566">
        <w:rPr>
          <w:rFonts w:cs="Times New Roman"/>
        </w:rPr>
        <w:t xml:space="preserve"> piirkonna</w:t>
      </w:r>
      <w:r w:rsidR="0039025F">
        <w:rPr>
          <w:rFonts w:cs="Times New Roman"/>
        </w:rPr>
        <w:t xml:space="preserve"> hulgiturul 3b Telia osutatavate teenuste osas</w:t>
      </w:r>
      <w:r w:rsidR="0039025F" w:rsidRPr="00883566">
        <w:rPr>
          <w:rFonts w:cs="Times New Roman"/>
        </w:rPr>
        <w:t xml:space="preserve">. TTJA on kohustuste järjepidevuse tagamiseks lähtunud käesoleva otsuse koostamise ajal kehtiva TTJA 2017 hulgituru </w:t>
      </w:r>
      <w:r w:rsidR="008967DE">
        <w:rPr>
          <w:rFonts w:cs="Times New Roman"/>
        </w:rPr>
        <w:t>3b</w:t>
      </w:r>
      <w:r w:rsidR="0039025F" w:rsidRPr="00883566">
        <w:rPr>
          <w:rFonts w:cs="Times New Roman"/>
        </w:rPr>
        <w:t xml:space="preserve"> otsuses sätestatud kohustustest neid vajadusel muutes ja/või täiendades.</w:t>
      </w:r>
    </w:p>
    <w:p w14:paraId="43072DE3" w14:textId="038EA404" w:rsidR="00F03958" w:rsidRPr="00883566" w:rsidRDefault="00F03958" w:rsidP="00AA241E">
      <w:pPr>
        <w:jc w:val="both"/>
        <w:rPr>
          <w:rFonts w:cs="Times New Roman"/>
        </w:rPr>
      </w:pPr>
      <w:r w:rsidRPr="00883566">
        <w:rPr>
          <w:rFonts w:cs="Times New Roman"/>
        </w:rPr>
        <w:t xml:space="preserve">Võttes arvesse TTJA 2017 hulgituru 3b otsuses sätestatud kohustusi ja tutvunud uut EK 2024 kohustuste soovitusega ning TTJA 2021 hulgituru 3b otsuse eelnõus ja TTJA 2023 hulgituru 3b otsuse eelnõus kajastatud sideettevõtjate arvamustega võimalike konkurentsiprobleemide osas, leiab TTJA, et </w:t>
      </w:r>
      <w:r w:rsidR="006E1FCD">
        <w:rPr>
          <w:rFonts w:cs="Times New Roman"/>
        </w:rPr>
        <w:t xml:space="preserve">võib olla põhjendatud </w:t>
      </w:r>
      <w:r w:rsidRPr="00883566">
        <w:rPr>
          <w:rFonts w:cs="Times New Roman"/>
        </w:rPr>
        <w:t>kehtestada</w:t>
      </w:r>
      <w:r w:rsidR="006E1FCD">
        <w:rPr>
          <w:rFonts w:cs="Times New Roman"/>
        </w:rPr>
        <w:t xml:space="preserve"> pärast käesoleva otsuse vastu võtmist</w:t>
      </w:r>
      <w:r w:rsidRPr="00883566">
        <w:rPr>
          <w:rFonts w:cs="Times New Roman"/>
        </w:rPr>
        <w:t xml:space="preserve"> </w:t>
      </w:r>
      <w:r w:rsidR="00A3232C">
        <w:rPr>
          <w:rFonts w:cs="Times New Roman"/>
        </w:rPr>
        <w:t>valguskaabelvõrgu</w:t>
      </w:r>
      <w:r w:rsidRPr="00883566">
        <w:rPr>
          <w:rFonts w:cs="Times New Roman"/>
        </w:rPr>
        <w:t>s B piirkonna hulgituru</w:t>
      </w:r>
      <w:r w:rsidR="008967DE">
        <w:rPr>
          <w:rFonts w:cs="Times New Roman"/>
        </w:rPr>
        <w:t>l</w:t>
      </w:r>
      <w:r w:rsidRPr="00883566">
        <w:rPr>
          <w:rFonts w:cs="Times New Roman"/>
        </w:rPr>
        <w:t xml:space="preserve"> 3b </w:t>
      </w:r>
      <w:r w:rsidR="008967DE">
        <w:rPr>
          <w:rFonts w:cs="Times New Roman"/>
        </w:rPr>
        <w:t>Telia</w:t>
      </w:r>
      <w:r w:rsidRPr="00883566">
        <w:rPr>
          <w:rFonts w:cs="Times New Roman"/>
        </w:rPr>
        <w:t xml:space="preserve"> teenustele erinevaid ja uusi hinnakohustusi võrreldes käesoleva otsuse ajal kehtivas TTJA 2017 hulgituru 3b otsuse lisa 1 </w:t>
      </w:r>
      <w:r w:rsidR="008C159A">
        <w:rPr>
          <w:rFonts w:cs="Times New Roman"/>
        </w:rPr>
        <w:t>ptk.-</w:t>
      </w:r>
      <w:r w:rsidRPr="00883566">
        <w:rPr>
          <w:rFonts w:cs="Times New Roman"/>
        </w:rPr>
        <w:t>s 6.5.4 sätestatud hinnakohustustega</w:t>
      </w:r>
      <w:r w:rsidR="006E1FCD">
        <w:rPr>
          <w:rFonts w:cs="Times New Roman"/>
        </w:rPr>
        <w:t>, kui vastav analüüs seda kinnitab, vt. täpsemalt ptk. 8.6.3.</w:t>
      </w:r>
    </w:p>
    <w:p w14:paraId="057845C5" w14:textId="571327F7" w:rsidR="00F03958" w:rsidRPr="00883566" w:rsidRDefault="00F03958" w:rsidP="00AA241E">
      <w:pPr>
        <w:jc w:val="both"/>
        <w:rPr>
          <w:rFonts w:cs="Times New Roman"/>
        </w:rPr>
      </w:pPr>
      <w:r w:rsidRPr="00883566">
        <w:rPr>
          <w:rFonts w:cs="Times New Roman"/>
        </w:rPr>
        <w:t>TTJA hinnangul on Telial olemas pii</w:t>
      </w:r>
      <w:r w:rsidR="006E1FCD">
        <w:rPr>
          <w:rFonts w:cs="Times New Roman"/>
        </w:rPr>
        <w:t>s</w:t>
      </w:r>
      <w:r w:rsidRPr="00883566">
        <w:rPr>
          <w:rFonts w:cs="Times New Roman"/>
        </w:rPr>
        <w:t xml:space="preserve">av ressurss ja varasem hinnakohustuste täitmise kogemus, mistõttu ei ole  käesoleva otsusega </w:t>
      </w:r>
      <w:r w:rsidR="003669D4">
        <w:rPr>
          <w:rFonts w:cs="Times New Roman"/>
        </w:rPr>
        <w:t>kehtestatavad</w:t>
      </w:r>
      <w:r w:rsidR="003669D4" w:rsidRPr="00883566">
        <w:rPr>
          <w:rFonts w:cs="Times New Roman"/>
        </w:rPr>
        <w:t xml:space="preserve"> </w:t>
      </w:r>
      <w:r w:rsidRPr="00883566">
        <w:rPr>
          <w:rFonts w:cs="Times New Roman"/>
        </w:rPr>
        <w:t>hinnakohustused Telial liigselt koormavad.</w:t>
      </w:r>
    </w:p>
    <w:p w14:paraId="4E546403" w14:textId="77777777" w:rsidR="00F03958" w:rsidRPr="00883566" w:rsidRDefault="00F03958" w:rsidP="00AA241E">
      <w:pPr>
        <w:jc w:val="both"/>
        <w:rPr>
          <w:rFonts w:cs="Times New Roman"/>
        </w:rPr>
      </w:pPr>
    </w:p>
    <w:p w14:paraId="168DB769" w14:textId="2E7B4EF1" w:rsidR="00F03958" w:rsidRPr="00883566" w:rsidRDefault="00F03958" w:rsidP="00AA241E">
      <w:pPr>
        <w:spacing w:before="120" w:after="120"/>
        <w:jc w:val="both"/>
        <w:rPr>
          <w:rFonts w:cs="Times New Roman"/>
          <w:b/>
          <w:bCs/>
          <w:lang w:eastAsia="et-EE"/>
        </w:rPr>
      </w:pPr>
      <w:r w:rsidRPr="00883566">
        <w:rPr>
          <w:rFonts w:cs="Times New Roman"/>
          <w:b/>
          <w:bCs/>
        </w:rPr>
        <w:lastRenderedPageBreak/>
        <w:t>TTJA kehtesta</w:t>
      </w:r>
      <w:r w:rsidR="006E1FCD">
        <w:rPr>
          <w:rFonts w:cs="Times New Roman"/>
          <w:b/>
          <w:bCs/>
        </w:rPr>
        <w:t>b</w:t>
      </w:r>
      <w:r w:rsidRPr="00883566">
        <w:rPr>
          <w:rFonts w:cs="Times New Roman"/>
          <w:b/>
          <w:bCs/>
        </w:rPr>
        <w:t xml:space="preserve"> </w:t>
      </w:r>
      <w:r w:rsidR="00A3232C">
        <w:rPr>
          <w:rFonts w:cs="Times New Roman"/>
          <w:b/>
          <w:bCs/>
          <w:i/>
          <w:iCs/>
        </w:rPr>
        <w:t>valguskaabelvõrgu</w:t>
      </w:r>
      <w:r w:rsidRPr="00883566">
        <w:rPr>
          <w:rFonts w:cs="Times New Roman"/>
          <w:b/>
          <w:bCs/>
          <w:i/>
          <w:iCs/>
        </w:rPr>
        <w:t>s B piirkonna</w:t>
      </w:r>
      <w:r w:rsidRPr="00883566">
        <w:rPr>
          <w:rFonts w:cs="Times New Roman"/>
          <w:b/>
          <w:bCs/>
        </w:rPr>
        <w:t xml:space="preserve"> hulgituru</w:t>
      </w:r>
      <w:r w:rsidR="007B4B6F">
        <w:rPr>
          <w:rFonts w:cs="Times New Roman"/>
          <w:b/>
          <w:bCs/>
        </w:rPr>
        <w:t>l</w:t>
      </w:r>
      <w:r w:rsidRPr="00883566">
        <w:rPr>
          <w:rFonts w:cs="Times New Roman"/>
          <w:b/>
          <w:bCs/>
        </w:rPr>
        <w:t xml:space="preserve"> </w:t>
      </w:r>
      <w:r w:rsidRPr="00883566">
        <w:rPr>
          <w:rFonts w:cs="Times New Roman"/>
          <w:b/>
          <w:bCs/>
          <w:i/>
          <w:iCs/>
        </w:rPr>
        <w:t xml:space="preserve">3b </w:t>
      </w:r>
      <w:r w:rsidR="007B4B6F" w:rsidRPr="00883566">
        <w:rPr>
          <w:rFonts w:cs="Times New Roman"/>
          <w:b/>
          <w:bCs/>
        </w:rPr>
        <w:t>Telia</w:t>
      </w:r>
      <w:r w:rsidR="007B4B6F" w:rsidRPr="00883566">
        <w:rPr>
          <w:rFonts w:cs="Times New Roman"/>
          <w:b/>
          <w:bCs/>
          <w:i/>
          <w:iCs/>
        </w:rPr>
        <w:t xml:space="preserve"> </w:t>
      </w:r>
      <w:r w:rsidRPr="00883566">
        <w:rPr>
          <w:rFonts w:cs="Times New Roman"/>
          <w:b/>
          <w:bCs/>
          <w:i/>
          <w:iCs/>
        </w:rPr>
        <w:t>teenustele</w:t>
      </w:r>
      <w:r w:rsidRPr="00883566">
        <w:rPr>
          <w:rFonts w:cs="Times New Roman"/>
          <w:b/>
          <w:bCs/>
        </w:rPr>
        <w:t xml:space="preserve"> eeltoodud peatükis </w:t>
      </w:r>
      <w:r w:rsidR="00A46233">
        <w:rPr>
          <w:rFonts w:cs="Times New Roman"/>
          <w:b/>
          <w:bCs/>
        </w:rPr>
        <w:t>8.6.2</w:t>
      </w:r>
      <w:r w:rsidRPr="00883566">
        <w:rPr>
          <w:rFonts w:cs="Times New Roman"/>
          <w:b/>
          <w:bCs/>
        </w:rPr>
        <w:t xml:space="preserve"> kirjeldatud konkurentsi probleemide vältimiseks ning lõppkasutajate huvide kaitseks ESS § 50 l</w:t>
      </w:r>
      <w:r w:rsidR="00F166AB">
        <w:rPr>
          <w:rFonts w:cs="Times New Roman"/>
          <w:b/>
          <w:bCs/>
        </w:rPr>
        <w:t>õige</w:t>
      </w:r>
      <w:r w:rsidRPr="00883566">
        <w:rPr>
          <w:rFonts w:cs="Times New Roman"/>
          <w:b/>
          <w:bCs/>
        </w:rPr>
        <w:t xml:space="preserve"> 1 punktis 4 sätestatud kulude eraldi arvestuse kohustuse ning ESS § 50 lõige 1 punktis 7 sätestatud kuludele orienteeritud tasudega seotud kohustuse</w:t>
      </w:r>
      <w:r w:rsidR="002E17CD">
        <w:rPr>
          <w:rFonts w:cs="Times New Roman"/>
          <w:b/>
          <w:bCs/>
        </w:rPr>
        <w:t xml:space="preserve"> järgmiselt:</w:t>
      </w:r>
    </w:p>
    <w:p w14:paraId="0CEDB4F2" w14:textId="2FAA47A9" w:rsidR="00F03958" w:rsidRPr="00883566" w:rsidRDefault="00F03958" w:rsidP="00AA241E">
      <w:pPr>
        <w:numPr>
          <w:ilvl w:val="0"/>
          <w:numId w:val="49"/>
        </w:numPr>
        <w:spacing w:before="120" w:after="120" w:line="240" w:lineRule="auto"/>
        <w:jc w:val="both"/>
        <w:rPr>
          <w:rFonts w:cs="Times New Roman"/>
          <w:b/>
          <w:bCs/>
          <w:lang w:eastAsia="et-EE"/>
        </w:rPr>
      </w:pPr>
      <w:r w:rsidRPr="00883566">
        <w:rPr>
          <w:rFonts w:cs="Times New Roman"/>
          <w:b/>
          <w:bCs/>
        </w:rPr>
        <w:t xml:space="preserve">Telia peab rakendama teistele sideettevõtjatele ja/või endale osutatava </w:t>
      </w:r>
      <w:r w:rsidR="00D77D53" w:rsidRPr="00D17F96">
        <w:rPr>
          <w:rFonts w:cs="Times New Roman"/>
          <w:b/>
          <w:bCs/>
        </w:rPr>
        <w:t xml:space="preserve">peatükis </w:t>
      </w:r>
      <w:r w:rsidR="006E1FCD">
        <w:rPr>
          <w:rFonts w:cs="Times New Roman"/>
          <w:b/>
          <w:bCs/>
        </w:rPr>
        <w:t>8</w:t>
      </w:r>
      <w:r w:rsidR="00D77D53" w:rsidRPr="00D17F96">
        <w:rPr>
          <w:rFonts w:cs="Times New Roman"/>
          <w:b/>
          <w:bCs/>
        </w:rPr>
        <w:t>.3.5 kohustatud</w:t>
      </w:r>
      <w:r w:rsidR="00D77D53" w:rsidRPr="00D17F96">
        <w:rPr>
          <w:b/>
          <w:lang w:eastAsia="et-EE"/>
        </w:rPr>
        <w:t xml:space="preserve"> </w:t>
      </w:r>
      <w:r w:rsidR="00B55AB0">
        <w:rPr>
          <w:rFonts w:cs="Times New Roman"/>
          <w:b/>
          <w:bCs/>
        </w:rPr>
        <w:t>juurdepääsu</w:t>
      </w:r>
      <w:r w:rsidRPr="00883566">
        <w:rPr>
          <w:rFonts w:cs="Times New Roman"/>
          <w:b/>
          <w:bCs/>
        </w:rPr>
        <w:t xml:space="preserve"> teenuste kulude eraldi arvestamiseks otsuse lisas </w:t>
      </w:r>
      <w:r w:rsidR="00A46233">
        <w:rPr>
          <w:rFonts w:cs="Times New Roman"/>
          <w:b/>
          <w:bCs/>
        </w:rPr>
        <w:t>2</w:t>
      </w:r>
      <w:r w:rsidRPr="00883566">
        <w:rPr>
          <w:rFonts w:cs="Times New Roman"/>
          <w:b/>
          <w:bCs/>
        </w:rPr>
        <w:t xml:space="preserve"> toodud TD HC FDC-meetodit;</w:t>
      </w:r>
    </w:p>
    <w:p w14:paraId="16434D15" w14:textId="24996F23" w:rsidR="00F03958" w:rsidRPr="00883566" w:rsidRDefault="00F03958" w:rsidP="00AA241E">
      <w:pPr>
        <w:numPr>
          <w:ilvl w:val="0"/>
          <w:numId w:val="49"/>
        </w:numPr>
        <w:spacing w:before="120" w:after="120" w:line="240" w:lineRule="auto"/>
        <w:ind w:left="1134"/>
        <w:jc w:val="both"/>
        <w:rPr>
          <w:rFonts w:cs="Times New Roman"/>
          <w:b/>
          <w:bCs/>
          <w:lang w:eastAsia="et-EE"/>
        </w:rPr>
      </w:pPr>
      <w:r w:rsidRPr="00883566">
        <w:rPr>
          <w:rFonts w:cs="Times New Roman"/>
          <w:b/>
          <w:bCs/>
        </w:rPr>
        <w:t xml:space="preserve">Telia peab rakendama teistele sideettevõtjatele osutavatele </w:t>
      </w:r>
      <w:r w:rsidR="00D77D53" w:rsidRPr="00D17F96">
        <w:rPr>
          <w:rFonts w:cs="Times New Roman"/>
          <w:b/>
          <w:bCs/>
        </w:rPr>
        <w:t xml:space="preserve">peatükis </w:t>
      </w:r>
      <w:r w:rsidR="006E1FCD">
        <w:rPr>
          <w:rFonts w:cs="Times New Roman"/>
          <w:b/>
          <w:bCs/>
        </w:rPr>
        <w:t>8</w:t>
      </w:r>
      <w:r w:rsidR="00D77D53" w:rsidRPr="00D17F96">
        <w:rPr>
          <w:rFonts w:cs="Times New Roman"/>
          <w:b/>
          <w:bCs/>
        </w:rPr>
        <w:t>.3.5 kohustatud</w:t>
      </w:r>
      <w:r w:rsidR="00D77D53" w:rsidRPr="00D17F96">
        <w:rPr>
          <w:b/>
          <w:lang w:eastAsia="et-EE"/>
        </w:rPr>
        <w:t xml:space="preserve"> </w:t>
      </w:r>
      <w:r w:rsidR="00B55AB0">
        <w:rPr>
          <w:rFonts w:cs="Times New Roman"/>
          <w:b/>
          <w:bCs/>
        </w:rPr>
        <w:t>juurdepääsu</w:t>
      </w:r>
      <w:r w:rsidRPr="00883566">
        <w:rPr>
          <w:rFonts w:cs="Times New Roman"/>
          <w:b/>
          <w:bCs/>
        </w:rPr>
        <w:t xml:space="preserve"> teenustele hindu, mis ei ole kõrgemad kui otsuse lisas </w:t>
      </w:r>
      <w:r w:rsidR="00A46233">
        <w:rPr>
          <w:rFonts w:cs="Times New Roman"/>
          <w:b/>
          <w:bCs/>
        </w:rPr>
        <w:t>2</w:t>
      </w:r>
      <w:r w:rsidRPr="00883566">
        <w:rPr>
          <w:rFonts w:cs="Times New Roman"/>
          <w:b/>
          <w:bCs/>
        </w:rPr>
        <w:t xml:space="preserve"> toodud </w:t>
      </w:r>
      <w:r w:rsidRPr="00883566">
        <w:rPr>
          <w:rFonts w:cs="Times New Roman"/>
          <w:b/>
          <w:bCs/>
          <w:i/>
        </w:rPr>
        <w:t>TD HC FDC-</w:t>
      </w:r>
      <w:r w:rsidRPr="00883566">
        <w:rPr>
          <w:rFonts w:cs="Times New Roman"/>
          <w:b/>
          <w:bCs/>
        </w:rPr>
        <w:t>meetodi põhised kuludele orienteeritud hinnad;</w:t>
      </w:r>
    </w:p>
    <w:p w14:paraId="2EF0D5B4" w14:textId="26E38FDE" w:rsidR="00F03958" w:rsidRPr="00883566" w:rsidRDefault="00F03958" w:rsidP="00AA241E">
      <w:pPr>
        <w:numPr>
          <w:ilvl w:val="0"/>
          <w:numId w:val="49"/>
        </w:numPr>
        <w:spacing w:before="120" w:after="120" w:line="240" w:lineRule="auto"/>
        <w:ind w:left="1134"/>
        <w:jc w:val="both"/>
        <w:rPr>
          <w:rFonts w:cs="Times New Roman"/>
          <w:b/>
          <w:bCs/>
          <w:lang w:eastAsia="et-EE"/>
        </w:rPr>
      </w:pPr>
      <w:r w:rsidRPr="00883566">
        <w:rPr>
          <w:rFonts w:cs="Times New Roman"/>
          <w:b/>
          <w:bCs/>
        </w:rPr>
        <w:t xml:space="preserve">Telia võib rakendada </w:t>
      </w:r>
      <w:r w:rsidR="00D77D53" w:rsidRPr="00D17F96">
        <w:rPr>
          <w:rFonts w:cs="Times New Roman"/>
          <w:b/>
          <w:bCs/>
        </w:rPr>
        <w:t xml:space="preserve">peatükis </w:t>
      </w:r>
      <w:r w:rsidR="00194148">
        <w:rPr>
          <w:rFonts w:cs="Times New Roman"/>
          <w:b/>
          <w:bCs/>
        </w:rPr>
        <w:t>8</w:t>
      </w:r>
      <w:r w:rsidR="00D77D53" w:rsidRPr="00D17F96">
        <w:rPr>
          <w:rFonts w:cs="Times New Roman"/>
          <w:b/>
          <w:bCs/>
        </w:rPr>
        <w:t>.3.5 kohustatud</w:t>
      </w:r>
      <w:r w:rsidR="00D77D53" w:rsidRPr="00D17F96">
        <w:rPr>
          <w:b/>
          <w:lang w:eastAsia="et-EE"/>
        </w:rPr>
        <w:t xml:space="preserve"> </w:t>
      </w:r>
      <w:r w:rsidR="00B55AB0">
        <w:rPr>
          <w:rFonts w:cs="Times New Roman"/>
          <w:b/>
          <w:bCs/>
        </w:rPr>
        <w:t>juurdepääsu</w:t>
      </w:r>
      <w:r w:rsidRPr="00883566">
        <w:rPr>
          <w:rFonts w:cs="Times New Roman"/>
          <w:b/>
          <w:bCs/>
        </w:rPr>
        <w:t xml:space="preserve"> teenustele allahindluseid kui need on tegevuspõhised;</w:t>
      </w:r>
    </w:p>
    <w:p w14:paraId="68432145" w14:textId="301DECFA" w:rsidR="00F03958" w:rsidRDefault="00F03958" w:rsidP="00AA241E">
      <w:pPr>
        <w:numPr>
          <w:ilvl w:val="0"/>
          <w:numId w:val="49"/>
        </w:numPr>
        <w:spacing w:before="120" w:after="120" w:line="240" w:lineRule="auto"/>
        <w:ind w:left="1134"/>
        <w:jc w:val="both"/>
        <w:rPr>
          <w:rFonts w:cs="Times New Roman"/>
          <w:b/>
          <w:bCs/>
          <w:lang w:eastAsia="et-EE"/>
        </w:rPr>
      </w:pPr>
      <w:r w:rsidRPr="00883566">
        <w:rPr>
          <w:rFonts w:cs="Times New Roman"/>
          <w:b/>
          <w:bCs/>
        </w:rPr>
        <w:t xml:space="preserve">Telia võib rakendada </w:t>
      </w:r>
      <w:r w:rsidR="00D77D53" w:rsidRPr="00D17F96">
        <w:rPr>
          <w:rFonts w:cs="Times New Roman"/>
          <w:b/>
          <w:bCs/>
        </w:rPr>
        <w:t xml:space="preserve">peatükis </w:t>
      </w:r>
      <w:r w:rsidR="00194148">
        <w:rPr>
          <w:rFonts w:cs="Times New Roman"/>
          <w:b/>
          <w:bCs/>
        </w:rPr>
        <w:t>8</w:t>
      </w:r>
      <w:r w:rsidR="00D77D53" w:rsidRPr="00D17F96">
        <w:rPr>
          <w:rFonts w:cs="Times New Roman"/>
          <w:b/>
          <w:bCs/>
        </w:rPr>
        <w:t>.3.5 kohustatud</w:t>
      </w:r>
      <w:r w:rsidR="00D77D53" w:rsidRPr="00D17F96">
        <w:rPr>
          <w:b/>
          <w:lang w:eastAsia="et-EE"/>
        </w:rPr>
        <w:t xml:space="preserve"> </w:t>
      </w:r>
      <w:r w:rsidR="00B55AB0">
        <w:rPr>
          <w:rFonts w:cs="Times New Roman"/>
          <w:b/>
          <w:bCs/>
        </w:rPr>
        <w:t>juurdepääsu</w:t>
      </w:r>
      <w:r w:rsidRPr="00883566">
        <w:rPr>
          <w:rFonts w:cs="Times New Roman"/>
          <w:b/>
          <w:bCs/>
        </w:rPr>
        <w:t xml:space="preserve"> teenustele erinevaid hindasid, kui need on põhjendatud kvaliteedi erinevustega ja/või piirkondlike iseärasustega;</w:t>
      </w:r>
    </w:p>
    <w:p w14:paraId="67F301BB" w14:textId="35EB0435" w:rsidR="00194148" w:rsidRPr="008141C6" w:rsidRDefault="00194148" w:rsidP="008141C6">
      <w:pPr>
        <w:numPr>
          <w:ilvl w:val="0"/>
          <w:numId w:val="49"/>
        </w:numPr>
        <w:autoSpaceDE w:val="0"/>
        <w:autoSpaceDN w:val="0"/>
        <w:adjustRightInd w:val="0"/>
        <w:spacing w:before="120" w:after="120" w:line="240" w:lineRule="auto"/>
        <w:ind w:left="1134"/>
        <w:jc w:val="both"/>
        <w:rPr>
          <w:rFonts w:cs="Times New Roman"/>
          <w:b/>
          <w:bCs/>
          <w:lang w:eastAsia="et-EE"/>
        </w:rPr>
      </w:pPr>
      <w:r w:rsidRPr="008141C6">
        <w:rPr>
          <w:b/>
          <w:lang w:eastAsia="et-EE"/>
        </w:rPr>
        <w:t xml:space="preserve">Telia peab </w:t>
      </w:r>
      <w:r w:rsidRPr="008141C6">
        <w:rPr>
          <w:rFonts w:cs="Times New Roman"/>
          <w:b/>
          <w:bCs/>
        </w:rPr>
        <w:t>peatükis 8.3.5 kohustatud</w:t>
      </w:r>
      <w:r w:rsidRPr="008141C6">
        <w:rPr>
          <w:b/>
          <w:lang w:eastAsia="et-EE"/>
        </w:rPr>
        <w:t xml:space="preserve"> </w:t>
      </w:r>
      <w:r w:rsidR="00B55AB0" w:rsidRPr="008141C6">
        <w:rPr>
          <w:b/>
          <w:lang w:eastAsia="et-EE"/>
        </w:rPr>
        <w:t>juurdepääsu</w:t>
      </w:r>
      <w:r w:rsidRPr="008141C6">
        <w:rPr>
          <w:b/>
          <w:lang w:eastAsia="et-EE"/>
        </w:rPr>
        <w:t xml:space="preserve"> kasutamiseks vajalikele teenustele (sealhulgas seadmete </w:t>
      </w:r>
      <w:proofErr w:type="spellStart"/>
      <w:r w:rsidRPr="008141C6">
        <w:rPr>
          <w:b/>
          <w:lang w:eastAsia="et-EE"/>
        </w:rPr>
        <w:t>ühispaiknemisele</w:t>
      </w:r>
      <w:proofErr w:type="spellEnd"/>
      <w:r w:rsidRPr="008141C6">
        <w:rPr>
          <w:b/>
          <w:lang w:eastAsia="et-EE"/>
        </w:rPr>
        <w:t xml:space="preserve"> ning tugisüsteemidele ja tarkvarasüsteemidele juurdepääsule), samuti liitumisteenustele hindade arvestamisel tagama, et teenuse hind ei sisaldaks selle teenuse osutamiseks mittevajalikke kulusid ja teenusele omistatakse ainult need kulud, mis on teenuse osutamiseks otstarbekad ja efektiivsed, sealjuures on lubatud põhjendatud tulukus kooskõlas otsuse lisa 2 punktiga 4.3;</w:t>
      </w:r>
    </w:p>
    <w:p w14:paraId="72604DD2" w14:textId="55E83CE2" w:rsidR="00F03958" w:rsidRPr="00883566" w:rsidRDefault="00F03958" w:rsidP="00AA241E">
      <w:pPr>
        <w:numPr>
          <w:ilvl w:val="0"/>
          <w:numId w:val="49"/>
        </w:numPr>
        <w:spacing w:before="120" w:after="120" w:line="240" w:lineRule="auto"/>
        <w:ind w:left="1134"/>
        <w:jc w:val="both"/>
        <w:rPr>
          <w:rFonts w:cs="Times New Roman"/>
          <w:b/>
          <w:bCs/>
          <w:lang w:eastAsia="et-EE"/>
        </w:rPr>
      </w:pPr>
      <w:r w:rsidRPr="00883566">
        <w:rPr>
          <w:rFonts w:cs="Times New Roman"/>
          <w:b/>
          <w:bCs/>
        </w:rPr>
        <w:t xml:space="preserve">Telia ei või </w:t>
      </w:r>
      <w:r w:rsidR="00D77D53" w:rsidRPr="00D17F96">
        <w:rPr>
          <w:rFonts w:cs="Times New Roman"/>
          <w:b/>
          <w:bCs/>
        </w:rPr>
        <w:t xml:space="preserve">peatükis </w:t>
      </w:r>
      <w:r w:rsidR="00194148">
        <w:rPr>
          <w:rFonts w:cs="Times New Roman"/>
          <w:b/>
          <w:bCs/>
        </w:rPr>
        <w:t>8</w:t>
      </w:r>
      <w:r w:rsidR="00D77D53" w:rsidRPr="00D17F96">
        <w:rPr>
          <w:rFonts w:cs="Times New Roman"/>
          <w:b/>
          <w:bCs/>
        </w:rPr>
        <w:t>.3.5 kohustatud</w:t>
      </w:r>
      <w:r w:rsidR="00D77D53" w:rsidRPr="00D17F96">
        <w:rPr>
          <w:b/>
          <w:lang w:eastAsia="et-EE"/>
        </w:rPr>
        <w:t xml:space="preserve"> </w:t>
      </w:r>
      <w:r w:rsidR="00B55AB0">
        <w:rPr>
          <w:rFonts w:cs="Times New Roman"/>
          <w:b/>
          <w:bCs/>
        </w:rPr>
        <w:t>juurdepääsu</w:t>
      </w:r>
      <w:r w:rsidRPr="00883566">
        <w:rPr>
          <w:rFonts w:cs="Times New Roman"/>
          <w:b/>
          <w:bCs/>
        </w:rPr>
        <w:t xml:space="preserve"> teenuste liitumishindadesse arvestada põhivara</w:t>
      </w:r>
      <w:r w:rsidR="00194148">
        <w:rPr>
          <w:rFonts w:cs="Times New Roman"/>
          <w:b/>
          <w:bCs/>
        </w:rPr>
        <w:t xml:space="preserve"> kulumit ja põhivaralt arvestatavat põhjendatud tulukust</w:t>
      </w:r>
      <w:r w:rsidRPr="00883566">
        <w:rPr>
          <w:rFonts w:cs="Times New Roman"/>
          <w:b/>
          <w:bCs/>
        </w:rPr>
        <w:t>;</w:t>
      </w:r>
    </w:p>
    <w:p w14:paraId="739677DC" w14:textId="2AB34268" w:rsidR="00F03958" w:rsidRPr="00883566" w:rsidRDefault="00F03958" w:rsidP="00AA241E">
      <w:pPr>
        <w:numPr>
          <w:ilvl w:val="0"/>
          <w:numId w:val="49"/>
        </w:numPr>
        <w:spacing w:before="120" w:after="120" w:line="240" w:lineRule="auto"/>
        <w:ind w:left="1134"/>
        <w:jc w:val="both"/>
        <w:rPr>
          <w:rFonts w:cs="Times New Roman"/>
          <w:b/>
          <w:bCs/>
          <w:lang w:eastAsia="et-EE"/>
        </w:rPr>
      </w:pPr>
      <w:r w:rsidRPr="00883566">
        <w:rPr>
          <w:rFonts w:cs="Times New Roman"/>
          <w:b/>
          <w:bCs/>
        </w:rPr>
        <w:t xml:space="preserve">Telia peab regulaarselt vähemalt üks kord aastas </w:t>
      </w:r>
      <w:r w:rsidR="00D77D53" w:rsidRPr="00D17F96">
        <w:rPr>
          <w:rFonts w:cs="Times New Roman"/>
          <w:b/>
          <w:bCs/>
        </w:rPr>
        <w:t xml:space="preserve">peatükis </w:t>
      </w:r>
      <w:r w:rsidR="001777E8">
        <w:rPr>
          <w:rFonts w:cs="Times New Roman"/>
          <w:b/>
          <w:bCs/>
        </w:rPr>
        <w:t>8</w:t>
      </w:r>
      <w:r w:rsidR="00D77D53" w:rsidRPr="00D17F96">
        <w:rPr>
          <w:rFonts w:cs="Times New Roman"/>
          <w:b/>
          <w:bCs/>
        </w:rPr>
        <w:t>.3.5 kohustatud</w:t>
      </w:r>
      <w:r w:rsidR="00D77D53" w:rsidRPr="00D17F96">
        <w:rPr>
          <w:b/>
          <w:lang w:eastAsia="et-EE"/>
        </w:rPr>
        <w:t xml:space="preserve"> </w:t>
      </w:r>
      <w:r w:rsidR="00B55AB0">
        <w:rPr>
          <w:rFonts w:cs="Times New Roman"/>
          <w:b/>
          <w:bCs/>
        </w:rPr>
        <w:t>juurdepääsu</w:t>
      </w:r>
      <w:r w:rsidRPr="00883566">
        <w:rPr>
          <w:rFonts w:cs="Times New Roman"/>
          <w:b/>
          <w:bCs/>
        </w:rPr>
        <w:t xml:space="preserve"> teenuste hinnad ümber arvestama lähtudes viimase majandusaasta kuludest</w:t>
      </w:r>
      <w:r w:rsidR="00441AA6">
        <w:rPr>
          <w:rFonts w:cs="Times New Roman"/>
          <w:b/>
          <w:bCs/>
        </w:rPr>
        <w:t>.</w:t>
      </w:r>
    </w:p>
    <w:p w14:paraId="66A4F2EF" w14:textId="24B1D8CD" w:rsidR="001D62DB" w:rsidRPr="001D62DB" w:rsidRDefault="001D62DB" w:rsidP="001D62DB">
      <w:pPr>
        <w:spacing w:before="240" w:after="120"/>
        <w:jc w:val="both"/>
        <w:rPr>
          <w:rFonts w:cs="Times New Roman"/>
          <w:b/>
          <w:bCs/>
          <w:lang w:eastAsia="et-EE"/>
        </w:rPr>
      </w:pPr>
      <w:r w:rsidRPr="001D62DB">
        <w:rPr>
          <w:rFonts w:cs="Times New Roman"/>
          <w:b/>
          <w:bCs/>
          <w:lang w:eastAsia="et-EE"/>
        </w:rPr>
        <w:t xml:space="preserve">TTJA kavandab koheselt peale käesoleva otsuse kehtestamist alustada EK 2024 kohustuste soovituses sätestatud majandusliku jäljendatavuse testi metoodika välja töötamisega hulgituru </w:t>
      </w:r>
      <w:r>
        <w:rPr>
          <w:rFonts w:cs="Times New Roman"/>
          <w:b/>
          <w:bCs/>
          <w:lang w:eastAsia="et-EE"/>
        </w:rPr>
        <w:t>3b</w:t>
      </w:r>
      <w:r w:rsidRPr="001D62DB">
        <w:rPr>
          <w:rFonts w:cs="Times New Roman"/>
          <w:b/>
          <w:bCs/>
          <w:lang w:eastAsia="et-EE"/>
        </w:rPr>
        <w:t xml:space="preserve"> teenuste hinnaarvestuse jaoks. Eelnevalt teostatakse uue metoodika kehtestamise põhjendatuse ja proportsionaalsuse analüüs, sh võttes arvesse selle rakendamisega kaasnevat koormust ja kulusid ning mõju turule. </w:t>
      </w:r>
    </w:p>
    <w:p w14:paraId="2BFB643E" w14:textId="77777777" w:rsidR="00F03958" w:rsidRPr="00883566" w:rsidRDefault="00F03958" w:rsidP="00AA241E">
      <w:pPr>
        <w:spacing w:before="120" w:after="120"/>
        <w:jc w:val="both"/>
        <w:rPr>
          <w:rFonts w:cs="Times New Roman"/>
          <w:lang w:eastAsia="et-EE"/>
        </w:rPr>
      </w:pPr>
    </w:p>
    <w:p w14:paraId="664174B0" w14:textId="5D0F1AEF" w:rsidR="00F03958" w:rsidRPr="00883566" w:rsidRDefault="00F03958" w:rsidP="00AA241E">
      <w:pPr>
        <w:pStyle w:val="Pealkiri2"/>
        <w:jc w:val="both"/>
      </w:pPr>
      <w:bookmarkStart w:id="1417" w:name="_Hlk137739889"/>
      <w:bookmarkStart w:id="1418" w:name="_Toc174710903"/>
      <w:bookmarkEnd w:id="1408"/>
      <w:bookmarkEnd w:id="1409"/>
      <w:bookmarkEnd w:id="1410"/>
      <w:bookmarkEnd w:id="1411"/>
      <w:bookmarkEnd w:id="1412"/>
      <w:bookmarkEnd w:id="1413"/>
      <w:bookmarkEnd w:id="1414"/>
      <w:r w:rsidRPr="00883566">
        <w:t xml:space="preserve">Kohustuste </w:t>
      </w:r>
      <w:bookmarkEnd w:id="1417"/>
      <w:r w:rsidRPr="00883566">
        <w:t>tähtajad</w:t>
      </w:r>
      <w:bookmarkEnd w:id="1418"/>
    </w:p>
    <w:p w14:paraId="38A06141" w14:textId="1ADF7FF3" w:rsidR="00CA2EF4" w:rsidRPr="00883566" w:rsidRDefault="00CA2EF4" w:rsidP="00CA2EF4">
      <w:pPr>
        <w:spacing w:before="120" w:after="120" w:line="240" w:lineRule="auto"/>
        <w:jc w:val="both"/>
        <w:rPr>
          <w:rFonts w:cs="Times New Roman"/>
          <w:lang w:eastAsia="et-EE"/>
        </w:rPr>
      </w:pPr>
      <w:r w:rsidRPr="00883566">
        <w:rPr>
          <w:rFonts w:cs="Times New Roman"/>
        </w:rPr>
        <w:t>Vastavalt ESS § 49 lõikele 4 annab TTJA mõistliku tähtaja märkimisväärse turujõuga ettevõtjaks tunnistatud isikule märkimisväärse turujõuga ettevõtjaks tunnistamise otsuse</w:t>
      </w:r>
      <w:r w:rsidR="00EB4398">
        <w:rPr>
          <w:rFonts w:cs="Times New Roman"/>
        </w:rPr>
        <w:t>s</w:t>
      </w:r>
      <w:r w:rsidRPr="00883566">
        <w:rPr>
          <w:rFonts w:cs="Times New Roman"/>
        </w:rPr>
        <w:t xml:space="preserve"> sätestatud kohustuste täitmiseks.</w:t>
      </w:r>
    </w:p>
    <w:p w14:paraId="7BBFBB33" w14:textId="3F898111" w:rsidR="00CA2EF4" w:rsidRPr="005F6AAC" w:rsidRDefault="00CA2EF4" w:rsidP="00CA2EF4">
      <w:pPr>
        <w:spacing w:before="120" w:after="120" w:line="240" w:lineRule="auto"/>
        <w:jc w:val="both"/>
        <w:rPr>
          <w:rFonts w:cs="Times New Roman"/>
          <w:b/>
          <w:bCs/>
          <w:lang w:eastAsia="et-EE"/>
        </w:rPr>
      </w:pPr>
      <w:r w:rsidRPr="005F6AAC">
        <w:rPr>
          <w:rFonts w:cs="Times New Roman"/>
          <w:b/>
          <w:bCs/>
          <w:lang w:eastAsia="et-EE"/>
        </w:rPr>
        <w:lastRenderedPageBreak/>
        <w:t>TTJA nõuab Telialt</w:t>
      </w:r>
      <w:r>
        <w:rPr>
          <w:rFonts w:cs="Times New Roman"/>
          <w:b/>
          <w:bCs/>
          <w:lang w:eastAsia="et-EE"/>
        </w:rPr>
        <w:t xml:space="preserve"> valguskaablivõrgus B piirkonna </w:t>
      </w:r>
      <w:r w:rsidRPr="005F6AAC">
        <w:rPr>
          <w:rFonts w:cs="Times New Roman"/>
          <w:b/>
          <w:bCs/>
          <w:lang w:eastAsia="et-EE"/>
        </w:rPr>
        <w:t xml:space="preserve">hulgituru </w:t>
      </w:r>
      <w:r>
        <w:rPr>
          <w:rFonts w:cs="Times New Roman"/>
          <w:b/>
          <w:bCs/>
          <w:lang w:eastAsia="et-EE"/>
        </w:rPr>
        <w:t>3b teenuste osas</w:t>
      </w:r>
      <w:r w:rsidRPr="005F6AAC">
        <w:rPr>
          <w:rFonts w:cs="Times New Roman"/>
          <w:b/>
          <w:bCs/>
          <w:lang w:eastAsia="et-EE"/>
        </w:rPr>
        <w:t xml:space="preserve"> otsuse peatükkides </w:t>
      </w:r>
      <w:r>
        <w:rPr>
          <w:rFonts w:cs="Times New Roman"/>
          <w:b/>
          <w:bCs/>
          <w:lang w:eastAsia="et-EE"/>
        </w:rPr>
        <w:t>8.3.5, 8.4.10, 8.5.5, 8.6.</w:t>
      </w:r>
      <w:r w:rsidR="00CD411A">
        <w:rPr>
          <w:rFonts w:cs="Times New Roman"/>
          <w:b/>
          <w:bCs/>
          <w:lang w:eastAsia="et-EE"/>
        </w:rPr>
        <w:t>4</w:t>
      </w:r>
      <w:r w:rsidRPr="005F6AAC">
        <w:rPr>
          <w:rFonts w:cs="Times New Roman"/>
          <w:b/>
          <w:bCs/>
          <w:lang w:eastAsia="et-EE"/>
        </w:rPr>
        <w:t xml:space="preserve"> kehtestatud kohustuste täitmist alates </w:t>
      </w:r>
      <w:r>
        <w:rPr>
          <w:rFonts w:cs="Times New Roman"/>
          <w:b/>
          <w:bCs/>
          <w:lang w:eastAsia="et-EE"/>
        </w:rPr>
        <w:t xml:space="preserve">käesoleva </w:t>
      </w:r>
      <w:r w:rsidRPr="005F6AAC">
        <w:rPr>
          <w:rFonts w:cs="Times New Roman"/>
          <w:b/>
          <w:bCs/>
          <w:lang w:eastAsia="et-EE"/>
        </w:rPr>
        <w:t xml:space="preserve">otsuse vastu võtmise kalendripäevale järgneva </w:t>
      </w:r>
      <w:r>
        <w:rPr>
          <w:rFonts w:cs="Times New Roman"/>
          <w:b/>
          <w:bCs/>
          <w:lang w:eastAsia="et-EE"/>
        </w:rPr>
        <w:t>viienda</w:t>
      </w:r>
      <w:r w:rsidRPr="005F6AAC">
        <w:rPr>
          <w:rFonts w:cs="Times New Roman"/>
          <w:b/>
          <w:bCs/>
          <w:lang w:eastAsia="et-EE"/>
        </w:rPr>
        <w:t xml:space="preserve"> kuu 1. kalendripäevast</w:t>
      </w:r>
      <w:r>
        <w:rPr>
          <w:rFonts w:cs="Times New Roman"/>
          <w:b/>
          <w:bCs/>
          <w:lang w:eastAsia="et-EE"/>
        </w:rPr>
        <w:t>, kui nimetatud peatükkides ei ole sätestatud muud tähtaeg</w:t>
      </w:r>
      <w:r w:rsidRPr="005F6AAC">
        <w:rPr>
          <w:rFonts w:cs="Times New Roman"/>
          <w:b/>
          <w:bCs/>
          <w:lang w:eastAsia="et-EE"/>
        </w:rPr>
        <w:t xml:space="preserve">.  </w:t>
      </w:r>
    </w:p>
    <w:p w14:paraId="057D8366" w14:textId="374C52ED" w:rsidR="00CA2EF4" w:rsidRPr="00883566" w:rsidRDefault="00CA2EF4" w:rsidP="00CA2EF4">
      <w:pPr>
        <w:spacing w:before="120" w:after="120" w:line="240" w:lineRule="auto"/>
        <w:jc w:val="both"/>
        <w:rPr>
          <w:rFonts w:cs="Times New Roman"/>
          <w:lang w:eastAsia="et-EE"/>
        </w:rPr>
      </w:pPr>
      <w:r w:rsidRPr="00883566">
        <w:rPr>
          <w:rFonts w:cs="Times New Roman"/>
        </w:rPr>
        <w:t>Tähtaegade määramisel on TTJA arvestanud, et need on kehtestatavate kohustuste täitmiseks põhjendatud ja piisavad. Telial on olemas tehnilised võimalused ning varasem kogemus hulgituru</w:t>
      </w:r>
      <w:r>
        <w:rPr>
          <w:rFonts w:cs="Times New Roman"/>
        </w:rPr>
        <w:t> 3b</w:t>
      </w:r>
      <w:r w:rsidRPr="00883566">
        <w:rPr>
          <w:rFonts w:cs="Times New Roman"/>
        </w:rPr>
        <w:t xml:space="preserve"> koosseisu kuuluvate hulgiteenuste osutamisel koos läbipaistvus-, mittediskrimineerimise-, juurdepääsu- ning hinnakohustuste täitmisega.   </w:t>
      </w:r>
    </w:p>
    <w:p w14:paraId="3B269AE0" w14:textId="77777777" w:rsidR="00CA2EF4" w:rsidRPr="00883566" w:rsidRDefault="00CA2EF4" w:rsidP="00CA2EF4">
      <w:pPr>
        <w:jc w:val="both"/>
        <w:rPr>
          <w:rFonts w:cs="Times New Roman"/>
          <w:lang w:eastAsia="et-EE"/>
        </w:rPr>
      </w:pPr>
      <w:r w:rsidRPr="00883566">
        <w:rPr>
          <w:rFonts w:cs="Times New Roman"/>
        </w:rPr>
        <w:t>Võttes arvesse eeltoodut, ei ole kohustuste täitmise tähtaeg Teliale ülemääraselt koormav.</w:t>
      </w:r>
    </w:p>
    <w:p w14:paraId="53104D67" w14:textId="49E67F68" w:rsidR="00CA2EF4" w:rsidRPr="005F6AAC" w:rsidRDefault="00CA2EF4" w:rsidP="00CA2EF4">
      <w:pPr>
        <w:spacing w:before="120" w:after="120" w:line="240" w:lineRule="auto"/>
        <w:jc w:val="both"/>
        <w:rPr>
          <w:rFonts w:cs="Times New Roman"/>
          <w:b/>
          <w:bCs/>
          <w:lang w:eastAsia="et-EE"/>
        </w:rPr>
      </w:pPr>
      <w:r>
        <w:rPr>
          <w:rFonts w:cs="Times New Roman"/>
          <w:b/>
          <w:bCs/>
        </w:rPr>
        <w:t>K</w:t>
      </w:r>
      <w:r w:rsidRPr="005F6AAC">
        <w:rPr>
          <w:rFonts w:cs="Times New Roman"/>
          <w:b/>
          <w:bCs/>
        </w:rPr>
        <w:t xml:space="preserve">äesoleva otsuse </w:t>
      </w:r>
      <w:r>
        <w:rPr>
          <w:rFonts w:cs="Times New Roman"/>
          <w:b/>
          <w:bCs/>
        </w:rPr>
        <w:t>koostamisel ajal</w:t>
      </w:r>
      <w:r w:rsidRPr="005F6AAC">
        <w:rPr>
          <w:rFonts w:cs="Times New Roman"/>
          <w:b/>
          <w:bCs/>
        </w:rPr>
        <w:t xml:space="preserve"> kehtivad </w:t>
      </w:r>
      <w:r w:rsidRPr="00D040CC">
        <w:rPr>
          <w:rFonts w:cs="Times New Roman"/>
          <w:b/>
          <w:bCs/>
        </w:rPr>
        <w:t>TTJA 16.06.17 otsusest nr 1-10/17-22</w:t>
      </w:r>
      <w:r w:rsidR="00C85ED0">
        <w:rPr>
          <w:rFonts w:cs="Times New Roman"/>
          <w:b/>
          <w:bCs/>
        </w:rPr>
        <w:t>7</w:t>
      </w:r>
      <w:r>
        <w:rPr>
          <w:rFonts w:cs="Times New Roman"/>
          <w:b/>
          <w:bCs/>
        </w:rPr>
        <w:t xml:space="preserve"> (TTJA 2017 hulgituru 3</w:t>
      </w:r>
      <w:r w:rsidR="00C85ED0">
        <w:rPr>
          <w:rFonts w:cs="Times New Roman"/>
          <w:b/>
          <w:bCs/>
        </w:rPr>
        <w:t>b</w:t>
      </w:r>
      <w:r>
        <w:rPr>
          <w:rFonts w:cs="Times New Roman"/>
          <w:b/>
          <w:bCs/>
        </w:rPr>
        <w:t xml:space="preserve"> otsusest)</w:t>
      </w:r>
      <w:r w:rsidRPr="005F6AAC">
        <w:rPr>
          <w:rFonts w:cs="Times New Roman"/>
          <w:b/>
          <w:bCs/>
        </w:rPr>
        <w:t xml:space="preserve"> tulenevad Telia kohustused muutuvad </w:t>
      </w:r>
      <w:r w:rsidRPr="005F6AAC">
        <w:rPr>
          <w:rFonts w:cs="Times New Roman"/>
          <w:b/>
          <w:bCs/>
          <w:lang w:eastAsia="et-EE"/>
        </w:rPr>
        <w:t xml:space="preserve">alates </w:t>
      </w:r>
      <w:r>
        <w:rPr>
          <w:rFonts w:cs="Times New Roman"/>
          <w:b/>
          <w:bCs/>
          <w:lang w:eastAsia="et-EE"/>
        </w:rPr>
        <w:t xml:space="preserve">käesoleva </w:t>
      </w:r>
      <w:r w:rsidRPr="005F6AAC">
        <w:rPr>
          <w:rFonts w:cs="Times New Roman"/>
          <w:b/>
          <w:bCs/>
          <w:lang w:eastAsia="et-EE"/>
        </w:rPr>
        <w:t xml:space="preserve">otsuse vastu võtmise kalendripäevale järgneva </w:t>
      </w:r>
      <w:r>
        <w:rPr>
          <w:rFonts w:cs="Times New Roman"/>
          <w:b/>
          <w:bCs/>
          <w:lang w:eastAsia="et-EE"/>
        </w:rPr>
        <w:t>viienda</w:t>
      </w:r>
      <w:r w:rsidRPr="005F6AAC">
        <w:rPr>
          <w:rFonts w:cs="Times New Roman"/>
          <w:b/>
          <w:bCs/>
          <w:lang w:eastAsia="et-EE"/>
        </w:rPr>
        <w:t xml:space="preserve"> kuu 1. kalendripäevast</w:t>
      </w:r>
      <w:r w:rsidRPr="005F6AAC">
        <w:rPr>
          <w:rFonts w:cs="Times New Roman"/>
          <w:b/>
          <w:bCs/>
        </w:rPr>
        <w:t xml:space="preserve"> kehtetuks</w:t>
      </w:r>
      <w:r>
        <w:rPr>
          <w:rFonts w:cs="Times New Roman"/>
          <w:b/>
          <w:bCs/>
        </w:rPr>
        <w:t xml:space="preserve">, vt ka </w:t>
      </w:r>
      <w:r w:rsidR="008C159A">
        <w:rPr>
          <w:rFonts w:cs="Times New Roman"/>
          <w:b/>
          <w:bCs/>
        </w:rPr>
        <w:t xml:space="preserve">ptk. </w:t>
      </w:r>
      <w:r w:rsidR="00DE5953">
        <w:rPr>
          <w:rFonts w:cs="Times New Roman"/>
          <w:b/>
          <w:bCs/>
        </w:rPr>
        <w:t>8</w:t>
      </w:r>
      <w:r>
        <w:rPr>
          <w:rFonts w:cs="Times New Roman"/>
          <w:b/>
          <w:bCs/>
        </w:rPr>
        <w:t>.1.2</w:t>
      </w:r>
      <w:r w:rsidRPr="005F6AAC">
        <w:rPr>
          <w:rFonts w:cs="Times New Roman"/>
          <w:b/>
          <w:bCs/>
        </w:rPr>
        <w:t xml:space="preserve">.  </w:t>
      </w:r>
    </w:p>
    <w:p w14:paraId="337653F1" w14:textId="77777777" w:rsidR="00CA2EF4" w:rsidRPr="00883566" w:rsidRDefault="00CA2EF4" w:rsidP="00CA2EF4">
      <w:pPr>
        <w:jc w:val="both"/>
        <w:rPr>
          <w:rFonts w:cs="Times New Roman"/>
          <w:lang w:eastAsia="et-EE"/>
        </w:rPr>
      </w:pPr>
      <w:r w:rsidRPr="00883566">
        <w:rPr>
          <w:rFonts w:cs="Times New Roman"/>
        </w:rPr>
        <w:t>Vastavalt  ESS § 49 lõikele 7 võib märkimisväärse turujõuga ettevõtja määramata jätmise otsuse tegemisel TTJA kehtestada tingimusi seoses kehtivate juurdepääsu lepingutega, andes nende täitmiseks mõistliku tähtaja.</w:t>
      </w:r>
    </w:p>
    <w:p w14:paraId="5D7F1120" w14:textId="6481D21A" w:rsidR="00CA2EF4" w:rsidRPr="00883566" w:rsidRDefault="00000AC2" w:rsidP="00CA2EF4">
      <w:pPr>
        <w:pStyle w:val="Loendilik"/>
        <w:spacing w:before="120" w:after="120"/>
        <w:ind w:left="0"/>
        <w:jc w:val="both"/>
        <w:rPr>
          <w:rFonts w:cs="Times New Roman"/>
          <w:b/>
          <w:bCs/>
        </w:rPr>
      </w:pPr>
      <w:r w:rsidRPr="00883566">
        <w:rPr>
          <w:rFonts w:cs="Times New Roman"/>
          <w:b/>
          <w:bCs/>
        </w:rPr>
        <w:t xml:space="preserve">Telia </w:t>
      </w:r>
      <w:r w:rsidR="005D6B1F" w:rsidRPr="00883566">
        <w:rPr>
          <w:rFonts w:cs="Times New Roman"/>
          <w:b/>
          <w:bCs/>
        </w:rPr>
        <w:t xml:space="preserve">ei tohi käesoleva otsuse kehtestamise kuupäeval </w:t>
      </w:r>
      <w:r w:rsidR="005D6B1F">
        <w:rPr>
          <w:rFonts w:cs="Times New Roman"/>
          <w:b/>
          <w:bCs/>
        </w:rPr>
        <w:t>kehtivaid</w:t>
      </w:r>
      <w:r w:rsidR="005D6B1F" w:rsidRPr="00883566">
        <w:rPr>
          <w:rFonts w:cs="Times New Roman"/>
          <w:b/>
          <w:bCs/>
        </w:rPr>
        <w:t xml:space="preserve"> </w:t>
      </w:r>
      <w:r w:rsidR="005D6B1F">
        <w:rPr>
          <w:rFonts w:cs="Times New Roman"/>
          <w:b/>
          <w:bCs/>
        </w:rPr>
        <w:t xml:space="preserve">hulgituru 3b teenuste </w:t>
      </w:r>
      <w:r w:rsidR="005D6B1F" w:rsidRPr="00883566">
        <w:rPr>
          <w:rFonts w:cs="Times New Roman"/>
          <w:b/>
          <w:bCs/>
        </w:rPr>
        <w:t xml:space="preserve"> </w:t>
      </w:r>
      <w:r w:rsidR="005D6B1F">
        <w:rPr>
          <w:rFonts w:cs="Times New Roman"/>
          <w:b/>
          <w:bCs/>
        </w:rPr>
        <w:t xml:space="preserve">lepinguid </w:t>
      </w:r>
      <w:r w:rsidR="00532579">
        <w:rPr>
          <w:rFonts w:cs="Times New Roman"/>
          <w:b/>
          <w:bCs/>
        </w:rPr>
        <w:t>vaskpaar</w:t>
      </w:r>
      <w:r w:rsidR="005D6B1F" w:rsidRPr="00883566">
        <w:rPr>
          <w:rFonts w:cs="Times New Roman"/>
          <w:b/>
          <w:bCs/>
        </w:rPr>
        <w:t>võrgus</w:t>
      </w:r>
      <w:r w:rsidR="005D6B1F">
        <w:rPr>
          <w:rFonts w:cs="Times New Roman"/>
          <w:b/>
          <w:bCs/>
        </w:rPr>
        <w:t xml:space="preserve"> üleriigiliselt</w:t>
      </w:r>
      <w:r w:rsidR="005D6B1F" w:rsidRPr="00883566">
        <w:rPr>
          <w:rFonts w:cs="Times New Roman"/>
          <w:b/>
          <w:bCs/>
        </w:rPr>
        <w:t xml:space="preserve"> ning </w:t>
      </w:r>
      <w:r w:rsidR="005D6B1F">
        <w:rPr>
          <w:rFonts w:cs="Times New Roman"/>
          <w:b/>
          <w:bCs/>
        </w:rPr>
        <w:t>valguskaabelvõrgu</w:t>
      </w:r>
      <w:r w:rsidR="005D6B1F" w:rsidRPr="00883566">
        <w:rPr>
          <w:rFonts w:cs="Times New Roman"/>
          <w:b/>
          <w:bCs/>
        </w:rPr>
        <w:t>s A piirkonna</w:t>
      </w:r>
      <w:r w:rsidR="005D6B1F">
        <w:rPr>
          <w:rFonts w:cs="Times New Roman"/>
          <w:b/>
          <w:bCs/>
        </w:rPr>
        <w:t>s</w:t>
      </w:r>
      <w:r w:rsidR="005D6B1F" w:rsidRPr="00883566">
        <w:rPr>
          <w:rFonts w:cs="Times New Roman"/>
          <w:b/>
          <w:bCs/>
        </w:rPr>
        <w:t xml:space="preserve"> muuta ega lõpetada 160 tööpäeva (ca 8 kuud) alates käesoleva otsuse kehtima hakkamisest ning teavitama vastavate lepingute lõpetamisest lepingu osapooli ette vähemalt 140 tööpäeva (ca 7 kuud)</w:t>
      </w:r>
      <w:r>
        <w:rPr>
          <w:rFonts w:cs="Times New Roman"/>
          <w:b/>
          <w:bCs/>
        </w:rPr>
        <w:t>, vt. ka ptk 8.1.2</w:t>
      </w:r>
      <w:r w:rsidR="005D6B1F">
        <w:rPr>
          <w:rFonts w:cs="Times New Roman"/>
          <w:b/>
          <w:bCs/>
        </w:rPr>
        <w:t>.</w:t>
      </w:r>
    </w:p>
    <w:p w14:paraId="72F3CA2F" w14:textId="77777777" w:rsidR="00F03958" w:rsidRPr="00883566" w:rsidRDefault="00F03958" w:rsidP="00AA241E">
      <w:pPr>
        <w:spacing w:line="257" w:lineRule="auto"/>
        <w:jc w:val="both"/>
        <w:rPr>
          <w:rFonts w:eastAsia="Times New Roman" w:cs="Times New Roman"/>
        </w:rPr>
      </w:pPr>
    </w:p>
    <w:p w14:paraId="3C152BEC" w14:textId="300EDFBB" w:rsidR="000F3CF8" w:rsidRPr="00883566" w:rsidRDefault="000F3CF8" w:rsidP="00AA241E">
      <w:pPr>
        <w:pStyle w:val="Pealkiri1"/>
        <w:rPr>
          <w:rStyle w:val="Pealkiri1Mrk"/>
          <w:b/>
        </w:rPr>
      </w:pPr>
      <w:bookmarkStart w:id="1419" w:name="_Toc174710904"/>
      <w:r w:rsidRPr="00883566">
        <w:rPr>
          <w:rStyle w:val="Pealkiri1Mrk"/>
          <w:b/>
        </w:rPr>
        <w:t>MÕISTED</w:t>
      </w:r>
      <w:bookmarkStart w:id="1420" w:name="_Toc151026073"/>
      <w:bookmarkEnd w:id="1419"/>
    </w:p>
    <w:p w14:paraId="1342DA53" w14:textId="77777777" w:rsidR="000F3CF8" w:rsidRPr="00883566" w:rsidRDefault="000F3CF8" w:rsidP="00AA241E">
      <w:pPr>
        <w:jc w:val="both"/>
      </w:pPr>
    </w:p>
    <w:tbl>
      <w:tblPr>
        <w:tblStyle w:val="Kontuurtabel"/>
        <w:tblW w:w="9463" w:type="dxa"/>
        <w:tblLayout w:type="fixed"/>
        <w:tblLook w:val="04A0" w:firstRow="1" w:lastRow="0" w:firstColumn="1" w:lastColumn="0" w:noHBand="0" w:noVBand="1"/>
      </w:tblPr>
      <w:tblGrid>
        <w:gridCol w:w="3008"/>
        <w:gridCol w:w="6455"/>
      </w:tblGrid>
      <w:tr w:rsidR="00F06509" w:rsidRPr="00883566" w14:paraId="318717D3" w14:textId="77777777" w:rsidTr="000B13AE">
        <w:tc>
          <w:tcPr>
            <w:tcW w:w="3008" w:type="dxa"/>
          </w:tcPr>
          <w:p w14:paraId="454697BA" w14:textId="77777777" w:rsidR="00F06509" w:rsidRPr="00883566" w:rsidRDefault="00F06509" w:rsidP="00AA241E">
            <w:pPr>
              <w:jc w:val="both"/>
              <w:rPr>
                <w:rFonts w:cs="Times New Roman"/>
              </w:rPr>
            </w:pPr>
            <w:r w:rsidRPr="00883566">
              <w:rPr>
                <w:rFonts w:cs="Times New Roman"/>
              </w:rPr>
              <w:t>Aadressiobjekt</w:t>
            </w:r>
          </w:p>
        </w:tc>
        <w:tc>
          <w:tcPr>
            <w:tcW w:w="6455" w:type="dxa"/>
          </w:tcPr>
          <w:p w14:paraId="4037A378" w14:textId="77777777" w:rsidR="00F06509" w:rsidRPr="00883566" w:rsidRDefault="00F06509" w:rsidP="00AA241E">
            <w:pPr>
              <w:jc w:val="both"/>
              <w:rPr>
                <w:rFonts w:cs="Times New Roman"/>
              </w:rPr>
            </w:pPr>
            <w:r w:rsidRPr="00883566">
              <w:rPr>
                <w:rFonts w:cs="Times New Roman"/>
              </w:rPr>
              <w:t xml:space="preserve">Geograafiline aadressiobjekt (edaspidi aadressiobjekt) on maaga seotud objekt, millele on määratud aadress või millele aadressi määramise kohustus või võimalus tuleneb õigusaktist ning millel on  aadressiobjekti identifikaator ehk ADS-OID. Peamiselt on need adresseeritud maaüksused, hooned ja hooneosad (sh korterid), vt ka </w:t>
            </w:r>
            <w:hyperlink r:id="rId49">
              <w:r w:rsidRPr="00883566">
                <w:rPr>
                  <w:rStyle w:val="Hperlink"/>
                  <w:rFonts w:cs="Times New Roman"/>
                </w:rPr>
                <w:t>https://maaamet.ee/ruumiandmed-ja-kaardid/aadressid-ja-kohanimed/aadressiandmete-kasiraamat/1-moisted</w:t>
              </w:r>
            </w:hyperlink>
            <w:r w:rsidRPr="00883566">
              <w:rPr>
                <w:rFonts w:cs="Times New Roman"/>
              </w:rPr>
              <w:t xml:space="preserve"> </w:t>
            </w:r>
          </w:p>
        </w:tc>
      </w:tr>
      <w:tr w:rsidR="00F06509" w:rsidRPr="00883566" w14:paraId="3A1A8691" w14:textId="77777777" w:rsidTr="000B13AE">
        <w:tc>
          <w:tcPr>
            <w:tcW w:w="3008" w:type="dxa"/>
          </w:tcPr>
          <w:p w14:paraId="0275FE69" w14:textId="77777777" w:rsidR="00F06509" w:rsidRPr="00883566" w:rsidRDefault="00F06509" w:rsidP="00AA241E">
            <w:pPr>
              <w:jc w:val="both"/>
              <w:rPr>
                <w:rFonts w:cs="Times New Roman"/>
              </w:rPr>
            </w:pPr>
            <w:r w:rsidRPr="00883566">
              <w:rPr>
                <w:rFonts w:cs="Times New Roman"/>
              </w:rPr>
              <w:t>EK</w:t>
            </w:r>
          </w:p>
        </w:tc>
        <w:tc>
          <w:tcPr>
            <w:tcW w:w="6455" w:type="dxa"/>
          </w:tcPr>
          <w:p w14:paraId="03ADB58D" w14:textId="77777777" w:rsidR="00F06509" w:rsidRPr="00883566" w:rsidRDefault="00F06509" w:rsidP="00AA241E">
            <w:pPr>
              <w:jc w:val="both"/>
              <w:rPr>
                <w:rFonts w:cs="Times New Roman"/>
              </w:rPr>
            </w:pPr>
            <w:r w:rsidRPr="00883566">
              <w:rPr>
                <w:rFonts w:cs="Times New Roman"/>
              </w:rPr>
              <w:t xml:space="preserve">Euroopa Komisjon, vt ka </w:t>
            </w:r>
            <w:hyperlink r:id="rId50">
              <w:r w:rsidRPr="00883566">
                <w:rPr>
                  <w:rStyle w:val="Hperlink"/>
                  <w:rFonts w:cs="Times New Roman"/>
                </w:rPr>
                <w:t>https://ec.europa.eu/info/index_et</w:t>
              </w:r>
            </w:hyperlink>
          </w:p>
        </w:tc>
      </w:tr>
      <w:tr w:rsidR="00F06509" w:rsidRPr="006077AF" w14:paraId="1A9ED263" w14:textId="77777777" w:rsidTr="000B13AE">
        <w:tc>
          <w:tcPr>
            <w:tcW w:w="3008" w:type="dxa"/>
          </w:tcPr>
          <w:p w14:paraId="26A936D2" w14:textId="77777777" w:rsidR="00F06509" w:rsidRPr="00883566" w:rsidRDefault="00F06509" w:rsidP="00AA241E">
            <w:pPr>
              <w:jc w:val="both"/>
              <w:rPr>
                <w:rFonts w:cs="Times New Roman"/>
              </w:rPr>
            </w:pPr>
            <w:r w:rsidRPr="00883566">
              <w:rPr>
                <w:rFonts w:cs="Times New Roman"/>
              </w:rPr>
              <w:t>EK 2014 turgude soovitus</w:t>
            </w:r>
          </w:p>
        </w:tc>
        <w:tc>
          <w:tcPr>
            <w:tcW w:w="6455" w:type="dxa"/>
          </w:tcPr>
          <w:p w14:paraId="44A8CBCA" w14:textId="77777777" w:rsidR="00F06509" w:rsidRPr="00883566" w:rsidRDefault="00F06509" w:rsidP="00AA241E">
            <w:pPr>
              <w:jc w:val="both"/>
              <w:rPr>
                <w:rFonts w:cs="Times New Roman"/>
              </w:rPr>
            </w:pPr>
            <w:r w:rsidRPr="00883566">
              <w:rPr>
                <w:rFonts w:cs="Times New Roman"/>
              </w:rPr>
              <w:t xml:space="preserve">Euroopa Komisjoni 2014/710/EL, 9. oktoober 2014, elektroonilise side sektori asjaomaste toote- ja teenuseturgude kohta, mis vastavalt Euroopa Parlamendi ja nõukogu direktiivile 2002/21/EÜ (elektrooniliste sidevõrkude ja -teenuste ühise reguleeriva raamistiku kohta) vajavad eelnevat reguleerimist, </w:t>
            </w:r>
            <w:r w:rsidRPr="00883566">
              <w:rPr>
                <w:rFonts w:cs="Times New Roman"/>
              </w:rPr>
              <w:lastRenderedPageBreak/>
              <w:t xml:space="preserve">viide allikale: </w:t>
            </w:r>
            <w:hyperlink r:id="rId51">
              <w:r w:rsidRPr="00883566">
                <w:rPr>
                  <w:rStyle w:val="Hperlink"/>
                  <w:rFonts w:cs="Times New Roman"/>
                </w:rPr>
                <w:t>https://eur-lex.europa.eu/legal-content/ET/TXT/?uri=CELEX:32014H0710</w:t>
              </w:r>
            </w:hyperlink>
            <w:r w:rsidRPr="00883566">
              <w:rPr>
                <w:rFonts w:cs="Times New Roman"/>
              </w:rPr>
              <w:t xml:space="preserve"> </w:t>
            </w:r>
          </w:p>
        </w:tc>
      </w:tr>
      <w:tr w:rsidR="00F06509" w:rsidRPr="006077AF" w14:paraId="6BCBBDEE" w14:textId="77777777" w:rsidTr="000B13AE">
        <w:tc>
          <w:tcPr>
            <w:tcW w:w="3008" w:type="dxa"/>
          </w:tcPr>
          <w:p w14:paraId="59F9D6D0" w14:textId="77777777" w:rsidR="00F06509" w:rsidRPr="00883566" w:rsidRDefault="00F06509" w:rsidP="00AA241E">
            <w:pPr>
              <w:jc w:val="both"/>
              <w:rPr>
                <w:rFonts w:cs="Times New Roman"/>
              </w:rPr>
            </w:pPr>
            <w:r w:rsidRPr="00883566">
              <w:rPr>
                <w:rFonts w:cs="Times New Roman"/>
              </w:rPr>
              <w:lastRenderedPageBreak/>
              <w:t>EK 2018 turgude suunis</w:t>
            </w:r>
          </w:p>
        </w:tc>
        <w:tc>
          <w:tcPr>
            <w:tcW w:w="6455" w:type="dxa"/>
          </w:tcPr>
          <w:p w14:paraId="60B2C1E7" w14:textId="77777777" w:rsidR="00F06509" w:rsidRPr="00883566" w:rsidRDefault="00F06509" w:rsidP="00AA241E">
            <w:pPr>
              <w:jc w:val="both"/>
              <w:rPr>
                <w:rFonts w:cs="Times New Roman"/>
              </w:rPr>
            </w:pPr>
            <w:r w:rsidRPr="00883566">
              <w:rPr>
                <w:rFonts w:cs="Times New Roman"/>
              </w:rPr>
              <w:t xml:space="preserve">Euroopa Komisjoni teatis 2018/C 159/01, suunised turuanalüüsi ja märkimisväärse turujõu hindamise kohta vastavalt ELi elektrooniliste sidevõrkude ja -teenuste reguleerivale raamistikule, viide allikale: </w:t>
            </w:r>
            <w:hyperlink r:id="rId52" w:history="1">
              <w:r w:rsidRPr="00883566">
                <w:rPr>
                  <w:rStyle w:val="Hperlink"/>
                  <w:rFonts w:cs="Times New Roman"/>
                </w:rPr>
                <w:t>https://eur-lex.europa.eu/legal-content/EN-ET/TXT/?uri=CELEX:52018XC0507(01)</w:t>
              </w:r>
            </w:hyperlink>
            <w:r w:rsidRPr="00883566">
              <w:rPr>
                <w:rFonts w:cs="Times New Roman"/>
              </w:rPr>
              <w:t xml:space="preserve"> </w:t>
            </w:r>
          </w:p>
          <w:p w14:paraId="44C59AAD" w14:textId="77777777" w:rsidR="00F06509" w:rsidRPr="00883566" w:rsidRDefault="00F06509" w:rsidP="00AA241E">
            <w:pPr>
              <w:jc w:val="both"/>
              <w:rPr>
                <w:rFonts w:cs="Times New Roman"/>
              </w:rPr>
            </w:pPr>
          </w:p>
        </w:tc>
      </w:tr>
      <w:tr w:rsidR="00F06509" w:rsidRPr="006077AF" w14:paraId="795F453B" w14:textId="77777777" w:rsidTr="000B13AE">
        <w:tc>
          <w:tcPr>
            <w:tcW w:w="3008" w:type="dxa"/>
          </w:tcPr>
          <w:p w14:paraId="02424090" w14:textId="77777777" w:rsidR="00F06509" w:rsidRPr="00883566" w:rsidRDefault="00F06509" w:rsidP="00AA241E">
            <w:pPr>
              <w:jc w:val="both"/>
              <w:rPr>
                <w:rFonts w:cs="Times New Roman"/>
              </w:rPr>
            </w:pPr>
            <w:r w:rsidRPr="00883566">
              <w:rPr>
                <w:rFonts w:cs="Times New Roman"/>
              </w:rPr>
              <w:t>EK 2020 turgude soovitus</w:t>
            </w:r>
          </w:p>
        </w:tc>
        <w:tc>
          <w:tcPr>
            <w:tcW w:w="6455" w:type="dxa"/>
          </w:tcPr>
          <w:p w14:paraId="42B37368" w14:textId="77777777" w:rsidR="00F06509" w:rsidRPr="00883566" w:rsidRDefault="00F06509" w:rsidP="00AA241E">
            <w:pPr>
              <w:jc w:val="both"/>
              <w:rPr>
                <w:rFonts w:cs="Times New Roman"/>
              </w:rPr>
            </w:pPr>
            <w:r w:rsidRPr="00883566">
              <w:rPr>
                <w:rFonts w:cs="Times New Roman"/>
              </w:rPr>
              <w:t xml:space="preserve">Euroopa Komisjoni soovitus (EL) 2020/2245, 18. detsember 2020, elektroonilise side sektori asjaomaste toote- ja teenuseturgude kohta, mis vastavalt Euroopa Parlamendi ja nõukogu direktiivile (EL) 2018/1972 (millega kehtestatakse Euroopa elektroonilise side seadustik) vajavad eelnevat reguleerimist, viide allikale: </w:t>
            </w:r>
            <w:hyperlink r:id="rId53">
              <w:r w:rsidRPr="00883566">
                <w:rPr>
                  <w:rStyle w:val="Hperlink"/>
                  <w:rFonts w:cs="Times New Roman"/>
                </w:rPr>
                <w:t>https://eur-lex.europa.eu/legal-content/EN-ET/TXT/?uri=CELEX:32020H2245</w:t>
              </w:r>
            </w:hyperlink>
            <w:r w:rsidRPr="00883566">
              <w:rPr>
                <w:rFonts w:cs="Times New Roman"/>
              </w:rPr>
              <w:t xml:space="preserve"> </w:t>
            </w:r>
          </w:p>
        </w:tc>
      </w:tr>
      <w:tr w:rsidR="00AF32A8" w:rsidRPr="006077AF" w14:paraId="691E56AB" w14:textId="77777777" w:rsidTr="000B13AE">
        <w:tc>
          <w:tcPr>
            <w:tcW w:w="3008" w:type="dxa"/>
          </w:tcPr>
          <w:p w14:paraId="05045102" w14:textId="2F2A03B0" w:rsidR="00AF32A8" w:rsidRPr="00883566" w:rsidRDefault="00AF32A8" w:rsidP="00AA241E">
            <w:pPr>
              <w:jc w:val="both"/>
              <w:rPr>
                <w:rFonts w:cs="Times New Roman"/>
              </w:rPr>
            </w:pPr>
            <w:r>
              <w:rPr>
                <w:rFonts w:cs="Times New Roman"/>
              </w:rPr>
              <w:t>EK 2020 turgude soovituse selgitavad märkused</w:t>
            </w:r>
          </w:p>
        </w:tc>
        <w:tc>
          <w:tcPr>
            <w:tcW w:w="6455" w:type="dxa"/>
          </w:tcPr>
          <w:p w14:paraId="78329F43" w14:textId="77777777" w:rsidR="00AF32A8" w:rsidRPr="00951E60" w:rsidRDefault="00AF32A8" w:rsidP="00AF32A8">
            <w:pPr>
              <w:rPr>
                <w:rFonts w:cs="Times New Roman"/>
                <w:i/>
                <w:iCs/>
              </w:rPr>
            </w:pPr>
            <w:r w:rsidRPr="00951E60">
              <w:rPr>
                <w:rFonts w:cs="Times New Roman"/>
                <w:i/>
                <w:iCs/>
              </w:rPr>
              <w:t xml:space="preserve">COMMISSION STAFF WORKING DOCUMENT EXPLANATORY NOTE </w:t>
            </w:r>
            <w:proofErr w:type="spellStart"/>
            <w:r w:rsidRPr="00951E60">
              <w:rPr>
                <w:rFonts w:cs="Times New Roman"/>
                <w:i/>
                <w:iCs/>
              </w:rPr>
              <w:t>Accompanying</w:t>
            </w:r>
            <w:proofErr w:type="spellEnd"/>
            <w:r w:rsidRPr="00951E60">
              <w:rPr>
                <w:rFonts w:cs="Times New Roman"/>
                <w:i/>
                <w:iCs/>
              </w:rPr>
              <w:t xml:space="preserve"> </w:t>
            </w:r>
            <w:proofErr w:type="spellStart"/>
            <w:r w:rsidRPr="00951E60">
              <w:rPr>
                <w:rFonts w:cs="Times New Roman"/>
                <w:i/>
                <w:iCs/>
              </w:rPr>
              <w:t>the</w:t>
            </w:r>
            <w:proofErr w:type="spellEnd"/>
            <w:r w:rsidRPr="00951E60">
              <w:rPr>
                <w:rFonts w:cs="Times New Roman"/>
                <w:i/>
                <w:iCs/>
              </w:rPr>
              <w:t xml:space="preserve"> </w:t>
            </w:r>
            <w:proofErr w:type="spellStart"/>
            <w:r w:rsidRPr="00951E60">
              <w:rPr>
                <w:rFonts w:cs="Times New Roman"/>
                <w:i/>
                <w:iCs/>
              </w:rPr>
              <w:t>document</w:t>
            </w:r>
            <w:proofErr w:type="spellEnd"/>
            <w:r w:rsidRPr="00951E60">
              <w:rPr>
                <w:rFonts w:cs="Times New Roman"/>
                <w:i/>
                <w:iCs/>
              </w:rPr>
              <w:t xml:space="preserve"> COMMISSION RECOMMENDATION on relevant </w:t>
            </w:r>
            <w:proofErr w:type="spellStart"/>
            <w:r w:rsidRPr="00951E60">
              <w:rPr>
                <w:rFonts w:cs="Times New Roman"/>
                <w:i/>
                <w:iCs/>
              </w:rPr>
              <w:t>product</w:t>
            </w:r>
            <w:proofErr w:type="spellEnd"/>
            <w:r w:rsidRPr="00951E60">
              <w:rPr>
                <w:rFonts w:cs="Times New Roman"/>
                <w:i/>
                <w:iCs/>
              </w:rPr>
              <w:t xml:space="preserve"> and </w:t>
            </w:r>
            <w:proofErr w:type="spellStart"/>
            <w:r w:rsidRPr="00951E60">
              <w:rPr>
                <w:rFonts w:cs="Times New Roman"/>
                <w:i/>
                <w:iCs/>
              </w:rPr>
              <w:t>service</w:t>
            </w:r>
            <w:proofErr w:type="spellEnd"/>
            <w:r w:rsidRPr="00951E60">
              <w:rPr>
                <w:rFonts w:cs="Times New Roman"/>
                <w:i/>
                <w:iCs/>
              </w:rPr>
              <w:t xml:space="preserve"> </w:t>
            </w:r>
            <w:proofErr w:type="spellStart"/>
            <w:r w:rsidRPr="00951E60">
              <w:rPr>
                <w:rFonts w:cs="Times New Roman"/>
                <w:i/>
                <w:iCs/>
              </w:rPr>
              <w:t>markets</w:t>
            </w:r>
            <w:proofErr w:type="spellEnd"/>
            <w:r w:rsidRPr="00951E60">
              <w:rPr>
                <w:rFonts w:cs="Times New Roman"/>
                <w:i/>
                <w:iCs/>
              </w:rPr>
              <w:t xml:space="preserve"> </w:t>
            </w:r>
            <w:proofErr w:type="spellStart"/>
            <w:r w:rsidRPr="00951E60">
              <w:rPr>
                <w:rFonts w:cs="Times New Roman"/>
                <w:i/>
                <w:iCs/>
              </w:rPr>
              <w:t>within</w:t>
            </w:r>
            <w:proofErr w:type="spellEnd"/>
            <w:r w:rsidRPr="00951E60">
              <w:rPr>
                <w:rFonts w:cs="Times New Roman"/>
                <w:i/>
                <w:iCs/>
              </w:rPr>
              <w:t xml:space="preserve"> </w:t>
            </w:r>
            <w:proofErr w:type="spellStart"/>
            <w:r w:rsidRPr="00951E60">
              <w:rPr>
                <w:rFonts w:cs="Times New Roman"/>
                <w:i/>
                <w:iCs/>
              </w:rPr>
              <w:t>the</w:t>
            </w:r>
            <w:proofErr w:type="spellEnd"/>
            <w:r w:rsidRPr="00951E60">
              <w:rPr>
                <w:rFonts w:cs="Times New Roman"/>
                <w:i/>
                <w:iCs/>
              </w:rPr>
              <w:t xml:space="preserve"> </w:t>
            </w:r>
            <w:proofErr w:type="spellStart"/>
            <w:r w:rsidRPr="00951E60">
              <w:rPr>
                <w:rFonts w:cs="Times New Roman"/>
                <w:i/>
                <w:iCs/>
              </w:rPr>
              <w:t>electronic</w:t>
            </w:r>
            <w:proofErr w:type="spellEnd"/>
            <w:r w:rsidRPr="00951E60">
              <w:rPr>
                <w:rFonts w:cs="Times New Roman"/>
                <w:i/>
                <w:iCs/>
              </w:rPr>
              <w:t xml:space="preserve"> </w:t>
            </w:r>
            <w:proofErr w:type="spellStart"/>
            <w:r w:rsidRPr="00951E60">
              <w:rPr>
                <w:rFonts w:cs="Times New Roman"/>
                <w:i/>
                <w:iCs/>
              </w:rPr>
              <w:t>communications</w:t>
            </w:r>
            <w:proofErr w:type="spellEnd"/>
            <w:r w:rsidRPr="00951E60">
              <w:rPr>
                <w:rFonts w:cs="Times New Roman"/>
                <w:i/>
                <w:iCs/>
              </w:rPr>
              <w:t xml:space="preserve"> </w:t>
            </w:r>
            <w:proofErr w:type="spellStart"/>
            <w:r w:rsidRPr="00951E60">
              <w:rPr>
                <w:rFonts w:cs="Times New Roman"/>
                <w:i/>
                <w:iCs/>
              </w:rPr>
              <w:t>sector</w:t>
            </w:r>
            <w:proofErr w:type="spellEnd"/>
            <w:r w:rsidRPr="00951E60">
              <w:rPr>
                <w:rFonts w:cs="Times New Roman"/>
                <w:i/>
                <w:iCs/>
              </w:rPr>
              <w:t xml:space="preserve"> </w:t>
            </w:r>
            <w:proofErr w:type="spellStart"/>
            <w:r w:rsidRPr="00951E60">
              <w:rPr>
                <w:rFonts w:cs="Times New Roman"/>
                <w:i/>
                <w:iCs/>
              </w:rPr>
              <w:t>susceptible</w:t>
            </w:r>
            <w:proofErr w:type="spellEnd"/>
            <w:r w:rsidRPr="00951E60">
              <w:rPr>
                <w:rFonts w:cs="Times New Roman"/>
                <w:i/>
                <w:iCs/>
              </w:rPr>
              <w:t xml:space="preserve"> </w:t>
            </w:r>
            <w:proofErr w:type="spellStart"/>
            <w:r w:rsidRPr="00951E60">
              <w:rPr>
                <w:rFonts w:cs="Times New Roman"/>
                <w:i/>
                <w:iCs/>
              </w:rPr>
              <w:t>to</w:t>
            </w:r>
            <w:proofErr w:type="spellEnd"/>
            <w:r w:rsidRPr="00951E60">
              <w:rPr>
                <w:rFonts w:cs="Times New Roman"/>
                <w:i/>
                <w:iCs/>
              </w:rPr>
              <w:t xml:space="preserve"> </w:t>
            </w:r>
            <w:proofErr w:type="spellStart"/>
            <w:r w:rsidRPr="00951E60">
              <w:rPr>
                <w:rFonts w:cs="Times New Roman"/>
                <w:i/>
                <w:iCs/>
              </w:rPr>
              <w:t>ex</w:t>
            </w:r>
            <w:proofErr w:type="spellEnd"/>
            <w:r w:rsidRPr="00951E60">
              <w:rPr>
                <w:rFonts w:cs="Times New Roman"/>
                <w:i/>
                <w:iCs/>
              </w:rPr>
              <w:t xml:space="preserve"> </w:t>
            </w:r>
            <w:proofErr w:type="spellStart"/>
            <w:r w:rsidRPr="00951E60">
              <w:rPr>
                <w:rFonts w:cs="Times New Roman"/>
                <w:i/>
                <w:iCs/>
              </w:rPr>
              <w:t>ante</w:t>
            </w:r>
            <w:proofErr w:type="spellEnd"/>
            <w:r w:rsidRPr="00951E60">
              <w:rPr>
                <w:rFonts w:cs="Times New Roman"/>
                <w:i/>
                <w:iCs/>
              </w:rPr>
              <w:t xml:space="preserve"> </w:t>
            </w:r>
            <w:proofErr w:type="spellStart"/>
            <w:r w:rsidRPr="00951E60">
              <w:rPr>
                <w:rFonts w:cs="Times New Roman"/>
                <w:i/>
                <w:iCs/>
              </w:rPr>
              <w:t>regulation</w:t>
            </w:r>
            <w:proofErr w:type="spellEnd"/>
            <w:r w:rsidRPr="00951E60">
              <w:rPr>
                <w:rFonts w:cs="Times New Roman"/>
                <w:i/>
                <w:iCs/>
              </w:rPr>
              <w:t xml:space="preserve"> in </w:t>
            </w:r>
            <w:proofErr w:type="spellStart"/>
            <w:r w:rsidRPr="00951E60">
              <w:rPr>
                <w:rFonts w:cs="Times New Roman"/>
                <w:i/>
                <w:iCs/>
              </w:rPr>
              <w:t>accordance</w:t>
            </w:r>
            <w:proofErr w:type="spellEnd"/>
            <w:r w:rsidRPr="00951E60">
              <w:rPr>
                <w:rFonts w:cs="Times New Roman"/>
                <w:i/>
                <w:iCs/>
              </w:rPr>
              <w:t xml:space="preserve"> </w:t>
            </w:r>
            <w:proofErr w:type="spellStart"/>
            <w:r w:rsidRPr="00951E60">
              <w:rPr>
                <w:rFonts w:cs="Times New Roman"/>
                <w:i/>
                <w:iCs/>
              </w:rPr>
              <w:t>with</w:t>
            </w:r>
            <w:proofErr w:type="spellEnd"/>
            <w:r w:rsidRPr="00951E60">
              <w:rPr>
                <w:rFonts w:cs="Times New Roman"/>
                <w:i/>
                <w:iCs/>
              </w:rPr>
              <w:t xml:space="preserve"> </w:t>
            </w:r>
            <w:proofErr w:type="spellStart"/>
            <w:r w:rsidRPr="00951E60">
              <w:rPr>
                <w:rFonts w:cs="Times New Roman"/>
                <w:i/>
                <w:iCs/>
              </w:rPr>
              <w:t>Directive</w:t>
            </w:r>
            <w:proofErr w:type="spellEnd"/>
            <w:r w:rsidRPr="00951E60">
              <w:rPr>
                <w:rFonts w:cs="Times New Roman"/>
                <w:i/>
                <w:iCs/>
              </w:rPr>
              <w:t xml:space="preserve"> (EU) 2018/1972 of </w:t>
            </w:r>
            <w:proofErr w:type="spellStart"/>
            <w:r w:rsidRPr="00951E60">
              <w:rPr>
                <w:rFonts w:cs="Times New Roman"/>
                <w:i/>
                <w:iCs/>
              </w:rPr>
              <w:t>the</w:t>
            </w:r>
            <w:proofErr w:type="spellEnd"/>
            <w:r w:rsidRPr="00951E60">
              <w:rPr>
                <w:rFonts w:cs="Times New Roman"/>
                <w:i/>
                <w:iCs/>
              </w:rPr>
              <w:t xml:space="preserve"> </w:t>
            </w:r>
            <w:proofErr w:type="spellStart"/>
            <w:r w:rsidRPr="00951E60">
              <w:rPr>
                <w:rFonts w:cs="Times New Roman"/>
                <w:i/>
                <w:iCs/>
              </w:rPr>
              <w:t>European</w:t>
            </w:r>
            <w:proofErr w:type="spellEnd"/>
            <w:r w:rsidRPr="00951E60">
              <w:rPr>
                <w:rFonts w:cs="Times New Roman"/>
                <w:i/>
                <w:iCs/>
              </w:rPr>
              <w:t xml:space="preserve"> </w:t>
            </w:r>
            <w:proofErr w:type="spellStart"/>
            <w:r w:rsidRPr="00951E60">
              <w:rPr>
                <w:rFonts w:cs="Times New Roman"/>
                <w:i/>
                <w:iCs/>
              </w:rPr>
              <w:t>Parliament</w:t>
            </w:r>
            <w:proofErr w:type="spellEnd"/>
            <w:r w:rsidRPr="00951E60">
              <w:rPr>
                <w:rFonts w:cs="Times New Roman"/>
                <w:i/>
                <w:iCs/>
              </w:rPr>
              <w:t xml:space="preserve"> and of </w:t>
            </w:r>
            <w:proofErr w:type="spellStart"/>
            <w:r w:rsidRPr="00951E60">
              <w:rPr>
                <w:rFonts w:cs="Times New Roman"/>
                <w:i/>
                <w:iCs/>
              </w:rPr>
              <w:t>the</w:t>
            </w:r>
            <w:proofErr w:type="spellEnd"/>
            <w:r w:rsidRPr="00951E60">
              <w:rPr>
                <w:rFonts w:cs="Times New Roman"/>
                <w:i/>
                <w:iCs/>
              </w:rPr>
              <w:t xml:space="preserve"> </w:t>
            </w:r>
            <w:proofErr w:type="spellStart"/>
            <w:r w:rsidRPr="00951E60">
              <w:rPr>
                <w:rFonts w:cs="Times New Roman"/>
                <w:i/>
                <w:iCs/>
              </w:rPr>
              <w:t>Council</w:t>
            </w:r>
            <w:proofErr w:type="spellEnd"/>
            <w:r w:rsidRPr="00951E60">
              <w:rPr>
                <w:rFonts w:cs="Times New Roman"/>
                <w:i/>
                <w:iCs/>
              </w:rPr>
              <w:t xml:space="preserve"> of 11 </w:t>
            </w:r>
            <w:proofErr w:type="spellStart"/>
            <w:r w:rsidRPr="00951E60">
              <w:rPr>
                <w:rFonts w:cs="Times New Roman"/>
                <w:i/>
                <w:iCs/>
              </w:rPr>
              <w:t>December</w:t>
            </w:r>
            <w:proofErr w:type="spellEnd"/>
            <w:r w:rsidRPr="00951E60">
              <w:rPr>
                <w:rFonts w:cs="Times New Roman"/>
                <w:i/>
                <w:iCs/>
              </w:rPr>
              <w:t xml:space="preserve"> 2018 </w:t>
            </w:r>
            <w:proofErr w:type="spellStart"/>
            <w:r w:rsidRPr="00951E60">
              <w:rPr>
                <w:rFonts w:cs="Times New Roman"/>
                <w:i/>
                <w:iCs/>
              </w:rPr>
              <w:t>establishing</w:t>
            </w:r>
            <w:proofErr w:type="spellEnd"/>
            <w:r w:rsidRPr="00951E60">
              <w:rPr>
                <w:rFonts w:cs="Times New Roman"/>
                <w:i/>
                <w:iCs/>
              </w:rPr>
              <w:t xml:space="preserve"> </w:t>
            </w:r>
            <w:proofErr w:type="spellStart"/>
            <w:r w:rsidRPr="00951E60">
              <w:rPr>
                <w:rFonts w:cs="Times New Roman"/>
                <w:i/>
                <w:iCs/>
              </w:rPr>
              <w:t>the</w:t>
            </w:r>
            <w:proofErr w:type="spellEnd"/>
            <w:r w:rsidRPr="00951E60">
              <w:rPr>
                <w:rFonts w:cs="Times New Roman"/>
                <w:i/>
                <w:iCs/>
              </w:rPr>
              <w:t xml:space="preserve"> </w:t>
            </w:r>
            <w:proofErr w:type="spellStart"/>
            <w:r w:rsidRPr="00951E60">
              <w:rPr>
                <w:rFonts w:cs="Times New Roman"/>
                <w:i/>
                <w:iCs/>
              </w:rPr>
              <w:t>European</w:t>
            </w:r>
            <w:proofErr w:type="spellEnd"/>
            <w:r w:rsidRPr="00951E60">
              <w:rPr>
                <w:rFonts w:cs="Times New Roman"/>
                <w:i/>
                <w:iCs/>
              </w:rPr>
              <w:t xml:space="preserve"> </w:t>
            </w:r>
            <w:proofErr w:type="spellStart"/>
            <w:r w:rsidRPr="00951E60">
              <w:rPr>
                <w:rFonts w:cs="Times New Roman"/>
                <w:i/>
                <w:iCs/>
              </w:rPr>
              <w:t>Electronic</w:t>
            </w:r>
            <w:proofErr w:type="spellEnd"/>
            <w:r w:rsidRPr="00951E60">
              <w:rPr>
                <w:rFonts w:cs="Times New Roman"/>
                <w:i/>
                <w:iCs/>
              </w:rPr>
              <w:t xml:space="preserve"> </w:t>
            </w:r>
            <w:proofErr w:type="spellStart"/>
            <w:r w:rsidRPr="00951E60">
              <w:rPr>
                <w:rFonts w:cs="Times New Roman"/>
                <w:i/>
                <w:iCs/>
              </w:rPr>
              <w:t>Communications</w:t>
            </w:r>
            <w:proofErr w:type="spellEnd"/>
            <w:r w:rsidRPr="00951E60">
              <w:rPr>
                <w:rFonts w:cs="Times New Roman"/>
                <w:i/>
                <w:iCs/>
              </w:rPr>
              <w:t xml:space="preserve"> Code, Brussels, 18.12.2020  </w:t>
            </w:r>
          </w:p>
          <w:p w14:paraId="11A45A06" w14:textId="4914C2E7" w:rsidR="00AF32A8" w:rsidRPr="00883566" w:rsidRDefault="00AF32A8" w:rsidP="00AF32A8">
            <w:pPr>
              <w:jc w:val="both"/>
              <w:rPr>
                <w:rFonts w:cs="Times New Roman"/>
              </w:rPr>
            </w:pPr>
            <w:r w:rsidRPr="00951E60">
              <w:rPr>
                <w:rFonts w:cs="Times New Roman"/>
                <w:i/>
                <w:iCs/>
              </w:rPr>
              <w:t xml:space="preserve">SWD(2020) 337 </w:t>
            </w:r>
            <w:proofErr w:type="spellStart"/>
            <w:r w:rsidRPr="00951E60">
              <w:rPr>
                <w:rFonts w:cs="Times New Roman"/>
                <w:i/>
                <w:iCs/>
              </w:rPr>
              <w:t>final</w:t>
            </w:r>
            <w:proofErr w:type="spellEnd"/>
            <w:r w:rsidRPr="00951E60">
              <w:rPr>
                <w:rFonts w:cs="Times New Roman"/>
                <w:i/>
                <w:iCs/>
              </w:rPr>
              <w:t xml:space="preserve">   </w:t>
            </w:r>
            <w:hyperlink r:id="rId54" w:history="1">
              <w:r w:rsidRPr="00951E60">
                <w:rPr>
                  <w:rStyle w:val="Hperlink"/>
                  <w:rFonts w:cs="Times New Roman"/>
                  <w:i/>
                </w:rPr>
                <w:t>https://nkom.no/ekom-markedet/markeder/markeder-som-reguleres/_/attachment/download/e804f701-e342-448d-95f9-0b81f4b5d144:b3bff2ccf56262242fdd0f242205cf2ab0335fb0/Kommisjonens%20Explanatory%20Note%20til%20anbefalingen%20av%2018.%20desember%202020.pdf</w:t>
              </w:r>
            </w:hyperlink>
          </w:p>
        </w:tc>
      </w:tr>
      <w:tr w:rsidR="00F06509" w:rsidRPr="006077AF" w14:paraId="12721AB7" w14:textId="77777777" w:rsidTr="000B13AE">
        <w:tc>
          <w:tcPr>
            <w:tcW w:w="3008" w:type="dxa"/>
          </w:tcPr>
          <w:p w14:paraId="56EFE138" w14:textId="77777777" w:rsidR="00F06509" w:rsidRPr="00883566" w:rsidRDefault="00F06509" w:rsidP="00AA241E">
            <w:pPr>
              <w:jc w:val="both"/>
              <w:rPr>
                <w:rFonts w:cs="Times New Roman"/>
              </w:rPr>
            </w:pPr>
            <w:r w:rsidRPr="00883566">
              <w:rPr>
                <w:rFonts w:cs="Times New Roman"/>
              </w:rPr>
              <w:t>EK 2024 kohustuste soovitus</w:t>
            </w:r>
          </w:p>
        </w:tc>
        <w:tc>
          <w:tcPr>
            <w:tcW w:w="6455" w:type="dxa"/>
          </w:tcPr>
          <w:p w14:paraId="4B9FF3B1" w14:textId="77777777" w:rsidR="00F06509" w:rsidRPr="00883566" w:rsidRDefault="00F06509" w:rsidP="00AA241E">
            <w:pPr>
              <w:jc w:val="both"/>
              <w:rPr>
                <w:rFonts w:cs="Times New Roman"/>
              </w:rPr>
            </w:pPr>
            <w:r w:rsidRPr="00883566">
              <w:rPr>
                <w:rFonts w:cs="Times New Roman"/>
              </w:rPr>
              <w:t xml:space="preserve">Euroopa Komisjoni soovitus (EL) 2024/539, 6. veebruar 2024, </w:t>
            </w:r>
            <w:proofErr w:type="spellStart"/>
            <w:r w:rsidRPr="00883566">
              <w:rPr>
                <w:rFonts w:cs="Times New Roman"/>
              </w:rPr>
              <w:t>gigabitiühenduvuse</w:t>
            </w:r>
            <w:proofErr w:type="spellEnd"/>
            <w:r w:rsidRPr="00883566">
              <w:rPr>
                <w:rFonts w:cs="Times New Roman"/>
              </w:rPr>
              <w:t xml:space="preserve"> regulatiivse edendamise kohta (edaspidi ka EK 2024 soovitus), viide allikale </w:t>
            </w:r>
            <w:hyperlink r:id="rId55">
              <w:r w:rsidRPr="00883566">
                <w:rPr>
                  <w:rStyle w:val="Hperlink"/>
                  <w:rFonts w:cs="Times New Roman"/>
                </w:rPr>
                <w:t>https://eur-lex.europa.eu/eli/reco/2024/539</w:t>
              </w:r>
            </w:hyperlink>
            <w:r w:rsidRPr="00883566">
              <w:rPr>
                <w:rFonts w:cs="Times New Roman"/>
              </w:rPr>
              <w:t xml:space="preserve"> ;</w:t>
            </w:r>
          </w:p>
          <w:p w14:paraId="525498AE" w14:textId="77777777" w:rsidR="00F06509" w:rsidRPr="00883566" w:rsidRDefault="00F06509" w:rsidP="00AA241E">
            <w:pPr>
              <w:jc w:val="both"/>
              <w:rPr>
                <w:rFonts w:cs="Times New Roman"/>
              </w:rPr>
            </w:pPr>
          </w:p>
        </w:tc>
      </w:tr>
      <w:tr w:rsidR="00F06509" w:rsidRPr="006077AF" w14:paraId="3DEDE0DF" w14:textId="77777777" w:rsidTr="000B13AE">
        <w:tc>
          <w:tcPr>
            <w:tcW w:w="3008" w:type="dxa"/>
          </w:tcPr>
          <w:p w14:paraId="3E77873E" w14:textId="77777777" w:rsidR="00F06509" w:rsidRPr="00883566" w:rsidRDefault="00F06509" w:rsidP="00AA241E">
            <w:pPr>
              <w:jc w:val="both"/>
              <w:rPr>
                <w:rFonts w:cs="Times New Roman"/>
              </w:rPr>
            </w:pPr>
            <w:r w:rsidRPr="00883566">
              <w:rPr>
                <w:rFonts w:cs="Times New Roman"/>
              </w:rPr>
              <w:t>EL</w:t>
            </w:r>
          </w:p>
        </w:tc>
        <w:tc>
          <w:tcPr>
            <w:tcW w:w="6455" w:type="dxa"/>
          </w:tcPr>
          <w:p w14:paraId="0A8C282C" w14:textId="77777777" w:rsidR="00F06509" w:rsidRPr="00883566" w:rsidRDefault="00F06509" w:rsidP="00AA241E">
            <w:pPr>
              <w:pStyle w:val="Allmrkusetekst"/>
              <w:jc w:val="both"/>
              <w:rPr>
                <w:rFonts w:cs="Times New Roman"/>
                <w:sz w:val="24"/>
                <w:szCs w:val="24"/>
              </w:rPr>
            </w:pPr>
            <w:r w:rsidRPr="00883566">
              <w:rPr>
                <w:rFonts w:cs="Times New Roman"/>
                <w:sz w:val="24"/>
                <w:szCs w:val="24"/>
              </w:rPr>
              <w:t xml:space="preserve">Euroopa Liit, vt ka </w:t>
            </w:r>
            <w:hyperlink r:id="rId56">
              <w:r w:rsidRPr="00883566">
                <w:rPr>
                  <w:rStyle w:val="Hperlink"/>
                  <w:rFonts w:cs="Times New Roman"/>
                  <w:sz w:val="24"/>
                  <w:szCs w:val="24"/>
                </w:rPr>
                <w:t>https://european-union.europa.eu/index_et</w:t>
              </w:r>
            </w:hyperlink>
            <w:r w:rsidRPr="00883566">
              <w:rPr>
                <w:rFonts w:cs="Times New Roman"/>
                <w:sz w:val="24"/>
                <w:szCs w:val="24"/>
              </w:rPr>
              <w:t xml:space="preserve"> </w:t>
            </w:r>
          </w:p>
        </w:tc>
      </w:tr>
      <w:tr w:rsidR="00F06509" w:rsidRPr="006077AF" w14:paraId="79A4A132" w14:textId="77777777" w:rsidTr="000B13AE">
        <w:tc>
          <w:tcPr>
            <w:tcW w:w="3008" w:type="dxa"/>
          </w:tcPr>
          <w:p w14:paraId="69D8B063" w14:textId="77777777" w:rsidR="00F06509" w:rsidRPr="00883566" w:rsidRDefault="00F06509" w:rsidP="00AA241E">
            <w:pPr>
              <w:jc w:val="both"/>
              <w:rPr>
                <w:rFonts w:cs="Times New Roman"/>
              </w:rPr>
            </w:pPr>
            <w:r w:rsidRPr="00883566">
              <w:rPr>
                <w:rFonts w:cs="Times New Roman"/>
              </w:rPr>
              <w:t xml:space="preserve">Elisa </w:t>
            </w:r>
          </w:p>
        </w:tc>
        <w:tc>
          <w:tcPr>
            <w:tcW w:w="6455" w:type="dxa"/>
          </w:tcPr>
          <w:p w14:paraId="38F3BCF4" w14:textId="77777777" w:rsidR="00F06509" w:rsidRPr="00883566" w:rsidRDefault="00F06509" w:rsidP="00AA241E">
            <w:pPr>
              <w:pStyle w:val="Allmrkusetekst"/>
              <w:jc w:val="both"/>
              <w:rPr>
                <w:rFonts w:cs="Times New Roman"/>
                <w:sz w:val="24"/>
                <w:szCs w:val="24"/>
              </w:rPr>
            </w:pPr>
            <w:r w:rsidRPr="00883566">
              <w:rPr>
                <w:rFonts w:cs="Times New Roman"/>
                <w:sz w:val="24"/>
                <w:szCs w:val="24"/>
              </w:rPr>
              <w:t xml:space="preserve">Elisa Eesti AS - 25.10.2022 a. kanti äriregistrisse Elisa Teleteenused AS ja Elisa Eesti AS ühinemine. Ühendava ühingu ärinimi Elisa Eesti AS, viide allikale </w:t>
            </w:r>
            <w:hyperlink r:id="rId57">
              <w:r w:rsidRPr="00883566">
                <w:rPr>
                  <w:rStyle w:val="Hperlink"/>
                  <w:rFonts w:cs="Times New Roman"/>
                  <w:sz w:val="24"/>
                  <w:szCs w:val="24"/>
                </w:rPr>
                <w:t>https://www.elisa.ee/et/uudised/elisa-ettevotete-uhinemine-joustus-25102022</w:t>
              </w:r>
            </w:hyperlink>
            <w:r w:rsidRPr="00883566">
              <w:rPr>
                <w:rFonts w:cs="Times New Roman"/>
                <w:sz w:val="24"/>
                <w:szCs w:val="24"/>
              </w:rPr>
              <w:t xml:space="preserve"> </w:t>
            </w:r>
          </w:p>
        </w:tc>
      </w:tr>
      <w:tr w:rsidR="00F06509" w:rsidRPr="00883566" w14:paraId="67B2AA28" w14:textId="77777777" w:rsidTr="000B13AE">
        <w:tc>
          <w:tcPr>
            <w:tcW w:w="3008" w:type="dxa"/>
          </w:tcPr>
          <w:p w14:paraId="3BC90316" w14:textId="77777777" w:rsidR="00F06509" w:rsidRPr="00883566" w:rsidRDefault="00F06509" w:rsidP="00AA241E">
            <w:pPr>
              <w:jc w:val="both"/>
              <w:rPr>
                <w:rFonts w:cs="Times New Roman"/>
              </w:rPr>
            </w:pPr>
            <w:r w:rsidRPr="00883566">
              <w:rPr>
                <w:rFonts w:cs="Times New Roman"/>
              </w:rPr>
              <w:t>ESS</w:t>
            </w:r>
          </w:p>
        </w:tc>
        <w:tc>
          <w:tcPr>
            <w:tcW w:w="6455" w:type="dxa"/>
          </w:tcPr>
          <w:p w14:paraId="298829A7" w14:textId="77777777" w:rsidR="00F06509" w:rsidRPr="00883566" w:rsidRDefault="00F06509" w:rsidP="00AA241E">
            <w:pPr>
              <w:jc w:val="both"/>
              <w:rPr>
                <w:rFonts w:cs="Times New Roman"/>
              </w:rPr>
            </w:pPr>
            <w:r w:rsidRPr="00883566">
              <w:rPr>
                <w:rFonts w:cs="Times New Roman"/>
              </w:rPr>
              <w:t xml:space="preserve">Elektroonilise side seadus, viide allikale </w:t>
            </w:r>
            <w:hyperlink r:id="rId58">
              <w:r w:rsidRPr="00883566">
                <w:rPr>
                  <w:rStyle w:val="Hperlink"/>
                  <w:rFonts w:cs="Times New Roman"/>
                </w:rPr>
                <w:t>https://www.riigiteataja.ee/akt/127022022003?leiaKehtiv</w:t>
              </w:r>
            </w:hyperlink>
            <w:r w:rsidRPr="00883566">
              <w:rPr>
                <w:rFonts w:cs="Times New Roman"/>
              </w:rPr>
              <w:t xml:space="preserve"> </w:t>
            </w:r>
          </w:p>
        </w:tc>
      </w:tr>
      <w:tr w:rsidR="00F06509" w:rsidRPr="006077AF" w14:paraId="35504D21" w14:textId="77777777" w:rsidTr="000B13AE">
        <w:tc>
          <w:tcPr>
            <w:tcW w:w="3008" w:type="dxa"/>
          </w:tcPr>
          <w:p w14:paraId="4C36AD1A" w14:textId="77777777" w:rsidR="00F06509" w:rsidRPr="00883566" w:rsidRDefault="00F06509" w:rsidP="00AA241E">
            <w:pPr>
              <w:jc w:val="both"/>
              <w:rPr>
                <w:rFonts w:cs="Times New Roman"/>
              </w:rPr>
            </w:pPr>
            <w:r w:rsidRPr="00883566">
              <w:rPr>
                <w:rFonts w:cs="Times New Roman"/>
              </w:rPr>
              <w:t>ESS-i turuanalüüsi määrus</w:t>
            </w:r>
          </w:p>
        </w:tc>
        <w:tc>
          <w:tcPr>
            <w:tcW w:w="6455" w:type="dxa"/>
          </w:tcPr>
          <w:p w14:paraId="689B9FDA" w14:textId="77777777" w:rsidR="00F06509" w:rsidRPr="00883566" w:rsidRDefault="00F06509" w:rsidP="00AA241E">
            <w:pPr>
              <w:jc w:val="both"/>
              <w:rPr>
                <w:rFonts w:cs="Times New Roman"/>
              </w:rPr>
            </w:pPr>
            <w:r w:rsidRPr="00883566">
              <w:rPr>
                <w:rFonts w:cs="Times New Roman"/>
              </w:rPr>
              <w:t xml:space="preserve">ESS § 44 alusel sätestab turuanalüüsi teostamise korra ja reguleeritava MTE teenuse näidispakkumise koosseisu ettevõtlus- ja infotehnoloogiaministri 16.12.2021 määrus nr 78, vt ka </w:t>
            </w:r>
            <w:hyperlink r:id="rId59">
              <w:r w:rsidRPr="00883566">
                <w:rPr>
                  <w:rStyle w:val="Hperlink"/>
                  <w:rFonts w:cs="Times New Roman"/>
                </w:rPr>
                <w:t>https://www.riigiteataja.ee/akt/118122021004</w:t>
              </w:r>
            </w:hyperlink>
          </w:p>
        </w:tc>
      </w:tr>
      <w:tr w:rsidR="00F06509" w:rsidRPr="00883566" w14:paraId="44B5F990" w14:textId="77777777" w:rsidTr="000B13AE">
        <w:tc>
          <w:tcPr>
            <w:tcW w:w="3008" w:type="dxa"/>
          </w:tcPr>
          <w:p w14:paraId="64ABCA25" w14:textId="77777777" w:rsidR="00F06509" w:rsidRPr="00883566" w:rsidRDefault="00F06509" w:rsidP="00AA241E">
            <w:pPr>
              <w:jc w:val="both"/>
              <w:rPr>
                <w:rFonts w:cs="Times New Roman"/>
              </w:rPr>
            </w:pPr>
            <w:r w:rsidRPr="00883566">
              <w:rPr>
                <w:rFonts w:cs="Times New Roman"/>
              </w:rPr>
              <w:lastRenderedPageBreak/>
              <w:t>Euroopa Sideamet</w:t>
            </w:r>
          </w:p>
        </w:tc>
        <w:tc>
          <w:tcPr>
            <w:tcW w:w="6455" w:type="dxa"/>
          </w:tcPr>
          <w:p w14:paraId="2D76E182" w14:textId="77777777" w:rsidR="00F06509" w:rsidRPr="00883566" w:rsidRDefault="00F06509" w:rsidP="00AA241E">
            <w:pPr>
              <w:jc w:val="both"/>
              <w:rPr>
                <w:rFonts w:cs="Times New Roman"/>
              </w:rPr>
            </w:pPr>
            <w:r w:rsidRPr="00883566">
              <w:rPr>
                <w:rFonts w:cs="Times New Roman"/>
              </w:rPr>
              <w:t>Euroopa Sideametiks on BEREC (</w:t>
            </w:r>
            <w:proofErr w:type="spellStart"/>
            <w:r w:rsidRPr="00883566">
              <w:rPr>
                <w:rFonts w:cs="Times New Roman"/>
                <w:i/>
              </w:rPr>
              <w:t>Body</w:t>
            </w:r>
            <w:proofErr w:type="spellEnd"/>
            <w:r w:rsidRPr="00883566">
              <w:rPr>
                <w:rFonts w:cs="Times New Roman"/>
                <w:i/>
              </w:rPr>
              <w:t xml:space="preserve"> of </w:t>
            </w:r>
            <w:proofErr w:type="spellStart"/>
            <w:r w:rsidRPr="00883566">
              <w:rPr>
                <w:rFonts w:cs="Times New Roman"/>
                <w:i/>
              </w:rPr>
              <w:t>European</w:t>
            </w:r>
            <w:proofErr w:type="spellEnd"/>
            <w:r w:rsidRPr="00883566">
              <w:rPr>
                <w:rFonts w:cs="Times New Roman"/>
                <w:i/>
              </w:rPr>
              <w:t xml:space="preserve"> </w:t>
            </w:r>
            <w:proofErr w:type="spellStart"/>
            <w:r w:rsidRPr="00883566">
              <w:rPr>
                <w:rFonts w:cs="Times New Roman"/>
                <w:i/>
              </w:rPr>
              <w:t>Regulators</w:t>
            </w:r>
            <w:proofErr w:type="spellEnd"/>
            <w:r w:rsidRPr="00883566">
              <w:rPr>
                <w:rFonts w:cs="Times New Roman"/>
                <w:i/>
              </w:rPr>
              <w:t xml:space="preserve"> </w:t>
            </w:r>
            <w:proofErr w:type="spellStart"/>
            <w:r w:rsidRPr="00883566">
              <w:rPr>
                <w:rFonts w:cs="Times New Roman"/>
                <w:i/>
              </w:rPr>
              <w:t>for</w:t>
            </w:r>
            <w:proofErr w:type="spellEnd"/>
            <w:r w:rsidRPr="00883566">
              <w:rPr>
                <w:rFonts w:cs="Times New Roman"/>
                <w:i/>
              </w:rPr>
              <w:t xml:space="preserve"> </w:t>
            </w:r>
            <w:proofErr w:type="spellStart"/>
            <w:r w:rsidRPr="00883566">
              <w:rPr>
                <w:rFonts w:cs="Times New Roman"/>
                <w:i/>
              </w:rPr>
              <w:t>Electronic</w:t>
            </w:r>
            <w:proofErr w:type="spellEnd"/>
            <w:r w:rsidRPr="00883566">
              <w:rPr>
                <w:rFonts w:cs="Times New Roman"/>
                <w:i/>
              </w:rPr>
              <w:t xml:space="preserve"> </w:t>
            </w:r>
            <w:proofErr w:type="spellStart"/>
            <w:r w:rsidRPr="00883566">
              <w:rPr>
                <w:rFonts w:cs="Times New Roman"/>
                <w:i/>
              </w:rPr>
              <w:t>Communications</w:t>
            </w:r>
            <w:proofErr w:type="spellEnd"/>
            <w:r w:rsidRPr="00883566">
              <w:rPr>
                <w:rFonts w:cs="Times New Roman"/>
              </w:rPr>
              <w:t xml:space="preserve">), kelle õiguslik alus on sätestatud Euroopa Parlamendi ja nõukogu 11. detsembri 2018. aasta määruses (EL) 2018/1971, vt ka </w:t>
            </w:r>
            <w:hyperlink r:id="rId60">
              <w:r w:rsidRPr="00883566">
                <w:rPr>
                  <w:rStyle w:val="Hperlink"/>
                  <w:rFonts w:cs="Times New Roman"/>
                </w:rPr>
                <w:t>https://www.berec.europa.eu/en</w:t>
              </w:r>
            </w:hyperlink>
          </w:p>
        </w:tc>
      </w:tr>
      <w:tr w:rsidR="00F06509" w:rsidRPr="00883566" w14:paraId="65616BA0" w14:textId="77777777" w:rsidTr="000B13AE">
        <w:tc>
          <w:tcPr>
            <w:tcW w:w="3008" w:type="dxa"/>
          </w:tcPr>
          <w:p w14:paraId="1433F224" w14:textId="77777777" w:rsidR="00F06509" w:rsidRPr="00883566" w:rsidDel="00746976" w:rsidRDefault="00F06509" w:rsidP="00AA241E">
            <w:pPr>
              <w:jc w:val="both"/>
              <w:rPr>
                <w:rFonts w:cs="Times New Roman"/>
              </w:rPr>
            </w:pPr>
            <w:r w:rsidRPr="00883566">
              <w:rPr>
                <w:rFonts w:cs="Times New Roman"/>
              </w:rPr>
              <w:t>Hulgiturg 1</w:t>
            </w:r>
          </w:p>
        </w:tc>
        <w:tc>
          <w:tcPr>
            <w:tcW w:w="6455" w:type="dxa"/>
          </w:tcPr>
          <w:p w14:paraId="27DD06FA" w14:textId="77777777" w:rsidR="00F06509" w:rsidRPr="00883566" w:rsidRDefault="00F06509" w:rsidP="00AA241E">
            <w:pPr>
              <w:jc w:val="both"/>
              <w:rPr>
                <w:rFonts w:cs="Times New Roman"/>
              </w:rPr>
            </w:pPr>
            <w:r w:rsidRPr="00883566">
              <w:rPr>
                <w:rFonts w:cs="Times New Roman"/>
              </w:rPr>
              <w:t>EK 2020 turgude soovitus</w:t>
            </w:r>
            <w:r>
              <w:rPr>
                <w:rFonts w:cs="Times New Roman"/>
              </w:rPr>
              <w:t>e lisas sätestatud turg 1, nimetatakse ka s</w:t>
            </w:r>
            <w:r w:rsidRPr="00883566">
              <w:rPr>
                <w:rFonts w:cs="Times New Roman"/>
              </w:rPr>
              <w:t>idevõrgule kohaliku juurdepääsu hulgiturg</w:t>
            </w:r>
          </w:p>
        </w:tc>
      </w:tr>
      <w:tr w:rsidR="00F06509" w:rsidRPr="006077AF" w14:paraId="079C2967" w14:textId="77777777" w:rsidTr="000B13AE">
        <w:tc>
          <w:tcPr>
            <w:tcW w:w="3008" w:type="dxa"/>
          </w:tcPr>
          <w:p w14:paraId="656ACBEA" w14:textId="77777777" w:rsidR="00F06509" w:rsidRPr="00883566" w:rsidRDefault="00F06509" w:rsidP="00AA241E">
            <w:pPr>
              <w:jc w:val="both"/>
              <w:rPr>
                <w:rFonts w:cs="Times New Roman"/>
              </w:rPr>
            </w:pPr>
            <w:r w:rsidRPr="00883566">
              <w:rPr>
                <w:rFonts w:cs="Times New Roman"/>
              </w:rPr>
              <w:t>Hulgiturg 2</w:t>
            </w:r>
          </w:p>
        </w:tc>
        <w:tc>
          <w:tcPr>
            <w:tcW w:w="6455" w:type="dxa"/>
          </w:tcPr>
          <w:p w14:paraId="4D1DB456" w14:textId="77777777" w:rsidR="00F06509" w:rsidRPr="00883566" w:rsidRDefault="00F06509" w:rsidP="00AA241E">
            <w:pPr>
              <w:jc w:val="both"/>
              <w:rPr>
                <w:rFonts w:cs="Times New Roman"/>
              </w:rPr>
            </w:pPr>
            <w:r w:rsidRPr="00883566">
              <w:rPr>
                <w:rFonts w:cs="Times New Roman"/>
              </w:rPr>
              <w:t>EK 2020 turgude soovitus</w:t>
            </w:r>
            <w:r>
              <w:rPr>
                <w:rFonts w:cs="Times New Roman"/>
              </w:rPr>
              <w:t>e lisas sätestatud turg 2, nimetatakse ka s</w:t>
            </w:r>
            <w:r w:rsidRPr="00883566">
              <w:rPr>
                <w:rFonts w:cs="Times New Roman"/>
              </w:rPr>
              <w:t>idevõrgu spetsiaalsetele võimsustele juurdepääsu hulgiturg</w:t>
            </w:r>
          </w:p>
        </w:tc>
      </w:tr>
      <w:tr w:rsidR="00F06509" w:rsidRPr="00883566" w14:paraId="24780F85" w14:textId="77777777" w:rsidTr="000B13AE">
        <w:tc>
          <w:tcPr>
            <w:tcW w:w="3008" w:type="dxa"/>
          </w:tcPr>
          <w:p w14:paraId="0CED05F3" w14:textId="77777777" w:rsidR="00F06509" w:rsidRPr="00883566" w:rsidRDefault="00F06509" w:rsidP="00AA241E">
            <w:pPr>
              <w:jc w:val="both"/>
              <w:rPr>
                <w:rFonts w:cs="Times New Roman"/>
              </w:rPr>
            </w:pPr>
            <w:r w:rsidRPr="00883566">
              <w:rPr>
                <w:rFonts w:cs="Times New Roman"/>
              </w:rPr>
              <w:t>Hulgiturg 3b</w:t>
            </w:r>
          </w:p>
        </w:tc>
        <w:tc>
          <w:tcPr>
            <w:tcW w:w="6455" w:type="dxa"/>
          </w:tcPr>
          <w:p w14:paraId="7C09F139" w14:textId="77777777" w:rsidR="00F06509" w:rsidRPr="00883566" w:rsidRDefault="00F06509" w:rsidP="00AA241E">
            <w:pPr>
              <w:jc w:val="both"/>
              <w:rPr>
                <w:rFonts w:cs="Times New Roman"/>
              </w:rPr>
            </w:pPr>
            <w:r w:rsidRPr="00883566">
              <w:rPr>
                <w:rFonts w:cs="Times New Roman"/>
              </w:rPr>
              <w:t xml:space="preserve">EK 2014 turgude soovitus </w:t>
            </w:r>
            <w:r>
              <w:rPr>
                <w:rFonts w:cs="Times New Roman"/>
              </w:rPr>
              <w:t>lisas sätestatud turg 3b, nimetatakse ka s</w:t>
            </w:r>
            <w:r w:rsidRPr="00883566">
              <w:rPr>
                <w:rFonts w:cs="Times New Roman"/>
              </w:rPr>
              <w:t>idevõrgule keskse juurdepääsu hulgiturg</w:t>
            </w:r>
            <w:r>
              <w:rPr>
                <w:rFonts w:cs="Times New Roman"/>
              </w:rPr>
              <w:t xml:space="preserve"> </w:t>
            </w:r>
          </w:p>
        </w:tc>
      </w:tr>
      <w:tr w:rsidR="00F06509" w:rsidRPr="00883566" w14:paraId="155AC590" w14:textId="77777777" w:rsidTr="000B13AE">
        <w:tc>
          <w:tcPr>
            <w:tcW w:w="3008" w:type="dxa"/>
          </w:tcPr>
          <w:p w14:paraId="2CF825E1" w14:textId="171C1F90" w:rsidR="00F06509" w:rsidRPr="00883566" w:rsidRDefault="00183BEB" w:rsidP="00AA241E">
            <w:pPr>
              <w:jc w:val="both"/>
              <w:rPr>
                <w:rFonts w:cs="Times New Roman"/>
              </w:rPr>
            </w:pPr>
            <w:r>
              <w:rPr>
                <w:rFonts w:cs="Times New Roman"/>
              </w:rPr>
              <w:t>Vaskkaabli</w:t>
            </w:r>
            <w:r w:rsidR="00F06509" w:rsidRPr="008B7E69">
              <w:rPr>
                <w:rFonts w:cs="Times New Roman"/>
              </w:rPr>
              <w:t xml:space="preserve">- ja </w:t>
            </w:r>
            <w:r>
              <w:rPr>
                <w:rFonts w:cs="Times New Roman"/>
              </w:rPr>
              <w:t>mobiilsidevõr</w:t>
            </w:r>
            <w:r w:rsidR="00F06509" w:rsidRPr="008B7E69">
              <w:rPr>
                <w:rFonts w:cs="Times New Roman"/>
              </w:rPr>
              <w:t>gu internetiühenduste üleriigili</w:t>
            </w:r>
            <w:r w:rsidR="00F06509">
              <w:rPr>
                <w:rFonts w:cs="Times New Roman"/>
              </w:rPr>
              <w:t>ne</w:t>
            </w:r>
            <w:r w:rsidR="00F06509" w:rsidRPr="008B7E69">
              <w:rPr>
                <w:rFonts w:cs="Times New Roman"/>
              </w:rPr>
              <w:t xml:space="preserve"> jaetur</w:t>
            </w:r>
            <w:r w:rsidR="00F06509">
              <w:rPr>
                <w:rFonts w:cs="Times New Roman"/>
              </w:rPr>
              <w:t>g</w:t>
            </w:r>
          </w:p>
        </w:tc>
        <w:tc>
          <w:tcPr>
            <w:tcW w:w="6455" w:type="dxa"/>
          </w:tcPr>
          <w:p w14:paraId="46D1E3EE" w14:textId="27AE7BBF" w:rsidR="00F06509" w:rsidRDefault="00F06509" w:rsidP="00AA241E">
            <w:pPr>
              <w:jc w:val="both"/>
              <w:rPr>
                <w:rFonts w:cs="Times New Roman"/>
              </w:rPr>
            </w:pPr>
            <w:r>
              <w:rPr>
                <w:rFonts w:cs="Times New Roman"/>
              </w:rPr>
              <w:t xml:space="preserve">Käesoleva otsuse </w:t>
            </w:r>
            <w:r w:rsidR="008C159A">
              <w:rPr>
                <w:rFonts w:cs="Times New Roman"/>
              </w:rPr>
              <w:t>ptk.-</w:t>
            </w:r>
            <w:r>
              <w:rPr>
                <w:rFonts w:cs="Times New Roman"/>
              </w:rPr>
              <w:t xml:space="preserve">s </w:t>
            </w:r>
            <w:r w:rsidR="00AF32A8">
              <w:rPr>
                <w:rFonts w:cs="Times New Roman"/>
              </w:rPr>
              <w:t>2.4</w:t>
            </w:r>
            <w:r>
              <w:rPr>
                <w:rFonts w:cs="Times New Roman"/>
              </w:rPr>
              <w:t xml:space="preserve"> piiritletud jaeturg: </w:t>
            </w:r>
          </w:p>
          <w:p w14:paraId="7D220E54" w14:textId="58AD7436" w:rsidR="00F06509" w:rsidRDefault="00F06509" w:rsidP="00AA241E">
            <w:pPr>
              <w:jc w:val="both"/>
              <w:rPr>
                <w:rFonts w:cs="Times New Roman"/>
              </w:rPr>
            </w:pPr>
            <w:r>
              <w:rPr>
                <w:rFonts w:cs="Times New Roman"/>
              </w:rPr>
              <w:t xml:space="preserve">tooted: </w:t>
            </w:r>
            <w:r w:rsidRPr="00530054">
              <w:rPr>
                <w:rFonts w:cs="Times New Roman"/>
              </w:rPr>
              <w:t xml:space="preserve">standardsed püsiasukohas tarbimiseks suunatud piiramatu mahuga internetiühendused </w:t>
            </w:r>
            <w:proofErr w:type="spellStart"/>
            <w:r w:rsidRPr="00530054">
              <w:rPr>
                <w:rFonts w:cs="Times New Roman"/>
              </w:rPr>
              <w:t>ADSLx</w:t>
            </w:r>
            <w:proofErr w:type="spellEnd"/>
            <w:r w:rsidRPr="00530054">
              <w:rPr>
                <w:rFonts w:cs="Times New Roman"/>
              </w:rPr>
              <w:t xml:space="preserve">, </w:t>
            </w:r>
            <w:proofErr w:type="spellStart"/>
            <w:r w:rsidRPr="00530054">
              <w:rPr>
                <w:rFonts w:cs="Times New Roman"/>
              </w:rPr>
              <w:t>VDSLx</w:t>
            </w:r>
            <w:proofErr w:type="spellEnd"/>
            <w:r w:rsidRPr="00530054">
              <w:rPr>
                <w:rFonts w:cs="Times New Roman"/>
              </w:rPr>
              <w:t xml:space="preserve"> sh </w:t>
            </w:r>
            <w:proofErr w:type="spellStart"/>
            <w:r w:rsidRPr="00530054">
              <w:rPr>
                <w:rFonts w:cs="Times New Roman"/>
              </w:rPr>
              <w:t>vectoring</w:t>
            </w:r>
            <w:proofErr w:type="spellEnd"/>
            <w:r w:rsidRPr="00530054">
              <w:rPr>
                <w:rFonts w:cs="Times New Roman"/>
              </w:rPr>
              <w:t xml:space="preserve"> (sh Vplus35b) </w:t>
            </w:r>
            <w:r w:rsidR="00532579">
              <w:rPr>
                <w:rFonts w:cs="Times New Roman"/>
              </w:rPr>
              <w:t>vaskpaar</w:t>
            </w:r>
            <w:r w:rsidRPr="00530054">
              <w:rPr>
                <w:rFonts w:cs="Times New Roman"/>
              </w:rPr>
              <w:t>võrgu baasil, DOCSIS 3.0 koaksiaalkaablivõrgu baasil ja 4G ja 5G mobiilsidevõrgu baasil</w:t>
            </w:r>
            <w:r>
              <w:rPr>
                <w:rFonts w:cs="Times New Roman"/>
              </w:rPr>
              <w:t>;</w:t>
            </w:r>
          </w:p>
          <w:p w14:paraId="1E8CA9CC" w14:textId="77777777" w:rsidR="00F06509" w:rsidRPr="00883566" w:rsidRDefault="00F06509" w:rsidP="00AA241E">
            <w:pPr>
              <w:jc w:val="both"/>
              <w:rPr>
                <w:rFonts w:cs="Times New Roman"/>
              </w:rPr>
            </w:pPr>
            <w:r>
              <w:rPr>
                <w:rFonts w:cs="Times New Roman"/>
              </w:rPr>
              <w:t>geograafiline piirkond: kogu Eesti maismaa territoorium ehk üleriigiline.</w:t>
            </w:r>
          </w:p>
        </w:tc>
      </w:tr>
      <w:tr w:rsidR="00F06509" w:rsidRPr="00883566" w14:paraId="5B2A8986" w14:textId="77777777" w:rsidTr="000B13AE">
        <w:tc>
          <w:tcPr>
            <w:tcW w:w="3008" w:type="dxa"/>
          </w:tcPr>
          <w:p w14:paraId="5659DF9B" w14:textId="73BDE5BD" w:rsidR="00F06509" w:rsidRDefault="00183BEB" w:rsidP="00AA241E">
            <w:pPr>
              <w:jc w:val="both"/>
              <w:rPr>
                <w:rFonts w:cs="Times New Roman"/>
              </w:rPr>
            </w:pPr>
            <w:r>
              <w:rPr>
                <w:rFonts w:cs="Times New Roman"/>
              </w:rPr>
              <w:t>Vaskkaabli</w:t>
            </w:r>
            <w:r w:rsidR="00F06509" w:rsidRPr="009D7FE5">
              <w:rPr>
                <w:rFonts w:cs="Times New Roman"/>
              </w:rPr>
              <w:t xml:space="preserve">- ja </w:t>
            </w:r>
            <w:r>
              <w:rPr>
                <w:rFonts w:cs="Times New Roman"/>
              </w:rPr>
              <w:t>mobiilsidevõr</w:t>
            </w:r>
            <w:r w:rsidR="00F06509" w:rsidRPr="009D7FE5">
              <w:rPr>
                <w:rFonts w:cs="Times New Roman"/>
              </w:rPr>
              <w:t xml:space="preserve">gu hulgiturg </w:t>
            </w:r>
            <w:r w:rsidR="00F06509">
              <w:rPr>
                <w:rFonts w:cs="Times New Roman"/>
              </w:rPr>
              <w:t>1</w:t>
            </w:r>
          </w:p>
        </w:tc>
        <w:tc>
          <w:tcPr>
            <w:tcW w:w="6455" w:type="dxa"/>
          </w:tcPr>
          <w:p w14:paraId="50E42349" w14:textId="6D104D22" w:rsidR="00F06509" w:rsidRDefault="00183BEB" w:rsidP="00AA241E">
            <w:pPr>
              <w:jc w:val="both"/>
              <w:rPr>
                <w:rFonts w:cs="Times New Roman"/>
              </w:rPr>
            </w:pPr>
            <w:r>
              <w:rPr>
                <w:rFonts w:cs="Times New Roman"/>
              </w:rPr>
              <w:t>Vaskkaabli</w:t>
            </w:r>
            <w:r w:rsidR="00F06509" w:rsidRPr="009D7FE5">
              <w:rPr>
                <w:rFonts w:cs="Times New Roman"/>
              </w:rPr>
              <w:t xml:space="preserve">- ja </w:t>
            </w:r>
            <w:r>
              <w:rPr>
                <w:rFonts w:cs="Times New Roman"/>
              </w:rPr>
              <w:t>mobiilsidevõr</w:t>
            </w:r>
            <w:r w:rsidR="00F06509" w:rsidRPr="009D7FE5">
              <w:rPr>
                <w:rFonts w:cs="Times New Roman"/>
              </w:rPr>
              <w:t>gu internetiühenduste üleriigilisele jaeturule vastav</w:t>
            </w:r>
            <w:r w:rsidR="00F06509">
              <w:rPr>
                <w:rFonts w:cs="Times New Roman"/>
              </w:rPr>
              <w:t xml:space="preserve"> (eelnev)</w:t>
            </w:r>
            <w:r w:rsidR="00F06509" w:rsidRPr="009D7FE5">
              <w:rPr>
                <w:rFonts w:cs="Times New Roman"/>
              </w:rPr>
              <w:t xml:space="preserve"> hulgitur</w:t>
            </w:r>
            <w:r w:rsidR="00F06509">
              <w:rPr>
                <w:rFonts w:cs="Times New Roman"/>
              </w:rPr>
              <w:t>g</w:t>
            </w:r>
            <w:r w:rsidR="00F06509" w:rsidRPr="009D7FE5">
              <w:rPr>
                <w:rFonts w:cs="Times New Roman"/>
              </w:rPr>
              <w:t xml:space="preserve"> </w:t>
            </w:r>
            <w:r w:rsidR="00F06509">
              <w:rPr>
                <w:rFonts w:cs="Times New Roman"/>
              </w:rPr>
              <w:t>1</w:t>
            </w:r>
          </w:p>
        </w:tc>
      </w:tr>
      <w:tr w:rsidR="00F06509" w:rsidRPr="00883566" w14:paraId="2963C880" w14:textId="77777777" w:rsidTr="000B13AE">
        <w:tc>
          <w:tcPr>
            <w:tcW w:w="3008" w:type="dxa"/>
          </w:tcPr>
          <w:p w14:paraId="09EACA00" w14:textId="48961E74" w:rsidR="00F06509" w:rsidRDefault="00183BEB" w:rsidP="00AA241E">
            <w:pPr>
              <w:jc w:val="both"/>
              <w:rPr>
                <w:rFonts w:cs="Times New Roman"/>
              </w:rPr>
            </w:pPr>
            <w:r>
              <w:rPr>
                <w:rFonts w:cs="Times New Roman"/>
              </w:rPr>
              <w:t>Vaskkaabli</w:t>
            </w:r>
            <w:r w:rsidR="00F06509" w:rsidRPr="009D7FE5">
              <w:rPr>
                <w:rFonts w:cs="Times New Roman"/>
              </w:rPr>
              <w:t xml:space="preserve">- ja </w:t>
            </w:r>
            <w:r>
              <w:rPr>
                <w:rFonts w:cs="Times New Roman"/>
              </w:rPr>
              <w:t>mobiilsidevõr</w:t>
            </w:r>
            <w:r w:rsidR="00F06509" w:rsidRPr="009D7FE5">
              <w:rPr>
                <w:rFonts w:cs="Times New Roman"/>
              </w:rPr>
              <w:t>gu hulgiturg 3b</w:t>
            </w:r>
          </w:p>
        </w:tc>
        <w:tc>
          <w:tcPr>
            <w:tcW w:w="6455" w:type="dxa"/>
          </w:tcPr>
          <w:p w14:paraId="0F542032" w14:textId="671DB426" w:rsidR="00F06509" w:rsidRDefault="00183BEB" w:rsidP="00AA241E">
            <w:pPr>
              <w:jc w:val="both"/>
              <w:rPr>
                <w:rFonts w:cs="Times New Roman"/>
              </w:rPr>
            </w:pPr>
            <w:r>
              <w:rPr>
                <w:rFonts w:cs="Times New Roman"/>
              </w:rPr>
              <w:t>Vaskkaabli</w:t>
            </w:r>
            <w:r w:rsidR="00F06509" w:rsidRPr="009D7FE5">
              <w:rPr>
                <w:rFonts w:cs="Times New Roman"/>
              </w:rPr>
              <w:t xml:space="preserve">- ja </w:t>
            </w:r>
            <w:r>
              <w:rPr>
                <w:rFonts w:cs="Times New Roman"/>
              </w:rPr>
              <w:t>mobiilsidevõr</w:t>
            </w:r>
            <w:r w:rsidR="00F06509" w:rsidRPr="009D7FE5">
              <w:rPr>
                <w:rFonts w:cs="Times New Roman"/>
              </w:rPr>
              <w:t>gu internetiühenduste üleriigilisele jaeturule vastav</w:t>
            </w:r>
            <w:r w:rsidR="00F06509">
              <w:rPr>
                <w:rFonts w:cs="Times New Roman"/>
              </w:rPr>
              <w:t xml:space="preserve"> (eelnev)</w:t>
            </w:r>
            <w:r w:rsidR="00F06509" w:rsidRPr="009D7FE5">
              <w:rPr>
                <w:rFonts w:cs="Times New Roman"/>
              </w:rPr>
              <w:t xml:space="preserve"> hulgitur</w:t>
            </w:r>
            <w:r w:rsidR="00F06509">
              <w:rPr>
                <w:rFonts w:cs="Times New Roman"/>
              </w:rPr>
              <w:t>g</w:t>
            </w:r>
            <w:r w:rsidR="00F06509" w:rsidRPr="009D7FE5">
              <w:rPr>
                <w:rFonts w:cs="Times New Roman"/>
              </w:rPr>
              <w:t xml:space="preserve"> 3b</w:t>
            </w:r>
          </w:p>
        </w:tc>
      </w:tr>
      <w:tr w:rsidR="00F06509" w:rsidRPr="00883566" w14:paraId="0BBC0124" w14:textId="77777777" w:rsidTr="000B13AE">
        <w:tc>
          <w:tcPr>
            <w:tcW w:w="3008" w:type="dxa"/>
          </w:tcPr>
          <w:p w14:paraId="740FA206" w14:textId="77777777" w:rsidR="00F06509" w:rsidRDefault="00F06509" w:rsidP="00AA241E">
            <w:pPr>
              <w:jc w:val="both"/>
              <w:rPr>
                <w:rFonts w:cs="Times New Roman"/>
              </w:rPr>
            </w:pPr>
            <w:r w:rsidRPr="00530054">
              <w:rPr>
                <w:rFonts w:cs="Times New Roman"/>
              </w:rPr>
              <w:t>Valguskaabelvõrgu internetiühenduste A piirkonna jaeturg</w:t>
            </w:r>
          </w:p>
        </w:tc>
        <w:tc>
          <w:tcPr>
            <w:tcW w:w="6455" w:type="dxa"/>
          </w:tcPr>
          <w:p w14:paraId="16C7C3FB" w14:textId="54B10CEC" w:rsidR="00F06509" w:rsidRDefault="00F06509" w:rsidP="00AA241E">
            <w:pPr>
              <w:jc w:val="both"/>
            </w:pPr>
            <w:r>
              <w:rPr>
                <w:rFonts w:cs="Times New Roman"/>
              </w:rPr>
              <w:t xml:space="preserve">Käesoleva otsuse </w:t>
            </w:r>
            <w:r w:rsidR="008C159A">
              <w:rPr>
                <w:rFonts w:cs="Times New Roman"/>
              </w:rPr>
              <w:t>ptk.-</w:t>
            </w:r>
            <w:r>
              <w:rPr>
                <w:rFonts w:cs="Times New Roman"/>
              </w:rPr>
              <w:t xml:space="preserve">s </w:t>
            </w:r>
            <w:r w:rsidR="00AF32A8">
              <w:rPr>
                <w:rFonts w:cs="Times New Roman"/>
              </w:rPr>
              <w:t>2</w:t>
            </w:r>
            <w:r>
              <w:rPr>
                <w:rFonts w:cs="Times New Roman"/>
              </w:rPr>
              <w:t>.</w:t>
            </w:r>
            <w:r w:rsidR="00AF32A8">
              <w:rPr>
                <w:rFonts w:cs="Times New Roman"/>
              </w:rPr>
              <w:t>4</w:t>
            </w:r>
            <w:r>
              <w:rPr>
                <w:rFonts w:cs="Times New Roman"/>
              </w:rPr>
              <w:t xml:space="preserve"> piiritletud jaeturg:</w:t>
            </w:r>
            <w:r w:rsidRPr="006E317E">
              <w:t xml:space="preserve"> </w:t>
            </w:r>
          </w:p>
          <w:p w14:paraId="08B63B25" w14:textId="77777777" w:rsidR="00F06509" w:rsidRDefault="00F06509" w:rsidP="00AA241E">
            <w:pPr>
              <w:jc w:val="both"/>
            </w:pPr>
            <w:r>
              <w:t xml:space="preserve">turu tooted: </w:t>
            </w:r>
            <w:r w:rsidRPr="006E317E">
              <w:t xml:space="preserve">standardsed püsiasukohas tarbimiseks suunatud piiramatu mahuga </w:t>
            </w:r>
            <w:r>
              <w:t xml:space="preserve">jae </w:t>
            </w:r>
            <w:r w:rsidRPr="006E317E">
              <w:t xml:space="preserve">internetiühendused FTTB/FTTH </w:t>
            </w:r>
            <w:r>
              <w:t>valguskaabelvõrgu</w:t>
            </w:r>
            <w:r w:rsidRPr="006E317E">
              <w:t xml:space="preserve"> baasil</w:t>
            </w:r>
            <w:r>
              <w:t>;</w:t>
            </w:r>
          </w:p>
          <w:p w14:paraId="5207AE71" w14:textId="7AA55B50" w:rsidR="00F06509" w:rsidRDefault="00F06509" w:rsidP="00AA241E">
            <w:pPr>
              <w:jc w:val="both"/>
              <w:rPr>
                <w:rFonts w:cs="Times New Roman"/>
              </w:rPr>
            </w:pPr>
            <w:r>
              <w:t>turu geograafiline piirkond: vastava turu toodete pakkumise osas</w:t>
            </w:r>
            <w:r w:rsidRPr="00530054">
              <w:t xml:space="preserve"> kõrgema konkurentsiga piirkond, </w:t>
            </w:r>
            <w:r>
              <w:t>mis koondab</w:t>
            </w:r>
            <w:r w:rsidRPr="00530054">
              <w:t xml:space="preserve"> 10  linnalist geograafilisest üksust</w:t>
            </w:r>
            <w:r>
              <w:t xml:space="preserve"> (täpsemalt vt </w:t>
            </w:r>
            <w:r w:rsidR="008C159A">
              <w:t xml:space="preserve">ptk. </w:t>
            </w:r>
            <w:r w:rsidR="00AF32A8">
              <w:t>2.4</w:t>
            </w:r>
            <w:r>
              <w:t>).</w:t>
            </w:r>
          </w:p>
        </w:tc>
      </w:tr>
      <w:tr w:rsidR="00F06509" w:rsidRPr="00883566" w14:paraId="18D8BC24" w14:textId="77777777" w:rsidTr="000B13AE">
        <w:tc>
          <w:tcPr>
            <w:tcW w:w="3008" w:type="dxa"/>
          </w:tcPr>
          <w:p w14:paraId="46847E9F" w14:textId="6678C98D" w:rsidR="00F06509" w:rsidRPr="00530054" w:rsidRDefault="00EE12A0" w:rsidP="00AA241E">
            <w:pPr>
              <w:jc w:val="both"/>
              <w:rPr>
                <w:rFonts w:cs="Times New Roman"/>
              </w:rPr>
            </w:pPr>
            <w:r>
              <w:rPr>
                <w:rFonts w:cs="Times New Roman"/>
              </w:rPr>
              <w:t>V</w:t>
            </w:r>
            <w:r w:rsidRPr="009D7FE5">
              <w:rPr>
                <w:rFonts w:cs="Times New Roman"/>
              </w:rPr>
              <w:t xml:space="preserve">alguskaablivõrgu A piirkonna hulgiturg </w:t>
            </w:r>
            <w:r>
              <w:rPr>
                <w:rFonts w:cs="Times New Roman"/>
              </w:rPr>
              <w:t>1</w:t>
            </w:r>
          </w:p>
        </w:tc>
        <w:tc>
          <w:tcPr>
            <w:tcW w:w="6455" w:type="dxa"/>
          </w:tcPr>
          <w:p w14:paraId="63FA6A9C" w14:textId="77777777" w:rsidR="00F06509" w:rsidRDefault="00F06509" w:rsidP="00AA241E">
            <w:pPr>
              <w:jc w:val="both"/>
              <w:rPr>
                <w:rFonts w:cs="Times New Roman"/>
              </w:rPr>
            </w:pPr>
            <w:r>
              <w:rPr>
                <w:rFonts w:cs="Times New Roman"/>
              </w:rPr>
              <w:t>V</w:t>
            </w:r>
            <w:r w:rsidRPr="009D7FE5">
              <w:rPr>
                <w:rFonts w:cs="Times New Roman"/>
              </w:rPr>
              <w:t>alguskaabelvõrgu internetiühenduste A piirkonna jaeturule vastav</w:t>
            </w:r>
            <w:r>
              <w:rPr>
                <w:rFonts w:cs="Times New Roman"/>
              </w:rPr>
              <w:t xml:space="preserve"> (eelnev)</w:t>
            </w:r>
            <w:r w:rsidRPr="009D7FE5">
              <w:rPr>
                <w:rFonts w:cs="Times New Roman"/>
              </w:rPr>
              <w:t xml:space="preserve"> hulgitur</w:t>
            </w:r>
            <w:r>
              <w:rPr>
                <w:rFonts w:cs="Times New Roman"/>
              </w:rPr>
              <w:t>g</w:t>
            </w:r>
            <w:r w:rsidRPr="009D7FE5">
              <w:rPr>
                <w:rFonts w:cs="Times New Roman"/>
              </w:rPr>
              <w:t xml:space="preserve"> </w:t>
            </w:r>
            <w:r>
              <w:rPr>
                <w:rFonts w:cs="Times New Roman"/>
              </w:rPr>
              <w:t>1</w:t>
            </w:r>
          </w:p>
        </w:tc>
      </w:tr>
      <w:tr w:rsidR="00F06509" w:rsidRPr="00883566" w14:paraId="192AB126" w14:textId="77777777" w:rsidTr="000B13AE">
        <w:tc>
          <w:tcPr>
            <w:tcW w:w="3008" w:type="dxa"/>
          </w:tcPr>
          <w:p w14:paraId="4DB65FE8" w14:textId="4CD82058" w:rsidR="00F06509" w:rsidRPr="009D7FE5" w:rsidRDefault="007B26EE" w:rsidP="00AA241E">
            <w:pPr>
              <w:jc w:val="both"/>
              <w:rPr>
                <w:rFonts w:cs="Times New Roman"/>
              </w:rPr>
            </w:pPr>
            <w:r>
              <w:rPr>
                <w:rFonts w:cs="Times New Roman"/>
              </w:rPr>
              <w:t>V</w:t>
            </w:r>
            <w:r w:rsidRPr="009D7FE5">
              <w:rPr>
                <w:rFonts w:cs="Times New Roman"/>
              </w:rPr>
              <w:t xml:space="preserve">alguskaablivõrgu A piirkonna hulgiturg </w:t>
            </w:r>
            <w:r>
              <w:rPr>
                <w:rFonts w:cs="Times New Roman"/>
              </w:rPr>
              <w:t>3b</w:t>
            </w:r>
          </w:p>
        </w:tc>
        <w:tc>
          <w:tcPr>
            <w:tcW w:w="6455" w:type="dxa"/>
          </w:tcPr>
          <w:p w14:paraId="688A3546" w14:textId="77777777" w:rsidR="00F06509" w:rsidRDefault="00F06509" w:rsidP="00AA241E">
            <w:pPr>
              <w:jc w:val="both"/>
              <w:rPr>
                <w:rFonts w:cs="Times New Roman"/>
              </w:rPr>
            </w:pPr>
            <w:r>
              <w:rPr>
                <w:rFonts w:cs="Times New Roman"/>
              </w:rPr>
              <w:t>V</w:t>
            </w:r>
            <w:r w:rsidRPr="009D7FE5">
              <w:rPr>
                <w:rFonts w:cs="Times New Roman"/>
              </w:rPr>
              <w:t>alguskaabelvõrgu internetiühenduste A piirkonna jaeturule vastav</w:t>
            </w:r>
            <w:r>
              <w:rPr>
                <w:rFonts w:cs="Times New Roman"/>
              </w:rPr>
              <w:t xml:space="preserve"> (eelnev)</w:t>
            </w:r>
            <w:r w:rsidRPr="009D7FE5">
              <w:rPr>
                <w:rFonts w:cs="Times New Roman"/>
              </w:rPr>
              <w:t xml:space="preserve"> hulgitur</w:t>
            </w:r>
            <w:r>
              <w:rPr>
                <w:rFonts w:cs="Times New Roman"/>
              </w:rPr>
              <w:t>g</w:t>
            </w:r>
            <w:r w:rsidRPr="009D7FE5">
              <w:rPr>
                <w:rFonts w:cs="Times New Roman"/>
              </w:rPr>
              <w:t xml:space="preserve"> </w:t>
            </w:r>
            <w:r>
              <w:rPr>
                <w:rFonts w:cs="Times New Roman"/>
              </w:rPr>
              <w:t>3b</w:t>
            </w:r>
          </w:p>
        </w:tc>
      </w:tr>
      <w:tr w:rsidR="00F06509" w:rsidRPr="00883566" w14:paraId="5A2274D3" w14:textId="77777777" w:rsidTr="000B13AE">
        <w:tc>
          <w:tcPr>
            <w:tcW w:w="3008" w:type="dxa"/>
          </w:tcPr>
          <w:p w14:paraId="15DAB5CE" w14:textId="77777777" w:rsidR="00F06509" w:rsidRPr="00530054" w:rsidRDefault="00F06509" w:rsidP="00AA241E">
            <w:pPr>
              <w:jc w:val="both"/>
              <w:rPr>
                <w:rFonts w:cs="Times New Roman"/>
              </w:rPr>
            </w:pPr>
            <w:bookmarkStart w:id="1421" w:name="_Hlk174629156"/>
            <w:r w:rsidRPr="00530054">
              <w:rPr>
                <w:rFonts w:cs="Times New Roman"/>
              </w:rPr>
              <w:t xml:space="preserve">Valguskaabelvõrgu internetiühenduste </w:t>
            </w:r>
            <w:r>
              <w:rPr>
                <w:rFonts w:cs="Times New Roman"/>
              </w:rPr>
              <w:t>B</w:t>
            </w:r>
            <w:r w:rsidRPr="00530054">
              <w:rPr>
                <w:rFonts w:cs="Times New Roman"/>
              </w:rPr>
              <w:t xml:space="preserve"> piirkonna jaeturg</w:t>
            </w:r>
            <w:bookmarkEnd w:id="1421"/>
          </w:p>
        </w:tc>
        <w:tc>
          <w:tcPr>
            <w:tcW w:w="6455" w:type="dxa"/>
          </w:tcPr>
          <w:p w14:paraId="027D5FC1" w14:textId="2D6DB91F" w:rsidR="00F06509" w:rsidRDefault="00F06509" w:rsidP="00AA241E">
            <w:pPr>
              <w:jc w:val="both"/>
            </w:pPr>
            <w:r>
              <w:rPr>
                <w:rFonts w:cs="Times New Roman"/>
              </w:rPr>
              <w:t xml:space="preserve">Käesoleva otsuse </w:t>
            </w:r>
            <w:r w:rsidR="008C159A">
              <w:rPr>
                <w:rFonts w:cs="Times New Roman"/>
              </w:rPr>
              <w:t>ptk.-</w:t>
            </w:r>
            <w:r>
              <w:rPr>
                <w:rFonts w:cs="Times New Roman"/>
              </w:rPr>
              <w:t xml:space="preserve">s </w:t>
            </w:r>
            <w:r w:rsidR="00AF32A8">
              <w:rPr>
                <w:rFonts w:cs="Times New Roman"/>
              </w:rPr>
              <w:t>2.4</w:t>
            </w:r>
            <w:r>
              <w:rPr>
                <w:rFonts w:cs="Times New Roman"/>
              </w:rPr>
              <w:t xml:space="preserve"> piiritletud jaeturg:</w:t>
            </w:r>
            <w:r w:rsidRPr="006E317E">
              <w:t xml:space="preserve"> </w:t>
            </w:r>
          </w:p>
          <w:p w14:paraId="1ECF2045" w14:textId="77777777" w:rsidR="00F06509" w:rsidRDefault="00F06509" w:rsidP="00AA241E">
            <w:pPr>
              <w:jc w:val="both"/>
            </w:pPr>
            <w:r>
              <w:t xml:space="preserve">turu tooted: </w:t>
            </w:r>
            <w:r w:rsidRPr="006E317E">
              <w:t xml:space="preserve">standardsed püsiasukohas tarbimiseks suunatud piiramatu mahuga </w:t>
            </w:r>
            <w:r>
              <w:t xml:space="preserve">jae </w:t>
            </w:r>
            <w:r w:rsidRPr="006E317E">
              <w:t xml:space="preserve">internetiühendused FTTB/FTTH </w:t>
            </w:r>
            <w:r>
              <w:t>valguskaabelvõrgu</w:t>
            </w:r>
            <w:r w:rsidRPr="006E317E">
              <w:t xml:space="preserve"> baasil</w:t>
            </w:r>
            <w:r>
              <w:t>;</w:t>
            </w:r>
          </w:p>
          <w:p w14:paraId="0B15B08B" w14:textId="72FD8FDB" w:rsidR="00F06509" w:rsidRDefault="00F06509" w:rsidP="00AA241E">
            <w:pPr>
              <w:jc w:val="both"/>
              <w:rPr>
                <w:rFonts w:cs="Times New Roman"/>
              </w:rPr>
            </w:pPr>
            <w:r>
              <w:t>turu geograafiline piirkond: vastava turu toodete pakkumise osas</w:t>
            </w:r>
            <w:r w:rsidRPr="00530054">
              <w:t xml:space="preserve"> </w:t>
            </w:r>
            <w:r>
              <w:t>madalama</w:t>
            </w:r>
            <w:r w:rsidRPr="00530054">
              <w:t xml:space="preserve"> konkurentsiga piirkond, </w:t>
            </w:r>
            <w:r>
              <w:t>mis koondab</w:t>
            </w:r>
            <w:r w:rsidRPr="00530054">
              <w:t xml:space="preserve"> geograafilisest üksus</w:t>
            </w:r>
            <w:r>
              <w:t xml:space="preserve">ed, mis ei ole liigitatud piirkonda A (täpsemalt vt </w:t>
            </w:r>
            <w:r w:rsidR="008C159A">
              <w:t xml:space="preserve">ptk. </w:t>
            </w:r>
            <w:r w:rsidR="00AF32A8">
              <w:t>2.4</w:t>
            </w:r>
            <w:r>
              <w:t>).</w:t>
            </w:r>
          </w:p>
        </w:tc>
      </w:tr>
      <w:tr w:rsidR="00F06509" w:rsidRPr="00883566" w14:paraId="0A49F307" w14:textId="77777777" w:rsidTr="000B13AE">
        <w:tc>
          <w:tcPr>
            <w:tcW w:w="3008" w:type="dxa"/>
          </w:tcPr>
          <w:p w14:paraId="76E8A28F" w14:textId="3A2A4815" w:rsidR="00F06509" w:rsidRPr="00530054" w:rsidRDefault="00F50827" w:rsidP="00AA241E">
            <w:pPr>
              <w:jc w:val="both"/>
              <w:rPr>
                <w:rFonts w:cs="Times New Roman"/>
              </w:rPr>
            </w:pPr>
            <w:r>
              <w:rPr>
                <w:rFonts w:cs="Times New Roman"/>
              </w:rPr>
              <w:t>V</w:t>
            </w:r>
            <w:r w:rsidRPr="009D7FE5">
              <w:rPr>
                <w:rFonts w:cs="Times New Roman"/>
              </w:rPr>
              <w:t>alguskaablivõrgu</w:t>
            </w:r>
            <w:r>
              <w:rPr>
                <w:rFonts w:cs="Times New Roman"/>
              </w:rPr>
              <w:t xml:space="preserve"> B</w:t>
            </w:r>
            <w:r w:rsidRPr="009D7FE5">
              <w:rPr>
                <w:rFonts w:cs="Times New Roman"/>
              </w:rPr>
              <w:t xml:space="preserve"> piirkonna hulgiturg </w:t>
            </w:r>
            <w:r>
              <w:rPr>
                <w:rFonts w:cs="Times New Roman"/>
              </w:rPr>
              <w:t>1</w:t>
            </w:r>
          </w:p>
        </w:tc>
        <w:tc>
          <w:tcPr>
            <w:tcW w:w="6455" w:type="dxa"/>
          </w:tcPr>
          <w:p w14:paraId="55B134F8" w14:textId="77777777" w:rsidR="00F06509" w:rsidRDefault="00F06509" w:rsidP="00AA241E">
            <w:pPr>
              <w:jc w:val="both"/>
              <w:rPr>
                <w:rFonts w:cs="Times New Roman"/>
              </w:rPr>
            </w:pPr>
            <w:r>
              <w:rPr>
                <w:rFonts w:cs="Times New Roman"/>
              </w:rPr>
              <w:t>V</w:t>
            </w:r>
            <w:r w:rsidRPr="009D7FE5">
              <w:rPr>
                <w:rFonts w:cs="Times New Roman"/>
              </w:rPr>
              <w:t xml:space="preserve">alguskaabelvõrgu internetiühenduste </w:t>
            </w:r>
            <w:r>
              <w:rPr>
                <w:rFonts w:cs="Times New Roman"/>
              </w:rPr>
              <w:t>B</w:t>
            </w:r>
            <w:r w:rsidRPr="009D7FE5">
              <w:rPr>
                <w:rFonts w:cs="Times New Roman"/>
              </w:rPr>
              <w:t xml:space="preserve"> piirkonna jaeturule vastav</w:t>
            </w:r>
            <w:r>
              <w:rPr>
                <w:rFonts w:cs="Times New Roman"/>
              </w:rPr>
              <w:t xml:space="preserve"> (eelnev)</w:t>
            </w:r>
            <w:r w:rsidRPr="009D7FE5">
              <w:rPr>
                <w:rFonts w:cs="Times New Roman"/>
              </w:rPr>
              <w:t xml:space="preserve"> hulgitur</w:t>
            </w:r>
            <w:r>
              <w:rPr>
                <w:rFonts w:cs="Times New Roman"/>
              </w:rPr>
              <w:t>g</w:t>
            </w:r>
            <w:r w:rsidRPr="009D7FE5">
              <w:rPr>
                <w:rFonts w:cs="Times New Roman"/>
              </w:rPr>
              <w:t xml:space="preserve"> </w:t>
            </w:r>
            <w:r>
              <w:rPr>
                <w:rFonts w:cs="Times New Roman"/>
              </w:rPr>
              <w:t>1</w:t>
            </w:r>
          </w:p>
        </w:tc>
      </w:tr>
      <w:tr w:rsidR="00F06509" w:rsidRPr="00883566" w14:paraId="0CECD948" w14:textId="77777777" w:rsidTr="000B13AE">
        <w:tc>
          <w:tcPr>
            <w:tcW w:w="3008" w:type="dxa"/>
          </w:tcPr>
          <w:p w14:paraId="51FCFA5B" w14:textId="7E734608" w:rsidR="00F06509" w:rsidRPr="00530054" w:rsidRDefault="00057E60" w:rsidP="00AA241E">
            <w:pPr>
              <w:jc w:val="both"/>
              <w:rPr>
                <w:rFonts w:cs="Times New Roman"/>
              </w:rPr>
            </w:pPr>
            <w:r>
              <w:rPr>
                <w:rFonts w:cs="Times New Roman"/>
              </w:rPr>
              <w:t>V</w:t>
            </w:r>
            <w:r w:rsidRPr="009D7FE5">
              <w:rPr>
                <w:rFonts w:cs="Times New Roman"/>
              </w:rPr>
              <w:t>alguskaablivõrgu</w:t>
            </w:r>
            <w:r>
              <w:rPr>
                <w:rFonts w:cs="Times New Roman"/>
              </w:rPr>
              <w:t xml:space="preserve"> B</w:t>
            </w:r>
            <w:r w:rsidRPr="009D7FE5">
              <w:rPr>
                <w:rFonts w:cs="Times New Roman"/>
              </w:rPr>
              <w:t xml:space="preserve"> piirkonna hulgiturg </w:t>
            </w:r>
            <w:r>
              <w:rPr>
                <w:rFonts w:cs="Times New Roman"/>
              </w:rPr>
              <w:t>3b</w:t>
            </w:r>
          </w:p>
        </w:tc>
        <w:tc>
          <w:tcPr>
            <w:tcW w:w="6455" w:type="dxa"/>
          </w:tcPr>
          <w:p w14:paraId="711D5257" w14:textId="77777777" w:rsidR="00F06509" w:rsidRDefault="00F06509" w:rsidP="00AA241E">
            <w:pPr>
              <w:jc w:val="both"/>
              <w:rPr>
                <w:rFonts w:cs="Times New Roman"/>
              </w:rPr>
            </w:pPr>
            <w:r>
              <w:rPr>
                <w:rFonts w:cs="Times New Roman"/>
              </w:rPr>
              <w:t>V</w:t>
            </w:r>
            <w:r w:rsidRPr="009D7FE5">
              <w:rPr>
                <w:rFonts w:cs="Times New Roman"/>
              </w:rPr>
              <w:t xml:space="preserve">alguskaabelvõrgu internetiühenduste </w:t>
            </w:r>
            <w:r>
              <w:rPr>
                <w:rFonts w:cs="Times New Roman"/>
              </w:rPr>
              <w:t>B</w:t>
            </w:r>
            <w:r w:rsidRPr="009D7FE5">
              <w:rPr>
                <w:rFonts w:cs="Times New Roman"/>
              </w:rPr>
              <w:t xml:space="preserve"> piirkonna jaeturule vastav</w:t>
            </w:r>
            <w:r>
              <w:rPr>
                <w:rFonts w:cs="Times New Roman"/>
              </w:rPr>
              <w:t xml:space="preserve"> (eelnev)</w:t>
            </w:r>
            <w:r w:rsidRPr="009D7FE5">
              <w:rPr>
                <w:rFonts w:cs="Times New Roman"/>
              </w:rPr>
              <w:t xml:space="preserve"> hulgitur</w:t>
            </w:r>
            <w:r>
              <w:rPr>
                <w:rFonts w:cs="Times New Roman"/>
              </w:rPr>
              <w:t>g</w:t>
            </w:r>
            <w:r w:rsidRPr="009D7FE5">
              <w:rPr>
                <w:rFonts w:cs="Times New Roman"/>
              </w:rPr>
              <w:t xml:space="preserve"> </w:t>
            </w:r>
            <w:r>
              <w:rPr>
                <w:rFonts w:cs="Times New Roman"/>
              </w:rPr>
              <w:t>3b</w:t>
            </w:r>
          </w:p>
        </w:tc>
      </w:tr>
      <w:tr w:rsidR="00F06509" w:rsidRPr="00883566" w14:paraId="54A6F598" w14:textId="77777777" w:rsidTr="000B13AE">
        <w:tc>
          <w:tcPr>
            <w:tcW w:w="3008" w:type="dxa"/>
          </w:tcPr>
          <w:p w14:paraId="7558546D" w14:textId="77777777" w:rsidR="00F06509" w:rsidRDefault="00F06509" w:rsidP="00AA241E">
            <w:pPr>
              <w:jc w:val="both"/>
              <w:rPr>
                <w:rFonts w:cs="Times New Roman"/>
              </w:rPr>
            </w:pPr>
            <w:r w:rsidRPr="00883566">
              <w:rPr>
                <w:rFonts w:cs="Times New Roman"/>
              </w:rPr>
              <w:t>Hulgiturgudel olemasolev MTE</w:t>
            </w:r>
          </w:p>
        </w:tc>
        <w:tc>
          <w:tcPr>
            <w:tcW w:w="6455" w:type="dxa"/>
          </w:tcPr>
          <w:p w14:paraId="58ABDF6B" w14:textId="77777777" w:rsidR="00F06509" w:rsidRDefault="00F06509" w:rsidP="00AA241E">
            <w:pPr>
              <w:jc w:val="both"/>
              <w:rPr>
                <w:rFonts w:cs="Times New Roman"/>
              </w:rPr>
            </w:pPr>
            <w:r w:rsidRPr="00883566">
              <w:rPr>
                <w:rFonts w:cs="Times New Roman"/>
              </w:rPr>
              <w:t xml:space="preserve">Otsuse koostamise ajal TTJA otsuste 16.06.17 otsuste  nr 1-10/17-228 ja nr 1-10/17-227 alusel sidevõrgule kohaliku ja keskse </w:t>
            </w:r>
            <w:r w:rsidRPr="00883566">
              <w:rPr>
                <w:rFonts w:cs="Times New Roman"/>
              </w:rPr>
              <w:lastRenderedPageBreak/>
              <w:t>juurdepääsu hulgiturgudel eksisteeriv märkimisväärse turujõuga ettevõtja, kelleks on Telia Eesti AS.</w:t>
            </w:r>
          </w:p>
        </w:tc>
      </w:tr>
      <w:tr w:rsidR="00F06509" w:rsidRPr="00883566" w14:paraId="791A5323" w14:textId="77777777" w:rsidTr="000B13AE">
        <w:tc>
          <w:tcPr>
            <w:tcW w:w="3008" w:type="dxa"/>
          </w:tcPr>
          <w:p w14:paraId="2428AD60" w14:textId="77777777" w:rsidR="00F06509" w:rsidRPr="009D7FE5" w:rsidRDefault="00F06509" w:rsidP="00AA241E">
            <w:pPr>
              <w:jc w:val="both"/>
              <w:rPr>
                <w:rFonts w:cs="Times New Roman"/>
              </w:rPr>
            </w:pPr>
            <w:r w:rsidRPr="00883566">
              <w:rPr>
                <w:rFonts w:cs="Times New Roman"/>
              </w:rPr>
              <w:lastRenderedPageBreak/>
              <w:t>Järgmine turuanalüüs</w:t>
            </w:r>
          </w:p>
        </w:tc>
        <w:tc>
          <w:tcPr>
            <w:tcW w:w="6455" w:type="dxa"/>
          </w:tcPr>
          <w:p w14:paraId="478FF798" w14:textId="77777777" w:rsidR="00F06509" w:rsidRDefault="00F06509" w:rsidP="00AA241E">
            <w:pPr>
              <w:jc w:val="both"/>
              <w:rPr>
                <w:rFonts w:cs="Times New Roman"/>
              </w:rPr>
            </w:pPr>
            <w:r w:rsidRPr="00883566">
              <w:rPr>
                <w:rFonts w:cs="Times New Roman"/>
              </w:rPr>
              <w:t>Vastavalt ESS § 44</w:t>
            </w:r>
            <w:r w:rsidRPr="00883566">
              <w:rPr>
                <w:rFonts w:cs="Times New Roman"/>
                <w:vertAlign w:val="superscript"/>
              </w:rPr>
              <w:t>2</w:t>
            </w:r>
            <w:r w:rsidRPr="00883566">
              <w:rPr>
                <w:rFonts w:cs="Times New Roman"/>
              </w:rPr>
              <w:t xml:space="preserve"> lõikele 1 teostab TTJA turuanalüüsi regulaarselt, kuid mitte harvem kui kord viie aasta jooksul. Seega järgmine turuanalüüs leiab aset üldjuhul viis aastat pärast käesoleva turuanalüüsi kinnitamist TTJA poolt. </w:t>
            </w:r>
          </w:p>
        </w:tc>
      </w:tr>
      <w:tr w:rsidR="00F06509" w:rsidRPr="00883566" w14:paraId="578357A3" w14:textId="77777777" w:rsidTr="000B13AE">
        <w:tc>
          <w:tcPr>
            <w:tcW w:w="3008" w:type="dxa"/>
          </w:tcPr>
          <w:p w14:paraId="01F46C84" w14:textId="77777777" w:rsidR="00F06509" w:rsidRPr="009D7FE5" w:rsidRDefault="00F06509" w:rsidP="00AA241E">
            <w:pPr>
              <w:jc w:val="both"/>
              <w:rPr>
                <w:rFonts w:cs="Times New Roman"/>
              </w:rPr>
            </w:pPr>
            <w:r w:rsidRPr="00883566">
              <w:rPr>
                <w:rFonts w:cs="Times New Roman"/>
              </w:rPr>
              <w:t>Juurdepääsuvõrk</w:t>
            </w:r>
          </w:p>
        </w:tc>
        <w:tc>
          <w:tcPr>
            <w:tcW w:w="6455" w:type="dxa"/>
          </w:tcPr>
          <w:p w14:paraId="18F3AEBD" w14:textId="77777777" w:rsidR="00F06509" w:rsidRDefault="00F06509" w:rsidP="00AA241E">
            <w:pPr>
              <w:jc w:val="both"/>
              <w:rPr>
                <w:rFonts w:cs="Times New Roman"/>
              </w:rPr>
            </w:pPr>
            <w:r w:rsidRPr="00883566">
              <w:rPr>
                <w:rFonts w:cs="Times New Roman"/>
              </w:rPr>
              <w:t>Koosneb peamiselt kliendiliinidest (ESS §2 lg14) ja kliendiliinide jaotuspunktidest, mis ühendavad sidevõrgu lõpp-punkte (ESS §2 lg70) kohalike võrgusõlmedega (</w:t>
            </w:r>
            <w:proofErr w:type="spellStart"/>
            <w:r w:rsidRPr="00883566">
              <w:rPr>
                <w:rFonts w:cs="Times New Roman"/>
              </w:rPr>
              <w:t>peajaotajatega</w:t>
            </w:r>
            <w:proofErr w:type="spellEnd"/>
            <w:r w:rsidRPr="00883566">
              <w:rPr>
                <w:rFonts w:cs="Times New Roman"/>
              </w:rPr>
              <w:t>).</w:t>
            </w:r>
          </w:p>
        </w:tc>
      </w:tr>
      <w:tr w:rsidR="00F06509" w:rsidRPr="006077AF" w14:paraId="4069B722" w14:textId="77777777" w:rsidTr="000B13AE">
        <w:tc>
          <w:tcPr>
            <w:tcW w:w="3008" w:type="dxa"/>
          </w:tcPr>
          <w:p w14:paraId="64C5E3ED" w14:textId="77777777" w:rsidR="00F06509" w:rsidRPr="00883566" w:rsidRDefault="00F06509" w:rsidP="00AA241E">
            <w:pPr>
              <w:jc w:val="both"/>
              <w:rPr>
                <w:rFonts w:cs="Times New Roman"/>
              </w:rPr>
            </w:pPr>
            <w:r w:rsidRPr="00883566">
              <w:rPr>
                <w:rFonts w:cs="Times New Roman"/>
              </w:rPr>
              <w:t>Kaablikanalisatsioon</w:t>
            </w:r>
          </w:p>
        </w:tc>
        <w:tc>
          <w:tcPr>
            <w:tcW w:w="6455" w:type="dxa"/>
          </w:tcPr>
          <w:p w14:paraId="16C5E187" w14:textId="77777777" w:rsidR="00F06509" w:rsidRPr="00883566" w:rsidRDefault="00F06509" w:rsidP="00AA241E">
            <w:pPr>
              <w:jc w:val="both"/>
              <w:rPr>
                <w:rFonts w:cs="Times New Roman"/>
              </w:rPr>
            </w:pPr>
            <w:r w:rsidRPr="00883566">
              <w:rPr>
                <w:rFonts w:cs="Times New Roman"/>
              </w:rPr>
              <w:t>Suuremõõtmeline sidetoru, välise läbimõõduga ≥ 50 mm.</w:t>
            </w:r>
          </w:p>
        </w:tc>
      </w:tr>
      <w:tr w:rsidR="00F06509" w:rsidRPr="006077AF" w14:paraId="40110CA0" w14:textId="77777777" w:rsidTr="000B13AE">
        <w:tc>
          <w:tcPr>
            <w:tcW w:w="3008" w:type="dxa"/>
          </w:tcPr>
          <w:p w14:paraId="32A36AF2" w14:textId="77777777" w:rsidR="00F06509" w:rsidRPr="00883566" w:rsidRDefault="00F06509" w:rsidP="00AA241E">
            <w:pPr>
              <w:jc w:val="both"/>
              <w:rPr>
                <w:rFonts w:cs="Times New Roman"/>
              </w:rPr>
            </w:pPr>
            <w:r w:rsidRPr="00883566">
              <w:rPr>
                <w:rFonts w:cs="Times New Roman"/>
              </w:rPr>
              <w:t>MTE</w:t>
            </w:r>
          </w:p>
        </w:tc>
        <w:tc>
          <w:tcPr>
            <w:tcW w:w="6455" w:type="dxa"/>
          </w:tcPr>
          <w:p w14:paraId="424A865A" w14:textId="77777777" w:rsidR="00F06509" w:rsidRPr="00883566" w:rsidRDefault="00F06509" w:rsidP="00AA241E">
            <w:pPr>
              <w:jc w:val="both"/>
              <w:rPr>
                <w:rFonts w:cs="Times New Roman"/>
              </w:rPr>
            </w:pPr>
            <w:r w:rsidRPr="00883566">
              <w:rPr>
                <w:rFonts w:cs="Times New Roman"/>
              </w:rPr>
              <w:t>Märkimisväärse turujõuga ettevõtja (ESS 45 lg 2) - sideettevõtja, kes omab eraldi või ühiselt koos teiste ettevõtjatega märkimisväärset turujõudu, mis võimaldab tal tegutseda märkimisväärsel määral sõltumatult konkurentidest, lepingupartneritest ja lõppkasutajatest.</w:t>
            </w:r>
          </w:p>
        </w:tc>
      </w:tr>
      <w:tr w:rsidR="00F06509" w:rsidRPr="006077AF" w14:paraId="6F2A302C" w14:textId="77777777" w:rsidTr="000B13AE">
        <w:tc>
          <w:tcPr>
            <w:tcW w:w="3008" w:type="dxa"/>
          </w:tcPr>
          <w:p w14:paraId="691E3F79" w14:textId="77777777" w:rsidR="00F06509" w:rsidRPr="00883566" w:rsidRDefault="00F06509" w:rsidP="00AA241E">
            <w:pPr>
              <w:jc w:val="both"/>
              <w:rPr>
                <w:rFonts w:cs="Times New Roman"/>
              </w:rPr>
            </w:pPr>
            <w:r w:rsidRPr="00883566">
              <w:rPr>
                <w:rFonts w:cs="Times New Roman"/>
              </w:rPr>
              <w:t>Multitoru</w:t>
            </w:r>
          </w:p>
        </w:tc>
        <w:tc>
          <w:tcPr>
            <w:tcW w:w="6455" w:type="dxa"/>
          </w:tcPr>
          <w:p w14:paraId="4875EDA2" w14:textId="77777777" w:rsidR="00F06509" w:rsidRPr="00883566" w:rsidRDefault="00F06509" w:rsidP="00AA241E">
            <w:pPr>
              <w:jc w:val="both"/>
              <w:rPr>
                <w:rFonts w:cs="Times New Roman"/>
              </w:rPr>
            </w:pPr>
            <w:r w:rsidRPr="00883566">
              <w:rPr>
                <w:rFonts w:cs="Times New Roman"/>
              </w:rPr>
              <w:t>Sidetoru liik, mille väline läbimõõt on üldjuhul &lt; 50 mm ja mis sisaldab mikrotorusid, mille väline läbimõõt on üldjuhul ≤ 16 mm.</w:t>
            </w:r>
          </w:p>
        </w:tc>
      </w:tr>
      <w:tr w:rsidR="00F06509" w:rsidRPr="006077AF" w14:paraId="77B3B573" w14:textId="77777777" w:rsidTr="000B13AE">
        <w:tc>
          <w:tcPr>
            <w:tcW w:w="3008" w:type="dxa"/>
          </w:tcPr>
          <w:p w14:paraId="4086FD66" w14:textId="77777777" w:rsidR="00F06509" w:rsidRPr="00883566" w:rsidRDefault="00F06509" w:rsidP="00AA241E">
            <w:pPr>
              <w:jc w:val="both"/>
              <w:rPr>
                <w:rFonts w:cs="Times New Roman"/>
              </w:rPr>
            </w:pPr>
            <w:r w:rsidRPr="00883566">
              <w:rPr>
                <w:rFonts w:cs="Times New Roman"/>
              </w:rPr>
              <w:t>Riigiabi määrused</w:t>
            </w:r>
          </w:p>
        </w:tc>
        <w:tc>
          <w:tcPr>
            <w:tcW w:w="6455" w:type="dxa"/>
          </w:tcPr>
          <w:p w14:paraId="15B3FDCF" w14:textId="77777777" w:rsidR="00F06509" w:rsidRPr="00883566" w:rsidRDefault="00F06509" w:rsidP="00AA241E">
            <w:pPr>
              <w:jc w:val="both"/>
              <w:rPr>
                <w:rFonts w:cs="Times New Roman"/>
              </w:rPr>
            </w:pPr>
            <w:r w:rsidRPr="00883566">
              <w:rPr>
                <w:rFonts w:cs="Times New Roman"/>
              </w:rPr>
              <w:t>Riigiabiga rajatud sidevõrkudele rakenduvates määrustes on sätestatud riigiabiga rajatud sidevõrkudele (sh sidekaablitaristutele)  läbipaistva ja mittediskrimineeriva ning kuludele orienteeritud hinnaga juurdepääsu osutamise kohustused. Vastavad määrused on:</w:t>
            </w:r>
          </w:p>
          <w:p w14:paraId="351CBA2D" w14:textId="77777777" w:rsidR="00F06509" w:rsidRPr="00883566" w:rsidRDefault="00F06509" w:rsidP="00AA241E">
            <w:pPr>
              <w:jc w:val="both"/>
              <w:rPr>
                <w:rFonts w:cs="Times New Roman"/>
              </w:rPr>
            </w:pPr>
            <w:r w:rsidRPr="00883566">
              <w:rPr>
                <w:rFonts w:cs="Times New Roman"/>
              </w:rPr>
              <w:t xml:space="preserve">1) Regionaalministri 10.02.2011 määrus nr 3, vt </w:t>
            </w:r>
            <w:hyperlink r:id="rId61">
              <w:r w:rsidRPr="00883566">
                <w:rPr>
                  <w:rStyle w:val="Hperlink"/>
                  <w:rFonts w:cs="Times New Roman"/>
                </w:rPr>
                <w:t>https://www.riigiteataja.ee/akt/119082015013?leiaKehtiv</w:t>
              </w:r>
            </w:hyperlink>
            <w:r w:rsidRPr="00883566">
              <w:rPr>
                <w:rFonts w:cs="Times New Roman"/>
              </w:rPr>
              <w:t xml:space="preserve"> .</w:t>
            </w:r>
          </w:p>
          <w:p w14:paraId="2A1F313B" w14:textId="77777777" w:rsidR="00F06509" w:rsidRPr="00883566" w:rsidRDefault="00F06509" w:rsidP="00AA241E">
            <w:pPr>
              <w:jc w:val="both"/>
              <w:rPr>
                <w:rFonts w:cs="Times New Roman"/>
              </w:rPr>
            </w:pPr>
            <w:r w:rsidRPr="00883566">
              <w:rPr>
                <w:rFonts w:cs="Times New Roman"/>
              </w:rPr>
              <w:t xml:space="preserve">2) Majandus- ja taristuministri 30.04.2015 määrus nr 37, vt </w:t>
            </w:r>
            <w:hyperlink r:id="rId62">
              <w:r w:rsidRPr="00883566">
                <w:rPr>
                  <w:rStyle w:val="Hperlink"/>
                  <w:rFonts w:cs="Times New Roman"/>
                </w:rPr>
                <w:t>https://www.riigiteataja.ee/akt/122062017007?leiaKehtiv</w:t>
              </w:r>
            </w:hyperlink>
            <w:r w:rsidRPr="00883566">
              <w:rPr>
                <w:rFonts w:cs="Times New Roman"/>
              </w:rPr>
              <w:t xml:space="preserve"> .</w:t>
            </w:r>
          </w:p>
          <w:p w14:paraId="09B078F5" w14:textId="77777777" w:rsidR="00F06509" w:rsidRPr="00883566" w:rsidRDefault="00F06509" w:rsidP="00AA241E">
            <w:pPr>
              <w:jc w:val="both"/>
              <w:rPr>
                <w:rFonts w:cs="Times New Roman"/>
              </w:rPr>
            </w:pPr>
            <w:r w:rsidRPr="00883566">
              <w:rPr>
                <w:rFonts w:cs="Times New Roman"/>
              </w:rPr>
              <w:t xml:space="preserve">3) Ettevõtlus- ja infotehnoloogiaministri 11.06.2018 määrus nr 30, vt  </w:t>
            </w:r>
            <w:r w:rsidRPr="00883566">
              <w:rPr>
                <w:rFonts w:cs="Times New Roman"/>
              </w:rPr>
              <w:fldChar w:fldCharType="begin"/>
            </w:r>
            <w:r w:rsidRPr="00883566">
              <w:rPr>
                <w:rFonts w:cs="Times New Roman"/>
              </w:rPr>
              <w:instrText xml:space="preserve">HYPERLINK "https://www.riigiteataja.ee/akt/114062018004 .   </w:instrText>
            </w:r>
          </w:p>
          <w:p w14:paraId="521CFE48" w14:textId="77777777" w:rsidR="00F06509" w:rsidRPr="00883566" w:rsidRDefault="00F06509" w:rsidP="00AA241E">
            <w:pPr>
              <w:jc w:val="both"/>
              <w:rPr>
                <w:rStyle w:val="Hperlink"/>
                <w:rFonts w:cs="Times New Roman"/>
              </w:rPr>
            </w:pPr>
            <w:r w:rsidRPr="00883566">
              <w:rPr>
                <w:rFonts w:cs="Times New Roman"/>
              </w:rPr>
              <w:instrText>2"</w:instrText>
            </w:r>
            <w:r w:rsidRPr="00883566">
              <w:rPr>
                <w:rFonts w:cs="Times New Roman"/>
              </w:rPr>
            </w:r>
            <w:r w:rsidRPr="00883566">
              <w:rPr>
                <w:rFonts w:cs="Times New Roman"/>
              </w:rPr>
              <w:fldChar w:fldCharType="separate"/>
            </w:r>
            <w:r w:rsidRPr="00883566">
              <w:rPr>
                <w:rStyle w:val="Hperlink"/>
                <w:rFonts w:cs="Times New Roman"/>
              </w:rPr>
              <w:t xml:space="preserve">https://www.riigiteataja.ee/akt/114062018004 .   </w:t>
            </w:r>
          </w:p>
          <w:p w14:paraId="3D540199" w14:textId="77777777" w:rsidR="00F06509" w:rsidRPr="00883566" w:rsidRDefault="00F06509" w:rsidP="00AA241E">
            <w:pPr>
              <w:jc w:val="both"/>
              <w:rPr>
                <w:rFonts w:cs="Times New Roman"/>
              </w:rPr>
            </w:pPr>
            <w:r w:rsidRPr="00883566">
              <w:rPr>
                <w:rFonts w:cs="Times New Roman"/>
              </w:rPr>
              <w:fldChar w:fldCharType="end"/>
            </w:r>
            <w:r w:rsidRPr="00883566">
              <w:rPr>
                <w:rFonts w:cs="Times New Roman"/>
              </w:rPr>
              <w:t xml:space="preserve">4)  Väliskaubandus- ja infotehnoloogiaministri 27.08.2020 määrus nr 53, vt </w:t>
            </w:r>
            <w:hyperlink r:id="rId63">
              <w:r w:rsidRPr="00883566">
                <w:rPr>
                  <w:rStyle w:val="Hperlink"/>
                  <w:rFonts w:cs="Times New Roman"/>
                </w:rPr>
                <w:t>https://www.riigiteataja.ee/akt/102092020002</w:t>
              </w:r>
            </w:hyperlink>
            <w:r w:rsidRPr="00883566">
              <w:rPr>
                <w:rFonts w:cs="Times New Roman"/>
              </w:rPr>
              <w:t xml:space="preserve"> .</w:t>
            </w:r>
          </w:p>
          <w:p w14:paraId="5ACE2492" w14:textId="77777777" w:rsidR="00F06509" w:rsidRPr="00883566" w:rsidRDefault="00F06509" w:rsidP="00AA241E">
            <w:pPr>
              <w:jc w:val="both"/>
              <w:rPr>
                <w:rFonts w:cs="Times New Roman"/>
              </w:rPr>
            </w:pPr>
            <w:r w:rsidRPr="00883566">
              <w:rPr>
                <w:rFonts w:cs="Times New Roman"/>
              </w:rPr>
              <w:t xml:space="preserve">5) Ettevõtlus- ja infotehnoloogiaministri 03.05.2022 määrus nr 35, vt  </w:t>
            </w:r>
            <w:hyperlink r:id="rId64">
              <w:r w:rsidRPr="00883566">
                <w:rPr>
                  <w:rStyle w:val="Hperlink"/>
                  <w:rFonts w:cs="Times New Roman"/>
                </w:rPr>
                <w:t>https://www.riigiteataja.ee/akt/106052022011?leiaKehtiv</w:t>
              </w:r>
            </w:hyperlink>
            <w:r w:rsidRPr="00883566">
              <w:rPr>
                <w:rFonts w:cs="Times New Roman"/>
              </w:rPr>
              <w:t xml:space="preserve"> .  </w:t>
            </w:r>
          </w:p>
          <w:p w14:paraId="315DD4A6" w14:textId="77777777" w:rsidR="00F06509" w:rsidRPr="00883566" w:rsidRDefault="00F06509" w:rsidP="00AA241E">
            <w:pPr>
              <w:jc w:val="both"/>
              <w:rPr>
                <w:rFonts w:cs="Times New Roman"/>
              </w:rPr>
            </w:pPr>
          </w:p>
        </w:tc>
      </w:tr>
      <w:tr w:rsidR="00F06509" w:rsidRPr="006077AF" w14:paraId="0F2D428C" w14:textId="77777777" w:rsidTr="000B13AE">
        <w:tc>
          <w:tcPr>
            <w:tcW w:w="3008" w:type="dxa"/>
          </w:tcPr>
          <w:p w14:paraId="4444F21D" w14:textId="77777777" w:rsidR="00F06509" w:rsidRPr="00883566" w:rsidRDefault="00F06509" w:rsidP="00AA241E">
            <w:pPr>
              <w:jc w:val="both"/>
              <w:rPr>
                <w:rFonts w:cs="Times New Roman"/>
              </w:rPr>
            </w:pPr>
            <w:r w:rsidRPr="00883566">
              <w:rPr>
                <w:rFonts w:cs="Times New Roman"/>
              </w:rPr>
              <w:t>Sidekaablitaristu</w:t>
            </w:r>
          </w:p>
        </w:tc>
        <w:tc>
          <w:tcPr>
            <w:tcW w:w="6455" w:type="dxa"/>
          </w:tcPr>
          <w:p w14:paraId="24092DC2" w14:textId="77777777" w:rsidR="00F06509" w:rsidRPr="00883566" w:rsidDel="00D3719E" w:rsidRDefault="00F06509" w:rsidP="00AA241E">
            <w:pPr>
              <w:jc w:val="both"/>
              <w:rPr>
                <w:rFonts w:cs="Times New Roman"/>
              </w:rPr>
            </w:pPr>
            <w:r w:rsidRPr="00883566">
              <w:rPr>
                <w:rFonts w:cs="Times New Roman"/>
              </w:rPr>
              <w:t>Sidekaablite jaotamise tarbeks rajatud sidevõrgu füüsiline taristu, näiteks pinnases sidetorud olenemata läbimõõdust ja tehnoloogiast (sh multitorud) ning maapealsed sidepostid.</w:t>
            </w:r>
          </w:p>
        </w:tc>
      </w:tr>
      <w:tr w:rsidR="00F06509" w:rsidRPr="006077AF" w14:paraId="73F246AD" w14:textId="77777777" w:rsidTr="000B13AE">
        <w:tc>
          <w:tcPr>
            <w:tcW w:w="3008" w:type="dxa"/>
          </w:tcPr>
          <w:p w14:paraId="565EAAE2" w14:textId="77777777" w:rsidR="00F06509" w:rsidRPr="00883566" w:rsidRDefault="00F06509" w:rsidP="00AA241E">
            <w:pPr>
              <w:jc w:val="both"/>
              <w:rPr>
                <w:rFonts w:cs="Times New Roman"/>
              </w:rPr>
            </w:pPr>
            <w:r w:rsidRPr="00883566">
              <w:rPr>
                <w:rFonts w:cs="Times New Roman"/>
              </w:rPr>
              <w:t>Sidekaablitaristule juurdepääsu hulgiturg</w:t>
            </w:r>
          </w:p>
        </w:tc>
        <w:tc>
          <w:tcPr>
            <w:tcW w:w="6455" w:type="dxa"/>
          </w:tcPr>
          <w:p w14:paraId="08CE7885" w14:textId="77777777" w:rsidR="00F06509" w:rsidRPr="00883566" w:rsidRDefault="00F06509" w:rsidP="00AA241E">
            <w:pPr>
              <w:jc w:val="both"/>
              <w:rPr>
                <w:rFonts w:cs="Times New Roman"/>
              </w:rPr>
            </w:pPr>
            <w:r w:rsidRPr="00883566">
              <w:rPr>
                <w:rFonts w:cs="Times New Roman"/>
              </w:rPr>
              <w:t>Sidekaablite paigaldamiseks sidevõrgu füüsilisele taristule juurdepääsu hulgiturg. Käesolevas otsuses nimetatakse ka ST hulgiturg.</w:t>
            </w:r>
          </w:p>
        </w:tc>
      </w:tr>
      <w:tr w:rsidR="00F06509" w:rsidRPr="006077AF" w14:paraId="34AB972F" w14:textId="77777777" w:rsidTr="000B13AE">
        <w:tc>
          <w:tcPr>
            <w:tcW w:w="3008" w:type="dxa"/>
          </w:tcPr>
          <w:p w14:paraId="308E5C2D" w14:textId="77777777" w:rsidR="00F06509" w:rsidRPr="00883566" w:rsidRDefault="00F06509" w:rsidP="00AA241E">
            <w:pPr>
              <w:jc w:val="both"/>
              <w:rPr>
                <w:rFonts w:cs="Times New Roman"/>
              </w:rPr>
            </w:pPr>
            <w:r w:rsidRPr="00883566">
              <w:rPr>
                <w:rFonts w:cs="Times New Roman"/>
              </w:rPr>
              <w:t>Sidepost</w:t>
            </w:r>
          </w:p>
        </w:tc>
        <w:tc>
          <w:tcPr>
            <w:tcW w:w="6455" w:type="dxa"/>
          </w:tcPr>
          <w:p w14:paraId="6072F19A" w14:textId="77777777" w:rsidR="00F06509" w:rsidRPr="00883566" w:rsidRDefault="00F06509" w:rsidP="00AA241E">
            <w:pPr>
              <w:jc w:val="both"/>
              <w:rPr>
                <w:rFonts w:cs="Times New Roman"/>
              </w:rPr>
            </w:pPr>
            <w:r w:rsidRPr="00883566">
              <w:rPr>
                <w:rFonts w:cs="Times New Roman"/>
              </w:rPr>
              <w:t>Post, mille peamine otstarve on sidekaablite paigaldamise võimaldamine.</w:t>
            </w:r>
          </w:p>
        </w:tc>
      </w:tr>
      <w:tr w:rsidR="00F06509" w:rsidRPr="006077AF" w14:paraId="57196660" w14:textId="77777777" w:rsidTr="000B13AE">
        <w:tc>
          <w:tcPr>
            <w:tcW w:w="3008" w:type="dxa"/>
          </w:tcPr>
          <w:p w14:paraId="35D3B1AE" w14:textId="77777777" w:rsidR="00F06509" w:rsidRPr="00883566" w:rsidRDefault="00F06509" w:rsidP="00AA241E">
            <w:pPr>
              <w:jc w:val="both"/>
              <w:rPr>
                <w:rFonts w:cs="Times New Roman"/>
              </w:rPr>
            </w:pPr>
            <w:r w:rsidRPr="00883566">
              <w:rPr>
                <w:rFonts w:cs="Times New Roman"/>
              </w:rPr>
              <w:t>Sidetoru</w:t>
            </w:r>
          </w:p>
        </w:tc>
        <w:tc>
          <w:tcPr>
            <w:tcW w:w="6455" w:type="dxa"/>
          </w:tcPr>
          <w:p w14:paraId="15541E41" w14:textId="4DBE4C0A" w:rsidR="00F06509" w:rsidRPr="00883566" w:rsidRDefault="004340F0" w:rsidP="00AA241E">
            <w:pPr>
              <w:jc w:val="both"/>
              <w:rPr>
                <w:rFonts w:cs="Times New Roman"/>
              </w:rPr>
            </w:pPr>
            <w:r w:rsidRPr="00662216">
              <w:rPr>
                <w:rFonts w:cs="Times New Roman"/>
                <w:bCs/>
              </w:rPr>
              <w:t xml:space="preserve">Toru, mille peamine otstarve on sidekaablite paigaldamise võimaldamine, sh kaablikanalisatsioon, multitoru, mikrotoru. Muu hulgas hõlmab sidetoru </w:t>
            </w:r>
            <w:r w:rsidRPr="001A131B">
              <w:rPr>
                <w:rFonts w:cs="Times New Roman"/>
                <w:bCs/>
              </w:rPr>
              <w:t xml:space="preserve">hoonesse sisenevat sidetoru, see on </w:t>
            </w:r>
            <w:r w:rsidRPr="001A131B">
              <w:rPr>
                <w:rFonts w:cs="Times New Roman"/>
                <w:bCs/>
              </w:rPr>
              <w:lastRenderedPageBreak/>
              <w:t>sidetoru, mis on ühendatud hoonega ja mis võimaldab sidekaabli ja/või alamtoruga jõuda hoonesisese füüsilise taristuni</w:t>
            </w:r>
            <w:r w:rsidRPr="00662216">
              <w:rPr>
                <w:rFonts w:cs="Times New Roman"/>
                <w:bCs/>
              </w:rPr>
              <w:t xml:space="preserve">. </w:t>
            </w:r>
          </w:p>
        </w:tc>
      </w:tr>
      <w:tr w:rsidR="00F06509" w:rsidRPr="006077AF" w14:paraId="527AD06A" w14:textId="77777777" w:rsidTr="000B13AE">
        <w:tc>
          <w:tcPr>
            <w:tcW w:w="3008" w:type="dxa"/>
          </w:tcPr>
          <w:p w14:paraId="047944A6" w14:textId="77777777" w:rsidR="00F06509" w:rsidRPr="00883566" w:rsidRDefault="00F06509" w:rsidP="00AA241E">
            <w:pPr>
              <w:jc w:val="both"/>
              <w:rPr>
                <w:rFonts w:cs="Times New Roman"/>
              </w:rPr>
            </w:pPr>
            <w:r w:rsidRPr="00883566">
              <w:rPr>
                <w:rFonts w:cs="Times New Roman"/>
              </w:rPr>
              <w:lastRenderedPageBreak/>
              <w:t>Sidevõrgule kohaliku juurdepääsu hulgiturg</w:t>
            </w:r>
          </w:p>
        </w:tc>
        <w:tc>
          <w:tcPr>
            <w:tcW w:w="6455" w:type="dxa"/>
          </w:tcPr>
          <w:p w14:paraId="3B4B4AA1" w14:textId="77777777" w:rsidR="00F06509" w:rsidRPr="00883566" w:rsidRDefault="00F06509" w:rsidP="00AA241E">
            <w:pPr>
              <w:jc w:val="both"/>
              <w:rPr>
                <w:rFonts w:cs="Times New Roman"/>
              </w:rPr>
            </w:pPr>
            <w:r w:rsidRPr="00883566">
              <w:rPr>
                <w:rFonts w:cs="Times New Roman"/>
              </w:rPr>
              <w:t xml:space="preserve">EK 2020 soovituse kohaselt sidevõrgu kohaliku juurdepääsu hulgiturg, kus on peamiseks teenuseks kliendiliini rent teisele sideettevõtjale ning vajadusel tugiteenuseks kaablikanalisatsioonile juurdepääsu hulgiteenus, vt ka </w:t>
            </w:r>
            <w:hyperlink r:id="rId65">
              <w:r w:rsidRPr="00883566">
                <w:rPr>
                  <w:rStyle w:val="Hperlink"/>
                  <w:rFonts w:cs="Times New Roman"/>
                </w:rPr>
                <w:t>https://eur-lex.europa.eu/legal-content/EN-ET/TXT/?uri=CELEX:32020H2245</w:t>
              </w:r>
            </w:hyperlink>
            <w:r w:rsidRPr="00883566">
              <w:rPr>
                <w:rFonts w:cs="Times New Roman"/>
              </w:rPr>
              <w:t>. Nimetatakse ka hulgiturg 1.</w:t>
            </w:r>
          </w:p>
        </w:tc>
      </w:tr>
      <w:tr w:rsidR="00F06509" w:rsidRPr="00883566" w14:paraId="6B8B5900" w14:textId="77777777" w:rsidTr="000B13AE">
        <w:tc>
          <w:tcPr>
            <w:tcW w:w="3008" w:type="dxa"/>
          </w:tcPr>
          <w:p w14:paraId="4C9A48C0" w14:textId="77777777" w:rsidR="00F06509" w:rsidRPr="00883566" w:rsidRDefault="00F06509" w:rsidP="00AA241E">
            <w:pPr>
              <w:jc w:val="both"/>
              <w:rPr>
                <w:rFonts w:cs="Times New Roman"/>
              </w:rPr>
            </w:pPr>
            <w:r w:rsidRPr="00883566">
              <w:rPr>
                <w:rFonts w:cs="Times New Roman"/>
              </w:rPr>
              <w:t>Sidevõrgule keskse juurdepääsu hulgiturg</w:t>
            </w:r>
          </w:p>
        </w:tc>
        <w:tc>
          <w:tcPr>
            <w:tcW w:w="6455" w:type="dxa"/>
          </w:tcPr>
          <w:p w14:paraId="55E5CA36" w14:textId="77777777" w:rsidR="00F06509" w:rsidRPr="00883566" w:rsidRDefault="00F06509" w:rsidP="00AA241E">
            <w:pPr>
              <w:jc w:val="both"/>
              <w:rPr>
                <w:rFonts w:cs="Times New Roman"/>
              </w:rPr>
            </w:pPr>
            <w:r w:rsidRPr="00883566">
              <w:rPr>
                <w:rFonts w:cs="Times New Roman"/>
              </w:rPr>
              <w:t xml:space="preserve">EK 2014 soovituse kohaselt sidevõrgu keskse juurdepääsu hulgiturg, kus on peamiseks teenuseks sidevõrgu keskselt tasemelt (ülekandevõrgust) kuni sidevõrgu lõpp-punktini (juurdepääsuvõrgus) virtuaalselt eraldatud internetiühendusele (bitivoole) juurdepääsu hulgiteenus (täpsemalt bitivoo rent teisele sideettevõtjale), vt ka </w:t>
            </w:r>
            <w:hyperlink r:id="rId66">
              <w:r w:rsidRPr="00883566">
                <w:rPr>
                  <w:rStyle w:val="Hperlink"/>
                  <w:rFonts w:cs="Times New Roman"/>
                </w:rPr>
                <w:t>https://eur-lex.europa.eu/legal-content/ET/TXT/?uri=CELEX:32014H0710</w:t>
              </w:r>
            </w:hyperlink>
            <w:r w:rsidRPr="00883566">
              <w:rPr>
                <w:rFonts w:cs="Times New Roman"/>
              </w:rPr>
              <w:t xml:space="preserve">. Nimetatakse ka hulgiturg 3b. </w:t>
            </w:r>
          </w:p>
        </w:tc>
      </w:tr>
      <w:tr w:rsidR="00F06509" w:rsidRPr="00883566" w14:paraId="029773E5" w14:textId="77777777" w:rsidTr="000B13AE">
        <w:tc>
          <w:tcPr>
            <w:tcW w:w="3008" w:type="dxa"/>
          </w:tcPr>
          <w:p w14:paraId="5BE2379B" w14:textId="33B9AC20" w:rsidR="00F06509" w:rsidRPr="00883566" w:rsidRDefault="00F06509" w:rsidP="00AA241E">
            <w:pPr>
              <w:jc w:val="both"/>
              <w:rPr>
                <w:rFonts w:cs="Times New Roman"/>
              </w:rPr>
            </w:pPr>
            <w:r w:rsidRPr="00883566">
              <w:rPr>
                <w:rFonts w:cs="Times New Roman"/>
              </w:rPr>
              <w:t xml:space="preserve">Sidevõrgu </w:t>
            </w:r>
            <w:r w:rsidR="004340F0">
              <w:rPr>
                <w:rFonts w:cs="Times New Roman"/>
              </w:rPr>
              <w:t>eri</w:t>
            </w:r>
            <w:r w:rsidRPr="00883566">
              <w:rPr>
                <w:rFonts w:cs="Times New Roman"/>
              </w:rPr>
              <w:t>võimsustele juurdepääsu hulgiturg</w:t>
            </w:r>
          </w:p>
        </w:tc>
        <w:tc>
          <w:tcPr>
            <w:tcW w:w="6455" w:type="dxa"/>
          </w:tcPr>
          <w:p w14:paraId="107C10A6" w14:textId="77777777" w:rsidR="00F06509" w:rsidRPr="00883566" w:rsidRDefault="00F06509" w:rsidP="00AA241E">
            <w:pPr>
              <w:jc w:val="both"/>
              <w:rPr>
                <w:rFonts w:cs="Times New Roman"/>
              </w:rPr>
            </w:pPr>
            <w:r w:rsidRPr="00883566">
              <w:rPr>
                <w:rFonts w:cs="Times New Roman"/>
              </w:rPr>
              <w:t>EK 2020 soovituse kohaselt sidevõrgu erivõimsustele juurdepääsu hulgiturg, kus on peamiseks teenusteks IP-VPN-</w:t>
            </w:r>
            <w:proofErr w:type="spellStart"/>
            <w:r w:rsidRPr="00883566">
              <w:rPr>
                <w:rFonts w:cs="Times New Roman"/>
              </w:rPr>
              <w:t>le</w:t>
            </w:r>
            <w:proofErr w:type="spellEnd"/>
            <w:r w:rsidRPr="00883566">
              <w:rPr>
                <w:rFonts w:cs="Times New Roman"/>
              </w:rPr>
              <w:t>, Ethernet-VPN-</w:t>
            </w:r>
            <w:proofErr w:type="spellStart"/>
            <w:r w:rsidRPr="00883566">
              <w:rPr>
                <w:rFonts w:cs="Times New Roman"/>
              </w:rPr>
              <w:t>le</w:t>
            </w:r>
            <w:proofErr w:type="spellEnd"/>
            <w:r w:rsidRPr="00883566">
              <w:rPr>
                <w:rFonts w:cs="Times New Roman"/>
              </w:rPr>
              <w:t xml:space="preserve"> ja püsiliinidele juurdepääs vt ka </w:t>
            </w:r>
            <w:hyperlink r:id="rId67">
              <w:r w:rsidRPr="00883566">
                <w:rPr>
                  <w:rStyle w:val="Hperlink"/>
                  <w:rFonts w:cs="Times New Roman"/>
                </w:rPr>
                <w:t>https://eur-lex.europa.eu/legal-content/EN-ET/TXT/?uri=CELEX:32020H2245</w:t>
              </w:r>
            </w:hyperlink>
            <w:r w:rsidRPr="00883566">
              <w:rPr>
                <w:rStyle w:val="Hperlink"/>
                <w:rFonts w:cs="Times New Roman"/>
              </w:rPr>
              <w:t xml:space="preserve">. </w:t>
            </w:r>
            <w:r w:rsidRPr="00883566">
              <w:rPr>
                <w:rFonts w:cs="Times New Roman"/>
              </w:rPr>
              <w:t>Nimetatakse ka hulgiturg 2.</w:t>
            </w:r>
          </w:p>
        </w:tc>
      </w:tr>
      <w:tr w:rsidR="00F06509" w:rsidRPr="00883566" w14:paraId="0C05E119" w14:textId="77777777" w:rsidTr="000B13AE">
        <w:tc>
          <w:tcPr>
            <w:tcW w:w="3008" w:type="dxa"/>
          </w:tcPr>
          <w:p w14:paraId="0745C587" w14:textId="750D2535" w:rsidR="00F06509" w:rsidRPr="00883566" w:rsidRDefault="00F06509" w:rsidP="00AA241E">
            <w:pPr>
              <w:jc w:val="both"/>
              <w:rPr>
                <w:rFonts w:cs="Times New Roman"/>
              </w:rPr>
            </w:pPr>
            <w:r w:rsidRPr="00883566">
              <w:rPr>
                <w:rFonts w:cs="Times New Roman"/>
              </w:rPr>
              <w:t>ST</w:t>
            </w:r>
            <w:r w:rsidR="004340F0">
              <w:rPr>
                <w:rFonts w:cs="Times New Roman"/>
              </w:rPr>
              <w:t>J</w:t>
            </w:r>
            <w:r w:rsidRPr="00883566">
              <w:rPr>
                <w:rFonts w:cs="Times New Roman"/>
              </w:rPr>
              <w:t xml:space="preserve"> hulgiturg</w:t>
            </w:r>
          </w:p>
        </w:tc>
        <w:tc>
          <w:tcPr>
            <w:tcW w:w="6455" w:type="dxa"/>
          </w:tcPr>
          <w:p w14:paraId="1AB77B67" w14:textId="77777777" w:rsidR="00F06509" w:rsidRPr="00883566" w:rsidRDefault="00F06509" w:rsidP="00AA241E">
            <w:pPr>
              <w:jc w:val="both"/>
              <w:rPr>
                <w:rFonts w:cs="Times New Roman"/>
              </w:rPr>
            </w:pPr>
            <w:r w:rsidRPr="00883566">
              <w:rPr>
                <w:rFonts w:cs="Times New Roman"/>
              </w:rPr>
              <w:t>Sidekaablitaristule juurdepääsu hulgiturg</w:t>
            </w:r>
          </w:p>
        </w:tc>
      </w:tr>
      <w:tr w:rsidR="00F06509" w:rsidRPr="00883566" w14:paraId="34E7197C" w14:textId="77777777" w:rsidTr="000B13AE">
        <w:tc>
          <w:tcPr>
            <w:tcW w:w="3008" w:type="dxa"/>
          </w:tcPr>
          <w:p w14:paraId="589939A2" w14:textId="77777777" w:rsidR="00F06509" w:rsidRPr="00883566" w:rsidRDefault="00F06509" w:rsidP="00AA241E">
            <w:pPr>
              <w:jc w:val="both"/>
              <w:rPr>
                <w:rFonts w:cs="Times New Roman"/>
              </w:rPr>
            </w:pPr>
            <w:r w:rsidRPr="00883566">
              <w:rPr>
                <w:rFonts w:cs="Times New Roman"/>
              </w:rPr>
              <w:t>Suuremõõtmeline sidetoru</w:t>
            </w:r>
          </w:p>
        </w:tc>
        <w:tc>
          <w:tcPr>
            <w:tcW w:w="6455" w:type="dxa"/>
          </w:tcPr>
          <w:p w14:paraId="0944F13B" w14:textId="43625CD7" w:rsidR="00F06509" w:rsidRPr="00883566" w:rsidRDefault="00F06509" w:rsidP="00AA241E">
            <w:pPr>
              <w:jc w:val="both"/>
              <w:rPr>
                <w:rFonts w:cs="Times New Roman"/>
              </w:rPr>
            </w:pPr>
            <w:r w:rsidRPr="00883566">
              <w:rPr>
                <w:rFonts w:cs="Times New Roman"/>
              </w:rPr>
              <w:t xml:space="preserve">Sidetoru välise läbimõõduga ≥ 50 mm. </w:t>
            </w:r>
          </w:p>
        </w:tc>
      </w:tr>
      <w:tr w:rsidR="00F06509" w:rsidRPr="00883566" w14:paraId="4FAC4F69" w14:textId="77777777" w:rsidTr="000B13AE">
        <w:tc>
          <w:tcPr>
            <w:tcW w:w="3008" w:type="dxa"/>
          </w:tcPr>
          <w:p w14:paraId="20C9749A" w14:textId="77777777" w:rsidR="00F06509" w:rsidRPr="00883566" w:rsidRDefault="00F06509" w:rsidP="00AA241E">
            <w:pPr>
              <w:jc w:val="both"/>
              <w:rPr>
                <w:rFonts w:cs="Times New Roman"/>
              </w:rPr>
            </w:pPr>
            <w:r w:rsidRPr="00883566">
              <w:rPr>
                <w:rFonts w:cs="Times New Roman"/>
              </w:rPr>
              <w:t>TD HC FDC</w:t>
            </w:r>
          </w:p>
        </w:tc>
        <w:tc>
          <w:tcPr>
            <w:tcW w:w="6455" w:type="dxa"/>
          </w:tcPr>
          <w:p w14:paraId="6B8B0784" w14:textId="77777777" w:rsidR="00F06509" w:rsidRPr="00883566" w:rsidRDefault="00F06509" w:rsidP="00AA241E">
            <w:pPr>
              <w:jc w:val="both"/>
              <w:rPr>
                <w:rFonts w:cs="Times New Roman"/>
              </w:rPr>
            </w:pPr>
            <w:r w:rsidRPr="00883566">
              <w:rPr>
                <w:rFonts w:cs="Times New Roman"/>
              </w:rPr>
              <w:t>Ülevalt-alla täielikult jaotatud ajalooliste kulude arvestamise meetod ehk TD HC FDC (</w:t>
            </w:r>
            <w:proofErr w:type="spellStart"/>
            <w:r w:rsidRPr="00883566">
              <w:rPr>
                <w:rFonts w:cs="Times New Roman"/>
                <w:i/>
              </w:rPr>
              <w:t>top-town</w:t>
            </w:r>
            <w:proofErr w:type="spellEnd"/>
            <w:r w:rsidRPr="00883566">
              <w:rPr>
                <w:rFonts w:cs="Times New Roman"/>
                <w:i/>
              </w:rPr>
              <w:t xml:space="preserve"> </w:t>
            </w:r>
            <w:proofErr w:type="spellStart"/>
            <w:r w:rsidRPr="00883566">
              <w:rPr>
                <w:rFonts w:cs="Times New Roman"/>
                <w:i/>
              </w:rPr>
              <w:t>full</w:t>
            </w:r>
            <w:proofErr w:type="spellEnd"/>
            <w:r w:rsidRPr="00883566">
              <w:rPr>
                <w:rFonts w:cs="Times New Roman"/>
                <w:i/>
              </w:rPr>
              <w:t xml:space="preserve"> </w:t>
            </w:r>
            <w:proofErr w:type="spellStart"/>
            <w:r w:rsidRPr="00883566">
              <w:rPr>
                <w:rFonts w:cs="Times New Roman"/>
                <w:i/>
              </w:rPr>
              <w:t>distributed</w:t>
            </w:r>
            <w:proofErr w:type="spellEnd"/>
            <w:r w:rsidRPr="00883566">
              <w:rPr>
                <w:rFonts w:cs="Times New Roman"/>
                <w:i/>
              </w:rPr>
              <w:t xml:space="preserve"> </w:t>
            </w:r>
            <w:proofErr w:type="spellStart"/>
            <w:r w:rsidRPr="00883566">
              <w:rPr>
                <w:rFonts w:cs="Times New Roman"/>
                <w:i/>
              </w:rPr>
              <w:t>historical</w:t>
            </w:r>
            <w:proofErr w:type="spellEnd"/>
            <w:r w:rsidRPr="00883566">
              <w:rPr>
                <w:rFonts w:cs="Times New Roman"/>
                <w:i/>
              </w:rPr>
              <w:t xml:space="preserve"> </w:t>
            </w:r>
            <w:proofErr w:type="spellStart"/>
            <w:r w:rsidRPr="00883566">
              <w:rPr>
                <w:rFonts w:cs="Times New Roman"/>
                <w:i/>
              </w:rPr>
              <w:t>costs</w:t>
            </w:r>
            <w:proofErr w:type="spellEnd"/>
            <w:r w:rsidRPr="00883566">
              <w:rPr>
                <w:rFonts w:cs="Times New Roman"/>
              </w:rPr>
              <w:t>) meetod</w:t>
            </w:r>
          </w:p>
        </w:tc>
      </w:tr>
      <w:tr w:rsidR="00F06509" w:rsidRPr="00883566" w14:paraId="38D8DB22" w14:textId="77777777" w:rsidTr="000B13AE">
        <w:tc>
          <w:tcPr>
            <w:tcW w:w="3008" w:type="dxa"/>
          </w:tcPr>
          <w:p w14:paraId="206F3DBF" w14:textId="77777777" w:rsidR="00F06509" w:rsidRPr="00883566" w:rsidRDefault="00F06509" w:rsidP="00AA241E">
            <w:pPr>
              <w:jc w:val="both"/>
              <w:rPr>
                <w:rFonts w:cs="Times New Roman"/>
              </w:rPr>
            </w:pPr>
            <w:r w:rsidRPr="00883566">
              <w:rPr>
                <w:rFonts w:cs="Times New Roman"/>
              </w:rPr>
              <w:t>Telia</w:t>
            </w:r>
          </w:p>
        </w:tc>
        <w:tc>
          <w:tcPr>
            <w:tcW w:w="6455" w:type="dxa"/>
          </w:tcPr>
          <w:p w14:paraId="66A0909E" w14:textId="77777777" w:rsidR="00F06509" w:rsidRPr="00883566" w:rsidRDefault="00F06509" w:rsidP="00AA241E">
            <w:pPr>
              <w:jc w:val="both"/>
              <w:rPr>
                <w:rFonts w:cs="Times New Roman"/>
              </w:rPr>
            </w:pPr>
            <w:r w:rsidRPr="00883566">
              <w:rPr>
                <w:rFonts w:cs="Times New Roman"/>
              </w:rPr>
              <w:t>Telia Eesti AS</w:t>
            </w:r>
          </w:p>
        </w:tc>
      </w:tr>
      <w:tr w:rsidR="00F06509" w:rsidRPr="00883566" w14:paraId="49586269" w14:textId="77777777" w:rsidTr="000B13AE">
        <w:tc>
          <w:tcPr>
            <w:tcW w:w="3008" w:type="dxa"/>
          </w:tcPr>
          <w:p w14:paraId="725B8A1B" w14:textId="77777777" w:rsidR="00F06509" w:rsidRPr="00883566" w:rsidDel="00746976" w:rsidRDefault="00F06509" w:rsidP="00AA241E">
            <w:pPr>
              <w:jc w:val="both"/>
              <w:rPr>
                <w:rFonts w:cs="Times New Roman"/>
              </w:rPr>
            </w:pPr>
            <w:r w:rsidRPr="00883566">
              <w:rPr>
                <w:rFonts w:cs="Times New Roman"/>
              </w:rPr>
              <w:t>TTJA</w:t>
            </w:r>
          </w:p>
        </w:tc>
        <w:tc>
          <w:tcPr>
            <w:tcW w:w="6455" w:type="dxa"/>
          </w:tcPr>
          <w:p w14:paraId="3CCE1715" w14:textId="77777777" w:rsidR="00F06509" w:rsidRPr="00883566" w:rsidRDefault="00F06509" w:rsidP="00AA241E">
            <w:pPr>
              <w:jc w:val="both"/>
              <w:rPr>
                <w:rFonts w:cs="Times New Roman"/>
              </w:rPr>
            </w:pPr>
            <w:r w:rsidRPr="00883566">
              <w:rPr>
                <w:rFonts w:cs="Times New Roman"/>
              </w:rPr>
              <w:t xml:space="preserve">Tarbijakaitse ja Tehnilise Järelevalve Amet, vt ka </w:t>
            </w:r>
            <w:hyperlink r:id="rId68">
              <w:r w:rsidRPr="00883566">
                <w:rPr>
                  <w:rStyle w:val="Hperlink"/>
                  <w:rFonts w:cs="Times New Roman"/>
                </w:rPr>
                <w:t>www.ttja.ee</w:t>
              </w:r>
            </w:hyperlink>
            <w:r w:rsidRPr="00883566">
              <w:rPr>
                <w:rFonts w:cs="Times New Roman"/>
              </w:rPr>
              <w:t xml:space="preserve"> </w:t>
            </w:r>
          </w:p>
        </w:tc>
      </w:tr>
      <w:tr w:rsidR="00F06509" w:rsidRPr="006077AF" w14:paraId="5A15F570" w14:textId="77777777" w:rsidTr="000B13AE">
        <w:tc>
          <w:tcPr>
            <w:tcW w:w="3008" w:type="dxa"/>
          </w:tcPr>
          <w:p w14:paraId="5EC4318E" w14:textId="74E76B65" w:rsidR="00F06509" w:rsidRPr="00883566" w:rsidRDefault="00F06509" w:rsidP="00AA241E">
            <w:pPr>
              <w:jc w:val="both"/>
              <w:rPr>
                <w:rFonts w:cs="Times New Roman"/>
              </w:rPr>
            </w:pPr>
            <w:r w:rsidRPr="00883566">
              <w:rPr>
                <w:rFonts w:cs="Times New Roman"/>
              </w:rPr>
              <w:t xml:space="preserve">TTJA 2017 hulgituru </w:t>
            </w:r>
            <w:r w:rsidR="004340F0">
              <w:rPr>
                <w:rFonts w:cs="Times New Roman"/>
              </w:rPr>
              <w:t>1</w:t>
            </w:r>
            <w:r w:rsidRPr="00883566">
              <w:rPr>
                <w:rFonts w:cs="Times New Roman"/>
              </w:rPr>
              <w:t xml:space="preserve"> otsus</w:t>
            </w:r>
          </w:p>
        </w:tc>
        <w:tc>
          <w:tcPr>
            <w:tcW w:w="6455" w:type="dxa"/>
          </w:tcPr>
          <w:p w14:paraId="27AE0581" w14:textId="77777777" w:rsidR="00F06509" w:rsidRPr="00883566" w:rsidRDefault="00F06509" w:rsidP="00AA241E">
            <w:pPr>
              <w:jc w:val="both"/>
              <w:rPr>
                <w:rFonts w:cs="Times New Roman"/>
              </w:rPr>
            </w:pPr>
            <w:r w:rsidRPr="00883566">
              <w:rPr>
                <w:rFonts w:cs="Times New Roman"/>
              </w:rPr>
              <w:t xml:space="preserve">TTJA 16.06.2017 otsus nr 1-10/17-228 sidevõrgule kohaliku juurdepääsu hulgiturul valdkonnaspetsiifilise regulatsiooni kehtestamise kohta, viide allikale: </w:t>
            </w:r>
            <w:hyperlink r:id="rId69" w:anchor="fuusiline-juurdepaas">
              <w:r w:rsidRPr="00883566">
                <w:rPr>
                  <w:rStyle w:val="Hperlink"/>
                  <w:rFonts w:cs="Times New Roman"/>
                </w:rPr>
                <w:t>https://www.ttja.ee/ariklient/side-ja-meediateenused/sideteenused/sideturg#fuusiline-juurdepaas</w:t>
              </w:r>
            </w:hyperlink>
            <w:r w:rsidRPr="00883566">
              <w:rPr>
                <w:rFonts w:cs="Times New Roman"/>
              </w:rPr>
              <w:t xml:space="preserve"> </w:t>
            </w:r>
          </w:p>
        </w:tc>
      </w:tr>
      <w:tr w:rsidR="00F06509" w:rsidRPr="00883566" w14:paraId="2D201077" w14:textId="77777777" w:rsidTr="000B13AE">
        <w:tc>
          <w:tcPr>
            <w:tcW w:w="3008" w:type="dxa"/>
          </w:tcPr>
          <w:p w14:paraId="17759FC8" w14:textId="77777777" w:rsidR="00F06509" w:rsidRPr="00883566" w:rsidRDefault="00F06509" w:rsidP="00AA241E">
            <w:pPr>
              <w:jc w:val="both"/>
              <w:rPr>
                <w:rFonts w:cs="Times New Roman"/>
              </w:rPr>
            </w:pPr>
            <w:r w:rsidRPr="00883566">
              <w:rPr>
                <w:rFonts w:cs="Times New Roman"/>
              </w:rPr>
              <w:t>TTJA 2017 hulgituru 3b otsus</w:t>
            </w:r>
          </w:p>
        </w:tc>
        <w:tc>
          <w:tcPr>
            <w:tcW w:w="6455" w:type="dxa"/>
          </w:tcPr>
          <w:p w14:paraId="167F8A2F" w14:textId="77777777" w:rsidR="00F06509" w:rsidRPr="00883566" w:rsidRDefault="00F06509" w:rsidP="00AA241E">
            <w:pPr>
              <w:jc w:val="both"/>
              <w:rPr>
                <w:rFonts w:cs="Times New Roman"/>
              </w:rPr>
            </w:pPr>
            <w:r w:rsidRPr="00883566">
              <w:rPr>
                <w:rFonts w:cs="Times New Roman"/>
              </w:rPr>
              <w:t>TTJA 16.06.2017 otsus nr 1-10/17-227 sidevõrgule keskse juurdepääsu hulgiturul valdkonnaspetsiifilise regulatsiooni kehtestamise kohta, viide allikale:</w:t>
            </w:r>
          </w:p>
          <w:p w14:paraId="35E4EE56" w14:textId="77777777" w:rsidR="00F06509" w:rsidRPr="00883566" w:rsidRDefault="00F06509" w:rsidP="00AA241E">
            <w:pPr>
              <w:jc w:val="both"/>
              <w:rPr>
                <w:rFonts w:cs="Times New Roman"/>
              </w:rPr>
            </w:pPr>
            <w:hyperlink r:id="rId70" w:anchor="lairiba-juurdepaas-f">
              <w:r w:rsidRPr="00883566">
                <w:rPr>
                  <w:rStyle w:val="Hperlink"/>
                  <w:rFonts w:cs="Times New Roman"/>
                </w:rPr>
                <w:t>https://www.ttja.ee/ariklient/side-ja-meediateenused/sideteenused/sideturg#lairiba-juurdepaas-f</w:t>
              </w:r>
            </w:hyperlink>
            <w:r w:rsidRPr="00883566">
              <w:rPr>
                <w:rFonts w:cs="Times New Roman"/>
              </w:rPr>
              <w:t xml:space="preserve"> </w:t>
            </w:r>
          </w:p>
          <w:p w14:paraId="2A983B1A" w14:textId="77777777" w:rsidR="00F06509" w:rsidRPr="00883566" w:rsidRDefault="00F06509" w:rsidP="00AA241E">
            <w:pPr>
              <w:jc w:val="both"/>
              <w:rPr>
                <w:rFonts w:cs="Times New Roman"/>
              </w:rPr>
            </w:pPr>
          </w:p>
        </w:tc>
      </w:tr>
      <w:tr w:rsidR="00F06509" w:rsidRPr="00883566" w14:paraId="4D7D7A53" w14:textId="77777777" w:rsidTr="000B13AE">
        <w:tc>
          <w:tcPr>
            <w:tcW w:w="3008" w:type="dxa"/>
          </w:tcPr>
          <w:p w14:paraId="42246BAA" w14:textId="77777777" w:rsidR="00F06509" w:rsidRPr="00883566" w:rsidRDefault="00F06509" w:rsidP="00AA241E">
            <w:pPr>
              <w:jc w:val="both"/>
              <w:rPr>
                <w:rFonts w:cs="Times New Roman"/>
              </w:rPr>
            </w:pPr>
            <w:r w:rsidRPr="00883566">
              <w:rPr>
                <w:rFonts w:cs="Times New Roman"/>
              </w:rPr>
              <w:t>TTJA 2021 hulgituru 1 otsuse eelnõu</w:t>
            </w:r>
          </w:p>
        </w:tc>
        <w:tc>
          <w:tcPr>
            <w:tcW w:w="6455" w:type="dxa"/>
          </w:tcPr>
          <w:p w14:paraId="0A4328B6" w14:textId="77777777" w:rsidR="00F06509" w:rsidRPr="00883566" w:rsidRDefault="00F06509" w:rsidP="00AA241E">
            <w:pPr>
              <w:jc w:val="both"/>
              <w:rPr>
                <w:rFonts w:cs="Times New Roman"/>
              </w:rPr>
            </w:pPr>
            <w:r w:rsidRPr="00883566">
              <w:rPr>
                <w:rFonts w:cs="Times New Roman"/>
              </w:rPr>
              <w:t xml:space="preserve">2021 aastal rahvusvahelisel konsultatsioonil olnud TTJA otsuse eelnõu sidevõrgule kohaliku juurdepääsu hulgiturul valdkonnaspetsiifilise regulatsiooni kehtestamise kohta, viide allikale: </w:t>
            </w:r>
            <w:hyperlink r:id="rId71">
              <w:r w:rsidRPr="00883566">
                <w:rPr>
                  <w:rStyle w:val="Hperlink"/>
                  <w:rFonts w:cs="Times New Roman"/>
                </w:rPr>
                <w:t>https://circabc.europa.eu/ui/group/2328c58f-1fed-4402-a6cc-0f0237699dc3/library/c565c8d6-d666-4981-b55d-fcaaaf533f65</w:t>
              </w:r>
            </w:hyperlink>
            <w:r w:rsidRPr="00883566">
              <w:rPr>
                <w:rFonts w:cs="Times New Roman"/>
              </w:rPr>
              <w:t xml:space="preserve"> </w:t>
            </w:r>
          </w:p>
        </w:tc>
      </w:tr>
      <w:tr w:rsidR="00F06509" w:rsidRPr="006077AF" w14:paraId="173D1FE7" w14:textId="77777777" w:rsidTr="000B13AE">
        <w:tc>
          <w:tcPr>
            <w:tcW w:w="3008" w:type="dxa"/>
          </w:tcPr>
          <w:p w14:paraId="61CAA26F" w14:textId="77777777" w:rsidR="00F06509" w:rsidRPr="00883566" w:rsidRDefault="00F06509" w:rsidP="00AA241E">
            <w:pPr>
              <w:jc w:val="both"/>
              <w:rPr>
                <w:rFonts w:cs="Times New Roman"/>
              </w:rPr>
            </w:pPr>
            <w:r w:rsidRPr="00883566">
              <w:rPr>
                <w:rFonts w:cs="Times New Roman"/>
              </w:rPr>
              <w:lastRenderedPageBreak/>
              <w:t>TTJA 2021 hulgituru 3b otsuse eelnõu</w:t>
            </w:r>
          </w:p>
        </w:tc>
        <w:tc>
          <w:tcPr>
            <w:tcW w:w="6455" w:type="dxa"/>
          </w:tcPr>
          <w:p w14:paraId="35C665D3" w14:textId="77777777" w:rsidR="00F06509" w:rsidRPr="00883566" w:rsidRDefault="00F06509" w:rsidP="00AA241E">
            <w:pPr>
              <w:jc w:val="both"/>
              <w:rPr>
                <w:rFonts w:cs="Times New Roman"/>
              </w:rPr>
            </w:pPr>
            <w:r w:rsidRPr="00883566">
              <w:rPr>
                <w:rFonts w:cs="Times New Roman"/>
              </w:rPr>
              <w:t>2021 aastal rahvusvahelisel konsultatsioonil olnud TTJA otsuse eelnõu sidevõrgule kesksel juurdepääsu hulgiturul valdkonnaspetsiifilise regulatsiooni kehtestamise kohta, viide allikale:</w:t>
            </w:r>
            <w:r w:rsidRPr="00883566">
              <w:t xml:space="preserve"> </w:t>
            </w:r>
            <w:hyperlink r:id="rId72">
              <w:r w:rsidRPr="00883566">
                <w:rPr>
                  <w:rStyle w:val="Hperlink"/>
                  <w:rFonts w:cs="Times New Roman"/>
                </w:rPr>
                <w:t>https://circabc.europa.eu/ui/group/2328c58f-1fed-4402-a6cc-0f0237699dc3/library/c565c8d6-d666-4981-b55d-fcaaaf533f65</w:t>
              </w:r>
            </w:hyperlink>
          </w:p>
        </w:tc>
      </w:tr>
      <w:tr w:rsidR="00F06509" w:rsidRPr="006077AF" w14:paraId="077B611C" w14:textId="77777777" w:rsidTr="000B13AE">
        <w:tc>
          <w:tcPr>
            <w:tcW w:w="3008" w:type="dxa"/>
          </w:tcPr>
          <w:p w14:paraId="1EFDA900" w14:textId="77777777" w:rsidR="00F06509" w:rsidRPr="00883566" w:rsidRDefault="00F06509" w:rsidP="00AA241E">
            <w:pPr>
              <w:jc w:val="both"/>
              <w:rPr>
                <w:rFonts w:cs="Times New Roman"/>
              </w:rPr>
            </w:pPr>
            <w:r w:rsidRPr="00883566">
              <w:rPr>
                <w:rFonts w:cs="Times New Roman"/>
              </w:rPr>
              <w:t>TTJA 2023 hulgituru 1 otsuse eelnõu</w:t>
            </w:r>
          </w:p>
        </w:tc>
        <w:tc>
          <w:tcPr>
            <w:tcW w:w="6455" w:type="dxa"/>
          </w:tcPr>
          <w:p w14:paraId="044934CD" w14:textId="77777777" w:rsidR="00F06509" w:rsidRPr="00883566" w:rsidRDefault="00F06509" w:rsidP="00AA241E">
            <w:pPr>
              <w:jc w:val="both"/>
              <w:rPr>
                <w:rFonts w:cs="Times New Roman"/>
              </w:rPr>
            </w:pPr>
            <w:r w:rsidRPr="00883566">
              <w:rPr>
                <w:rFonts w:cs="Times New Roman"/>
              </w:rPr>
              <w:t xml:space="preserve">2023 aastal rahvusvahelisel konsultatsioonil olnud TTJA otsuse eelnõu sidevõrgule kohaliku juurdepääsu hulgiturul valdkonnaspetsiifilise regulatsiooni kehtestamise kohta, viide allikale: </w:t>
            </w:r>
            <w:hyperlink r:id="rId73" w:history="1">
              <w:r w:rsidRPr="00883566">
                <w:rPr>
                  <w:rStyle w:val="Hperlink"/>
                  <w:rFonts w:cs="Times New Roman"/>
                </w:rPr>
                <w:t>https://circabc.europa.eu/ui/group/2328c58f-1fed-4402-a6cc-0f0237699dc3/library/f038c86b-1c5b-42b7-bf90-e202fd4b240f?p=1&amp;n=10&amp;sort=modified_DESC</w:t>
              </w:r>
            </w:hyperlink>
            <w:r w:rsidRPr="00883566">
              <w:rPr>
                <w:rFonts w:cs="Times New Roman"/>
              </w:rPr>
              <w:t xml:space="preserve">  </w:t>
            </w:r>
          </w:p>
        </w:tc>
      </w:tr>
      <w:tr w:rsidR="00F06509" w:rsidRPr="006077AF" w14:paraId="0E9861C8" w14:textId="77777777" w:rsidTr="000B13AE">
        <w:tc>
          <w:tcPr>
            <w:tcW w:w="3008" w:type="dxa"/>
          </w:tcPr>
          <w:p w14:paraId="23493156" w14:textId="77777777" w:rsidR="00F06509" w:rsidRPr="00883566" w:rsidRDefault="00F06509" w:rsidP="00AA241E">
            <w:pPr>
              <w:jc w:val="both"/>
              <w:rPr>
                <w:rFonts w:cs="Times New Roman"/>
              </w:rPr>
            </w:pPr>
            <w:r w:rsidRPr="00883566">
              <w:rPr>
                <w:rFonts w:cs="Times New Roman"/>
              </w:rPr>
              <w:t>TTJA 2023 hulgituru 3b otsuse eelnõu</w:t>
            </w:r>
          </w:p>
        </w:tc>
        <w:tc>
          <w:tcPr>
            <w:tcW w:w="6455" w:type="dxa"/>
          </w:tcPr>
          <w:p w14:paraId="49F672A1" w14:textId="77777777" w:rsidR="00F06509" w:rsidRPr="00883566" w:rsidRDefault="00F06509" w:rsidP="00AA241E">
            <w:pPr>
              <w:jc w:val="both"/>
              <w:rPr>
                <w:rFonts w:cs="Times New Roman"/>
              </w:rPr>
            </w:pPr>
            <w:r w:rsidRPr="00883566">
              <w:rPr>
                <w:rFonts w:cs="Times New Roman"/>
              </w:rPr>
              <w:t xml:space="preserve">2023 aastal rahvusvahelisel konsultatsioonil olnud TTJA otsuse eelnõu sidevõrgule keskse juurdepääsu hulgiturul valdkonnaspetsiifilise regulatsiooni kehtestamise kohta, viide allikale: </w:t>
            </w:r>
            <w:hyperlink r:id="rId74" w:history="1">
              <w:r w:rsidRPr="00883566">
                <w:rPr>
                  <w:rStyle w:val="Hperlink"/>
                  <w:rFonts w:cs="Times New Roman"/>
                </w:rPr>
                <w:t>https://circabc.europa.eu/ui/group/2328c58f-1fed-4402-a6cc-0f0237699dc3/library/518fec54-048d-4e5c-894b-9811c782835b?p=1&amp;n=10&amp;sort=modified_DESC</w:t>
              </w:r>
            </w:hyperlink>
            <w:r w:rsidRPr="00883566">
              <w:rPr>
                <w:rFonts w:cs="Times New Roman"/>
              </w:rPr>
              <w:t xml:space="preserve"> </w:t>
            </w:r>
          </w:p>
        </w:tc>
      </w:tr>
      <w:tr w:rsidR="00F06509" w:rsidRPr="006077AF" w14:paraId="5EA22A58" w14:textId="77777777" w:rsidTr="000B13AE">
        <w:tc>
          <w:tcPr>
            <w:tcW w:w="3008" w:type="dxa"/>
          </w:tcPr>
          <w:p w14:paraId="06EC0097" w14:textId="1C977A86" w:rsidR="00F06509" w:rsidRPr="00883566" w:rsidRDefault="00F06509" w:rsidP="00AA241E">
            <w:pPr>
              <w:jc w:val="both"/>
              <w:rPr>
                <w:rFonts w:cs="Times New Roman"/>
              </w:rPr>
            </w:pPr>
            <w:r w:rsidRPr="00883566">
              <w:rPr>
                <w:rFonts w:cs="Times New Roman"/>
              </w:rPr>
              <w:t>TTJA 2023 ST</w:t>
            </w:r>
            <w:r w:rsidR="001B7EC2">
              <w:rPr>
                <w:rFonts w:cs="Times New Roman"/>
              </w:rPr>
              <w:t>J</w:t>
            </w:r>
            <w:r w:rsidRPr="00883566">
              <w:rPr>
                <w:rFonts w:cs="Times New Roman"/>
              </w:rPr>
              <w:t xml:space="preserve"> hulgituru otsuse kavand</w:t>
            </w:r>
          </w:p>
        </w:tc>
        <w:tc>
          <w:tcPr>
            <w:tcW w:w="6455" w:type="dxa"/>
          </w:tcPr>
          <w:p w14:paraId="26DF468C" w14:textId="77777777" w:rsidR="00F06509" w:rsidRPr="00883566" w:rsidRDefault="00F06509" w:rsidP="00AA241E">
            <w:pPr>
              <w:jc w:val="both"/>
              <w:rPr>
                <w:rFonts w:cs="Times New Roman"/>
              </w:rPr>
            </w:pPr>
            <w:r w:rsidRPr="00883566">
              <w:rPr>
                <w:rFonts w:cs="Times New Roman"/>
              </w:rPr>
              <w:t xml:space="preserve">2023 aasta jaanuaris riigisisesel konsultatsioonil olnud TTJA otsuse kavand sidekaablitaritule juurdepääsu hulgiturul valdkonnaspetsiifilise regulatsiooni kehtestamise kohta (koostatud 07.12.2022), viide allikale: </w:t>
            </w:r>
            <w:hyperlink r:id="rId75" w:anchor="sidekaabli-fuusilise">
              <w:r w:rsidRPr="00883566">
                <w:rPr>
                  <w:rStyle w:val="Hperlink"/>
                  <w:rFonts w:cs="Times New Roman"/>
                </w:rPr>
                <w:t>https://www.ttja.ee/ariklient/ametist/avalikud-konkursid/avalikud-konkursid-ja-arutelud#sidekaabli-fuusilise</w:t>
              </w:r>
            </w:hyperlink>
            <w:r w:rsidRPr="00883566">
              <w:rPr>
                <w:rFonts w:cs="Times New Roman"/>
              </w:rPr>
              <w:t xml:space="preserve"> </w:t>
            </w:r>
          </w:p>
        </w:tc>
      </w:tr>
      <w:tr w:rsidR="00F06509" w:rsidRPr="006077AF" w14:paraId="211B8F33" w14:textId="77777777" w:rsidTr="000B13AE">
        <w:tc>
          <w:tcPr>
            <w:tcW w:w="3008" w:type="dxa"/>
          </w:tcPr>
          <w:p w14:paraId="0E3F68BC" w14:textId="42ADAEB0" w:rsidR="00F06509" w:rsidRPr="00883566" w:rsidRDefault="00F06509" w:rsidP="00AA241E">
            <w:pPr>
              <w:jc w:val="both"/>
              <w:rPr>
                <w:rFonts w:cs="Times New Roman"/>
              </w:rPr>
            </w:pPr>
            <w:r w:rsidRPr="00883566">
              <w:rPr>
                <w:rFonts w:cs="Times New Roman"/>
              </w:rPr>
              <w:t>TTJA 2024 ST</w:t>
            </w:r>
            <w:r w:rsidR="001B7EC2">
              <w:rPr>
                <w:rFonts w:cs="Times New Roman"/>
              </w:rPr>
              <w:t>J</w:t>
            </w:r>
            <w:r w:rsidRPr="00883566">
              <w:rPr>
                <w:rFonts w:cs="Times New Roman"/>
              </w:rPr>
              <w:t xml:space="preserve"> hulgituru otsuse kavand</w:t>
            </w:r>
          </w:p>
        </w:tc>
        <w:tc>
          <w:tcPr>
            <w:tcW w:w="6455" w:type="dxa"/>
          </w:tcPr>
          <w:p w14:paraId="31A1A3F4" w14:textId="77777777" w:rsidR="00F06509" w:rsidRPr="00883566" w:rsidRDefault="00F06509" w:rsidP="00AA241E">
            <w:pPr>
              <w:jc w:val="both"/>
              <w:rPr>
                <w:rFonts w:cs="Times New Roman"/>
              </w:rPr>
            </w:pPr>
            <w:r w:rsidRPr="00883566">
              <w:rPr>
                <w:rFonts w:cs="Times New Roman"/>
              </w:rPr>
              <w:t>2024 aasta juunis riigisisesel konsultatsioonil olnud TTJA otsuse kavand sidekaablitaritule juurdepääsu hulgiturul valdkonnaspetsiifilise regulatsiooni kehtestamise kohta (koostatud 21.05.2024), viide allikale:</w:t>
            </w:r>
            <w:r w:rsidRPr="00883566">
              <w:t xml:space="preserve"> </w:t>
            </w:r>
            <w:hyperlink r:id="rId76" w:anchor="sidekaablitaristule-" w:history="1">
              <w:r w:rsidRPr="00883566">
                <w:rPr>
                  <w:rStyle w:val="Hperlink"/>
                  <w:rFonts w:cs="Times New Roman"/>
                </w:rPr>
                <w:t>https://www.ttja.ee/ariklient/ametist/avalikud-konkursid/avalikud-konkursid-ja-arutelud#sidekaablitaristule-</w:t>
              </w:r>
            </w:hyperlink>
            <w:r w:rsidRPr="00883566">
              <w:rPr>
                <w:rFonts w:cs="Times New Roman"/>
              </w:rPr>
              <w:t xml:space="preserve"> </w:t>
            </w:r>
          </w:p>
        </w:tc>
      </w:tr>
      <w:tr w:rsidR="00AF32A8" w:rsidRPr="006077AF" w14:paraId="0229FA26" w14:textId="77777777" w:rsidTr="000B13AE">
        <w:tc>
          <w:tcPr>
            <w:tcW w:w="3008" w:type="dxa"/>
          </w:tcPr>
          <w:p w14:paraId="59651EF2" w14:textId="05186B49" w:rsidR="00AF32A8" w:rsidRPr="00883566" w:rsidRDefault="00AF32A8" w:rsidP="00AA241E">
            <w:pPr>
              <w:jc w:val="both"/>
              <w:rPr>
                <w:rFonts w:cs="Times New Roman"/>
              </w:rPr>
            </w:pPr>
            <w:r w:rsidRPr="00AF32A8">
              <w:rPr>
                <w:rFonts w:cs="Times New Roman"/>
              </w:rPr>
              <w:t>TTJA 2024 hulgituru 1 ja 3b otsuse kavand</w:t>
            </w:r>
          </w:p>
        </w:tc>
        <w:tc>
          <w:tcPr>
            <w:tcW w:w="6455" w:type="dxa"/>
          </w:tcPr>
          <w:p w14:paraId="4F801424" w14:textId="77777777" w:rsidR="00AF32A8" w:rsidRPr="00AF32A8" w:rsidRDefault="00AF32A8" w:rsidP="00AF32A8">
            <w:pPr>
              <w:jc w:val="both"/>
              <w:rPr>
                <w:rFonts w:cs="Times New Roman"/>
              </w:rPr>
            </w:pPr>
            <w:r w:rsidRPr="00AF32A8">
              <w:rPr>
                <w:rFonts w:cs="Times New Roman"/>
              </w:rPr>
              <w:t xml:space="preserve">2024 aasta septembris riigisisesel konsultatsioonil olnud TTJA otsuse kavand sidevõrgule kohaliku ja keskse juurdepääsu hulgiturul valdkonnaspetsiifilise regulatsiooni kehtestamise kohta (koostatud 16.08.2024), viide allikale: </w:t>
            </w:r>
            <w:hyperlink r:id="rId77" w:anchor="sidevorgule-kohaliku" w:history="1">
              <w:r w:rsidRPr="00AF32A8">
                <w:rPr>
                  <w:rStyle w:val="Hperlink"/>
                  <w:rFonts w:cs="Times New Roman"/>
                </w:rPr>
                <w:t>https://www.ttja.ee/ariklient/ametist/avalikud-konkursid/avalikud-konkursid-ja-arutelud#sidevorgule-kohaliku</w:t>
              </w:r>
            </w:hyperlink>
            <w:r w:rsidRPr="00AF32A8">
              <w:rPr>
                <w:rFonts w:cs="Times New Roman"/>
                <w:u w:val="single"/>
              </w:rPr>
              <w:t xml:space="preserve"> </w:t>
            </w:r>
          </w:p>
          <w:p w14:paraId="17611331" w14:textId="77777777" w:rsidR="00AF32A8" w:rsidRPr="00883566" w:rsidRDefault="00AF32A8" w:rsidP="00AA241E">
            <w:pPr>
              <w:jc w:val="both"/>
              <w:rPr>
                <w:rFonts w:cs="Times New Roman"/>
              </w:rPr>
            </w:pPr>
          </w:p>
        </w:tc>
      </w:tr>
      <w:tr w:rsidR="00F06509" w:rsidRPr="006077AF" w14:paraId="49840987" w14:textId="77777777" w:rsidTr="000B13AE">
        <w:tc>
          <w:tcPr>
            <w:tcW w:w="3008" w:type="dxa"/>
          </w:tcPr>
          <w:p w14:paraId="39515CE9" w14:textId="77777777" w:rsidR="00F06509" w:rsidRPr="00883566" w:rsidRDefault="00F06509" w:rsidP="00AA241E">
            <w:pPr>
              <w:jc w:val="both"/>
              <w:rPr>
                <w:rFonts w:cs="Times New Roman"/>
              </w:rPr>
            </w:pPr>
            <w:r w:rsidRPr="00883566">
              <w:rPr>
                <w:rFonts w:cs="Times New Roman"/>
              </w:rPr>
              <w:t>Tuumvõrk</w:t>
            </w:r>
          </w:p>
        </w:tc>
        <w:tc>
          <w:tcPr>
            <w:tcW w:w="6455" w:type="dxa"/>
          </w:tcPr>
          <w:p w14:paraId="01663821" w14:textId="77777777" w:rsidR="00F06509" w:rsidRPr="00883566" w:rsidRDefault="00F06509" w:rsidP="00AA241E">
            <w:pPr>
              <w:jc w:val="both"/>
              <w:rPr>
                <w:rFonts w:cs="Times New Roman"/>
              </w:rPr>
            </w:pPr>
            <w:r w:rsidRPr="00883566">
              <w:rPr>
                <w:rFonts w:cs="Times New Roman"/>
              </w:rPr>
              <w:t>Sidevõrgu tehniliste seademete kogu, mis ühendab sideettevõtja ülekandevõrke ning mille kaudu on sideettevõtja sidevõrk ühendatud teiste sideettevõtjate sidevõrkudega.</w:t>
            </w:r>
          </w:p>
        </w:tc>
      </w:tr>
      <w:tr w:rsidR="00F06509" w:rsidRPr="006077AF" w14:paraId="65ADD987" w14:textId="77777777" w:rsidTr="000B13AE">
        <w:tc>
          <w:tcPr>
            <w:tcW w:w="3008" w:type="dxa"/>
          </w:tcPr>
          <w:p w14:paraId="696E5B14" w14:textId="77777777" w:rsidR="00F06509" w:rsidRPr="00883566" w:rsidRDefault="00F06509" w:rsidP="00AA241E">
            <w:pPr>
              <w:jc w:val="both"/>
              <w:rPr>
                <w:rFonts w:cs="Times New Roman"/>
              </w:rPr>
            </w:pPr>
            <w:r w:rsidRPr="00883566">
              <w:rPr>
                <w:rFonts w:cs="Times New Roman"/>
              </w:rPr>
              <w:t>Valdkonnaspetsiifiline regulatsioon</w:t>
            </w:r>
          </w:p>
        </w:tc>
        <w:tc>
          <w:tcPr>
            <w:tcW w:w="6455" w:type="dxa"/>
          </w:tcPr>
          <w:p w14:paraId="49A90E2B" w14:textId="1DB694E5" w:rsidR="00F06509" w:rsidRPr="00883566" w:rsidRDefault="00F06509" w:rsidP="00AA241E">
            <w:pPr>
              <w:jc w:val="both"/>
              <w:rPr>
                <w:rFonts w:cs="Times New Roman"/>
              </w:rPr>
            </w:pPr>
            <w:r w:rsidRPr="00883566">
              <w:rPr>
                <w:rFonts w:cs="Times New Roman"/>
              </w:rPr>
              <w:t xml:space="preserve">ESS </w:t>
            </w:r>
            <w:r w:rsidR="008C159A">
              <w:rPr>
                <w:rFonts w:cs="Times New Roman"/>
              </w:rPr>
              <w:t xml:space="preserve">ptk. </w:t>
            </w:r>
            <w:r w:rsidRPr="00883566">
              <w:rPr>
                <w:rFonts w:cs="Times New Roman"/>
              </w:rPr>
              <w:t>5 kohane sideteenuse turgude ette vaatava (</w:t>
            </w:r>
            <w:r w:rsidRPr="00883566">
              <w:rPr>
                <w:rFonts w:cs="Times New Roman"/>
                <w:i/>
              </w:rPr>
              <w:t>ex-ante</w:t>
            </w:r>
            <w:r w:rsidRPr="00883566">
              <w:rPr>
                <w:rFonts w:cs="Times New Roman"/>
              </w:rPr>
              <w:t xml:space="preserve">) valdkonnaspetsiifilise reguleerimise eesmärk (ESS § 40) on tagada konkurentsi soodustamisega sideteenuse osutajate paljusus, nende võrdne ja mittediskrimineeriv kohtlemine ning osutatavate teenuste kvaliteet ja kättesaadavus lõppkasutajatele. Valdkonnaspetsiifilise regulatsiooni rakendamise menetlus </w:t>
            </w:r>
            <w:r w:rsidRPr="00883566">
              <w:rPr>
                <w:rFonts w:cs="Times New Roman"/>
              </w:rPr>
              <w:lastRenderedPageBreak/>
              <w:t>koosneb järgmistest toimingutest: turu piiritlemine, piiritletud turul valdkonnaspetsiifilise regulatsiooni rakendamise põhjendatuse hindamine kolme kriteeriumi testi alusel, turuanalüüsi alusel MTE määramine või määramata jätmine, MTE-</w:t>
            </w:r>
            <w:proofErr w:type="spellStart"/>
            <w:r w:rsidRPr="00883566">
              <w:rPr>
                <w:rFonts w:cs="Times New Roman"/>
              </w:rPr>
              <w:t>le</w:t>
            </w:r>
            <w:proofErr w:type="spellEnd"/>
            <w:r w:rsidRPr="00883566">
              <w:rPr>
                <w:rFonts w:cs="Times New Roman"/>
              </w:rPr>
              <w:t xml:space="preserve"> kohustuste kehtestamine või olemasolevate kohustuste eemaldamine. </w:t>
            </w:r>
          </w:p>
          <w:p w14:paraId="759163C8" w14:textId="77777777" w:rsidR="00F06509" w:rsidRPr="00883566" w:rsidRDefault="00F06509" w:rsidP="00AA241E">
            <w:pPr>
              <w:jc w:val="both"/>
              <w:rPr>
                <w:rFonts w:cs="Times New Roman"/>
              </w:rPr>
            </w:pPr>
            <w:r w:rsidRPr="00883566">
              <w:rPr>
                <w:rFonts w:cs="Times New Roman"/>
              </w:rPr>
              <w:t xml:space="preserve">Otsuses on valdkonnaspetsiifilise regulatsiooni sünonüümina kasutatud ka mõistet </w:t>
            </w:r>
            <w:r w:rsidRPr="00883566">
              <w:rPr>
                <w:rFonts w:cs="Times New Roman"/>
                <w:i/>
              </w:rPr>
              <w:t>MTE regulatsioon</w:t>
            </w:r>
            <w:r w:rsidRPr="00883566">
              <w:rPr>
                <w:rFonts w:cs="Times New Roman"/>
              </w:rPr>
              <w:t>.</w:t>
            </w:r>
          </w:p>
        </w:tc>
      </w:tr>
      <w:tr w:rsidR="00F06509" w:rsidRPr="006077AF" w14:paraId="4FBBD85D" w14:textId="77777777" w:rsidTr="000B13AE">
        <w:tc>
          <w:tcPr>
            <w:tcW w:w="3008" w:type="dxa"/>
          </w:tcPr>
          <w:p w14:paraId="597F0335" w14:textId="77777777" w:rsidR="00F06509" w:rsidRPr="00883566" w:rsidRDefault="00F06509" w:rsidP="00AA241E">
            <w:pPr>
              <w:jc w:val="both"/>
              <w:rPr>
                <w:rFonts w:cs="Times New Roman"/>
              </w:rPr>
            </w:pPr>
            <w:r w:rsidRPr="00883566">
              <w:rPr>
                <w:rFonts w:cs="Times New Roman"/>
              </w:rPr>
              <w:lastRenderedPageBreak/>
              <w:t>Väiksemõõtmeline sidetoru</w:t>
            </w:r>
          </w:p>
        </w:tc>
        <w:tc>
          <w:tcPr>
            <w:tcW w:w="6455" w:type="dxa"/>
          </w:tcPr>
          <w:p w14:paraId="78AAE90F" w14:textId="77777777" w:rsidR="00F06509" w:rsidRPr="00883566" w:rsidRDefault="00F06509" w:rsidP="00AA241E">
            <w:pPr>
              <w:jc w:val="both"/>
              <w:rPr>
                <w:rFonts w:cs="Times New Roman"/>
              </w:rPr>
            </w:pPr>
            <w:r w:rsidRPr="00883566">
              <w:rPr>
                <w:rFonts w:cs="Times New Roman"/>
              </w:rPr>
              <w:t>Sidetoru välise läbimõõduga &lt; 50 mm.  Välisest läbimõõdust lähtudes liigituvad siia sageli ka multitorud.</w:t>
            </w:r>
          </w:p>
        </w:tc>
      </w:tr>
      <w:tr w:rsidR="00F06509" w:rsidRPr="006077AF" w14:paraId="4A8333A6" w14:textId="77777777" w:rsidTr="000B13AE">
        <w:tc>
          <w:tcPr>
            <w:tcW w:w="3008" w:type="dxa"/>
          </w:tcPr>
          <w:p w14:paraId="7468419F" w14:textId="77777777" w:rsidR="00F06509" w:rsidRPr="00883566" w:rsidRDefault="00F06509" w:rsidP="00AA241E">
            <w:pPr>
              <w:jc w:val="both"/>
              <w:rPr>
                <w:rFonts w:cs="Times New Roman"/>
              </w:rPr>
            </w:pPr>
            <w:r w:rsidRPr="00883566">
              <w:rPr>
                <w:rFonts w:cs="Times New Roman"/>
              </w:rPr>
              <w:t>Ülekandevõrk</w:t>
            </w:r>
          </w:p>
        </w:tc>
        <w:tc>
          <w:tcPr>
            <w:tcW w:w="6455" w:type="dxa"/>
          </w:tcPr>
          <w:p w14:paraId="5EAA68CC" w14:textId="57C8C65B" w:rsidR="00F06509" w:rsidRPr="00883566" w:rsidRDefault="00F06509" w:rsidP="00AA241E">
            <w:pPr>
              <w:jc w:val="both"/>
              <w:rPr>
                <w:rFonts w:cs="Times New Roman"/>
              </w:rPr>
            </w:pPr>
            <w:r w:rsidRPr="00883566">
              <w:rPr>
                <w:rFonts w:cs="Times New Roman"/>
              </w:rPr>
              <w:t>Sidevõrgu tehniliste seadmete kogum (nt sidekaablid), mis ühendab juurdepääsuvõrke.</w:t>
            </w:r>
          </w:p>
        </w:tc>
      </w:tr>
    </w:tbl>
    <w:p w14:paraId="38A06073" w14:textId="77777777" w:rsidR="000F3CF8" w:rsidRPr="00883566" w:rsidRDefault="000F3CF8" w:rsidP="00AA241E">
      <w:pPr>
        <w:jc w:val="both"/>
      </w:pPr>
    </w:p>
    <w:p w14:paraId="7BA0E009" w14:textId="77777777" w:rsidR="000F3CF8" w:rsidRPr="00883566" w:rsidRDefault="000F3CF8" w:rsidP="00AA241E">
      <w:pPr>
        <w:spacing w:after="0" w:line="259" w:lineRule="auto"/>
        <w:jc w:val="both"/>
      </w:pPr>
    </w:p>
    <w:bookmarkEnd w:id="1420"/>
    <w:p w14:paraId="65BFA550" w14:textId="77777777" w:rsidR="000F3CF8" w:rsidRPr="00883566" w:rsidRDefault="000F3CF8" w:rsidP="00AA241E">
      <w:pPr>
        <w:spacing w:after="0" w:line="259" w:lineRule="auto"/>
        <w:jc w:val="both"/>
      </w:pPr>
    </w:p>
    <w:sectPr w:rsidR="000F3CF8" w:rsidRPr="00883566" w:rsidSect="00A373EF">
      <w:footerReference w:type="default" r:id="rId78"/>
      <w:headerReference w:type="first" r:id="rId7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CE74A" w14:textId="77777777" w:rsidR="0033658B" w:rsidRDefault="0033658B" w:rsidP="0095323E">
      <w:pPr>
        <w:spacing w:after="0" w:line="240" w:lineRule="auto"/>
      </w:pPr>
      <w:r>
        <w:separator/>
      </w:r>
    </w:p>
  </w:endnote>
  <w:endnote w:type="continuationSeparator" w:id="0">
    <w:p w14:paraId="35F189E6" w14:textId="77777777" w:rsidR="0033658B" w:rsidRDefault="0033658B" w:rsidP="0095323E">
      <w:pPr>
        <w:spacing w:after="0" w:line="240" w:lineRule="auto"/>
      </w:pPr>
      <w:r>
        <w:continuationSeparator/>
      </w:r>
    </w:p>
  </w:endnote>
  <w:endnote w:type="continuationNotice" w:id="1">
    <w:p w14:paraId="65E24970" w14:textId="77777777" w:rsidR="0033658B" w:rsidRDefault="003365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2396154"/>
      <w:docPartObj>
        <w:docPartGallery w:val="Page Numbers (Bottom of Page)"/>
        <w:docPartUnique/>
      </w:docPartObj>
    </w:sdtPr>
    <w:sdtEndPr/>
    <w:sdtContent>
      <w:p w14:paraId="1984A2AF" w14:textId="75546A92" w:rsidR="00477EC2" w:rsidRDefault="00477EC2">
        <w:pPr>
          <w:pStyle w:val="Jalus"/>
          <w:jc w:val="right"/>
        </w:pPr>
        <w:r>
          <w:fldChar w:fldCharType="begin"/>
        </w:r>
        <w:r>
          <w:instrText>PAGE   \* MERGEFORMAT</w:instrText>
        </w:r>
        <w:r>
          <w:fldChar w:fldCharType="separate"/>
        </w:r>
        <w:r>
          <w:t>2</w:t>
        </w:r>
        <w:r>
          <w:fldChar w:fldCharType="end"/>
        </w:r>
      </w:p>
    </w:sdtContent>
  </w:sdt>
  <w:p w14:paraId="5EDB4BF7" w14:textId="77777777" w:rsidR="00477EC2" w:rsidRDefault="00477EC2">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489C2" w14:textId="77777777" w:rsidR="0033658B" w:rsidRDefault="0033658B" w:rsidP="0095323E">
      <w:pPr>
        <w:spacing w:after="0" w:line="240" w:lineRule="auto"/>
      </w:pPr>
      <w:r>
        <w:separator/>
      </w:r>
    </w:p>
  </w:footnote>
  <w:footnote w:type="continuationSeparator" w:id="0">
    <w:p w14:paraId="3B1B9612" w14:textId="77777777" w:rsidR="0033658B" w:rsidRDefault="0033658B" w:rsidP="0095323E">
      <w:pPr>
        <w:spacing w:after="0" w:line="240" w:lineRule="auto"/>
      </w:pPr>
      <w:r>
        <w:continuationSeparator/>
      </w:r>
    </w:p>
  </w:footnote>
  <w:footnote w:type="continuationNotice" w:id="1">
    <w:p w14:paraId="6EED1D09" w14:textId="77777777" w:rsidR="0033658B" w:rsidRDefault="0033658B">
      <w:pPr>
        <w:spacing w:after="0" w:line="240" w:lineRule="auto"/>
      </w:pPr>
    </w:p>
  </w:footnote>
  <w:footnote w:id="2">
    <w:p w14:paraId="0C4BBA75" w14:textId="77777777" w:rsidR="00EC30FD" w:rsidRPr="000A0049" w:rsidRDefault="00EC30FD" w:rsidP="00EC30FD">
      <w:pPr>
        <w:pStyle w:val="Allmrkusetekst"/>
        <w:rPr>
          <w:sz w:val="18"/>
          <w:szCs w:val="18"/>
        </w:rPr>
      </w:pPr>
      <w:r w:rsidRPr="000A0049">
        <w:rPr>
          <w:rStyle w:val="Allmrkuseviide"/>
          <w:sz w:val="18"/>
          <w:szCs w:val="18"/>
        </w:rPr>
        <w:footnoteRef/>
      </w:r>
      <w:r w:rsidRPr="000A0049">
        <w:rPr>
          <w:sz w:val="18"/>
          <w:szCs w:val="18"/>
        </w:rPr>
        <w:t xml:space="preserve"> </w:t>
      </w:r>
      <w:hyperlink r:id="rId1" w:history="1">
        <w:r w:rsidRPr="000A0049">
          <w:rPr>
            <w:rStyle w:val="Hperlink"/>
            <w:sz w:val="18"/>
            <w:szCs w:val="18"/>
          </w:rPr>
          <w:t>https://ttja.ee/media/1010/download</w:t>
        </w:r>
      </w:hyperlink>
      <w:r w:rsidRPr="000A0049">
        <w:rPr>
          <w:sz w:val="18"/>
          <w:szCs w:val="18"/>
        </w:rPr>
        <w:t xml:space="preserve"> </w:t>
      </w:r>
    </w:p>
  </w:footnote>
  <w:footnote w:id="3">
    <w:p w14:paraId="503CE14F" w14:textId="77777777" w:rsidR="00EC30FD" w:rsidRDefault="00EC30FD" w:rsidP="00EC30FD">
      <w:pPr>
        <w:pStyle w:val="Allmrkusetekst"/>
      </w:pPr>
      <w:r w:rsidRPr="000A0049">
        <w:rPr>
          <w:rStyle w:val="Allmrkuseviide"/>
          <w:sz w:val="18"/>
          <w:szCs w:val="18"/>
        </w:rPr>
        <w:footnoteRef/>
      </w:r>
      <w:r w:rsidRPr="000A0049">
        <w:rPr>
          <w:sz w:val="18"/>
          <w:szCs w:val="18"/>
        </w:rPr>
        <w:t xml:space="preserve"> </w:t>
      </w:r>
      <w:hyperlink r:id="rId2" w:history="1">
        <w:r w:rsidRPr="000A0049">
          <w:rPr>
            <w:rStyle w:val="Hperlink"/>
            <w:sz w:val="18"/>
            <w:szCs w:val="18"/>
          </w:rPr>
          <w:t>https://ttja.ee/media/1025/download</w:t>
        </w:r>
      </w:hyperlink>
      <w:r>
        <w:t xml:space="preserve"> </w:t>
      </w:r>
    </w:p>
  </w:footnote>
  <w:footnote w:id="4">
    <w:p w14:paraId="68302FE6" w14:textId="77777777" w:rsidR="00B3532C" w:rsidRDefault="00B3532C" w:rsidP="00B3532C">
      <w:pPr>
        <w:pStyle w:val="Allmrkusetekst"/>
      </w:pPr>
      <w:r w:rsidRPr="00053581">
        <w:rPr>
          <w:rStyle w:val="Allmrkuseviide"/>
          <w:sz w:val="16"/>
          <w:szCs w:val="16"/>
        </w:rPr>
        <w:footnoteRef/>
      </w:r>
      <w:r w:rsidRPr="00053581">
        <w:rPr>
          <w:sz w:val="16"/>
          <w:szCs w:val="16"/>
        </w:rPr>
        <w:t xml:space="preserve"> </w:t>
      </w:r>
      <w:r w:rsidRPr="005C0326">
        <w:rPr>
          <w:sz w:val="16"/>
          <w:szCs w:val="16"/>
        </w:rPr>
        <w:t>Euroopa Parlamendi ja Nõukogu Direktiivi (EL) 2018/1972</w:t>
      </w:r>
      <w:r>
        <w:rPr>
          <w:sz w:val="16"/>
          <w:szCs w:val="16"/>
        </w:rPr>
        <w:t xml:space="preserve"> </w:t>
      </w:r>
      <w:hyperlink r:id="rId3" w:history="1">
        <w:r w:rsidRPr="00053581">
          <w:rPr>
            <w:rStyle w:val="Hperlink"/>
            <w:sz w:val="16"/>
            <w:szCs w:val="16"/>
          </w:rPr>
          <w:t>https://eur-lex.europa.eu/legal-content/ET/TXT/?uri=CELEX:32018L1972&amp;qid=1684834011033</w:t>
        </w:r>
      </w:hyperlink>
    </w:p>
  </w:footnote>
  <w:footnote w:id="5">
    <w:p w14:paraId="1BAA7375" w14:textId="77777777" w:rsidR="00B3532C" w:rsidRPr="008C0596" w:rsidRDefault="00B3532C" w:rsidP="00B3532C">
      <w:pPr>
        <w:pStyle w:val="Allmrkusetekst"/>
        <w:rPr>
          <w:sz w:val="16"/>
          <w:szCs w:val="16"/>
        </w:rPr>
      </w:pPr>
      <w:r w:rsidRPr="008C0596">
        <w:rPr>
          <w:rStyle w:val="Allmrkuseviide"/>
          <w:sz w:val="16"/>
          <w:szCs w:val="16"/>
        </w:rPr>
        <w:footnoteRef/>
      </w:r>
      <w:r w:rsidRPr="008C0596">
        <w:rPr>
          <w:sz w:val="16"/>
          <w:szCs w:val="16"/>
        </w:rPr>
        <w:t xml:space="preserve">KOMISJONI SOOVITUS (EL) 2020/2245, 18. detsember 2020, </w:t>
      </w:r>
      <w:hyperlink r:id="rId4" w:history="1">
        <w:r w:rsidRPr="008C0596">
          <w:rPr>
            <w:rStyle w:val="Hperlink"/>
            <w:sz w:val="16"/>
            <w:szCs w:val="16"/>
          </w:rPr>
          <w:t>https://eur-lex.europa.eu/legal-content/ET/TXT/PDF/?uri=CELEX:32020H2245&amp;from=EN</w:t>
        </w:r>
      </w:hyperlink>
      <w:r w:rsidRPr="008C0596">
        <w:rPr>
          <w:sz w:val="16"/>
          <w:szCs w:val="16"/>
        </w:rPr>
        <w:t xml:space="preserve">  </w:t>
      </w:r>
    </w:p>
  </w:footnote>
  <w:footnote w:id="6">
    <w:p w14:paraId="751C0E5E" w14:textId="77777777" w:rsidR="00B3532C" w:rsidRPr="008C0596" w:rsidRDefault="00B3532C" w:rsidP="00B3532C">
      <w:pPr>
        <w:pStyle w:val="Allmrkusetekst"/>
        <w:rPr>
          <w:sz w:val="16"/>
          <w:szCs w:val="16"/>
        </w:rPr>
      </w:pPr>
      <w:r w:rsidRPr="008C0596">
        <w:rPr>
          <w:rStyle w:val="Allmrkuseviide"/>
          <w:sz w:val="16"/>
          <w:szCs w:val="16"/>
        </w:rPr>
        <w:footnoteRef/>
      </w:r>
      <w:r w:rsidRPr="008C0596">
        <w:rPr>
          <w:sz w:val="16"/>
          <w:szCs w:val="16"/>
        </w:rPr>
        <w:t xml:space="preserve"> </w:t>
      </w:r>
      <w:r w:rsidRPr="008C0596">
        <w:rPr>
          <w:sz w:val="16"/>
          <w:szCs w:val="16"/>
        </w:rPr>
        <w:t xml:space="preserve">Suunised turuanalüüsi ja märkimisväärse turujõu hindamise kohta vastavalt ELi elektrooniliste sidevõrkude ja -teenuste reguleerivale raamistikule (2018/C 159/01) </w:t>
      </w:r>
      <w:hyperlink r:id="rId5" w:history="1">
        <w:r w:rsidRPr="008C0596">
          <w:rPr>
            <w:rStyle w:val="Hperlink"/>
            <w:sz w:val="16"/>
            <w:szCs w:val="16"/>
          </w:rPr>
          <w:t>https://eur-lex.europa.eu/legal-content/ET/TXT/PDF/?uri=CELEX:52018XC0507(01)&amp;from=ET</w:t>
        </w:r>
      </w:hyperlink>
      <w:r w:rsidRPr="008C0596">
        <w:rPr>
          <w:sz w:val="16"/>
          <w:szCs w:val="16"/>
        </w:rPr>
        <w:t xml:space="preserve"> </w:t>
      </w:r>
    </w:p>
  </w:footnote>
  <w:footnote w:id="7">
    <w:p w14:paraId="50601532" w14:textId="77777777" w:rsidR="00B3532C" w:rsidRPr="008C0596" w:rsidRDefault="00B3532C" w:rsidP="00B3532C">
      <w:pPr>
        <w:pStyle w:val="Allmrkusetekst"/>
        <w:rPr>
          <w:rStyle w:val="AllmrkusetekstMrk"/>
          <w:sz w:val="16"/>
          <w:szCs w:val="16"/>
        </w:rPr>
      </w:pPr>
      <w:r w:rsidRPr="008C0596">
        <w:rPr>
          <w:rStyle w:val="Allmrkuseviide"/>
          <w:sz w:val="16"/>
          <w:szCs w:val="16"/>
        </w:rPr>
        <w:footnoteRef/>
      </w:r>
      <w:r w:rsidRPr="008C0596">
        <w:rPr>
          <w:rStyle w:val="AllmrkusetekstMrk"/>
          <w:sz w:val="16"/>
          <w:szCs w:val="16"/>
          <w:vertAlign w:val="superscript"/>
        </w:rPr>
        <w:t xml:space="preserve"> </w:t>
      </w:r>
      <w:r w:rsidRPr="008C0596">
        <w:rPr>
          <w:rStyle w:val="Laad1Mrk"/>
          <w:rFonts w:eastAsia="Calibri"/>
          <w:sz w:val="16"/>
          <w:szCs w:val="16"/>
        </w:rPr>
        <w:t>Vabariigi Valitsuse seaduse ja teiste seaduste muutmise seadus tulenevalt valitsusasutuste ühendamisest” § 1 p 3 RT 2007, 66, 408.</w:t>
      </w:r>
    </w:p>
  </w:footnote>
  <w:footnote w:id="8">
    <w:p w14:paraId="111A127B" w14:textId="77777777" w:rsidR="00B3532C" w:rsidRPr="008C0596" w:rsidRDefault="00B3532C" w:rsidP="00B3532C">
      <w:pPr>
        <w:pStyle w:val="Allmrkusetekst"/>
        <w:rPr>
          <w:sz w:val="16"/>
          <w:szCs w:val="16"/>
        </w:rPr>
      </w:pPr>
      <w:r w:rsidRPr="008C0596">
        <w:rPr>
          <w:rStyle w:val="Allmrkuseviide"/>
          <w:sz w:val="16"/>
          <w:szCs w:val="16"/>
        </w:rPr>
        <w:footnoteRef/>
      </w:r>
      <w:r w:rsidRPr="008C0596">
        <w:rPr>
          <w:sz w:val="16"/>
          <w:szCs w:val="16"/>
        </w:rPr>
        <w:t xml:space="preserve">Komisjoni Soovitus (EL) 2020/2245, 18. detsember 2020, elektroonilise side sektori asjaomaste toote- ja teenuseturgude kohta, mis vastavalt Euroopa Parlamendi ja nõukogu direktiivile (EL) 2018/1972 (millega kehtestatakse Euroopa elektroonilise side seadustik) vajavad eelnevat reguleerimist  </w:t>
      </w:r>
      <w:hyperlink r:id="rId6" w:history="1">
        <w:r w:rsidRPr="008C0596">
          <w:rPr>
            <w:rStyle w:val="Hperlink"/>
            <w:sz w:val="16"/>
            <w:szCs w:val="16"/>
          </w:rPr>
          <w:t>http://data.europa.eu/eli/reco/2020/2245/oj</w:t>
        </w:r>
      </w:hyperlink>
      <w:r w:rsidRPr="008C0596">
        <w:rPr>
          <w:rStyle w:val="Hperlink"/>
          <w:sz w:val="16"/>
          <w:szCs w:val="16"/>
        </w:rPr>
        <w:t>)</w:t>
      </w:r>
    </w:p>
  </w:footnote>
  <w:footnote w:id="9">
    <w:p w14:paraId="3043C111" w14:textId="77777777" w:rsidR="00B3532C" w:rsidRDefault="00B3532C" w:rsidP="00B3532C">
      <w:pPr>
        <w:pStyle w:val="Allmrkusetekst"/>
      </w:pPr>
      <w:r w:rsidRPr="008C0596">
        <w:rPr>
          <w:rStyle w:val="Allmrkuseviide"/>
          <w:sz w:val="16"/>
          <w:szCs w:val="16"/>
        </w:rPr>
        <w:footnoteRef/>
      </w:r>
      <w:r w:rsidRPr="008C0596">
        <w:rPr>
          <w:sz w:val="16"/>
          <w:szCs w:val="16"/>
        </w:rPr>
        <w:t xml:space="preserve"> </w:t>
      </w:r>
      <w:r w:rsidRPr="008C0596">
        <w:rPr>
          <w:rStyle w:val="Laad1Mrk"/>
          <w:rFonts w:eastAsia="Calibri"/>
          <w:sz w:val="16"/>
          <w:szCs w:val="16"/>
        </w:rPr>
        <w:t>KOMISJONI SOOVITUS, 9. oktoober 2014, elektroonilise side sektori asjaomaste toote- ja teenuseturgude kohta, mis vastavalt Euroopa Parlamendi ja nõukogu direktiivile 2002/21/EÜ (elektrooniliste sidevõrkude ja -teenuste ühise reguleeriva raamistiku kohta) vajavad eelnevat reguleerimist</w:t>
      </w:r>
      <w:hyperlink r:id="rId7" w:history="1">
        <w:r w:rsidRPr="008C0596">
          <w:rPr>
            <w:rStyle w:val="Hperlink"/>
            <w:sz w:val="16"/>
            <w:szCs w:val="16"/>
          </w:rPr>
          <w:t>https://eur-lex.europa.eu/legal-content/ET/TXT/?uri=CELEX:32014H0710</w:t>
        </w:r>
      </w:hyperlink>
      <w:r>
        <w:rPr>
          <w:sz w:val="16"/>
          <w:szCs w:val="16"/>
        </w:rPr>
        <w:t xml:space="preserve"> </w:t>
      </w:r>
    </w:p>
  </w:footnote>
  <w:footnote w:id="10">
    <w:p w14:paraId="32526E7C" w14:textId="77777777" w:rsidR="00B3532C" w:rsidRDefault="00B3532C" w:rsidP="00B3532C">
      <w:pPr>
        <w:pStyle w:val="Allmrkusetekst"/>
        <w:rPr>
          <w:rStyle w:val="AllmrkusetekstMrk"/>
          <w:sz w:val="16"/>
          <w:szCs w:val="16"/>
          <w:lang w:val="en-GB"/>
        </w:rPr>
      </w:pPr>
      <w:r>
        <w:rPr>
          <w:rStyle w:val="Allmrkuseviide"/>
          <w:sz w:val="16"/>
          <w:szCs w:val="16"/>
        </w:rPr>
        <w:footnoteRef/>
      </w:r>
      <w:r>
        <w:rPr>
          <w:sz w:val="16"/>
          <w:szCs w:val="16"/>
        </w:rPr>
        <w:t xml:space="preserve"> </w:t>
      </w:r>
      <w:r>
        <w:rPr>
          <w:rStyle w:val="Laad1Mrk"/>
          <w:rFonts w:eastAsia="Calibri"/>
          <w:sz w:val="16"/>
          <w:szCs w:val="16"/>
        </w:rPr>
        <w:t>Sideameti otsus 21. märts 2006. a nr J.1-50/06/2</w:t>
      </w:r>
    </w:p>
  </w:footnote>
  <w:footnote w:id="11">
    <w:p w14:paraId="1F656590" w14:textId="77777777" w:rsidR="00B3532C" w:rsidRDefault="00B3532C" w:rsidP="00B3532C">
      <w:pPr>
        <w:pStyle w:val="Allmrkusetekst"/>
        <w:rPr>
          <w:rStyle w:val="Laad1Mrk"/>
          <w:rFonts w:eastAsia="Calibri"/>
          <w:sz w:val="16"/>
        </w:rPr>
      </w:pPr>
      <w:r>
        <w:rPr>
          <w:rStyle w:val="Allmrkuseviide"/>
          <w:sz w:val="16"/>
          <w:szCs w:val="16"/>
        </w:rPr>
        <w:footnoteRef/>
      </w:r>
      <w:r>
        <w:rPr>
          <w:rStyle w:val="Allmrkuseviide"/>
          <w:sz w:val="16"/>
          <w:szCs w:val="16"/>
        </w:rPr>
        <w:t xml:space="preserve"> </w:t>
      </w:r>
      <w:r>
        <w:rPr>
          <w:rStyle w:val="Laad1Mrk"/>
          <w:rFonts w:eastAsia="Calibri"/>
          <w:sz w:val="16"/>
          <w:szCs w:val="16"/>
        </w:rPr>
        <w:t>Konkurentsiameti otsus 18.09.2009 nr 8.3-12/09-0004</w:t>
      </w:r>
      <w:r>
        <w:rPr>
          <w:sz w:val="16"/>
          <w:szCs w:val="16"/>
        </w:rPr>
        <w:t xml:space="preserve"> </w:t>
      </w:r>
      <w:hyperlink r:id="rId8" w:history="1">
        <w:r>
          <w:rPr>
            <w:rStyle w:val="Hperlink"/>
            <w:sz w:val="16"/>
            <w:szCs w:val="16"/>
          </w:rPr>
          <w:t xml:space="preserve"> </w:t>
        </w:r>
      </w:hyperlink>
    </w:p>
    <w:p w14:paraId="0FF608FA" w14:textId="77777777" w:rsidR="00B3532C" w:rsidRDefault="00B3532C" w:rsidP="00B3532C">
      <w:pPr>
        <w:pStyle w:val="Allmrkusetekst"/>
        <w:rPr>
          <w:rStyle w:val="AllmrkusetekstMrk"/>
          <w:sz w:val="16"/>
          <w:szCs w:val="16"/>
        </w:rPr>
      </w:pPr>
      <w:hyperlink r:id="rId9" w:history="1">
        <w:r>
          <w:rPr>
            <w:rStyle w:val="Hperlink"/>
            <w:sz w:val="16"/>
            <w:szCs w:val="16"/>
          </w:rPr>
          <w:t>http://www.tja.ee/public/documents/Elektrooniline_side/Sideturu_osakond/Reguleeritavad_turud/Lairiba_juurdepaas_fiks_vorgule/II_1._Lairiba_juurdeaasu_turu___M5___otsus_non_conf.pdf</w:t>
        </w:r>
      </w:hyperlink>
    </w:p>
  </w:footnote>
  <w:footnote w:id="12">
    <w:p w14:paraId="6CC3131E" w14:textId="77777777" w:rsidR="00B3532C" w:rsidRDefault="00B3532C" w:rsidP="00B3532C">
      <w:pPr>
        <w:pStyle w:val="Default"/>
        <w:rPr>
          <w:rFonts w:ascii="Times New Roman" w:hAnsi="Times New Roman" w:cs="Times New Roman"/>
        </w:rPr>
      </w:pPr>
      <w:r>
        <w:rPr>
          <w:rStyle w:val="Allmrkuseviide"/>
          <w:rFonts w:eastAsia="Calibri"/>
          <w:sz w:val="16"/>
          <w:szCs w:val="16"/>
        </w:rPr>
        <w:footnoteRef/>
      </w:r>
      <w:r>
        <w:rPr>
          <w:rStyle w:val="AllmrkusetekstMrk"/>
          <w:sz w:val="16"/>
          <w:szCs w:val="16"/>
          <w:lang w:val="de-DE"/>
        </w:rPr>
        <w:t xml:space="preserve"> </w:t>
      </w:r>
      <w:r>
        <w:rPr>
          <w:rStyle w:val="Laad1Mrk"/>
          <w:rFonts w:eastAsia="Calibri"/>
          <w:sz w:val="16"/>
          <w:szCs w:val="16"/>
        </w:rPr>
        <w:t xml:space="preserve">Konkurentsiameti otsus </w:t>
      </w:r>
      <w:r>
        <w:rPr>
          <w:rStyle w:val="Laad1Mrk"/>
          <w:rFonts w:eastAsia="Calibri"/>
          <w:color w:val="auto"/>
          <w:sz w:val="16"/>
          <w:szCs w:val="16"/>
        </w:rPr>
        <w:t xml:space="preserve"> 11.11.13 nr 8.3-1/13-002</w:t>
      </w:r>
      <w:r>
        <w:rPr>
          <w:sz w:val="16"/>
          <w:szCs w:val="16"/>
        </w:rPr>
        <w:t xml:space="preserve"> </w:t>
      </w:r>
      <w:hyperlink r:id="rId10" w:history="1">
        <w:r>
          <w:rPr>
            <w:rStyle w:val="Hperlink"/>
            <w:sz w:val="16"/>
            <w:szCs w:val="16"/>
            <w:lang w:eastAsia="ar-SA"/>
          </w:rPr>
          <w:t>http://www.tja.ee/public/documents/Elektrooniline_side/Sideturu_osakond/Reguleeritavad_turud/Lairiba_juurdepaas_fiks_vorgule/III_1._11.11.2013_T_5_Otsus_Nonconf.pdf</w:t>
        </w:r>
      </w:hyperlink>
    </w:p>
  </w:footnote>
  <w:footnote w:id="13">
    <w:p w14:paraId="12C15DDD" w14:textId="77777777" w:rsidR="00B3532C" w:rsidRDefault="00B3532C" w:rsidP="00B3532C">
      <w:pPr>
        <w:pStyle w:val="Allmrkusetekst"/>
        <w:rPr>
          <w:sz w:val="16"/>
          <w:szCs w:val="16"/>
        </w:rPr>
      </w:pPr>
      <w:r>
        <w:rPr>
          <w:rStyle w:val="Allmrkuseviide"/>
          <w:sz w:val="16"/>
          <w:szCs w:val="16"/>
        </w:rPr>
        <w:footnoteRef/>
      </w:r>
      <w:r>
        <w:rPr>
          <w:sz w:val="16"/>
          <w:szCs w:val="16"/>
        </w:rPr>
        <w:t xml:space="preserve"> </w:t>
      </w:r>
      <w:r>
        <w:rPr>
          <w:sz w:val="16"/>
          <w:szCs w:val="16"/>
        </w:rPr>
        <w:t xml:space="preserve">Tehnilise Järelevalve Ameti16.06.17 otsus nr 1-10/17-228 </w:t>
      </w:r>
      <w:hyperlink r:id="rId11" w:history="1">
        <w:r>
          <w:rPr>
            <w:rStyle w:val="Hperlink"/>
            <w:sz w:val="16"/>
            <w:szCs w:val="16"/>
          </w:rPr>
          <w:t>https://www.ttja.ee/sites/default/files/content-editors/Sideturg/II/lisa_1._t3a_turu_analuus_mte_maaramine_ja_kohustused_veebi.pdf</w:t>
        </w:r>
      </w:hyperlink>
    </w:p>
  </w:footnote>
  <w:footnote w:id="14">
    <w:p w14:paraId="67A0EE44" w14:textId="77777777" w:rsidR="00F61009" w:rsidRPr="009B3A41" w:rsidRDefault="00F61009" w:rsidP="00F61009">
      <w:pPr>
        <w:spacing w:after="106" w:line="251" w:lineRule="auto"/>
        <w:ind w:right="45"/>
        <w:jc w:val="both"/>
        <w:rPr>
          <w:sz w:val="16"/>
          <w:szCs w:val="16"/>
        </w:rPr>
      </w:pPr>
      <w:r w:rsidRPr="009B3A41">
        <w:rPr>
          <w:rStyle w:val="Allmrkuseviide"/>
          <w:sz w:val="16"/>
          <w:szCs w:val="16"/>
        </w:rPr>
        <w:footnoteRef/>
      </w:r>
      <w:r w:rsidRPr="009B3A41">
        <w:rPr>
          <w:sz w:val="16"/>
          <w:szCs w:val="16"/>
        </w:rPr>
        <w:t xml:space="preserve"> </w:t>
      </w:r>
      <w:r w:rsidRPr="009B3A41">
        <w:rPr>
          <w:sz w:val="16"/>
          <w:szCs w:val="16"/>
        </w:rPr>
        <w:t xml:space="preserve">Vastab turule 1 kooskõlas komisjoni 18. detsembri 2020. aasta soovitusega (EL) 2020/2245 elektroonilise side sektori asjaomaste toote- ja teenuseturgude kohta, mis vastavalt seadustikule vajavad eelnevat reguleerimist (2020. aasta soovitus asjaomaste turgude kohta) (ELT L 439, 29.12.2020, lk 23– 31). </w:t>
      </w:r>
    </w:p>
    <w:p w14:paraId="10C72F45" w14:textId="6036324B" w:rsidR="00F61009" w:rsidRPr="009B3A41" w:rsidRDefault="00F61009" w:rsidP="00F61009">
      <w:pPr>
        <w:pStyle w:val="Allmrkusetekst"/>
        <w:rPr>
          <w:sz w:val="16"/>
          <w:szCs w:val="16"/>
        </w:rPr>
      </w:pPr>
    </w:p>
  </w:footnote>
  <w:footnote w:id="15">
    <w:p w14:paraId="6155BECD" w14:textId="586A2ADA" w:rsidR="00F61009" w:rsidRDefault="00F61009" w:rsidP="009B3A41">
      <w:pPr>
        <w:spacing w:after="106" w:line="251" w:lineRule="auto"/>
        <w:ind w:right="45"/>
        <w:jc w:val="both"/>
      </w:pPr>
      <w:r w:rsidRPr="009B3A41">
        <w:rPr>
          <w:rStyle w:val="Allmrkuseviide"/>
          <w:sz w:val="16"/>
          <w:szCs w:val="16"/>
        </w:rPr>
        <w:footnoteRef/>
      </w:r>
      <w:r w:rsidRPr="009B3A41">
        <w:rPr>
          <w:sz w:val="16"/>
          <w:szCs w:val="16"/>
        </w:rPr>
        <w:t xml:space="preserve"> </w:t>
      </w:r>
      <w:r w:rsidRPr="009B3A41">
        <w:rPr>
          <w:sz w:val="16"/>
          <w:szCs w:val="16"/>
        </w:rPr>
        <w:t>Vastab turule 3b kooskõlas komisjoni 9. oktoobri 2014. aasta soovitusega 2014/710/EL elektroonilise side sektori asjaomaste toote- ja teenuseturgude kohta, mis vastavalt Euroopa Parlamendi ja nõukogu 7. märtsi 2002. aasta direktiivile 2002/21/EÜ (elektrooniliste sidevõrkude ja -teenuste ühise reguleeriva raamistiku kohta (raamdirektiiv)) vajavad eelnevat reguleerimist (2014. aasta soovitus asjakohaste soovituses (EL) 2020/2245 elektroonilise side sektori asjaomaste toote- ja teenuseturgude kohta, mis</w:t>
      </w:r>
    </w:p>
  </w:footnote>
  <w:footnote w:id="16">
    <w:p w14:paraId="55940A2D" w14:textId="4AEA6005" w:rsidR="00EF53AB" w:rsidRPr="00AC6F81" w:rsidRDefault="00EF53AB" w:rsidP="009B266A">
      <w:pPr>
        <w:spacing w:after="0"/>
        <w:rPr>
          <w:sz w:val="20"/>
          <w:szCs w:val="20"/>
        </w:rPr>
      </w:pPr>
      <w:r w:rsidRPr="00AC6F81">
        <w:rPr>
          <w:rStyle w:val="Allmrkuseviide"/>
          <w:sz w:val="20"/>
          <w:szCs w:val="20"/>
        </w:rPr>
        <w:footnoteRef/>
      </w:r>
      <w:r w:rsidRPr="00AC6F81">
        <w:rPr>
          <w:sz w:val="20"/>
          <w:szCs w:val="20"/>
        </w:rPr>
        <w:t xml:space="preserve"> </w:t>
      </w:r>
      <w:r w:rsidRPr="00C40830">
        <w:rPr>
          <w:i/>
          <w:sz w:val="20"/>
          <w:szCs w:val="20"/>
          <w:lang w:val="en-GB"/>
        </w:rPr>
        <w:t>Digital Subscriber Line</w:t>
      </w:r>
      <w:r w:rsidRPr="00AC6F81">
        <w:rPr>
          <w:sz w:val="20"/>
          <w:szCs w:val="20"/>
        </w:rPr>
        <w:t xml:space="preserve"> – digitaalne </w:t>
      </w:r>
      <w:r w:rsidR="00336554">
        <w:rPr>
          <w:sz w:val="20"/>
          <w:szCs w:val="20"/>
        </w:rPr>
        <w:t>klien</w:t>
      </w:r>
      <w:r w:rsidRPr="00AC6F81">
        <w:rPr>
          <w:sz w:val="20"/>
          <w:szCs w:val="20"/>
        </w:rPr>
        <w:t>diliin.</w:t>
      </w:r>
    </w:p>
  </w:footnote>
  <w:footnote w:id="17">
    <w:p w14:paraId="2B574713" w14:textId="5944B68B" w:rsidR="00EF53AB" w:rsidRPr="00C40830" w:rsidRDefault="00EF53AB" w:rsidP="009B266A">
      <w:pPr>
        <w:spacing w:after="0"/>
        <w:rPr>
          <w:sz w:val="20"/>
          <w:szCs w:val="20"/>
          <w:lang w:val="en-GB"/>
        </w:rPr>
      </w:pPr>
      <w:r w:rsidRPr="00C40830">
        <w:rPr>
          <w:rStyle w:val="Allmrkuseviide"/>
          <w:sz w:val="20"/>
          <w:szCs w:val="20"/>
          <w:lang w:val="en-GB"/>
        </w:rPr>
        <w:footnoteRef/>
      </w:r>
      <w:r w:rsidRPr="00C40830">
        <w:rPr>
          <w:sz w:val="20"/>
          <w:szCs w:val="20"/>
          <w:lang w:val="en-GB"/>
        </w:rPr>
        <w:t xml:space="preserve"> </w:t>
      </w:r>
      <w:r w:rsidRPr="00C40830">
        <w:rPr>
          <w:i/>
          <w:sz w:val="20"/>
          <w:szCs w:val="20"/>
          <w:lang w:val="en-GB"/>
        </w:rPr>
        <w:t>Vectoring</w:t>
      </w:r>
      <w:r w:rsidRPr="00C40830">
        <w:rPr>
          <w:sz w:val="20"/>
          <w:szCs w:val="20"/>
          <w:lang w:val="en-GB"/>
        </w:rPr>
        <w:t xml:space="preserve"> - Performance in G.</w:t>
      </w:r>
      <w:r w:rsidR="00C40830">
        <w:rPr>
          <w:sz w:val="20"/>
          <w:szCs w:val="20"/>
          <w:lang w:val="en-GB"/>
        </w:rPr>
        <w:t xml:space="preserve"> </w:t>
      </w:r>
      <w:r w:rsidRPr="00C40830">
        <w:rPr>
          <w:sz w:val="20"/>
          <w:szCs w:val="20"/>
          <w:lang w:val="en-GB"/>
        </w:rPr>
        <w:t xml:space="preserve">fast systems is limited </w:t>
      </w:r>
      <w:proofErr w:type="gramStart"/>
      <w:r w:rsidRPr="00C40830">
        <w:rPr>
          <w:sz w:val="20"/>
          <w:szCs w:val="20"/>
          <w:lang w:val="en-GB"/>
        </w:rPr>
        <w:t>to a large extent</w:t>
      </w:r>
      <w:proofErr w:type="gramEnd"/>
      <w:r w:rsidRPr="00C40830">
        <w:rPr>
          <w:sz w:val="20"/>
          <w:szCs w:val="20"/>
          <w:lang w:val="en-GB"/>
        </w:rPr>
        <w:t xml:space="preserve"> by crosstalk between multiple wire pairs in a single cable G.993.5 (02/19) Self-FEXT cancellation (vectoring) for use with VDSL2 transceivers</w:t>
      </w:r>
      <w:r w:rsidR="00C40830">
        <w:rPr>
          <w:sz w:val="20"/>
          <w:szCs w:val="20"/>
          <w:lang w:val="en-GB"/>
        </w:rPr>
        <w:t>.</w:t>
      </w:r>
      <w:r w:rsidRPr="00C40830">
        <w:rPr>
          <w:sz w:val="20"/>
          <w:szCs w:val="20"/>
          <w:lang w:val="en-GB"/>
        </w:rPr>
        <w:t xml:space="preserve">  </w:t>
      </w:r>
    </w:p>
  </w:footnote>
  <w:footnote w:id="18">
    <w:p w14:paraId="4E4E7EDD" w14:textId="66207D88" w:rsidR="00EF53AB" w:rsidRPr="00C40830" w:rsidRDefault="00EF53AB" w:rsidP="009B266A">
      <w:pPr>
        <w:spacing w:after="0"/>
        <w:rPr>
          <w:sz w:val="20"/>
          <w:szCs w:val="20"/>
          <w:lang w:val="en-GB"/>
        </w:rPr>
      </w:pPr>
      <w:r w:rsidRPr="00C40830">
        <w:rPr>
          <w:rStyle w:val="Allmrkuseviide"/>
          <w:sz w:val="20"/>
          <w:szCs w:val="20"/>
          <w:lang w:val="en-GB"/>
        </w:rPr>
        <w:footnoteRef/>
      </w:r>
      <w:r w:rsidRPr="00C40830">
        <w:rPr>
          <w:sz w:val="20"/>
          <w:szCs w:val="20"/>
          <w:lang w:val="en-GB"/>
        </w:rPr>
        <w:t xml:space="preserve"> </w:t>
      </w:r>
      <w:r w:rsidRPr="00C40830">
        <w:rPr>
          <w:i/>
          <w:sz w:val="20"/>
          <w:szCs w:val="20"/>
          <w:lang w:val="en-GB"/>
        </w:rPr>
        <w:t>G.</w:t>
      </w:r>
      <w:r w:rsidR="00C40830">
        <w:rPr>
          <w:i/>
          <w:sz w:val="20"/>
          <w:szCs w:val="20"/>
          <w:lang w:val="en-GB"/>
        </w:rPr>
        <w:t xml:space="preserve"> </w:t>
      </w:r>
      <w:r w:rsidRPr="00C40830">
        <w:rPr>
          <w:i/>
          <w:sz w:val="20"/>
          <w:szCs w:val="20"/>
          <w:lang w:val="en-GB"/>
        </w:rPr>
        <w:t>fast</w:t>
      </w:r>
      <w:r w:rsidRPr="00C40830">
        <w:rPr>
          <w:sz w:val="20"/>
          <w:szCs w:val="20"/>
          <w:lang w:val="en-GB"/>
        </w:rPr>
        <w:t xml:space="preserve"> - digital subscriber line (DSL) protocol standard for local loops shorter than 500 m, with performance targets between 0.1 and 1 Gbit/s (ITU G.9700 (07/19))</w:t>
      </w:r>
    </w:p>
  </w:footnote>
  <w:footnote w:id="19">
    <w:p w14:paraId="3465D1C2" w14:textId="77777777" w:rsidR="00EF53AB" w:rsidRPr="00EC5511" w:rsidRDefault="00EF53AB" w:rsidP="00EF53AB">
      <w:pPr>
        <w:pStyle w:val="Allmrkusetekst"/>
      </w:pPr>
      <w:r w:rsidRPr="00EC5511">
        <w:rPr>
          <w:rStyle w:val="Allmrkuseviide"/>
        </w:rPr>
        <w:footnoteRef/>
      </w:r>
      <w:r w:rsidRPr="00EC5511">
        <w:t xml:space="preserve"> </w:t>
      </w:r>
      <w:r w:rsidRPr="00EC5511">
        <w:t>https://www.mkm.ee/sites/default/files/kiire_interneti_uhenduste_viimase_miili_analuus_ja_ettepanekud.pdf</w:t>
      </w:r>
    </w:p>
  </w:footnote>
  <w:footnote w:id="20">
    <w:p w14:paraId="412CC16A" w14:textId="77777777" w:rsidR="00EF53AB" w:rsidRPr="006B4C33" w:rsidRDefault="00EF53AB" w:rsidP="00EF53AB">
      <w:pPr>
        <w:pStyle w:val="Allmrkusetekst"/>
      </w:pPr>
      <w:r w:rsidRPr="006B4C33">
        <w:rPr>
          <w:rStyle w:val="Allmrkuseviide"/>
        </w:rPr>
        <w:footnoteRef/>
      </w:r>
      <w:r w:rsidRPr="006B4C33">
        <w:t xml:space="preserve"> </w:t>
      </w:r>
      <w:r w:rsidRPr="006B4C33">
        <w:t>http://www.vorgud.ee/wp-content/uploads/2014/08/Sissejuhatus_vorgutehnoloogiasse.pdf</w:t>
      </w:r>
    </w:p>
  </w:footnote>
  <w:footnote w:id="21">
    <w:p w14:paraId="6D04D35A" w14:textId="77777777" w:rsidR="00EF53AB" w:rsidRDefault="00EF53AB" w:rsidP="00EF53AB">
      <w:pPr>
        <w:pStyle w:val="Allmrkusetekst"/>
      </w:pPr>
      <w:r>
        <w:rPr>
          <w:rStyle w:val="Allmrkuseviide"/>
        </w:rPr>
        <w:footnoteRef/>
      </w:r>
      <w:r>
        <w:t xml:space="preserve"> </w:t>
      </w:r>
      <w:hyperlink r:id="rId12" w:history="1">
        <w:r w:rsidRPr="00955BDE">
          <w:rPr>
            <w:rStyle w:val="Hperlink"/>
          </w:rPr>
          <w:t>https://www.huawei.com/us/static/HW-278064.pdf</w:t>
        </w:r>
      </w:hyperlink>
      <w:r>
        <w:t xml:space="preserve"> lk8</w:t>
      </w:r>
    </w:p>
  </w:footnote>
  <w:footnote w:id="22">
    <w:p w14:paraId="6D2D0759" w14:textId="77777777" w:rsidR="00EF53AB" w:rsidRPr="00AA0149" w:rsidRDefault="00EF53AB" w:rsidP="00EF53AB">
      <w:pPr>
        <w:pStyle w:val="Allmrkusetekst"/>
      </w:pPr>
      <w:r>
        <w:rPr>
          <w:rStyle w:val="Allmrkuseviide"/>
        </w:rPr>
        <w:footnoteRef/>
      </w:r>
      <w:r>
        <w:t xml:space="preserve"> </w:t>
      </w:r>
      <w:r>
        <w:rPr>
          <w:rStyle w:val="cf01"/>
        </w:rPr>
        <w:t>OECD, 2022, BROADBAND NETWORKS OF THE FUTURE</w:t>
      </w:r>
    </w:p>
  </w:footnote>
  <w:footnote w:id="23">
    <w:p w14:paraId="737FD1A6" w14:textId="39C7BB3B" w:rsidR="00EF53AB" w:rsidRPr="00AA0149" w:rsidRDefault="00EF53AB" w:rsidP="00EF53AB">
      <w:pPr>
        <w:pStyle w:val="Allmrkusetekst"/>
      </w:pPr>
      <w:r>
        <w:rPr>
          <w:rStyle w:val="Allmrkuseviide"/>
        </w:rPr>
        <w:footnoteRef/>
      </w:r>
      <w:r>
        <w:t xml:space="preserve"> </w:t>
      </w:r>
      <w:proofErr w:type="spellStart"/>
      <w:r>
        <w:rPr>
          <w:rStyle w:val="cf01"/>
        </w:rPr>
        <w:t>Analys</w:t>
      </w:r>
      <w:r w:rsidR="000902EA">
        <w:rPr>
          <w:rStyle w:val="cf01"/>
        </w:rPr>
        <w:t>u</w:t>
      </w:r>
      <w:r>
        <w:rPr>
          <w:rStyle w:val="cf01"/>
        </w:rPr>
        <w:t>s</w:t>
      </w:r>
      <w:proofErr w:type="spellEnd"/>
      <w:r>
        <w:rPr>
          <w:rStyle w:val="cf01"/>
        </w:rPr>
        <w:t xml:space="preserve"> </w:t>
      </w:r>
      <w:proofErr w:type="spellStart"/>
      <w:r>
        <w:rPr>
          <w:rStyle w:val="cf01"/>
        </w:rPr>
        <w:t>Mason</w:t>
      </w:r>
      <w:proofErr w:type="spellEnd"/>
      <w:r>
        <w:rPr>
          <w:rStyle w:val="cf01"/>
        </w:rPr>
        <w:t xml:space="preserve">: </w:t>
      </w:r>
      <w:proofErr w:type="spellStart"/>
      <w:r>
        <w:rPr>
          <w:rStyle w:val="cf01"/>
        </w:rPr>
        <w:t>Final</w:t>
      </w:r>
      <w:proofErr w:type="spellEnd"/>
      <w:r>
        <w:rPr>
          <w:rStyle w:val="cf01"/>
        </w:rPr>
        <w:t xml:space="preserve"> </w:t>
      </w:r>
      <w:proofErr w:type="spellStart"/>
      <w:r>
        <w:rPr>
          <w:rStyle w:val="cf01"/>
        </w:rPr>
        <w:t>report</w:t>
      </w:r>
      <w:proofErr w:type="spellEnd"/>
      <w:r>
        <w:rPr>
          <w:rStyle w:val="cf01"/>
        </w:rPr>
        <w:t xml:space="preserve"> </w:t>
      </w:r>
      <w:proofErr w:type="spellStart"/>
      <w:r>
        <w:rPr>
          <w:rStyle w:val="cf01"/>
        </w:rPr>
        <w:t>for</w:t>
      </w:r>
      <w:proofErr w:type="spellEnd"/>
      <w:r>
        <w:rPr>
          <w:rStyle w:val="cf01"/>
        </w:rPr>
        <w:t xml:space="preserve"> </w:t>
      </w:r>
      <w:proofErr w:type="spellStart"/>
      <w:r>
        <w:rPr>
          <w:rStyle w:val="cf01"/>
        </w:rPr>
        <w:t>the</w:t>
      </w:r>
      <w:proofErr w:type="spellEnd"/>
      <w:r>
        <w:rPr>
          <w:rStyle w:val="cf01"/>
        </w:rPr>
        <w:t xml:space="preserve"> </w:t>
      </w:r>
      <w:proofErr w:type="spellStart"/>
      <w:r>
        <w:rPr>
          <w:rStyle w:val="cf01"/>
        </w:rPr>
        <w:t>Broadband</w:t>
      </w:r>
      <w:proofErr w:type="spellEnd"/>
      <w:r>
        <w:rPr>
          <w:rStyle w:val="cf01"/>
        </w:rPr>
        <w:t xml:space="preserve"> </w:t>
      </w:r>
      <w:proofErr w:type="spellStart"/>
      <w:r>
        <w:rPr>
          <w:rStyle w:val="cf01"/>
        </w:rPr>
        <w:t>Stakeholder</w:t>
      </w:r>
      <w:proofErr w:type="spellEnd"/>
      <w:r>
        <w:rPr>
          <w:rStyle w:val="cf01"/>
        </w:rPr>
        <w:t xml:space="preserve"> Group: The </w:t>
      </w:r>
      <w:proofErr w:type="spellStart"/>
      <w:r>
        <w:rPr>
          <w:rStyle w:val="cf01"/>
        </w:rPr>
        <w:t>costs</w:t>
      </w:r>
      <w:proofErr w:type="spellEnd"/>
      <w:r>
        <w:rPr>
          <w:rStyle w:val="cf01"/>
        </w:rPr>
        <w:t xml:space="preserve"> of </w:t>
      </w:r>
      <w:proofErr w:type="spellStart"/>
      <w:r>
        <w:rPr>
          <w:rStyle w:val="cf01"/>
        </w:rPr>
        <w:t>deploying</w:t>
      </w:r>
      <w:proofErr w:type="spellEnd"/>
      <w:r>
        <w:rPr>
          <w:rStyle w:val="cf01"/>
        </w:rPr>
        <w:t xml:space="preserve"> </w:t>
      </w:r>
      <w:proofErr w:type="spellStart"/>
      <w:r>
        <w:rPr>
          <w:rStyle w:val="cf01"/>
        </w:rPr>
        <w:t>fibre-based</w:t>
      </w:r>
      <w:proofErr w:type="spellEnd"/>
      <w:r>
        <w:rPr>
          <w:rStyle w:val="cf01"/>
        </w:rPr>
        <w:t xml:space="preserve"> </w:t>
      </w:r>
      <w:proofErr w:type="spellStart"/>
      <w:r>
        <w:rPr>
          <w:rStyle w:val="cf01"/>
        </w:rPr>
        <w:t>next-generation</w:t>
      </w:r>
      <w:proofErr w:type="spellEnd"/>
      <w:r>
        <w:rPr>
          <w:rStyle w:val="cf01"/>
        </w:rPr>
        <w:t xml:space="preserve"> </w:t>
      </w:r>
      <w:proofErr w:type="spellStart"/>
      <w:r>
        <w:rPr>
          <w:rStyle w:val="cf01"/>
        </w:rPr>
        <w:t>broadband</w:t>
      </w:r>
      <w:proofErr w:type="spellEnd"/>
      <w:r>
        <w:rPr>
          <w:rStyle w:val="cf01"/>
        </w:rPr>
        <w:t xml:space="preserve"> </w:t>
      </w:r>
      <w:proofErr w:type="spellStart"/>
      <w:r>
        <w:rPr>
          <w:rStyle w:val="cf01"/>
        </w:rPr>
        <w:t>infrastructure</w:t>
      </w:r>
      <w:proofErr w:type="spellEnd"/>
      <w:r>
        <w:rPr>
          <w:rStyle w:val="cf01"/>
        </w:rPr>
        <w:t xml:space="preserve">. </w:t>
      </w:r>
      <w:proofErr w:type="spellStart"/>
      <w:r>
        <w:rPr>
          <w:rStyle w:val="cf01"/>
        </w:rPr>
        <w:t>Final</w:t>
      </w:r>
      <w:proofErr w:type="spellEnd"/>
      <w:r>
        <w:rPr>
          <w:rStyle w:val="cf01"/>
        </w:rPr>
        <w:t xml:space="preserve"> </w:t>
      </w:r>
      <w:proofErr w:type="spellStart"/>
      <w:r>
        <w:rPr>
          <w:rStyle w:val="cf01"/>
        </w:rPr>
        <w:t>report</w:t>
      </w:r>
      <w:proofErr w:type="spellEnd"/>
      <w:r>
        <w:rPr>
          <w:rStyle w:val="cf01"/>
        </w:rPr>
        <w:t>, 2008.</w:t>
      </w:r>
    </w:p>
  </w:footnote>
  <w:footnote w:id="24">
    <w:p w14:paraId="099AB1F0" w14:textId="77777777" w:rsidR="00EF53AB" w:rsidRPr="00AA0149" w:rsidRDefault="00EF53AB" w:rsidP="00EF53AB">
      <w:pPr>
        <w:pStyle w:val="Allmrkusetekst"/>
      </w:pPr>
      <w:r>
        <w:rPr>
          <w:rStyle w:val="Allmrkuseviide"/>
        </w:rPr>
        <w:footnoteRef/>
      </w:r>
      <w:r>
        <w:t xml:space="preserve"> </w:t>
      </w:r>
      <w:r>
        <w:rPr>
          <w:rStyle w:val="cf01"/>
        </w:rPr>
        <w:t>OECD, sept 2021, 1 No. 317 BROADBAND POLICY AND TECHNOLOGY DEVELOPMENTS</w:t>
      </w:r>
    </w:p>
  </w:footnote>
  <w:footnote w:id="25">
    <w:p w14:paraId="0EA8F592" w14:textId="77777777" w:rsidR="00EF53AB" w:rsidRPr="00B0058E" w:rsidRDefault="00EF53AB" w:rsidP="00EF53AB">
      <w:pPr>
        <w:pStyle w:val="Allmrkusetekst"/>
        <w:jc w:val="both"/>
        <w:rPr>
          <w:rFonts w:ascii="Tahoma" w:hAnsi="Tahoma" w:cs="Tahoma"/>
        </w:rPr>
      </w:pPr>
      <w:r w:rsidRPr="00B0058E">
        <w:rPr>
          <w:rStyle w:val="Allmrkuseviide"/>
          <w:rFonts w:ascii="Tahoma" w:hAnsi="Tahoma" w:cs="Tahoma"/>
        </w:rPr>
        <w:footnoteRef/>
      </w:r>
      <w:r w:rsidRPr="00B0058E">
        <w:rPr>
          <w:rFonts w:ascii="Tahoma" w:hAnsi="Tahoma" w:cs="Tahoma"/>
        </w:rPr>
        <w:t xml:space="preserve"> </w:t>
      </w:r>
      <w:hyperlink r:id="rId13" w:history="1">
        <w:r w:rsidRPr="00577DC0">
          <w:rPr>
            <w:rStyle w:val="Hperlink"/>
            <w:rFonts w:ascii="Tahoma" w:eastAsia="Times New Roman" w:hAnsi="Tahoma" w:cs="Tahoma"/>
          </w:rPr>
          <w:t>https://eur-lex.europa.eu/legal-content/LV/TXT/?uri=CELEX%3A52021DC0118</w:t>
        </w:r>
      </w:hyperlink>
      <w:r w:rsidRPr="00B0058E">
        <w:rPr>
          <w:rFonts w:ascii="Tahoma" w:hAnsi="Tahoma" w:cs="Tahoma"/>
        </w:rPr>
        <w:t>.</w:t>
      </w:r>
    </w:p>
  </w:footnote>
  <w:footnote w:id="26">
    <w:p w14:paraId="6828DE7A" w14:textId="3482A0F1" w:rsidR="00562668" w:rsidRDefault="00562668">
      <w:pPr>
        <w:pStyle w:val="Allmrkusetekst"/>
      </w:pPr>
      <w:r>
        <w:rPr>
          <w:rStyle w:val="Allmrkuseviide"/>
        </w:rPr>
        <w:footnoteRef/>
      </w:r>
      <w:r>
        <w:t xml:space="preserve"> </w:t>
      </w:r>
      <w:r w:rsidRPr="004C5D21">
        <w:rPr>
          <w:sz w:val="18"/>
          <w:szCs w:val="18"/>
        </w:rPr>
        <w:t xml:space="preserve">Viide allikale: </w:t>
      </w:r>
      <w:hyperlink r:id="rId14" w:history="1">
        <w:r w:rsidRPr="004C5D21">
          <w:rPr>
            <w:rStyle w:val="Hperlink"/>
            <w:sz w:val="18"/>
            <w:szCs w:val="18"/>
          </w:rPr>
          <w:t>https://www.berec.europa.eu/en/document-categories/berec/regulatory-best-practices/guidelines/draft-berec-guidelines-on-very-high-capacity-networks</w:t>
        </w:r>
      </w:hyperlink>
    </w:p>
  </w:footnote>
  <w:footnote w:id="27">
    <w:p w14:paraId="42B90CC8" w14:textId="77777777" w:rsidR="00F23431" w:rsidRPr="000A0049" w:rsidRDefault="00F23431" w:rsidP="00F23431">
      <w:pPr>
        <w:pStyle w:val="Allmrkusetekst"/>
        <w:rPr>
          <w:rFonts w:cs="Times New Roman"/>
          <w:sz w:val="18"/>
          <w:szCs w:val="18"/>
        </w:rPr>
      </w:pPr>
      <w:r w:rsidRPr="000A0049">
        <w:rPr>
          <w:rStyle w:val="Allmrkuseviide"/>
          <w:rFonts w:cs="Times New Roman"/>
          <w:sz w:val="18"/>
          <w:szCs w:val="18"/>
        </w:rPr>
        <w:footnoteRef/>
      </w:r>
      <w:r w:rsidRPr="000A0049">
        <w:rPr>
          <w:rFonts w:cs="Times New Roman"/>
          <w:sz w:val="18"/>
          <w:szCs w:val="18"/>
        </w:rPr>
        <w:t xml:space="preserve"> </w:t>
      </w:r>
      <w:r w:rsidRPr="000A0049">
        <w:rPr>
          <w:rFonts w:cs="Times New Roman"/>
          <w:sz w:val="18"/>
          <w:szCs w:val="18"/>
        </w:rPr>
        <w:t xml:space="preserve">Elektroonilise side seadus, viide allikale </w:t>
      </w:r>
      <w:hyperlink r:id="rId15" w:history="1">
        <w:r w:rsidRPr="000A0049">
          <w:rPr>
            <w:rStyle w:val="Hperlink"/>
            <w:rFonts w:cs="Times New Roman"/>
            <w:sz w:val="18"/>
            <w:szCs w:val="18"/>
          </w:rPr>
          <w:t>https://www.riigiteataja.ee/akt/127022022003?leiaKehtiv</w:t>
        </w:r>
      </w:hyperlink>
    </w:p>
  </w:footnote>
  <w:footnote w:id="28">
    <w:p w14:paraId="502C3863" w14:textId="77777777" w:rsidR="00F23431" w:rsidRPr="000A0049" w:rsidRDefault="00F23431" w:rsidP="00F23431">
      <w:pPr>
        <w:pStyle w:val="Allmrkusetekst"/>
        <w:rPr>
          <w:rFonts w:cs="Times New Roman"/>
          <w:sz w:val="18"/>
          <w:szCs w:val="18"/>
        </w:rPr>
      </w:pPr>
      <w:r w:rsidRPr="000A0049">
        <w:rPr>
          <w:rStyle w:val="Allmrkuseviide"/>
          <w:rFonts w:cs="Times New Roman"/>
          <w:sz w:val="18"/>
          <w:szCs w:val="18"/>
        </w:rPr>
        <w:footnoteRef/>
      </w:r>
      <w:r w:rsidRPr="000A0049">
        <w:rPr>
          <w:rFonts w:cs="Times New Roman"/>
          <w:sz w:val="18"/>
          <w:szCs w:val="18"/>
        </w:rPr>
        <w:t xml:space="preserve"> </w:t>
      </w:r>
      <w:r w:rsidRPr="000A0049">
        <w:rPr>
          <w:rFonts w:cs="Times New Roman"/>
          <w:sz w:val="18"/>
          <w:szCs w:val="18"/>
        </w:rPr>
        <w:t xml:space="preserve">Euroopa Liit, vt ka </w:t>
      </w:r>
      <w:hyperlink r:id="rId16" w:history="1">
        <w:r w:rsidRPr="000A0049">
          <w:rPr>
            <w:rStyle w:val="Hperlink"/>
            <w:rFonts w:cs="Times New Roman"/>
            <w:sz w:val="18"/>
            <w:szCs w:val="18"/>
          </w:rPr>
          <w:t>https://european-union.europa.eu/index_et</w:t>
        </w:r>
      </w:hyperlink>
      <w:r w:rsidRPr="000A0049">
        <w:rPr>
          <w:rFonts w:cs="Times New Roman"/>
          <w:sz w:val="18"/>
          <w:szCs w:val="18"/>
        </w:rPr>
        <w:t xml:space="preserve"> </w:t>
      </w:r>
    </w:p>
  </w:footnote>
  <w:footnote w:id="29">
    <w:p w14:paraId="4B7BFEBD" w14:textId="77777777" w:rsidR="00F23431" w:rsidRPr="000A0049" w:rsidRDefault="00F23431" w:rsidP="00F23431">
      <w:pPr>
        <w:pStyle w:val="Allmrkusetekst"/>
        <w:rPr>
          <w:rFonts w:cs="Times New Roman"/>
          <w:sz w:val="18"/>
          <w:szCs w:val="18"/>
        </w:rPr>
      </w:pPr>
      <w:r w:rsidRPr="000A0049">
        <w:rPr>
          <w:rStyle w:val="Allmrkuseviide"/>
          <w:rFonts w:cs="Times New Roman"/>
          <w:sz w:val="18"/>
          <w:szCs w:val="18"/>
        </w:rPr>
        <w:footnoteRef/>
      </w:r>
      <w:r w:rsidRPr="000A0049">
        <w:rPr>
          <w:rFonts w:cs="Times New Roman"/>
          <w:sz w:val="18"/>
          <w:szCs w:val="18"/>
        </w:rPr>
        <w:t xml:space="preserve"> </w:t>
      </w:r>
      <w:r w:rsidRPr="000A0049">
        <w:rPr>
          <w:rFonts w:cs="Times New Roman"/>
          <w:sz w:val="18"/>
          <w:szCs w:val="18"/>
        </w:rPr>
        <w:t xml:space="preserve">Euroopa Komisjon, vt ka </w:t>
      </w:r>
      <w:hyperlink r:id="rId17" w:history="1">
        <w:r w:rsidRPr="000A0049">
          <w:rPr>
            <w:rStyle w:val="Hperlink"/>
            <w:rFonts w:cs="Times New Roman"/>
            <w:sz w:val="18"/>
            <w:szCs w:val="18"/>
          </w:rPr>
          <w:t>https://ec.europa.eu/info/index_et</w:t>
        </w:r>
      </w:hyperlink>
      <w:r w:rsidRPr="000A0049">
        <w:rPr>
          <w:rFonts w:cs="Times New Roman"/>
          <w:sz w:val="18"/>
          <w:szCs w:val="18"/>
        </w:rPr>
        <w:t xml:space="preserve"> </w:t>
      </w:r>
    </w:p>
  </w:footnote>
  <w:footnote w:id="30">
    <w:p w14:paraId="6EE86B27" w14:textId="77777777" w:rsidR="00F23431" w:rsidRPr="00A1554B" w:rsidRDefault="00F23431" w:rsidP="00F23431">
      <w:pPr>
        <w:pStyle w:val="Allmrkusetekst"/>
        <w:rPr>
          <w:rFonts w:cs="Times New Roman"/>
        </w:rPr>
      </w:pPr>
      <w:r w:rsidRPr="000A0049">
        <w:rPr>
          <w:rStyle w:val="Allmrkuseviide"/>
          <w:rFonts w:cs="Times New Roman"/>
          <w:sz w:val="18"/>
          <w:szCs w:val="18"/>
        </w:rPr>
        <w:footnoteRef/>
      </w:r>
      <w:r w:rsidRPr="000A0049">
        <w:rPr>
          <w:rFonts w:cs="Times New Roman"/>
          <w:sz w:val="18"/>
          <w:szCs w:val="18"/>
        </w:rPr>
        <w:t xml:space="preserve"> </w:t>
      </w:r>
      <w:r w:rsidRPr="000A0049">
        <w:rPr>
          <w:rFonts w:cs="Times New Roman"/>
          <w:sz w:val="18"/>
          <w:szCs w:val="18"/>
        </w:rPr>
        <w:t>Euroopa Sideametiks on BEREC (</w:t>
      </w:r>
      <w:proofErr w:type="spellStart"/>
      <w:r w:rsidRPr="000A0049">
        <w:rPr>
          <w:rFonts w:cs="Times New Roman"/>
          <w:i/>
          <w:iCs/>
          <w:sz w:val="18"/>
          <w:szCs w:val="18"/>
        </w:rPr>
        <w:t>Body</w:t>
      </w:r>
      <w:proofErr w:type="spellEnd"/>
      <w:r w:rsidRPr="000A0049">
        <w:rPr>
          <w:rFonts w:cs="Times New Roman"/>
          <w:i/>
          <w:iCs/>
          <w:sz w:val="18"/>
          <w:szCs w:val="18"/>
        </w:rPr>
        <w:t xml:space="preserve"> of </w:t>
      </w:r>
      <w:proofErr w:type="spellStart"/>
      <w:r w:rsidRPr="000A0049">
        <w:rPr>
          <w:rFonts w:cs="Times New Roman"/>
          <w:i/>
          <w:iCs/>
          <w:sz w:val="18"/>
          <w:szCs w:val="18"/>
        </w:rPr>
        <w:t>European</w:t>
      </w:r>
      <w:proofErr w:type="spellEnd"/>
      <w:r w:rsidRPr="000A0049">
        <w:rPr>
          <w:rFonts w:cs="Times New Roman"/>
          <w:i/>
          <w:iCs/>
          <w:sz w:val="18"/>
          <w:szCs w:val="18"/>
        </w:rPr>
        <w:t xml:space="preserve"> </w:t>
      </w:r>
      <w:proofErr w:type="spellStart"/>
      <w:r w:rsidRPr="000A0049">
        <w:rPr>
          <w:rFonts w:cs="Times New Roman"/>
          <w:i/>
          <w:iCs/>
          <w:sz w:val="18"/>
          <w:szCs w:val="18"/>
        </w:rPr>
        <w:t>Regulators</w:t>
      </w:r>
      <w:proofErr w:type="spellEnd"/>
      <w:r w:rsidRPr="000A0049">
        <w:rPr>
          <w:rFonts w:cs="Times New Roman"/>
          <w:i/>
          <w:iCs/>
          <w:sz w:val="18"/>
          <w:szCs w:val="18"/>
        </w:rPr>
        <w:t xml:space="preserve"> </w:t>
      </w:r>
      <w:proofErr w:type="spellStart"/>
      <w:r w:rsidRPr="000A0049">
        <w:rPr>
          <w:rFonts w:cs="Times New Roman"/>
          <w:i/>
          <w:iCs/>
          <w:sz w:val="18"/>
          <w:szCs w:val="18"/>
        </w:rPr>
        <w:t>for</w:t>
      </w:r>
      <w:proofErr w:type="spellEnd"/>
      <w:r w:rsidRPr="000A0049">
        <w:rPr>
          <w:rFonts w:cs="Times New Roman"/>
          <w:i/>
          <w:iCs/>
          <w:sz w:val="18"/>
          <w:szCs w:val="18"/>
        </w:rPr>
        <w:t xml:space="preserve"> </w:t>
      </w:r>
      <w:proofErr w:type="spellStart"/>
      <w:r w:rsidRPr="000A0049">
        <w:rPr>
          <w:rFonts w:cs="Times New Roman"/>
          <w:i/>
          <w:iCs/>
          <w:sz w:val="18"/>
          <w:szCs w:val="18"/>
        </w:rPr>
        <w:t>Electronic</w:t>
      </w:r>
      <w:proofErr w:type="spellEnd"/>
      <w:r w:rsidRPr="000A0049">
        <w:rPr>
          <w:rFonts w:cs="Times New Roman"/>
          <w:i/>
          <w:iCs/>
          <w:sz w:val="18"/>
          <w:szCs w:val="18"/>
        </w:rPr>
        <w:t xml:space="preserve"> </w:t>
      </w:r>
      <w:proofErr w:type="spellStart"/>
      <w:r w:rsidRPr="000A0049">
        <w:rPr>
          <w:rFonts w:cs="Times New Roman"/>
          <w:i/>
          <w:iCs/>
          <w:sz w:val="18"/>
          <w:szCs w:val="18"/>
        </w:rPr>
        <w:t>Communications</w:t>
      </w:r>
      <w:proofErr w:type="spellEnd"/>
      <w:r w:rsidRPr="000A0049">
        <w:rPr>
          <w:rFonts w:cs="Times New Roman"/>
          <w:sz w:val="18"/>
          <w:szCs w:val="18"/>
        </w:rPr>
        <w:t xml:space="preserve">), kelle õiguslik alus on sätestatud Euroopa Parlamendi ja nõukogu 11. detsembri 2018. aasta määruses (EL) 2018/1971, vt ka </w:t>
      </w:r>
      <w:hyperlink r:id="rId18" w:history="1">
        <w:r w:rsidRPr="000A0049">
          <w:rPr>
            <w:rStyle w:val="Hperlink"/>
            <w:rFonts w:cs="Times New Roman"/>
            <w:sz w:val="18"/>
            <w:szCs w:val="18"/>
          </w:rPr>
          <w:t>https://www.berec.europa.eu/en</w:t>
        </w:r>
      </w:hyperlink>
      <w:r w:rsidRPr="00A1554B">
        <w:rPr>
          <w:rFonts w:cs="Times New Roman"/>
        </w:rPr>
        <w:t xml:space="preserve"> </w:t>
      </w:r>
    </w:p>
  </w:footnote>
  <w:footnote w:id="31">
    <w:p w14:paraId="6563B6D8" w14:textId="77777777" w:rsidR="00F23431" w:rsidRPr="000A0049" w:rsidRDefault="00F23431" w:rsidP="00F23431">
      <w:pPr>
        <w:pStyle w:val="Allmrkusetekst"/>
        <w:rPr>
          <w:rFonts w:cs="Times New Roman"/>
          <w:sz w:val="18"/>
          <w:szCs w:val="18"/>
        </w:rPr>
      </w:pPr>
      <w:r w:rsidRPr="000A0049">
        <w:rPr>
          <w:rStyle w:val="Allmrkuseviide"/>
          <w:sz w:val="18"/>
          <w:szCs w:val="18"/>
        </w:rPr>
        <w:footnoteRef/>
      </w:r>
      <w:r w:rsidRPr="000A0049">
        <w:rPr>
          <w:sz w:val="18"/>
          <w:szCs w:val="18"/>
        </w:rPr>
        <w:t xml:space="preserve"> </w:t>
      </w:r>
      <w:r w:rsidRPr="000A0049">
        <w:rPr>
          <w:rFonts w:cs="Times New Roman"/>
          <w:sz w:val="18"/>
          <w:szCs w:val="18"/>
        </w:rPr>
        <w:t xml:space="preserve">Euroopa Komisjoni soovitus (EL) 2020/2245, 18. detsember 2020, elektroonilise side sektori asjaomaste toote- ja teenuseturgude kohta, mis vastavalt Euroopa Parlamendi ja nõukogu direktiivile (EL) 2018/1972 (millega kehtestatakse Euroopa elektroonilise side seadustik) vajavad eelnevat reguleerimist, viide allikale: </w:t>
      </w:r>
      <w:hyperlink r:id="rId19" w:history="1">
        <w:r w:rsidRPr="000A0049">
          <w:rPr>
            <w:rStyle w:val="Hperlink"/>
            <w:rFonts w:cs="Times New Roman"/>
            <w:sz w:val="18"/>
            <w:szCs w:val="18"/>
          </w:rPr>
          <w:t>https://eur-lex.europa.eu/legal-content/EN-ET/TXT/?uri=CELEX:32020H2245</w:t>
        </w:r>
      </w:hyperlink>
    </w:p>
  </w:footnote>
  <w:footnote w:id="32">
    <w:p w14:paraId="3D6A6A17" w14:textId="77777777" w:rsidR="00F23431" w:rsidRPr="004C5D21" w:rsidRDefault="00F23431" w:rsidP="00F23431">
      <w:pPr>
        <w:pStyle w:val="Allmrkusetekst"/>
        <w:rPr>
          <w:sz w:val="18"/>
          <w:szCs w:val="18"/>
        </w:rPr>
      </w:pPr>
      <w:r w:rsidRPr="004C5D21">
        <w:rPr>
          <w:rStyle w:val="Allmrkuseviide"/>
          <w:sz w:val="18"/>
          <w:szCs w:val="18"/>
        </w:rPr>
        <w:footnoteRef/>
      </w:r>
      <w:r w:rsidRPr="004C5D21">
        <w:rPr>
          <w:sz w:val="18"/>
          <w:szCs w:val="18"/>
        </w:rPr>
        <w:t xml:space="preserve"> </w:t>
      </w:r>
      <w:r w:rsidRPr="004C5D21">
        <w:rPr>
          <w:sz w:val="18"/>
          <w:szCs w:val="18"/>
        </w:rPr>
        <w:t xml:space="preserve">Viide allikale: </w:t>
      </w:r>
      <w:hyperlink r:id="rId20" w:history="1">
        <w:r w:rsidRPr="004C5D21">
          <w:rPr>
            <w:rStyle w:val="Hperlink"/>
            <w:sz w:val="18"/>
            <w:szCs w:val="18"/>
          </w:rPr>
          <w:t>https://www.nkom.no/ekom-markedet/markeder/markeder-som-reguleres/_/attachment/download/e804f701-e342-448d-95f9-0b81f4b5d144:b3bff2ccf56262242fdd0f242205cf2ab0335fb0/Kommisjonens%20Explanatory%20Note%20til%20anbefalingen%20av%2018.%20desember%202020.pdf</w:t>
        </w:r>
      </w:hyperlink>
      <w:r w:rsidRPr="004C5D21">
        <w:rPr>
          <w:sz w:val="18"/>
          <w:szCs w:val="18"/>
        </w:rPr>
        <w:t xml:space="preserve"> </w:t>
      </w:r>
    </w:p>
  </w:footnote>
  <w:footnote w:id="33">
    <w:p w14:paraId="3674C43B" w14:textId="77777777" w:rsidR="00F23431" w:rsidRPr="00441BEA" w:rsidRDefault="00F23431" w:rsidP="00F23431">
      <w:pPr>
        <w:rPr>
          <w:sz w:val="18"/>
          <w:szCs w:val="18"/>
        </w:rPr>
      </w:pPr>
      <w:r w:rsidRPr="004C5D21">
        <w:rPr>
          <w:rStyle w:val="Allmrkuseviide"/>
          <w:sz w:val="18"/>
          <w:szCs w:val="18"/>
        </w:rPr>
        <w:footnoteRef/>
      </w:r>
      <w:r w:rsidRPr="00441BEA">
        <w:rPr>
          <w:sz w:val="18"/>
          <w:szCs w:val="18"/>
        </w:rPr>
        <w:t xml:space="preserve"> </w:t>
      </w:r>
      <w:r w:rsidRPr="00441BEA">
        <w:rPr>
          <w:rFonts w:cs="Times New Roman"/>
          <w:sz w:val="18"/>
          <w:szCs w:val="18"/>
        </w:rPr>
        <w:t xml:space="preserve">Euroopa Komisjoni 2014/710/EL, 9. oktoober 2014, elektroonilise side sektori asjaomaste toote- ja teenuseturgude kohta, mis vastavalt Euroopa Parlamendi ja nõukogu direktiivile 2002/21/EÜ (elektrooniliste sidevõrkude ja -teenuste ühise reguleeriva raamistiku kohta) vajavad eelnevat reguleerimist, viide allikale: </w:t>
      </w:r>
      <w:hyperlink r:id="rId21" w:history="1">
        <w:r w:rsidRPr="00441BEA">
          <w:rPr>
            <w:rStyle w:val="Hperlink"/>
            <w:rFonts w:cs="Times New Roman"/>
            <w:sz w:val="18"/>
            <w:szCs w:val="18"/>
          </w:rPr>
          <w:t>https://eur-lex.europa.eu/legal-content/ET/TXT/?uri=CELEX:32014H0710</w:t>
        </w:r>
      </w:hyperlink>
      <w:r w:rsidRPr="00441BEA">
        <w:rPr>
          <w:rFonts w:cs="Times New Roman"/>
          <w:sz w:val="18"/>
          <w:szCs w:val="18"/>
        </w:rPr>
        <w:t xml:space="preserve"> </w:t>
      </w:r>
    </w:p>
  </w:footnote>
  <w:footnote w:id="34">
    <w:p w14:paraId="3898D709" w14:textId="77777777" w:rsidR="00F23431" w:rsidRPr="004C5D21" w:rsidRDefault="00F23431" w:rsidP="00F23431">
      <w:pPr>
        <w:pStyle w:val="Allmrkusetekst"/>
        <w:rPr>
          <w:sz w:val="18"/>
          <w:szCs w:val="18"/>
        </w:rPr>
      </w:pPr>
      <w:r w:rsidRPr="004C5D21">
        <w:rPr>
          <w:rStyle w:val="Allmrkuseviide"/>
          <w:sz w:val="18"/>
          <w:szCs w:val="18"/>
        </w:rPr>
        <w:footnoteRef/>
      </w:r>
      <w:r w:rsidRPr="004C5D21">
        <w:rPr>
          <w:sz w:val="18"/>
          <w:szCs w:val="18"/>
        </w:rPr>
        <w:t xml:space="preserve"> </w:t>
      </w:r>
      <w:r w:rsidRPr="004C5D21">
        <w:rPr>
          <w:rFonts w:cs="Times New Roman"/>
          <w:sz w:val="18"/>
          <w:szCs w:val="18"/>
        </w:rPr>
        <w:t xml:space="preserve">Euroopa Komisjoni teatis 2018/C 159/01, suunised turuanalüüsi ja märkimisväärse turujõu hindamise kohta vastavalt ELi elektrooniliste sidevõrkude ja -teenuste reguleerivale raamistikule, viide allikale: </w:t>
      </w:r>
      <w:hyperlink r:id="rId22" w:history="1">
        <w:r w:rsidRPr="004C5D21">
          <w:rPr>
            <w:rStyle w:val="Hperlink"/>
            <w:rFonts w:cs="Times New Roman"/>
            <w:sz w:val="18"/>
            <w:szCs w:val="18"/>
          </w:rPr>
          <w:t>https://eur-lex.europa.eu/legal-content/EN-ET/TXT/?uri=CELEX:52018XC0507(01)</w:t>
        </w:r>
      </w:hyperlink>
    </w:p>
  </w:footnote>
  <w:footnote w:id="35">
    <w:p w14:paraId="5A7E58AC" w14:textId="77777777" w:rsidR="00F23431" w:rsidRPr="004C5D21" w:rsidRDefault="00F23431" w:rsidP="00F23431">
      <w:pPr>
        <w:pStyle w:val="Allmrkusetekst"/>
        <w:rPr>
          <w:sz w:val="18"/>
          <w:szCs w:val="18"/>
        </w:rPr>
      </w:pPr>
      <w:r w:rsidRPr="004C5D21">
        <w:rPr>
          <w:rStyle w:val="Allmrkuseviide"/>
          <w:sz w:val="18"/>
          <w:szCs w:val="18"/>
        </w:rPr>
        <w:footnoteRef/>
      </w:r>
      <w:r w:rsidRPr="004C5D21">
        <w:rPr>
          <w:sz w:val="18"/>
          <w:szCs w:val="18"/>
        </w:rPr>
        <w:t xml:space="preserve"> </w:t>
      </w:r>
      <w:r w:rsidRPr="004C5D21">
        <w:rPr>
          <w:sz w:val="18"/>
          <w:szCs w:val="18"/>
        </w:rPr>
        <w:t xml:space="preserve">Viide allikale: </w:t>
      </w:r>
      <w:hyperlink r:id="rId23" w:history="1">
        <w:r w:rsidRPr="004C5D21">
          <w:rPr>
            <w:rStyle w:val="Hperlink"/>
            <w:sz w:val="18"/>
            <w:szCs w:val="18"/>
          </w:rPr>
          <w:t>https://ec.europa.eu/newsroom/dae/document.cfm?doc_id=56516</w:t>
        </w:r>
      </w:hyperlink>
      <w:r w:rsidRPr="004C5D21">
        <w:rPr>
          <w:sz w:val="18"/>
          <w:szCs w:val="18"/>
        </w:rPr>
        <w:t xml:space="preserve">  </w:t>
      </w:r>
    </w:p>
  </w:footnote>
  <w:footnote w:id="36">
    <w:p w14:paraId="3C1CA79C" w14:textId="77777777" w:rsidR="00F23431" w:rsidRPr="004C5D21" w:rsidRDefault="00F23431" w:rsidP="00F23431">
      <w:pPr>
        <w:pStyle w:val="Allmrkusetekst"/>
        <w:rPr>
          <w:sz w:val="18"/>
          <w:szCs w:val="18"/>
        </w:rPr>
      </w:pPr>
      <w:r w:rsidRPr="004C5D21">
        <w:rPr>
          <w:rStyle w:val="Allmrkuseviide"/>
          <w:sz w:val="18"/>
          <w:szCs w:val="18"/>
        </w:rPr>
        <w:footnoteRef/>
      </w:r>
      <w:r w:rsidRPr="004C5D21">
        <w:rPr>
          <w:sz w:val="18"/>
          <w:szCs w:val="18"/>
        </w:rPr>
        <w:t xml:space="preserve"> </w:t>
      </w:r>
      <w:r w:rsidRPr="004C5D21">
        <w:rPr>
          <w:sz w:val="18"/>
          <w:szCs w:val="18"/>
        </w:rPr>
        <w:t xml:space="preserve">Viide allikale: </w:t>
      </w:r>
      <w:hyperlink r:id="rId24" w:history="1">
        <w:r w:rsidRPr="004C5D21">
          <w:rPr>
            <w:rStyle w:val="Hperlink"/>
            <w:sz w:val="18"/>
            <w:szCs w:val="18"/>
          </w:rPr>
          <w:t>https://www.berec.europa.eu/en/document-categories/berec/regulatory-best-practices/guidelines/draft-berec-guidelines-on-very-high-capacity-networks</w:t>
        </w:r>
      </w:hyperlink>
      <w:r w:rsidRPr="004C5D21">
        <w:rPr>
          <w:sz w:val="18"/>
          <w:szCs w:val="18"/>
        </w:rPr>
        <w:t xml:space="preserve"> </w:t>
      </w:r>
    </w:p>
  </w:footnote>
  <w:footnote w:id="37">
    <w:p w14:paraId="3256DF71" w14:textId="77777777" w:rsidR="00F23431" w:rsidRPr="004C5D21" w:rsidRDefault="00F23431" w:rsidP="00F23431">
      <w:pPr>
        <w:pStyle w:val="Allmrkusetekst"/>
        <w:rPr>
          <w:sz w:val="18"/>
          <w:szCs w:val="18"/>
        </w:rPr>
      </w:pPr>
      <w:r w:rsidRPr="004C5D21">
        <w:rPr>
          <w:rStyle w:val="Allmrkuseviide"/>
          <w:sz w:val="18"/>
          <w:szCs w:val="18"/>
        </w:rPr>
        <w:footnoteRef/>
      </w:r>
      <w:r w:rsidRPr="004C5D21">
        <w:rPr>
          <w:sz w:val="18"/>
          <w:szCs w:val="18"/>
        </w:rPr>
        <w:t xml:space="preserve"> </w:t>
      </w:r>
      <w:r w:rsidRPr="004C5D21">
        <w:rPr>
          <w:sz w:val="18"/>
          <w:szCs w:val="18"/>
        </w:rPr>
        <w:t xml:space="preserve">Viide allikale: </w:t>
      </w:r>
      <w:hyperlink r:id="rId25" w:history="1">
        <w:r w:rsidRPr="004C5D21">
          <w:rPr>
            <w:rStyle w:val="Hperlink"/>
            <w:sz w:val="18"/>
            <w:szCs w:val="18"/>
          </w:rPr>
          <w:t>https://www.berec.europa.eu/en/document-categories/berec/reports/draft-berec-report-on-competition-amongst-multiple-operators-of-nga-networks-in-the-same-geographical-region</w:t>
        </w:r>
      </w:hyperlink>
      <w:r w:rsidRPr="004C5D21">
        <w:rPr>
          <w:sz w:val="18"/>
          <w:szCs w:val="18"/>
        </w:rPr>
        <w:t xml:space="preserve"> </w:t>
      </w:r>
    </w:p>
  </w:footnote>
  <w:footnote w:id="38">
    <w:p w14:paraId="49C6CEBD" w14:textId="77777777" w:rsidR="00F23431" w:rsidRPr="004C5D21" w:rsidRDefault="00F23431" w:rsidP="00F23431">
      <w:pPr>
        <w:pStyle w:val="Allmrkusetekst"/>
        <w:rPr>
          <w:sz w:val="18"/>
          <w:szCs w:val="18"/>
        </w:rPr>
      </w:pPr>
      <w:r w:rsidRPr="004C5D21">
        <w:rPr>
          <w:rStyle w:val="Allmrkuseviide"/>
          <w:sz w:val="18"/>
          <w:szCs w:val="18"/>
        </w:rPr>
        <w:footnoteRef/>
      </w:r>
      <w:r w:rsidRPr="004C5D21">
        <w:rPr>
          <w:sz w:val="18"/>
          <w:szCs w:val="18"/>
        </w:rPr>
        <w:t xml:space="preserve"> </w:t>
      </w:r>
      <w:r w:rsidRPr="004C5D21">
        <w:rPr>
          <w:sz w:val="18"/>
          <w:szCs w:val="18"/>
        </w:rPr>
        <w:t xml:space="preserve">Viide allikale: </w:t>
      </w:r>
      <w:hyperlink r:id="rId26" w:history="1">
        <w:r w:rsidRPr="004C5D21">
          <w:rPr>
            <w:rStyle w:val="Hperlink"/>
            <w:sz w:val="18"/>
            <w:szCs w:val="18"/>
          </w:rPr>
          <w:t>https://www.berec.europa.eu/en/document-categories/berec/reports/berec-report-on-the-application-of-the-common-position-on-geographic-aspects-of-market-analysis</w:t>
        </w:r>
      </w:hyperlink>
      <w:r w:rsidRPr="004C5D21">
        <w:rPr>
          <w:sz w:val="18"/>
          <w:szCs w:val="18"/>
        </w:rPr>
        <w:t xml:space="preserve">  </w:t>
      </w:r>
    </w:p>
  </w:footnote>
  <w:footnote w:id="39">
    <w:p w14:paraId="6AF5F695" w14:textId="77777777" w:rsidR="00F23431" w:rsidRPr="006E35A8" w:rsidRDefault="00F23431" w:rsidP="00F23431">
      <w:pPr>
        <w:pStyle w:val="Allmrkusetekst"/>
        <w:rPr>
          <w:sz w:val="18"/>
          <w:szCs w:val="18"/>
        </w:rPr>
      </w:pPr>
      <w:r w:rsidRPr="004C5D21">
        <w:rPr>
          <w:rStyle w:val="Allmrkuseviide"/>
          <w:sz w:val="18"/>
          <w:szCs w:val="18"/>
        </w:rPr>
        <w:footnoteRef/>
      </w:r>
      <w:r w:rsidRPr="004C5D21">
        <w:rPr>
          <w:sz w:val="18"/>
          <w:szCs w:val="18"/>
        </w:rPr>
        <w:t xml:space="preserve"> </w:t>
      </w:r>
      <w:r w:rsidRPr="004C5D21">
        <w:rPr>
          <w:sz w:val="18"/>
          <w:szCs w:val="18"/>
        </w:rPr>
        <w:t xml:space="preserve">Viide allikale: </w:t>
      </w:r>
      <w:hyperlink r:id="rId27" w:history="1">
        <w:r w:rsidRPr="004C5D21">
          <w:rPr>
            <w:rStyle w:val="Hperlink"/>
            <w:sz w:val="18"/>
            <w:szCs w:val="18"/>
          </w:rPr>
          <w:t>https://www.berec.europa.eu/en/document-categories/berec/regulatory-best-practices/common-approachespositions/berec-common-position-on-geographic-aspects-of-market-analysis-definition-and-remedies</w:t>
        </w:r>
      </w:hyperlink>
      <w:r>
        <w:rPr>
          <w:sz w:val="18"/>
          <w:szCs w:val="18"/>
        </w:rPr>
        <w:t xml:space="preserve"> </w:t>
      </w:r>
    </w:p>
  </w:footnote>
  <w:footnote w:id="40">
    <w:p w14:paraId="7901AEBB" w14:textId="77777777" w:rsidR="00F23431" w:rsidRPr="000A0049" w:rsidRDefault="00F23431" w:rsidP="00F23431">
      <w:pPr>
        <w:pStyle w:val="Allmrkusetekst"/>
        <w:rPr>
          <w:sz w:val="18"/>
          <w:szCs w:val="18"/>
        </w:rPr>
      </w:pPr>
      <w:r w:rsidRPr="000A0049">
        <w:rPr>
          <w:rStyle w:val="Allmrkuseviide"/>
          <w:sz w:val="18"/>
          <w:szCs w:val="18"/>
        </w:rPr>
        <w:footnoteRef/>
      </w:r>
      <w:r w:rsidRPr="000A0049">
        <w:rPr>
          <w:sz w:val="18"/>
          <w:szCs w:val="18"/>
        </w:rPr>
        <w:t xml:space="preserve"> </w:t>
      </w:r>
      <w:hyperlink r:id="rId28" w:history="1">
        <w:r w:rsidRPr="000A0049">
          <w:rPr>
            <w:rStyle w:val="Hperlink"/>
            <w:sz w:val="18"/>
            <w:szCs w:val="18"/>
          </w:rPr>
          <w:t>https://ttja.ee/media/1010/download</w:t>
        </w:r>
      </w:hyperlink>
      <w:r w:rsidRPr="000A0049">
        <w:rPr>
          <w:sz w:val="18"/>
          <w:szCs w:val="18"/>
        </w:rPr>
        <w:t xml:space="preserve"> </w:t>
      </w:r>
    </w:p>
  </w:footnote>
  <w:footnote w:id="41">
    <w:p w14:paraId="50993ED5" w14:textId="77777777" w:rsidR="00F23431" w:rsidRDefault="00F23431" w:rsidP="00F23431">
      <w:pPr>
        <w:pStyle w:val="Allmrkusetekst"/>
      </w:pPr>
      <w:r w:rsidRPr="000A0049">
        <w:rPr>
          <w:rStyle w:val="Allmrkuseviide"/>
          <w:sz w:val="18"/>
          <w:szCs w:val="18"/>
        </w:rPr>
        <w:footnoteRef/>
      </w:r>
      <w:r w:rsidRPr="000A0049">
        <w:rPr>
          <w:sz w:val="18"/>
          <w:szCs w:val="18"/>
        </w:rPr>
        <w:t xml:space="preserve"> </w:t>
      </w:r>
      <w:hyperlink r:id="rId29" w:history="1">
        <w:r w:rsidRPr="000A0049">
          <w:rPr>
            <w:rStyle w:val="Hperlink"/>
            <w:sz w:val="18"/>
            <w:szCs w:val="18"/>
          </w:rPr>
          <w:t>https://ttja.ee/media/1025/download</w:t>
        </w:r>
      </w:hyperlink>
      <w:r>
        <w:t xml:space="preserve"> </w:t>
      </w:r>
    </w:p>
  </w:footnote>
  <w:footnote w:id="42">
    <w:p w14:paraId="220C57CF" w14:textId="77777777" w:rsidR="00F23431" w:rsidRPr="001F02DA" w:rsidRDefault="00F23431" w:rsidP="00F23431">
      <w:pPr>
        <w:pStyle w:val="Allmrkusetekst"/>
        <w:rPr>
          <w:i/>
          <w:iCs/>
          <w:u w:val="single"/>
        </w:rPr>
      </w:pPr>
      <w:r>
        <w:rPr>
          <w:rStyle w:val="Allmrkuseviide"/>
        </w:rPr>
        <w:footnoteRef/>
      </w:r>
      <w:r>
        <w:t xml:space="preserve"> </w:t>
      </w:r>
      <w:r>
        <w:t xml:space="preserve">EK 2020 </w:t>
      </w:r>
      <w:r w:rsidRPr="00581F18">
        <w:t xml:space="preserve">turgude </w:t>
      </w:r>
      <w:r>
        <w:t xml:space="preserve">soovituse sissejuhatuse punkt 6: </w:t>
      </w:r>
      <w:r w:rsidRPr="001F02DA">
        <w:rPr>
          <w:i/>
          <w:iCs/>
        </w:rPr>
        <w:t>Regulatiivse sekkumise lõppeesmärk on tuua lõppkasutajatele kasu hinna, kvaliteedi ja valiku osas, saavutades jätkusuutliku konkurentsi jaemüügi tasandil. Käesolevas soovituses tuleks asjaomaste turgude kindlaksmääramisel lähtuda jaeturgude määratlusest ja nende tulevikuperspektiivist teatava ajavahemiku jooksul ning juhindudes konkurentsiõigusest</w:t>
      </w:r>
      <w:r w:rsidRPr="001F02DA">
        <w:rPr>
          <w:i/>
          <w:iCs/>
          <w:u w:val="single"/>
        </w:rPr>
        <w:t>. Kui jaeturud on hulgituru reguleerimise puudumisel tegelikult konkurentsivõimelised, peaksid riikide reguleerivad asutused järeldama, et asjaomaste hulgiturgude reguleerimine ei ole enam vajalik.</w:t>
      </w:r>
    </w:p>
  </w:footnote>
  <w:footnote w:id="43">
    <w:p w14:paraId="4E915F4A" w14:textId="77777777" w:rsidR="00F23431" w:rsidRPr="001F02DA" w:rsidRDefault="00F23431" w:rsidP="00F23431">
      <w:pPr>
        <w:pStyle w:val="Allmrkusetekst"/>
        <w:rPr>
          <w:i/>
          <w:iCs/>
        </w:rPr>
      </w:pPr>
      <w:r>
        <w:rPr>
          <w:rStyle w:val="Allmrkuseviide"/>
        </w:rPr>
        <w:footnoteRef/>
      </w:r>
      <w:r>
        <w:t xml:space="preserve"> </w:t>
      </w:r>
      <w:r>
        <w:t xml:space="preserve">EK 2020 </w:t>
      </w:r>
      <w:r w:rsidRPr="00581F18">
        <w:t xml:space="preserve">turgude </w:t>
      </w:r>
      <w:r>
        <w:t xml:space="preserve">soovituse punkt 2:  </w:t>
      </w:r>
      <w:r w:rsidRPr="001F02DA">
        <w:rPr>
          <w:i/>
          <w:iCs/>
        </w:rPr>
        <w:t>Kui riigi reguleeriv asutus on seisukohal, et riigi konkreetset olukorda arvesse võttes ei ole mõne lisas osutatud turu suhtes vaja kohaldada eelnevat reguleerimist, peaks riigi reguleeriv asutus tegema kolmel kriteeriumil põhineva analüüsi ja tõendama, et täitmata on vähemalt üks direktiivi (EL) 2018/1972 artikli 67 lõikes 1 nimetatud kolmest kriteeriumist, ja komisjon seda kinnitama.</w:t>
      </w:r>
    </w:p>
  </w:footnote>
  <w:footnote w:id="44">
    <w:p w14:paraId="3A01717A" w14:textId="77777777" w:rsidR="00F23431" w:rsidRPr="001F02DA" w:rsidRDefault="00F23431" w:rsidP="00F23431">
      <w:pPr>
        <w:pStyle w:val="Allmrkusetekst"/>
        <w:rPr>
          <w:i/>
          <w:iCs/>
        </w:rPr>
      </w:pPr>
      <w:r>
        <w:rPr>
          <w:rStyle w:val="Allmrkuseviide"/>
        </w:rPr>
        <w:footnoteRef/>
      </w:r>
      <w:r>
        <w:t xml:space="preserve"> </w:t>
      </w:r>
      <w:r>
        <w:t xml:space="preserve">EK 2020 </w:t>
      </w:r>
      <w:r w:rsidRPr="00581F18">
        <w:t xml:space="preserve">turgude </w:t>
      </w:r>
      <w:r>
        <w:t xml:space="preserve">soovituse sissejuhatuse punkt 45: </w:t>
      </w:r>
      <w:r w:rsidRPr="001F02DA">
        <w:rPr>
          <w:i/>
          <w:iCs/>
        </w:rPr>
        <w:t>Olemasolevate regulatiivsete kohustuste muutmise või säilitamise üle otsustades peaksid riikide reguleerivad asutused kolme kriteeriumi alusel analüüsima ka komisjoni soovitustes 2003/311/EÜ, (5) 2007/879/EÜ (6) ja 2014/710/EL loetletud turgusid, mida käesoleva soovituse lisas enam nimetatud pole.</w:t>
      </w:r>
    </w:p>
  </w:footnote>
  <w:footnote w:id="45">
    <w:p w14:paraId="646B15C2" w14:textId="77777777" w:rsidR="00F23431" w:rsidRPr="00B90163" w:rsidRDefault="00F23431" w:rsidP="00F23431">
      <w:pPr>
        <w:pStyle w:val="Allmrkusetekst"/>
        <w:rPr>
          <w:i/>
          <w:iCs/>
        </w:rPr>
      </w:pPr>
      <w:r>
        <w:rPr>
          <w:rStyle w:val="Allmrkuseviide"/>
        </w:rPr>
        <w:footnoteRef/>
      </w:r>
      <w:r>
        <w:t xml:space="preserve"> </w:t>
      </w:r>
      <w:r>
        <w:t xml:space="preserve">Sidekoodeksi artikkel 67: </w:t>
      </w:r>
      <w:r w:rsidRPr="00B90163">
        <w:rPr>
          <w:i/>
          <w:iCs/>
        </w:rPr>
        <w:t>Kui riigi reguleeriv asutus analüüsib soovitusega</w:t>
      </w:r>
      <w:r>
        <w:rPr>
          <w:i/>
          <w:iCs/>
        </w:rPr>
        <w:t xml:space="preserve"> (näiteks EK 2020 </w:t>
      </w:r>
      <w:r w:rsidRPr="00581F18">
        <w:rPr>
          <w:i/>
          <w:iCs/>
        </w:rPr>
        <w:t xml:space="preserve">turgude </w:t>
      </w:r>
      <w:r>
        <w:rPr>
          <w:i/>
          <w:iCs/>
        </w:rPr>
        <w:t>soovitus)</w:t>
      </w:r>
      <w:r w:rsidRPr="00B90163">
        <w:rPr>
          <w:i/>
          <w:iCs/>
        </w:rPr>
        <w:t xml:space="preserve"> hõlmatud turgu, loeb ta teise lõigu punktid a, b ja c </w:t>
      </w:r>
      <w:r>
        <w:rPr>
          <w:i/>
          <w:iCs/>
        </w:rPr>
        <w:t xml:space="preserve">(ehk kolme kriteeriumi testi) </w:t>
      </w:r>
      <w:r w:rsidRPr="00B90163">
        <w:rPr>
          <w:i/>
          <w:iCs/>
        </w:rPr>
        <w:t>täidetuks, välja arvatud juhul, kui riigi reguleeriv asutus teeb kindlaks, et üht või enamat kõnealust kriteeriumi ei täideta konkreetsete riigisiseste asjaolude korral</w:t>
      </w:r>
      <w:r>
        <w:rPr>
          <w:i/>
          <w:iCs/>
        </w:rPr>
        <w:t>.</w:t>
      </w:r>
    </w:p>
  </w:footnote>
  <w:footnote w:id="46">
    <w:p w14:paraId="7D9D4A5F" w14:textId="77777777" w:rsidR="0095323E" w:rsidRDefault="0095323E" w:rsidP="0095323E">
      <w:pPr>
        <w:pStyle w:val="Allmrkusetekst"/>
      </w:pPr>
      <w:r>
        <w:rPr>
          <w:rStyle w:val="Allmrkuseviide"/>
        </w:rPr>
        <w:footnoteRef/>
      </w:r>
      <w:r>
        <w:t xml:space="preserve"> </w:t>
      </w:r>
      <w:r>
        <w:t>Suunise punktid 33-34</w:t>
      </w:r>
    </w:p>
  </w:footnote>
  <w:footnote w:id="47">
    <w:p w14:paraId="163B12E1" w14:textId="77777777" w:rsidR="0095323E" w:rsidRDefault="0095323E" w:rsidP="0095323E">
      <w:pPr>
        <w:pStyle w:val="Allmrkusetekst"/>
      </w:pPr>
      <w:r>
        <w:rPr>
          <w:rStyle w:val="Allmrkuseviide"/>
        </w:rPr>
        <w:footnoteRef/>
      </w:r>
      <w:r>
        <w:t xml:space="preserve"> </w:t>
      </w:r>
      <w:r w:rsidRPr="00DE2A32">
        <w:t xml:space="preserve">Mobiilsidevõrgu puhul on kaasatud ainult piiramatu mahuga internetiühenduste paketid, mis on suunatud püsiasukohaga </w:t>
      </w:r>
      <w:r>
        <w:t>tarbimiseks.</w:t>
      </w:r>
      <w:r w:rsidRPr="00DE2A32">
        <w:t xml:space="preserve"> </w:t>
      </w:r>
      <w:r>
        <w:t xml:space="preserve">Neid </w:t>
      </w:r>
      <w:r w:rsidRPr="00DE2A32">
        <w:t>müüakse üldjuhul koduinterneti ja kontoriinterneti pakettide</w:t>
      </w:r>
      <w:r>
        <w:t>g</w:t>
      </w:r>
      <w:r w:rsidRPr="00DE2A32">
        <w:t>a</w:t>
      </w:r>
      <w:r>
        <w:t>.</w:t>
      </w:r>
      <w:r w:rsidRPr="00DE2A32">
        <w:t xml:space="preserve"> </w:t>
      </w:r>
      <w:r>
        <w:t>Samas n</w:t>
      </w:r>
      <w:r w:rsidRPr="00DE2A32">
        <w:t xml:space="preserve">ende osas tehniliselt </w:t>
      </w:r>
      <w:r>
        <w:t xml:space="preserve">siiski </w:t>
      </w:r>
      <w:r w:rsidRPr="00DE2A32">
        <w:t xml:space="preserve">ei piirata kasutamist </w:t>
      </w:r>
      <w:r>
        <w:t xml:space="preserve">ainult </w:t>
      </w:r>
      <w:r w:rsidRPr="00DE2A32">
        <w:t>püsiasukoha</w:t>
      </w:r>
      <w:r>
        <w:t>s</w:t>
      </w:r>
      <w:r w:rsidRPr="00DE2A32">
        <w:t xml:space="preserve"> ehk</w:t>
      </w:r>
      <w:r>
        <w:t xml:space="preserve"> need</w:t>
      </w:r>
      <w:r w:rsidRPr="00DE2A32">
        <w:t xml:space="preserve"> ei ole seotud ainult ühe mobiilsidevõrgu baasjaamaga</w:t>
      </w:r>
      <w:r>
        <w:t>.</w:t>
      </w:r>
    </w:p>
  </w:footnote>
  <w:footnote w:id="48">
    <w:p w14:paraId="734FF8A8" w14:textId="77777777" w:rsidR="0095323E" w:rsidRPr="007612E5" w:rsidRDefault="0095323E" w:rsidP="0095323E">
      <w:pPr>
        <w:pStyle w:val="Allmrkusetekst"/>
        <w:rPr>
          <w:sz w:val="18"/>
          <w:szCs w:val="18"/>
        </w:rPr>
      </w:pPr>
      <w:r w:rsidRPr="007612E5">
        <w:rPr>
          <w:rStyle w:val="Allmrkuseviide"/>
          <w:sz w:val="18"/>
          <w:szCs w:val="18"/>
        </w:rPr>
        <w:footnoteRef/>
      </w:r>
      <w:r w:rsidRPr="007612E5">
        <w:rPr>
          <w:sz w:val="18"/>
          <w:szCs w:val="18"/>
        </w:rPr>
        <w:t xml:space="preserve"> </w:t>
      </w:r>
      <w:r w:rsidRPr="007612E5">
        <w:rPr>
          <w:sz w:val="18"/>
          <w:szCs w:val="18"/>
        </w:rPr>
        <w:t>Viide allikale</w:t>
      </w:r>
      <w:r>
        <w:rPr>
          <w:sz w:val="18"/>
          <w:szCs w:val="18"/>
        </w:rPr>
        <w:t>, vt § 7</w:t>
      </w:r>
      <w:r w:rsidRPr="007612E5">
        <w:rPr>
          <w:sz w:val="18"/>
          <w:szCs w:val="18"/>
        </w:rPr>
        <w:t xml:space="preserve">: </w:t>
      </w:r>
      <w:hyperlink r:id="rId30" w:history="1">
        <w:r w:rsidRPr="007612E5">
          <w:rPr>
            <w:rStyle w:val="Hperlink"/>
            <w:sz w:val="18"/>
            <w:szCs w:val="18"/>
          </w:rPr>
          <w:t>https://www.riigiteataja.ee/akt/129012022011</w:t>
        </w:r>
      </w:hyperlink>
      <w:r w:rsidRPr="007612E5">
        <w:rPr>
          <w:sz w:val="18"/>
          <w:szCs w:val="18"/>
        </w:rPr>
        <w:t xml:space="preserve"> </w:t>
      </w:r>
    </w:p>
  </w:footnote>
  <w:footnote w:id="49">
    <w:p w14:paraId="5E034AB4" w14:textId="77777777" w:rsidR="0095323E" w:rsidRPr="005C6387" w:rsidRDefault="0095323E" w:rsidP="0095323E">
      <w:pPr>
        <w:pStyle w:val="Allmrkusetekst"/>
        <w:rPr>
          <w:sz w:val="18"/>
          <w:szCs w:val="18"/>
        </w:rPr>
      </w:pPr>
      <w:r w:rsidRPr="005C6387">
        <w:rPr>
          <w:rStyle w:val="Allmrkuseviide"/>
          <w:sz w:val="18"/>
          <w:szCs w:val="18"/>
        </w:rPr>
        <w:footnoteRef/>
      </w:r>
      <w:r w:rsidRPr="005C6387">
        <w:rPr>
          <w:sz w:val="18"/>
          <w:szCs w:val="18"/>
        </w:rPr>
        <w:t xml:space="preserve"> </w:t>
      </w:r>
      <w:r w:rsidRPr="000D40BE">
        <w:rPr>
          <w:sz w:val="18"/>
          <w:szCs w:val="18"/>
        </w:rPr>
        <w:t>5G NSA</w:t>
      </w:r>
      <w:r>
        <w:rPr>
          <w:sz w:val="18"/>
          <w:szCs w:val="18"/>
        </w:rPr>
        <w:t xml:space="preserve"> tehnoloogiat on kirjeldatud näiteks siin: </w:t>
      </w:r>
      <w:hyperlink r:id="rId31" w:history="1">
        <w:r w:rsidRPr="00C34B06">
          <w:rPr>
            <w:rStyle w:val="Hperlink"/>
            <w:sz w:val="18"/>
            <w:szCs w:val="18"/>
          </w:rPr>
          <w:t>https://www.techtarget.com/searchnetworking/feature/5G-NSA-vs-SA-How-does-each-deployment-mode-differ</w:t>
        </w:r>
      </w:hyperlink>
      <w:r>
        <w:rPr>
          <w:sz w:val="18"/>
          <w:szCs w:val="18"/>
        </w:rPr>
        <w:t xml:space="preserve"> </w:t>
      </w:r>
      <w:r w:rsidRPr="005C6387">
        <w:rPr>
          <w:sz w:val="18"/>
          <w:szCs w:val="18"/>
        </w:rPr>
        <w:t xml:space="preserve"> </w:t>
      </w:r>
    </w:p>
  </w:footnote>
  <w:footnote w:id="50">
    <w:p w14:paraId="3F55B707" w14:textId="77777777" w:rsidR="0095323E" w:rsidRDefault="0095323E" w:rsidP="0095323E">
      <w:pPr>
        <w:pStyle w:val="Allmrkusetekst"/>
      </w:pPr>
      <w:r>
        <w:rPr>
          <w:rStyle w:val="Allmrkuseviide"/>
        </w:rPr>
        <w:footnoteRef/>
      </w:r>
      <w:r>
        <w:t xml:space="preserve"> </w:t>
      </w:r>
      <w:r>
        <w:t xml:space="preserve">Telia pressiteade 30.04.2024, </w:t>
      </w:r>
      <w:hyperlink r:id="rId32" w:history="1">
        <w:r w:rsidRPr="006D5BDB">
          <w:rPr>
            <w:rStyle w:val="Hperlink"/>
          </w:rPr>
          <w:t>https://www.telia.ee/uudised/telia-on-5g-leviga-katnud-81-eesti-rahvastikust</w:t>
        </w:r>
      </w:hyperlink>
      <w:r>
        <w:t xml:space="preserve"> </w:t>
      </w:r>
    </w:p>
  </w:footnote>
  <w:footnote w:id="51">
    <w:p w14:paraId="565B6700" w14:textId="77777777" w:rsidR="0095323E" w:rsidRDefault="0095323E" w:rsidP="0095323E">
      <w:pPr>
        <w:pStyle w:val="Allmrkusetekst"/>
      </w:pPr>
      <w:r>
        <w:rPr>
          <w:rStyle w:val="Allmrkuseviide"/>
        </w:rPr>
        <w:footnoteRef/>
      </w:r>
      <w:r>
        <w:t xml:space="preserve"> </w:t>
      </w:r>
      <w:r>
        <w:t xml:space="preserve">Elisa pressiteade 19.04.2024, </w:t>
      </w:r>
      <w:hyperlink r:id="rId33" w:history="1">
        <w:r w:rsidRPr="006D5BDB">
          <w:rPr>
            <w:rStyle w:val="Hperlink"/>
          </w:rPr>
          <w:t>https://www.elisa.ee/et/uudised/elisa-naitas-esimeses-kvartalis-haid-tulemusi-numbriliikuvuses-ja-astus-olulise-sammu-5g</w:t>
        </w:r>
      </w:hyperlink>
      <w:r>
        <w:t xml:space="preserve"> </w:t>
      </w:r>
    </w:p>
  </w:footnote>
  <w:footnote w:id="52">
    <w:p w14:paraId="0B8B5494" w14:textId="77777777" w:rsidR="0095323E" w:rsidRDefault="0095323E" w:rsidP="0095323E">
      <w:pPr>
        <w:pStyle w:val="Allmrkusetekst"/>
      </w:pPr>
      <w:r>
        <w:rPr>
          <w:rStyle w:val="Allmrkuseviide"/>
        </w:rPr>
        <w:footnoteRef/>
      </w:r>
      <w:r>
        <w:t xml:space="preserve"> </w:t>
      </w:r>
      <w:r>
        <w:t xml:space="preserve">Tele2 pressiteade 30.01.2024, </w:t>
      </w:r>
      <w:hyperlink r:id="rId34" w:history="1">
        <w:r w:rsidRPr="006D5BDB">
          <w:rPr>
            <w:rStyle w:val="Hperlink"/>
          </w:rPr>
          <w:t>https://tele2.ee/uudised/2023majandustulemused</w:t>
        </w:r>
      </w:hyperlink>
      <w:r>
        <w:t xml:space="preserve"> </w:t>
      </w:r>
    </w:p>
  </w:footnote>
  <w:footnote w:id="53">
    <w:p w14:paraId="7B38629E" w14:textId="77777777" w:rsidR="0095323E" w:rsidRDefault="0095323E" w:rsidP="0095323E">
      <w:pPr>
        <w:pStyle w:val="Allmrkusetekst"/>
      </w:pPr>
      <w:r>
        <w:rPr>
          <w:rStyle w:val="Allmrkuseviide"/>
        </w:rPr>
        <w:footnoteRef/>
      </w:r>
      <w:r>
        <w:t xml:space="preserve"> </w:t>
      </w:r>
      <w:r w:rsidRPr="00073825">
        <w:t xml:space="preserve">Digital </w:t>
      </w:r>
      <w:proofErr w:type="spellStart"/>
      <w:r w:rsidRPr="00073825">
        <w:t>Economy</w:t>
      </w:r>
      <w:proofErr w:type="spellEnd"/>
      <w:r w:rsidRPr="00073825">
        <w:t xml:space="preserve"> and </w:t>
      </w:r>
      <w:proofErr w:type="spellStart"/>
      <w:r w:rsidRPr="00073825">
        <w:t>Society</w:t>
      </w:r>
      <w:proofErr w:type="spellEnd"/>
      <w:r w:rsidRPr="00073825">
        <w:t xml:space="preserve"> </w:t>
      </w:r>
      <w:proofErr w:type="spellStart"/>
      <w:r w:rsidRPr="00073825">
        <w:t>Index</w:t>
      </w:r>
      <w:proofErr w:type="spellEnd"/>
      <w:r w:rsidRPr="00073825">
        <w:t xml:space="preserve"> (DESI) 2021</w:t>
      </w:r>
      <w:r>
        <w:t xml:space="preserve">, </w:t>
      </w:r>
      <w:r w:rsidRPr="00073825">
        <w:t xml:space="preserve">Digital </w:t>
      </w:r>
      <w:proofErr w:type="spellStart"/>
      <w:r w:rsidRPr="00073825">
        <w:t>infrastructures</w:t>
      </w:r>
      <w:proofErr w:type="spellEnd"/>
      <w:r>
        <w:t>, lk 4, viide</w:t>
      </w:r>
      <w:r w:rsidRPr="00073825">
        <w:t xml:space="preserve"> </w:t>
      </w:r>
      <w:r>
        <w:t xml:space="preserve">allikale: </w:t>
      </w:r>
      <w:hyperlink r:id="rId35" w:history="1">
        <w:r w:rsidRPr="004A35D3">
          <w:rPr>
            <w:rStyle w:val="Hperlink"/>
          </w:rPr>
          <w:t>https://ec.europa.eu/newsroom/dae/redirection/document/80552</w:t>
        </w:r>
      </w:hyperlink>
      <w:r>
        <w:t xml:space="preserve"> </w:t>
      </w:r>
    </w:p>
  </w:footnote>
  <w:footnote w:id="54">
    <w:p w14:paraId="3D2C31B9" w14:textId="77777777" w:rsidR="0095323E" w:rsidRDefault="0095323E" w:rsidP="0095323E">
      <w:pPr>
        <w:pStyle w:val="Allmrkusetekst"/>
      </w:pPr>
      <w:r>
        <w:rPr>
          <w:rStyle w:val="Allmrkuseviide"/>
        </w:rPr>
        <w:footnoteRef/>
      </w:r>
      <w:r w:rsidRPr="00073825">
        <w:t>Digiühiskonna arengukava 2030</w:t>
      </w:r>
      <w:r>
        <w:t xml:space="preserve">, lk 34, viide allikale: </w:t>
      </w:r>
      <w:hyperlink r:id="rId36" w:history="1">
        <w:r w:rsidRPr="004A35D3">
          <w:rPr>
            <w:rStyle w:val="Hperlink"/>
          </w:rPr>
          <w:t>https://www.mkm.ee/digiriik-ja-uhenduvus/digiuhiskonna-arengukava-2030</w:t>
        </w:r>
      </w:hyperlink>
      <w:r>
        <w:t xml:space="preserve"> </w:t>
      </w:r>
    </w:p>
  </w:footnote>
  <w:footnote w:id="55">
    <w:p w14:paraId="637C5674" w14:textId="77777777" w:rsidR="0095323E" w:rsidRDefault="0095323E" w:rsidP="0095323E">
      <w:pPr>
        <w:pStyle w:val="Allmrkusetekst"/>
      </w:pPr>
      <w:r>
        <w:rPr>
          <w:rStyle w:val="Allmrkuseviide"/>
        </w:rPr>
        <w:footnoteRef/>
      </w:r>
      <w:r>
        <w:t xml:space="preserve"> </w:t>
      </w:r>
      <w:r>
        <w:t>Kogutud sideettevõtjate avalikelt veebilehtedelt</w:t>
      </w:r>
    </w:p>
  </w:footnote>
  <w:footnote w:id="56">
    <w:p w14:paraId="340D8E96" w14:textId="77777777" w:rsidR="0095323E" w:rsidRDefault="0095323E" w:rsidP="0095323E">
      <w:pPr>
        <w:pStyle w:val="Allmrkusetekst"/>
      </w:pPr>
      <w:r>
        <w:rPr>
          <w:rStyle w:val="Allmrkuseviide"/>
        </w:rPr>
        <w:footnoteRef/>
      </w:r>
      <w:r>
        <w:t xml:space="preserve"> </w:t>
      </w:r>
      <w:r w:rsidRPr="00560862">
        <w:t xml:space="preserve">Mobiilsidevõrgu 5G baasil on 26GHz sagedusalas küll testimisel saavutatud ka ca 2000 Mbit/s kiiruseid, kuid jae klientidele selliseid kiiruseid mobiilsidevõrgu operaatorite avalikel veebilehtedel veel ei pakuta. </w:t>
      </w:r>
      <w:r>
        <w:t xml:space="preserve">Viide allikale: </w:t>
      </w:r>
      <w:hyperlink r:id="rId37" w:history="1">
        <w:r w:rsidRPr="002F6394">
          <w:rPr>
            <w:rStyle w:val="Hperlink"/>
          </w:rPr>
          <w:t>https://digitark.telia.ee/era/telia-naitas-oma-5g-vorgus-uut-kiirusrekordit/</w:t>
        </w:r>
      </w:hyperlink>
      <w:r>
        <w:t xml:space="preserve"> </w:t>
      </w:r>
    </w:p>
  </w:footnote>
  <w:footnote w:id="57">
    <w:p w14:paraId="0723E04B" w14:textId="77777777" w:rsidR="0095323E" w:rsidRDefault="0095323E" w:rsidP="0095323E">
      <w:pPr>
        <w:pStyle w:val="Allmrkusetekst"/>
      </w:pPr>
      <w:r>
        <w:rPr>
          <w:rStyle w:val="Allmrkuseviide"/>
        </w:rPr>
        <w:footnoteRef/>
      </w:r>
      <w:r>
        <w:t xml:space="preserve"> </w:t>
      </w:r>
      <w:r>
        <w:t xml:space="preserve">Näiteks Telia, viide allikale: </w:t>
      </w:r>
      <w:hyperlink r:id="rId38" w:history="1">
        <w:r w:rsidRPr="00002B19">
          <w:rPr>
            <w:rStyle w:val="Hperlink"/>
          </w:rPr>
          <w:t>https://www.telia.ee/uudised/telia-naitas-oma-5g-vorgus-uut-kiirusrekordit</w:t>
        </w:r>
      </w:hyperlink>
      <w:r>
        <w:t xml:space="preserve"> </w:t>
      </w:r>
    </w:p>
  </w:footnote>
  <w:footnote w:id="58">
    <w:p w14:paraId="066061E2" w14:textId="77777777" w:rsidR="0095323E" w:rsidRPr="0003359B" w:rsidRDefault="0095323E" w:rsidP="0095323E">
      <w:pPr>
        <w:pStyle w:val="Allmrkusetekst"/>
        <w:rPr>
          <w:sz w:val="18"/>
          <w:szCs w:val="18"/>
        </w:rPr>
      </w:pPr>
      <w:r w:rsidRPr="0003359B">
        <w:rPr>
          <w:rStyle w:val="Allmrkuseviide"/>
          <w:sz w:val="18"/>
          <w:szCs w:val="18"/>
        </w:rPr>
        <w:footnoteRef/>
      </w:r>
      <w:r w:rsidRPr="0003359B">
        <w:rPr>
          <w:sz w:val="18"/>
          <w:szCs w:val="18"/>
        </w:rPr>
        <w:t xml:space="preserve"> </w:t>
      </w:r>
      <w:r w:rsidRPr="0003359B">
        <w:rPr>
          <w:sz w:val="18"/>
          <w:szCs w:val="18"/>
        </w:rPr>
        <w:t xml:space="preserve">ptk. 4.1.1: COMMISSION STAFF WORKING DOCUMENT EXPLANATORY NOTE </w:t>
      </w:r>
      <w:proofErr w:type="spellStart"/>
      <w:r w:rsidRPr="0003359B">
        <w:rPr>
          <w:sz w:val="18"/>
          <w:szCs w:val="18"/>
        </w:rPr>
        <w:t>Accompanying</w:t>
      </w:r>
      <w:proofErr w:type="spellEnd"/>
      <w:r w:rsidRPr="0003359B">
        <w:rPr>
          <w:sz w:val="18"/>
          <w:szCs w:val="18"/>
        </w:rPr>
        <w:t xml:space="preserve"> </w:t>
      </w:r>
      <w:proofErr w:type="spellStart"/>
      <w:r w:rsidRPr="0003359B">
        <w:rPr>
          <w:sz w:val="18"/>
          <w:szCs w:val="18"/>
        </w:rPr>
        <w:t>the</w:t>
      </w:r>
      <w:proofErr w:type="spellEnd"/>
      <w:r w:rsidRPr="0003359B">
        <w:rPr>
          <w:sz w:val="18"/>
          <w:szCs w:val="18"/>
        </w:rPr>
        <w:t xml:space="preserve"> </w:t>
      </w:r>
      <w:proofErr w:type="spellStart"/>
      <w:r w:rsidRPr="0003359B">
        <w:rPr>
          <w:sz w:val="18"/>
          <w:szCs w:val="18"/>
        </w:rPr>
        <w:t>document</w:t>
      </w:r>
      <w:proofErr w:type="spellEnd"/>
    </w:p>
    <w:p w14:paraId="3A97DD44" w14:textId="77777777" w:rsidR="0095323E" w:rsidRPr="0003359B" w:rsidRDefault="0095323E" w:rsidP="0095323E">
      <w:pPr>
        <w:pStyle w:val="Allmrkusetekst"/>
        <w:rPr>
          <w:sz w:val="18"/>
          <w:szCs w:val="18"/>
        </w:rPr>
      </w:pPr>
      <w:r w:rsidRPr="0003359B">
        <w:rPr>
          <w:sz w:val="18"/>
          <w:szCs w:val="18"/>
        </w:rPr>
        <w:t xml:space="preserve">COMMISSION RECOMMENDATION on relevant </w:t>
      </w:r>
      <w:proofErr w:type="spellStart"/>
      <w:r w:rsidRPr="0003359B">
        <w:rPr>
          <w:sz w:val="18"/>
          <w:szCs w:val="18"/>
        </w:rPr>
        <w:t>product</w:t>
      </w:r>
      <w:proofErr w:type="spellEnd"/>
      <w:r w:rsidRPr="0003359B">
        <w:rPr>
          <w:sz w:val="18"/>
          <w:szCs w:val="18"/>
        </w:rPr>
        <w:t xml:space="preserve"> and </w:t>
      </w:r>
      <w:proofErr w:type="spellStart"/>
      <w:r w:rsidRPr="0003359B">
        <w:rPr>
          <w:sz w:val="18"/>
          <w:szCs w:val="18"/>
        </w:rPr>
        <w:t>service</w:t>
      </w:r>
      <w:proofErr w:type="spellEnd"/>
      <w:r w:rsidRPr="0003359B">
        <w:rPr>
          <w:sz w:val="18"/>
          <w:szCs w:val="18"/>
        </w:rPr>
        <w:t xml:space="preserve"> </w:t>
      </w:r>
      <w:proofErr w:type="spellStart"/>
      <w:r w:rsidRPr="0003359B">
        <w:rPr>
          <w:sz w:val="18"/>
          <w:szCs w:val="18"/>
        </w:rPr>
        <w:t>markets</w:t>
      </w:r>
      <w:proofErr w:type="spellEnd"/>
      <w:r w:rsidRPr="0003359B">
        <w:rPr>
          <w:sz w:val="18"/>
          <w:szCs w:val="18"/>
        </w:rPr>
        <w:t xml:space="preserve"> </w:t>
      </w:r>
      <w:proofErr w:type="spellStart"/>
      <w:r w:rsidRPr="0003359B">
        <w:rPr>
          <w:sz w:val="18"/>
          <w:szCs w:val="18"/>
        </w:rPr>
        <w:t>within</w:t>
      </w:r>
      <w:proofErr w:type="spellEnd"/>
      <w:r w:rsidRPr="0003359B">
        <w:rPr>
          <w:sz w:val="18"/>
          <w:szCs w:val="18"/>
        </w:rPr>
        <w:t xml:space="preserve"> </w:t>
      </w:r>
      <w:proofErr w:type="spellStart"/>
      <w:r w:rsidRPr="0003359B">
        <w:rPr>
          <w:sz w:val="18"/>
          <w:szCs w:val="18"/>
        </w:rPr>
        <w:t>the</w:t>
      </w:r>
      <w:proofErr w:type="spellEnd"/>
      <w:r w:rsidRPr="0003359B">
        <w:rPr>
          <w:sz w:val="18"/>
          <w:szCs w:val="18"/>
        </w:rPr>
        <w:t xml:space="preserve"> </w:t>
      </w:r>
      <w:proofErr w:type="spellStart"/>
      <w:r w:rsidRPr="0003359B">
        <w:rPr>
          <w:sz w:val="18"/>
          <w:szCs w:val="18"/>
        </w:rPr>
        <w:t>electronic</w:t>
      </w:r>
      <w:proofErr w:type="spellEnd"/>
      <w:r w:rsidRPr="0003359B">
        <w:rPr>
          <w:sz w:val="18"/>
          <w:szCs w:val="18"/>
        </w:rPr>
        <w:t xml:space="preserve"> </w:t>
      </w:r>
      <w:proofErr w:type="spellStart"/>
      <w:r w:rsidRPr="0003359B">
        <w:rPr>
          <w:sz w:val="18"/>
          <w:szCs w:val="18"/>
        </w:rPr>
        <w:t>communications</w:t>
      </w:r>
      <w:proofErr w:type="spellEnd"/>
      <w:r w:rsidRPr="0003359B">
        <w:rPr>
          <w:sz w:val="18"/>
          <w:szCs w:val="18"/>
        </w:rPr>
        <w:t xml:space="preserve"> </w:t>
      </w:r>
      <w:proofErr w:type="spellStart"/>
      <w:r w:rsidRPr="0003359B">
        <w:rPr>
          <w:sz w:val="18"/>
          <w:szCs w:val="18"/>
        </w:rPr>
        <w:t>sector</w:t>
      </w:r>
      <w:proofErr w:type="spellEnd"/>
      <w:r w:rsidRPr="0003359B">
        <w:rPr>
          <w:sz w:val="18"/>
          <w:szCs w:val="18"/>
        </w:rPr>
        <w:t xml:space="preserve"> </w:t>
      </w:r>
      <w:proofErr w:type="spellStart"/>
      <w:r w:rsidRPr="0003359B">
        <w:rPr>
          <w:sz w:val="18"/>
          <w:szCs w:val="18"/>
        </w:rPr>
        <w:t>susceptible</w:t>
      </w:r>
      <w:proofErr w:type="spellEnd"/>
      <w:r w:rsidRPr="0003359B">
        <w:rPr>
          <w:sz w:val="18"/>
          <w:szCs w:val="18"/>
        </w:rPr>
        <w:t xml:space="preserve"> </w:t>
      </w:r>
      <w:proofErr w:type="spellStart"/>
      <w:r w:rsidRPr="0003359B">
        <w:rPr>
          <w:sz w:val="18"/>
          <w:szCs w:val="18"/>
        </w:rPr>
        <w:t>to</w:t>
      </w:r>
      <w:proofErr w:type="spellEnd"/>
      <w:r w:rsidRPr="0003359B">
        <w:rPr>
          <w:sz w:val="18"/>
          <w:szCs w:val="18"/>
        </w:rPr>
        <w:t xml:space="preserve"> </w:t>
      </w:r>
      <w:proofErr w:type="spellStart"/>
      <w:r w:rsidRPr="0003359B">
        <w:rPr>
          <w:sz w:val="18"/>
          <w:szCs w:val="18"/>
        </w:rPr>
        <w:t>ex</w:t>
      </w:r>
      <w:proofErr w:type="spellEnd"/>
      <w:r w:rsidRPr="0003359B">
        <w:rPr>
          <w:sz w:val="18"/>
          <w:szCs w:val="18"/>
        </w:rPr>
        <w:t xml:space="preserve"> </w:t>
      </w:r>
      <w:proofErr w:type="spellStart"/>
      <w:r w:rsidRPr="0003359B">
        <w:rPr>
          <w:sz w:val="18"/>
          <w:szCs w:val="18"/>
        </w:rPr>
        <w:t>ante</w:t>
      </w:r>
      <w:proofErr w:type="spellEnd"/>
      <w:r w:rsidRPr="0003359B">
        <w:rPr>
          <w:sz w:val="18"/>
          <w:szCs w:val="18"/>
        </w:rPr>
        <w:t xml:space="preserve"> </w:t>
      </w:r>
      <w:proofErr w:type="spellStart"/>
      <w:r w:rsidRPr="0003359B">
        <w:rPr>
          <w:sz w:val="18"/>
          <w:szCs w:val="18"/>
        </w:rPr>
        <w:t>regulation</w:t>
      </w:r>
      <w:proofErr w:type="spellEnd"/>
      <w:r w:rsidRPr="0003359B">
        <w:rPr>
          <w:sz w:val="18"/>
          <w:szCs w:val="18"/>
        </w:rPr>
        <w:t xml:space="preserve"> in </w:t>
      </w:r>
      <w:proofErr w:type="spellStart"/>
      <w:r w:rsidRPr="0003359B">
        <w:rPr>
          <w:sz w:val="18"/>
          <w:szCs w:val="18"/>
        </w:rPr>
        <w:t>accordance</w:t>
      </w:r>
      <w:proofErr w:type="spellEnd"/>
      <w:r w:rsidRPr="0003359B">
        <w:rPr>
          <w:sz w:val="18"/>
          <w:szCs w:val="18"/>
        </w:rPr>
        <w:t xml:space="preserve"> </w:t>
      </w:r>
      <w:proofErr w:type="spellStart"/>
      <w:r w:rsidRPr="0003359B">
        <w:rPr>
          <w:sz w:val="18"/>
          <w:szCs w:val="18"/>
        </w:rPr>
        <w:t>with</w:t>
      </w:r>
      <w:proofErr w:type="spellEnd"/>
      <w:r w:rsidRPr="0003359B">
        <w:rPr>
          <w:sz w:val="18"/>
          <w:szCs w:val="18"/>
        </w:rPr>
        <w:t xml:space="preserve"> </w:t>
      </w:r>
      <w:proofErr w:type="spellStart"/>
      <w:r w:rsidRPr="0003359B">
        <w:rPr>
          <w:sz w:val="18"/>
          <w:szCs w:val="18"/>
        </w:rPr>
        <w:t>Directive</w:t>
      </w:r>
      <w:proofErr w:type="spellEnd"/>
      <w:r w:rsidRPr="0003359B">
        <w:rPr>
          <w:sz w:val="18"/>
          <w:szCs w:val="18"/>
        </w:rPr>
        <w:t xml:space="preserve"> (EU) 2018/1972 of </w:t>
      </w:r>
      <w:proofErr w:type="spellStart"/>
      <w:r w:rsidRPr="0003359B">
        <w:rPr>
          <w:sz w:val="18"/>
          <w:szCs w:val="18"/>
        </w:rPr>
        <w:t>the</w:t>
      </w:r>
      <w:proofErr w:type="spellEnd"/>
    </w:p>
    <w:p w14:paraId="6F103C16" w14:textId="77777777" w:rsidR="0095323E" w:rsidRDefault="0095323E" w:rsidP="0095323E">
      <w:pPr>
        <w:pStyle w:val="Allmrkusetekst"/>
      </w:pPr>
      <w:proofErr w:type="spellStart"/>
      <w:r w:rsidRPr="0003359B">
        <w:rPr>
          <w:sz w:val="18"/>
          <w:szCs w:val="18"/>
        </w:rPr>
        <w:t>European</w:t>
      </w:r>
      <w:proofErr w:type="spellEnd"/>
      <w:r w:rsidRPr="0003359B">
        <w:rPr>
          <w:sz w:val="18"/>
          <w:szCs w:val="18"/>
        </w:rPr>
        <w:t xml:space="preserve"> </w:t>
      </w:r>
      <w:proofErr w:type="spellStart"/>
      <w:r w:rsidRPr="0003359B">
        <w:rPr>
          <w:sz w:val="18"/>
          <w:szCs w:val="18"/>
        </w:rPr>
        <w:t>Parliament</w:t>
      </w:r>
      <w:proofErr w:type="spellEnd"/>
      <w:r w:rsidRPr="0003359B">
        <w:rPr>
          <w:sz w:val="18"/>
          <w:szCs w:val="18"/>
        </w:rPr>
        <w:t xml:space="preserve"> and of </w:t>
      </w:r>
      <w:proofErr w:type="spellStart"/>
      <w:r w:rsidRPr="0003359B">
        <w:rPr>
          <w:sz w:val="18"/>
          <w:szCs w:val="18"/>
        </w:rPr>
        <w:t>the</w:t>
      </w:r>
      <w:proofErr w:type="spellEnd"/>
      <w:r w:rsidRPr="0003359B">
        <w:rPr>
          <w:sz w:val="18"/>
          <w:szCs w:val="18"/>
        </w:rPr>
        <w:t xml:space="preserve"> </w:t>
      </w:r>
      <w:proofErr w:type="spellStart"/>
      <w:r w:rsidRPr="0003359B">
        <w:rPr>
          <w:sz w:val="18"/>
          <w:szCs w:val="18"/>
        </w:rPr>
        <w:t>Council</w:t>
      </w:r>
      <w:proofErr w:type="spellEnd"/>
      <w:r w:rsidRPr="0003359B">
        <w:rPr>
          <w:sz w:val="18"/>
          <w:szCs w:val="18"/>
        </w:rPr>
        <w:t xml:space="preserve"> of 11 </w:t>
      </w:r>
      <w:proofErr w:type="spellStart"/>
      <w:r w:rsidRPr="0003359B">
        <w:rPr>
          <w:sz w:val="18"/>
          <w:szCs w:val="18"/>
        </w:rPr>
        <w:t>December</w:t>
      </w:r>
      <w:proofErr w:type="spellEnd"/>
      <w:r w:rsidRPr="0003359B">
        <w:rPr>
          <w:sz w:val="18"/>
          <w:szCs w:val="18"/>
        </w:rPr>
        <w:t xml:space="preserve"> 2018 </w:t>
      </w:r>
      <w:proofErr w:type="spellStart"/>
      <w:r w:rsidRPr="0003359B">
        <w:rPr>
          <w:sz w:val="18"/>
          <w:szCs w:val="18"/>
        </w:rPr>
        <w:t>establishing</w:t>
      </w:r>
      <w:proofErr w:type="spellEnd"/>
      <w:r w:rsidRPr="0003359B">
        <w:rPr>
          <w:sz w:val="18"/>
          <w:szCs w:val="18"/>
        </w:rPr>
        <w:t xml:space="preserve"> </w:t>
      </w:r>
      <w:proofErr w:type="spellStart"/>
      <w:r w:rsidRPr="0003359B">
        <w:rPr>
          <w:sz w:val="18"/>
          <w:szCs w:val="18"/>
        </w:rPr>
        <w:t>the</w:t>
      </w:r>
      <w:proofErr w:type="spellEnd"/>
      <w:r w:rsidRPr="0003359B">
        <w:rPr>
          <w:sz w:val="18"/>
          <w:szCs w:val="18"/>
        </w:rPr>
        <w:t xml:space="preserve"> </w:t>
      </w:r>
      <w:proofErr w:type="spellStart"/>
      <w:r w:rsidRPr="0003359B">
        <w:rPr>
          <w:sz w:val="18"/>
          <w:szCs w:val="18"/>
        </w:rPr>
        <w:t>European</w:t>
      </w:r>
      <w:proofErr w:type="spellEnd"/>
      <w:r w:rsidRPr="0003359B">
        <w:rPr>
          <w:sz w:val="18"/>
          <w:szCs w:val="18"/>
        </w:rPr>
        <w:t xml:space="preserve"> </w:t>
      </w:r>
      <w:proofErr w:type="spellStart"/>
      <w:r w:rsidRPr="0003359B">
        <w:rPr>
          <w:sz w:val="18"/>
          <w:szCs w:val="18"/>
        </w:rPr>
        <w:t>Electronic</w:t>
      </w:r>
      <w:proofErr w:type="spellEnd"/>
      <w:r w:rsidRPr="0003359B">
        <w:rPr>
          <w:sz w:val="18"/>
          <w:szCs w:val="18"/>
        </w:rPr>
        <w:t xml:space="preserve"> </w:t>
      </w:r>
      <w:proofErr w:type="spellStart"/>
      <w:r w:rsidRPr="0003359B">
        <w:rPr>
          <w:sz w:val="18"/>
          <w:szCs w:val="18"/>
        </w:rPr>
        <w:t>Communications</w:t>
      </w:r>
      <w:proofErr w:type="spellEnd"/>
      <w:r w:rsidRPr="0003359B">
        <w:rPr>
          <w:sz w:val="18"/>
          <w:szCs w:val="18"/>
        </w:rPr>
        <w:t xml:space="preserve"> Code </w:t>
      </w:r>
      <w:hyperlink r:id="rId39" w:history="1">
        <w:r w:rsidRPr="0003359B">
          <w:rPr>
            <w:rStyle w:val="Hperlink"/>
            <w:sz w:val="18"/>
            <w:szCs w:val="18"/>
          </w:rPr>
          <w:t>https://www.nkom.no/ekom-markedet/markeder/markeder-som-reguleres/_/attachment/download/e804f701-e342-448d-95f9-0b81f4b5d144:b3bff2ccf56262242fdd0f242205cf2ab0335fb0/Kommisjonens%20Explanatory%20Note%20til%20anbefalingen%20av%2018.%20desember%202020.pdf</w:t>
        </w:r>
      </w:hyperlink>
      <w:r>
        <w:t xml:space="preserve"> </w:t>
      </w:r>
    </w:p>
  </w:footnote>
  <w:footnote w:id="59">
    <w:p w14:paraId="5CDE15A5" w14:textId="77777777" w:rsidR="0095323E" w:rsidRDefault="0095323E" w:rsidP="0095323E">
      <w:pPr>
        <w:pStyle w:val="Allmrkusetekst"/>
      </w:pPr>
      <w:r>
        <w:rPr>
          <w:rStyle w:val="Allmrkuseviide"/>
        </w:rPr>
        <w:footnoteRef/>
      </w:r>
      <w:r>
        <w:t xml:space="preserve"> </w:t>
      </w:r>
      <w:r>
        <w:t>TTJA 15.06.2022 e-kirjaga sideettevõtjatele saadetud küsimustik</w:t>
      </w:r>
    </w:p>
  </w:footnote>
  <w:footnote w:id="60">
    <w:p w14:paraId="4EF14C4F" w14:textId="77777777" w:rsidR="0095323E" w:rsidRDefault="0095323E" w:rsidP="0095323E">
      <w:pPr>
        <w:pStyle w:val="Allmrkusetekst"/>
      </w:pPr>
      <w:r>
        <w:rPr>
          <w:rStyle w:val="Allmrkuseviide"/>
        </w:rPr>
        <w:footnoteRef/>
      </w:r>
      <w:r>
        <w:t xml:space="preserve"> </w:t>
      </w:r>
      <w:r w:rsidRPr="004F39CB">
        <w:t xml:space="preserve">Elisa Eesti AS - 25.10.2022 a. kanti äriregistrisse Elisa Teleteenused AS ja Elisa Eesti AS ühinemine. Ühendava ühingu ärinimi Elisa Eesti AS, viide allikale </w:t>
      </w:r>
      <w:hyperlink r:id="rId40" w:history="1">
        <w:r w:rsidRPr="00C34B06">
          <w:rPr>
            <w:rStyle w:val="Hperlink"/>
          </w:rPr>
          <w:t>https://www.elisa.ee/et/uudised/elisa-ettevotete-uhinemine-joustus-25102022</w:t>
        </w:r>
      </w:hyperlink>
      <w:r>
        <w:t xml:space="preserve"> . </w:t>
      </w:r>
    </w:p>
  </w:footnote>
  <w:footnote w:id="61">
    <w:p w14:paraId="1A0945B9" w14:textId="77777777" w:rsidR="0095323E" w:rsidRPr="00440C12" w:rsidRDefault="0095323E" w:rsidP="0095323E">
      <w:pPr>
        <w:pStyle w:val="Allmrkusetekst"/>
        <w:rPr>
          <w:sz w:val="18"/>
          <w:szCs w:val="18"/>
        </w:rPr>
      </w:pPr>
      <w:r w:rsidRPr="00440C12">
        <w:rPr>
          <w:rStyle w:val="Allmrkuseviide"/>
          <w:sz w:val="18"/>
          <w:szCs w:val="18"/>
        </w:rPr>
        <w:footnoteRef/>
      </w:r>
      <w:r w:rsidRPr="00440C12">
        <w:rPr>
          <w:sz w:val="18"/>
          <w:szCs w:val="18"/>
        </w:rPr>
        <w:t xml:space="preserve"> </w:t>
      </w:r>
      <w:r w:rsidRPr="00440C12">
        <w:rPr>
          <w:sz w:val="18"/>
          <w:szCs w:val="18"/>
        </w:rPr>
        <w:t>Vastavalt „</w:t>
      </w:r>
      <w:hyperlink r:id="rId41" w:history="1">
        <w:r w:rsidRPr="00440C12">
          <w:rPr>
            <w:rStyle w:val="Hperlink"/>
            <w:sz w:val="18"/>
            <w:szCs w:val="18"/>
          </w:rPr>
          <w:t>Eesti territooriumi haldusjaotuse seadus</w:t>
        </w:r>
      </w:hyperlink>
      <w:r w:rsidRPr="00440C12">
        <w:rPr>
          <w:sz w:val="18"/>
          <w:szCs w:val="18"/>
        </w:rPr>
        <w:t>“ §2 (2) ja (3), §2</w:t>
      </w:r>
      <w:r w:rsidRPr="00440C12">
        <w:rPr>
          <w:sz w:val="18"/>
          <w:szCs w:val="18"/>
          <w:vertAlign w:val="superscript"/>
        </w:rPr>
        <w:t>1</w:t>
      </w:r>
      <w:r w:rsidRPr="00440C12">
        <w:rPr>
          <w:sz w:val="18"/>
          <w:szCs w:val="18"/>
        </w:rPr>
        <w:t xml:space="preserve"> (2) on haldusüksus haldusjaotusel põhinev, seaduse ja teiste õigusaktidega kindlaks määratud staatuse, nime ja piiridega üksus, mille territooriumi ulatuses teostatakse riiklikku või omavalitsuslikku haldamist. Maakonnas teostavad seaduse alusel riiklikku haldamist valdkonna eest vastutav minister ja valitsusasutused. Vallas ja linnas teostatakse omavalitsuslikku haldamist kohaliku omavalitsuse korralduse seaduse alusel. Maakonnad ja vallad haldusüksustena on määratud  „</w:t>
      </w:r>
      <w:hyperlink r:id="rId42" w:history="1">
        <w:r w:rsidRPr="00440C12">
          <w:rPr>
            <w:rStyle w:val="Hperlink"/>
            <w:sz w:val="18"/>
            <w:szCs w:val="18"/>
          </w:rPr>
          <w:t>Eesti territooriumi haldusüksuste nimistu</w:t>
        </w:r>
      </w:hyperlink>
      <w:r w:rsidRPr="00440C12">
        <w:rPr>
          <w:sz w:val="18"/>
          <w:szCs w:val="18"/>
        </w:rPr>
        <w:t xml:space="preserve">s“. </w:t>
      </w:r>
    </w:p>
  </w:footnote>
  <w:footnote w:id="62">
    <w:p w14:paraId="70C48792" w14:textId="77777777" w:rsidR="0095323E" w:rsidRPr="00440C12" w:rsidRDefault="0095323E" w:rsidP="0095323E">
      <w:pPr>
        <w:pStyle w:val="Allmrkusetekst"/>
        <w:rPr>
          <w:sz w:val="18"/>
          <w:szCs w:val="18"/>
        </w:rPr>
      </w:pPr>
      <w:r w:rsidRPr="00440C12">
        <w:rPr>
          <w:rStyle w:val="Allmrkuseviide"/>
          <w:sz w:val="18"/>
          <w:szCs w:val="18"/>
        </w:rPr>
        <w:footnoteRef/>
      </w:r>
      <w:r w:rsidRPr="00440C12">
        <w:rPr>
          <w:sz w:val="18"/>
          <w:szCs w:val="18"/>
        </w:rPr>
        <w:t xml:space="preserve">  </w:t>
      </w:r>
      <w:r w:rsidRPr="00440C12">
        <w:rPr>
          <w:sz w:val="18"/>
          <w:szCs w:val="18"/>
        </w:rPr>
        <w:t>Vastavalt „</w:t>
      </w:r>
      <w:hyperlink r:id="rId43" w:history="1">
        <w:r w:rsidRPr="00440C12">
          <w:rPr>
            <w:rStyle w:val="Hperlink"/>
            <w:sz w:val="18"/>
            <w:szCs w:val="18"/>
          </w:rPr>
          <w:t>Eesti territooriumi haldusjaotuse seadus</w:t>
        </w:r>
      </w:hyperlink>
      <w:r w:rsidRPr="00440C12">
        <w:rPr>
          <w:sz w:val="18"/>
          <w:szCs w:val="18"/>
        </w:rPr>
        <w:t xml:space="preserve">“ §6 (2) on asustusüksused linnad, külad ja alevid. </w:t>
      </w:r>
    </w:p>
  </w:footnote>
  <w:footnote w:id="63">
    <w:p w14:paraId="3E91E32D" w14:textId="77777777" w:rsidR="0095323E" w:rsidRDefault="0095323E" w:rsidP="0095323E">
      <w:pPr>
        <w:pStyle w:val="Allmrkusetekst"/>
      </w:pPr>
      <w:r w:rsidRPr="00440C12">
        <w:rPr>
          <w:rStyle w:val="Allmrkuseviide"/>
          <w:sz w:val="18"/>
          <w:szCs w:val="18"/>
        </w:rPr>
        <w:footnoteRef/>
      </w:r>
      <w:r w:rsidRPr="00440C12">
        <w:rPr>
          <w:sz w:val="18"/>
          <w:szCs w:val="18"/>
        </w:rPr>
        <w:t xml:space="preserve"> </w:t>
      </w:r>
      <w:hyperlink r:id="rId44" w:history="1">
        <w:r w:rsidRPr="00440C12">
          <w:rPr>
            <w:rStyle w:val="Hperlink"/>
            <w:sz w:val="18"/>
            <w:szCs w:val="18"/>
          </w:rPr>
          <w:t>https://www.eesti.ee/et/eesti-vabariik/eesti-vabariik/ueldandmed</w:t>
        </w:r>
      </w:hyperlink>
      <w:r>
        <w:t xml:space="preserve"> </w:t>
      </w:r>
    </w:p>
  </w:footnote>
  <w:footnote w:id="64">
    <w:p w14:paraId="7DC507FD" w14:textId="77777777" w:rsidR="0095323E" w:rsidRPr="00440C12" w:rsidRDefault="0095323E" w:rsidP="0095323E">
      <w:pPr>
        <w:pStyle w:val="Allmrkusetekst"/>
        <w:rPr>
          <w:sz w:val="18"/>
          <w:szCs w:val="18"/>
        </w:rPr>
      </w:pPr>
      <w:r w:rsidRPr="00440C12">
        <w:rPr>
          <w:rStyle w:val="Allmrkuseviide"/>
          <w:sz w:val="18"/>
          <w:szCs w:val="18"/>
        </w:rPr>
        <w:footnoteRef/>
      </w:r>
      <w:r w:rsidRPr="00440C12">
        <w:rPr>
          <w:sz w:val="18"/>
          <w:szCs w:val="18"/>
        </w:rPr>
        <w:t xml:space="preserve"> </w:t>
      </w:r>
      <w:r w:rsidRPr="00440C12">
        <w:rPr>
          <w:sz w:val="18"/>
          <w:szCs w:val="18"/>
        </w:rPr>
        <w:t xml:space="preserve">Statistikaameti andmebaas, viide allikale </w:t>
      </w:r>
      <w:hyperlink r:id="rId45" w:history="1">
        <w:r w:rsidRPr="00440C12">
          <w:rPr>
            <w:rStyle w:val="Hperlink"/>
            <w:sz w:val="18"/>
            <w:szCs w:val="18"/>
          </w:rPr>
          <w:t>https://andmed.stat.ee/et/stat/rahvastik__rahvastikunaitajad-ja-koosseis__rahvaarv-ja-rahvastiku-koosseis/RV0291U</w:t>
        </w:r>
      </w:hyperlink>
      <w:r w:rsidRPr="00440C12">
        <w:rPr>
          <w:sz w:val="18"/>
          <w:szCs w:val="18"/>
        </w:rPr>
        <w:t xml:space="preserve"> </w:t>
      </w:r>
    </w:p>
  </w:footnote>
  <w:footnote w:id="65">
    <w:p w14:paraId="0AD08287" w14:textId="77777777" w:rsidR="0095323E" w:rsidRDefault="0095323E" w:rsidP="0095323E">
      <w:pPr>
        <w:pStyle w:val="Allmrkusetekst"/>
      </w:pPr>
      <w:r>
        <w:rPr>
          <w:rStyle w:val="Allmrkuseviide"/>
        </w:rPr>
        <w:footnoteRef/>
      </w:r>
      <w:r>
        <w:t xml:space="preserve"> </w:t>
      </w:r>
      <w:bookmarkStart w:id="399" w:name="_Hlk135229393"/>
      <w:r w:rsidRPr="00D73EFE">
        <w:rPr>
          <w:i/>
          <w:iCs/>
        </w:rPr>
        <w:t xml:space="preserve">COMMISSION STAFF WORKING DOCUMENT EXPLANATORY NOTE, </w:t>
      </w:r>
      <w:proofErr w:type="spellStart"/>
      <w:r w:rsidRPr="00D73EFE">
        <w:rPr>
          <w:i/>
          <w:iCs/>
        </w:rPr>
        <w:t>Accompanying</w:t>
      </w:r>
      <w:proofErr w:type="spellEnd"/>
      <w:r w:rsidRPr="00D73EFE">
        <w:rPr>
          <w:i/>
          <w:iCs/>
        </w:rPr>
        <w:t xml:space="preserve"> </w:t>
      </w:r>
      <w:proofErr w:type="spellStart"/>
      <w:r w:rsidRPr="00D73EFE">
        <w:rPr>
          <w:i/>
          <w:iCs/>
        </w:rPr>
        <w:t>the</w:t>
      </w:r>
      <w:proofErr w:type="spellEnd"/>
      <w:r w:rsidRPr="00D73EFE">
        <w:rPr>
          <w:i/>
          <w:iCs/>
        </w:rPr>
        <w:t xml:space="preserve"> Document COMMISSION RECOMMENDATIO Non relevant </w:t>
      </w:r>
      <w:proofErr w:type="spellStart"/>
      <w:r w:rsidRPr="00D73EFE">
        <w:rPr>
          <w:i/>
          <w:iCs/>
        </w:rPr>
        <w:t>product</w:t>
      </w:r>
      <w:proofErr w:type="spellEnd"/>
      <w:r w:rsidRPr="00D73EFE">
        <w:rPr>
          <w:i/>
          <w:iCs/>
        </w:rPr>
        <w:t xml:space="preserve"> and </w:t>
      </w:r>
      <w:proofErr w:type="spellStart"/>
      <w:r w:rsidRPr="00D73EFE">
        <w:rPr>
          <w:i/>
          <w:iCs/>
        </w:rPr>
        <w:t>service</w:t>
      </w:r>
      <w:proofErr w:type="spellEnd"/>
      <w:r w:rsidRPr="00D73EFE">
        <w:rPr>
          <w:i/>
          <w:iCs/>
        </w:rPr>
        <w:t xml:space="preserve"> </w:t>
      </w:r>
      <w:proofErr w:type="spellStart"/>
      <w:r w:rsidRPr="00D73EFE">
        <w:rPr>
          <w:i/>
          <w:iCs/>
        </w:rPr>
        <w:t>markets</w:t>
      </w:r>
      <w:proofErr w:type="spellEnd"/>
      <w:r w:rsidRPr="00D73EFE">
        <w:rPr>
          <w:i/>
          <w:iCs/>
        </w:rPr>
        <w:t xml:space="preserve"> </w:t>
      </w:r>
      <w:proofErr w:type="spellStart"/>
      <w:r w:rsidRPr="00D73EFE">
        <w:rPr>
          <w:i/>
          <w:iCs/>
        </w:rPr>
        <w:t>within</w:t>
      </w:r>
      <w:proofErr w:type="spellEnd"/>
      <w:r w:rsidRPr="00D73EFE">
        <w:rPr>
          <w:i/>
          <w:iCs/>
        </w:rPr>
        <w:t xml:space="preserve"> </w:t>
      </w:r>
      <w:proofErr w:type="spellStart"/>
      <w:r w:rsidRPr="00D73EFE">
        <w:rPr>
          <w:i/>
          <w:iCs/>
        </w:rPr>
        <w:t>the</w:t>
      </w:r>
      <w:proofErr w:type="spellEnd"/>
      <w:r w:rsidRPr="00D73EFE">
        <w:rPr>
          <w:i/>
          <w:iCs/>
        </w:rPr>
        <w:t xml:space="preserve"> </w:t>
      </w:r>
      <w:proofErr w:type="spellStart"/>
      <w:r w:rsidRPr="00D73EFE">
        <w:rPr>
          <w:i/>
          <w:iCs/>
        </w:rPr>
        <w:t>electronic</w:t>
      </w:r>
      <w:proofErr w:type="spellEnd"/>
      <w:r w:rsidRPr="00D73EFE">
        <w:rPr>
          <w:i/>
          <w:iCs/>
        </w:rPr>
        <w:t xml:space="preserve"> </w:t>
      </w:r>
      <w:proofErr w:type="spellStart"/>
      <w:r w:rsidRPr="00D73EFE">
        <w:rPr>
          <w:i/>
          <w:iCs/>
        </w:rPr>
        <w:t>communications</w:t>
      </w:r>
      <w:proofErr w:type="spellEnd"/>
      <w:r w:rsidRPr="00D73EFE">
        <w:rPr>
          <w:i/>
          <w:iCs/>
        </w:rPr>
        <w:t xml:space="preserve"> </w:t>
      </w:r>
      <w:proofErr w:type="spellStart"/>
      <w:r w:rsidRPr="00D73EFE">
        <w:rPr>
          <w:i/>
          <w:iCs/>
        </w:rPr>
        <w:t>sector</w:t>
      </w:r>
      <w:proofErr w:type="spellEnd"/>
      <w:r w:rsidRPr="00D73EFE">
        <w:rPr>
          <w:i/>
          <w:iCs/>
        </w:rPr>
        <w:t xml:space="preserve"> </w:t>
      </w:r>
      <w:proofErr w:type="spellStart"/>
      <w:r w:rsidRPr="00D73EFE">
        <w:rPr>
          <w:i/>
          <w:iCs/>
        </w:rPr>
        <w:t>susceptible</w:t>
      </w:r>
      <w:proofErr w:type="spellEnd"/>
      <w:r w:rsidRPr="00D73EFE">
        <w:rPr>
          <w:i/>
          <w:iCs/>
        </w:rPr>
        <w:t xml:space="preserve"> </w:t>
      </w:r>
      <w:proofErr w:type="spellStart"/>
      <w:r w:rsidRPr="00D73EFE">
        <w:rPr>
          <w:i/>
          <w:iCs/>
        </w:rPr>
        <w:t>to</w:t>
      </w:r>
      <w:proofErr w:type="spellEnd"/>
      <w:r w:rsidRPr="00D73EFE">
        <w:rPr>
          <w:i/>
          <w:iCs/>
        </w:rPr>
        <w:t xml:space="preserve"> </w:t>
      </w:r>
      <w:proofErr w:type="spellStart"/>
      <w:r w:rsidRPr="00D73EFE">
        <w:rPr>
          <w:i/>
          <w:iCs/>
        </w:rPr>
        <w:t>ex</w:t>
      </w:r>
      <w:proofErr w:type="spellEnd"/>
      <w:r w:rsidRPr="00D73EFE">
        <w:rPr>
          <w:i/>
          <w:iCs/>
        </w:rPr>
        <w:t xml:space="preserve"> </w:t>
      </w:r>
      <w:proofErr w:type="spellStart"/>
      <w:r w:rsidRPr="00D73EFE">
        <w:rPr>
          <w:i/>
          <w:iCs/>
        </w:rPr>
        <w:t>ante</w:t>
      </w:r>
      <w:proofErr w:type="spellEnd"/>
      <w:r w:rsidRPr="00D73EFE">
        <w:rPr>
          <w:i/>
          <w:iCs/>
        </w:rPr>
        <w:t xml:space="preserve"> </w:t>
      </w:r>
      <w:proofErr w:type="spellStart"/>
      <w:r w:rsidRPr="00D73EFE">
        <w:rPr>
          <w:i/>
          <w:iCs/>
        </w:rPr>
        <w:t>regulation</w:t>
      </w:r>
      <w:proofErr w:type="spellEnd"/>
      <w:r w:rsidRPr="00D73EFE">
        <w:rPr>
          <w:i/>
          <w:iCs/>
        </w:rPr>
        <w:t xml:space="preserve"> in </w:t>
      </w:r>
      <w:proofErr w:type="spellStart"/>
      <w:r w:rsidRPr="00D73EFE">
        <w:rPr>
          <w:i/>
          <w:iCs/>
        </w:rPr>
        <w:t>accordance</w:t>
      </w:r>
      <w:proofErr w:type="spellEnd"/>
      <w:r w:rsidRPr="00D73EFE">
        <w:rPr>
          <w:i/>
          <w:iCs/>
        </w:rPr>
        <w:t xml:space="preserve"> </w:t>
      </w:r>
      <w:proofErr w:type="spellStart"/>
      <w:r w:rsidRPr="00D73EFE">
        <w:rPr>
          <w:i/>
          <w:iCs/>
        </w:rPr>
        <w:t>with</w:t>
      </w:r>
      <w:proofErr w:type="spellEnd"/>
      <w:r w:rsidRPr="00D73EFE">
        <w:rPr>
          <w:i/>
          <w:iCs/>
        </w:rPr>
        <w:t xml:space="preserve"> </w:t>
      </w:r>
      <w:proofErr w:type="spellStart"/>
      <w:r w:rsidRPr="00D73EFE">
        <w:rPr>
          <w:i/>
          <w:iCs/>
        </w:rPr>
        <w:t>Directive</w:t>
      </w:r>
      <w:proofErr w:type="spellEnd"/>
      <w:r w:rsidRPr="00D73EFE">
        <w:rPr>
          <w:i/>
          <w:iCs/>
        </w:rPr>
        <w:t xml:space="preserve"> (EU) 2018/1972 of </w:t>
      </w:r>
      <w:proofErr w:type="spellStart"/>
      <w:r w:rsidRPr="00D73EFE">
        <w:rPr>
          <w:i/>
          <w:iCs/>
        </w:rPr>
        <w:t>the</w:t>
      </w:r>
      <w:proofErr w:type="spellEnd"/>
      <w:r w:rsidRPr="00D73EFE">
        <w:rPr>
          <w:i/>
          <w:iCs/>
        </w:rPr>
        <w:t xml:space="preserve"> </w:t>
      </w:r>
      <w:proofErr w:type="spellStart"/>
      <w:r w:rsidRPr="00D73EFE">
        <w:rPr>
          <w:i/>
          <w:iCs/>
        </w:rPr>
        <w:t>European</w:t>
      </w:r>
      <w:proofErr w:type="spellEnd"/>
      <w:r w:rsidRPr="00D73EFE">
        <w:rPr>
          <w:i/>
          <w:iCs/>
        </w:rPr>
        <w:t xml:space="preserve"> </w:t>
      </w:r>
      <w:proofErr w:type="spellStart"/>
      <w:r w:rsidRPr="00D73EFE">
        <w:rPr>
          <w:i/>
          <w:iCs/>
        </w:rPr>
        <w:t>Parliament</w:t>
      </w:r>
      <w:proofErr w:type="spellEnd"/>
      <w:r w:rsidRPr="00D73EFE">
        <w:rPr>
          <w:i/>
          <w:iCs/>
        </w:rPr>
        <w:t xml:space="preserve"> and of </w:t>
      </w:r>
      <w:proofErr w:type="spellStart"/>
      <w:r w:rsidRPr="00D73EFE">
        <w:rPr>
          <w:i/>
          <w:iCs/>
        </w:rPr>
        <w:t>the</w:t>
      </w:r>
      <w:proofErr w:type="spellEnd"/>
      <w:r w:rsidRPr="00D73EFE">
        <w:rPr>
          <w:i/>
          <w:iCs/>
        </w:rPr>
        <w:t xml:space="preserve"> </w:t>
      </w:r>
      <w:proofErr w:type="spellStart"/>
      <w:r w:rsidRPr="00D73EFE">
        <w:rPr>
          <w:i/>
          <w:iCs/>
        </w:rPr>
        <w:t>Council</w:t>
      </w:r>
      <w:proofErr w:type="spellEnd"/>
      <w:r w:rsidRPr="00D73EFE">
        <w:rPr>
          <w:i/>
          <w:iCs/>
        </w:rPr>
        <w:t xml:space="preserve"> of 11 </w:t>
      </w:r>
      <w:proofErr w:type="spellStart"/>
      <w:r w:rsidRPr="00D73EFE">
        <w:rPr>
          <w:i/>
          <w:iCs/>
        </w:rPr>
        <w:t>December</w:t>
      </w:r>
      <w:proofErr w:type="spellEnd"/>
      <w:r w:rsidRPr="00D73EFE">
        <w:rPr>
          <w:i/>
          <w:iCs/>
        </w:rPr>
        <w:t xml:space="preserve"> 2018 </w:t>
      </w:r>
      <w:proofErr w:type="spellStart"/>
      <w:r w:rsidRPr="00D73EFE">
        <w:rPr>
          <w:i/>
          <w:iCs/>
        </w:rPr>
        <w:t>establishing</w:t>
      </w:r>
      <w:proofErr w:type="spellEnd"/>
      <w:r w:rsidRPr="00D73EFE">
        <w:rPr>
          <w:i/>
          <w:iCs/>
        </w:rPr>
        <w:t xml:space="preserve"> </w:t>
      </w:r>
      <w:proofErr w:type="spellStart"/>
      <w:r w:rsidRPr="00D73EFE">
        <w:rPr>
          <w:i/>
          <w:iCs/>
        </w:rPr>
        <w:t>the</w:t>
      </w:r>
      <w:proofErr w:type="spellEnd"/>
      <w:r w:rsidRPr="00D73EFE">
        <w:rPr>
          <w:i/>
          <w:iCs/>
        </w:rPr>
        <w:t xml:space="preserve"> </w:t>
      </w:r>
      <w:proofErr w:type="spellStart"/>
      <w:r w:rsidRPr="00D73EFE">
        <w:rPr>
          <w:i/>
          <w:iCs/>
        </w:rPr>
        <w:t>European</w:t>
      </w:r>
      <w:proofErr w:type="spellEnd"/>
      <w:r w:rsidRPr="00D73EFE">
        <w:rPr>
          <w:i/>
          <w:iCs/>
        </w:rPr>
        <w:t xml:space="preserve"> </w:t>
      </w:r>
      <w:proofErr w:type="spellStart"/>
      <w:r w:rsidRPr="00D73EFE">
        <w:rPr>
          <w:i/>
          <w:iCs/>
        </w:rPr>
        <w:t>Electronic</w:t>
      </w:r>
      <w:proofErr w:type="spellEnd"/>
      <w:r w:rsidRPr="00D73EFE">
        <w:rPr>
          <w:i/>
          <w:iCs/>
        </w:rPr>
        <w:t xml:space="preserve"> </w:t>
      </w:r>
      <w:proofErr w:type="spellStart"/>
      <w:r w:rsidRPr="00D73EFE">
        <w:rPr>
          <w:i/>
          <w:iCs/>
        </w:rPr>
        <w:t>Communications</w:t>
      </w:r>
      <w:proofErr w:type="spellEnd"/>
      <w:r w:rsidRPr="00D73EFE">
        <w:rPr>
          <w:i/>
          <w:iCs/>
        </w:rPr>
        <w:t xml:space="preserve"> Code ,{C(2020) 8750 </w:t>
      </w:r>
      <w:proofErr w:type="spellStart"/>
      <w:r w:rsidRPr="00D73EFE">
        <w:rPr>
          <w:i/>
          <w:iCs/>
        </w:rPr>
        <w:t>final</w:t>
      </w:r>
      <w:proofErr w:type="spellEnd"/>
      <w:r w:rsidRPr="00D73EFE">
        <w:rPr>
          <w:i/>
          <w:iCs/>
        </w:rPr>
        <w:t>},</w:t>
      </w:r>
      <w:r>
        <w:t xml:space="preserve"> ptk </w:t>
      </w:r>
      <w:r w:rsidRPr="00382F62">
        <w:t xml:space="preserve">2.5. </w:t>
      </w:r>
      <w:r>
        <w:t>„</w:t>
      </w:r>
      <w:r w:rsidRPr="00382F62">
        <w:rPr>
          <w:i/>
          <w:iCs/>
        </w:rPr>
        <w:t xml:space="preserve">The </w:t>
      </w:r>
      <w:proofErr w:type="spellStart"/>
      <w:r w:rsidRPr="00382F62">
        <w:rPr>
          <w:i/>
          <w:iCs/>
        </w:rPr>
        <w:t>definition</w:t>
      </w:r>
      <w:proofErr w:type="spellEnd"/>
      <w:r w:rsidRPr="00382F62">
        <w:rPr>
          <w:i/>
          <w:iCs/>
        </w:rPr>
        <w:t xml:space="preserve"> of relevant </w:t>
      </w:r>
      <w:proofErr w:type="spellStart"/>
      <w:r w:rsidRPr="00382F62">
        <w:rPr>
          <w:i/>
          <w:iCs/>
        </w:rPr>
        <w:t>geographic</w:t>
      </w:r>
      <w:proofErr w:type="spellEnd"/>
      <w:r w:rsidRPr="00382F62">
        <w:rPr>
          <w:i/>
          <w:iCs/>
        </w:rPr>
        <w:t xml:space="preserve"> </w:t>
      </w:r>
      <w:proofErr w:type="spellStart"/>
      <w:r w:rsidRPr="00382F62">
        <w:rPr>
          <w:i/>
          <w:iCs/>
        </w:rPr>
        <w:t>markets</w:t>
      </w:r>
      <w:proofErr w:type="spellEnd"/>
      <w:r>
        <w:t>“</w:t>
      </w:r>
      <w:r w:rsidRPr="00382F62">
        <w:t xml:space="preserve"> </w:t>
      </w:r>
      <w:r>
        <w:t xml:space="preserve">viide dokumendile: </w:t>
      </w:r>
      <w:hyperlink r:id="rId46" w:history="1">
        <w:r w:rsidRPr="00487B93">
          <w:rPr>
            <w:rStyle w:val="Hperlink"/>
          </w:rPr>
          <w:t>https://ec.europa.eu/newsroom/dae/redirection/document/72442</w:t>
        </w:r>
      </w:hyperlink>
      <w:r>
        <w:t xml:space="preserve"> </w:t>
      </w:r>
    </w:p>
    <w:bookmarkEnd w:id="399"/>
  </w:footnote>
  <w:footnote w:id="66">
    <w:p w14:paraId="7C2C3434" w14:textId="77777777" w:rsidR="0095323E" w:rsidRDefault="0095323E" w:rsidP="0095323E">
      <w:pPr>
        <w:pStyle w:val="Allmrkusetekst"/>
      </w:pPr>
      <w:r>
        <w:rPr>
          <w:rStyle w:val="Allmrkuseviide"/>
        </w:rPr>
        <w:footnoteRef/>
      </w:r>
      <w:r>
        <w:t xml:space="preserve"> </w:t>
      </w:r>
      <w:r>
        <w:t>Islandi sideturu regulaatori läbi viidud analüüs „</w:t>
      </w:r>
      <w:proofErr w:type="spellStart"/>
      <w:r w:rsidRPr="00382F62">
        <w:rPr>
          <w:i/>
          <w:iCs/>
        </w:rPr>
        <w:t>Summary</w:t>
      </w:r>
      <w:proofErr w:type="spellEnd"/>
      <w:r w:rsidRPr="00382F62">
        <w:rPr>
          <w:i/>
          <w:iCs/>
        </w:rPr>
        <w:t xml:space="preserve"> of market analysis in Europe </w:t>
      </w:r>
      <w:proofErr w:type="spellStart"/>
      <w:r w:rsidRPr="00382F62">
        <w:rPr>
          <w:i/>
          <w:iCs/>
        </w:rPr>
        <w:t>concerning</w:t>
      </w:r>
      <w:proofErr w:type="spellEnd"/>
      <w:r w:rsidRPr="00382F62">
        <w:rPr>
          <w:i/>
          <w:iCs/>
        </w:rPr>
        <w:t xml:space="preserve"> </w:t>
      </w:r>
      <w:proofErr w:type="spellStart"/>
      <w:r w:rsidRPr="00382F62">
        <w:rPr>
          <w:i/>
          <w:iCs/>
        </w:rPr>
        <w:t>the</w:t>
      </w:r>
      <w:proofErr w:type="spellEnd"/>
      <w:r w:rsidRPr="00382F62">
        <w:rPr>
          <w:i/>
          <w:iCs/>
        </w:rPr>
        <w:t xml:space="preserve"> </w:t>
      </w:r>
      <w:proofErr w:type="spellStart"/>
      <w:r w:rsidRPr="00382F62">
        <w:rPr>
          <w:i/>
          <w:iCs/>
        </w:rPr>
        <w:t>geographical</w:t>
      </w:r>
      <w:proofErr w:type="spellEnd"/>
      <w:r w:rsidRPr="00382F62">
        <w:rPr>
          <w:i/>
          <w:iCs/>
        </w:rPr>
        <w:t xml:space="preserve"> </w:t>
      </w:r>
      <w:proofErr w:type="spellStart"/>
      <w:r w:rsidRPr="00382F62">
        <w:rPr>
          <w:i/>
          <w:iCs/>
        </w:rPr>
        <w:t>definition</w:t>
      </w:r>
      <w:proofErr w:type="spellEnd"/>
      <w:r w:rsidRPr="00382F62">
        <w:rPr>
          <w:i/>
          <w:iCs/>
        </w:rPr>
        <w:t xml:space="preserve"> of </w:t>
      </w:r>
      <w:proofErr w:type="spellStart"/>
      <w:r w:rsidRPr="00382F62">
        <w:rPr>
          <w:i/>
          <w:iCs/>
        </w:rPr>
        <w:t>markets</w:t>
      </w:r>
      <w:proofErr w:type="spellEnd"/>
      <w:r>
        <w:t xml:space="preserve">“, viide dokumendile: </w:t>
      </w:r>
      <w:hyperlink r:id="rId47" w:history="1">
        <w:r w:rsidRPr="00487B93">
          <w:rPr>
            <w:rStyle w:val="Hperlink"/>
          </w:rPr>
          <w:t>https://www.eftasurv.int/cms/sites/default/files/documents/gopro/Appendix%20A-1_Market%20Analysis%20M3a%20and%20M3b_Public.pdf</w:t>
        </w:r>
      </w:hyperlink>
      <w:r>
        <w:t xml:space="preserve"> </w:t>
      </w:r>
    </w:p>
  </w:footnote>
  <w:footnote w:id="67">
    <w:p w14:paraId="46DBB3D0" w14:textId="248D2D69" w:rsidR="0095323E" w:rsidRPr="00D73EFE" w:rsidRDefault="0095323E" w:rsidP="0095323E">
      <w:pPr>
        <w:pStyle w:val="Allmrkusetekst"/>
      </w:pPr>
      <w:r>
        <w:rPr>
          <w:rStyle w:val="Allmrkuseviide"/>
        </w:rPr>
        <w:footnoteRef/>
      </w:r>
      <w:r>
        <w:t xml:space="preserve"> </w:t>
      </w:r>
      <w:r w:rsidRPr="00D73EFE">
        <w:rPr>
          <w:i/>
          <w:iCs/>
        </w:rPr>
        <w:t xml:space="preserve">COMMISSION STAFF WORKING DOCUMENT EXPLANATORY NOTE, </w:t>
      </w:r>
      <w:proofErr w:type="spellStart"/>
      <w:r w:rsidRPr="00D73EFE">
        <w:rPr>
          <w:i/>
          <w:iCs/>
        </w:rPr>
        <w:t>Accompanying</w:t>
      </w:r>
      <w:proofErr w:type="spellEnd"/>
      <w:r w:rsidRPr="00D73EFE">
        <w:rPr>
          <w:i/>
          <w:iCs/>
        </w:rPr>
        <w:t xml:space="preserve"> </w:t>
      </w:r>
      <w:proofErr w:type="spellStart"/>
      <w:r w:rsidRPr="00D73EFE">
        <w:rPr>
          <w:i/>
          <w:iCs/>
        </w:rPr>
        <w:t>the</w:t>
      </w:r>
      <w:proofErr w:type="spellEnd"/>
      <w:r w:rsidRPr="00D73EFE">
        <w:rPr>
          <w:i/>
          <w:iCs/>
        </w:rPr>
        <w:t xml:space="preserve"> Document COMMISSION RECOMMENDATION</w:t>
      </w:r>
      <w:r w:rsidR="00D73381">
        <w:rPr>
          <w:i/>
          <w:iCs/>
        </w:rPr>
        <w:t xml:space="preserve"> </w:t>
      </w:r>
      <w:r w:rsidRPr="00D73EFE">
        <w:rPr>
          <w:i/>
          <w:iCs/>
        </w:rPr>
        <w:t xml:space="preserve">on relevant </w:t>
      </w:r>
      <w:proofErr w:type="spellStart"/>
      <w:r w:rsidRPr="00D73EFE">
        <w:rPr>
          <w:i/>
          <w:iCs/>
        </w:rPr>
        <w:t>product</w:t>
      </w:r>
      <w:proofErr w:type="spellEnd"/>
      <w:r w:rsidRPr="00D73EFE">
        <w:rPr>
          <w:i/>
          <w:iCs/>
        </w:rPr>
        <w:t xml:space="preserve"> and </w:t>
      </w:r>
      <w:proofErr w:type="spellStart"/>
      <w:r w:rsidRPr="00D73EFE">
        <w:rPr>
          <w:i/>
          <w:iCs/>
        </w:rPr>
        <w:t>service</w:t>
      </w:r>
      <w:proofErr w:type="spellEnd"/>
      <w:r w:rsidRPr="00D73EFE">
        <w:rPr>
          <w:i/>
          <w:iCs/>
        </w:rPr>
        <w:t xml:space="preserve"> </w:t>
      </w:r>
      <w:proofErr w:type="spellStart"/>
      <w:r w:rsidRPr="00D73EFE">
        <w:rPr>
          <w:i/>
          <w:iCs/>
        </w:rPr>
        <w:t>markets</w:t>
      </w:r>
      <w:proofErr w:type="spellEnd"/>
      <w:r w:rsidRPr="00D73EFE">
        <w:rPr>
          <w:i/>
          <w:iCs/>
        </w:rPr>
        <w:t xml:space="preserve"> </w:t>
      </w:r>
      <w:proofErr w:type="spellStart"/>
      <w:r w:rsidRPr="00D73EFE">
        <w:rPr>
          <w:i/>
          <w:iCs/>
        </w:rPr>
        <w:t>within</w:t>
      </w:r>
      <w:proofErr w:type="spellEnd"/>
      <w:r w:rsidRPr="00D73EFE">
        <w:rPr>
          <w:i/>
          <w:iCs/>
        </w:rPr>
        <w:t xml:space="preserve"> </w:t>
      </w:r>
      <w:proofErr w:type="spellStart"/>
      <w:r w:rsidRPr="00D73EFE">
        <w:rPr>
          <w:i/>
          <w:iCs/>
        </w:rPr>
        <w:t>the</w:t>
      </w:r>
      <w:proofErr w:type="spellEnd"/>
      <w:r w:rsidRPr="00D73EFE">
        <w:rPr>
          <w:i/>
          <w:iCs/>
        </w:rPr>
        <w:t xml:space="preserve"> </w:t>
      </w:r>
      <w:proofErr w:type="spellStart"/>
      <w:r w:rsidRPr="00D73EFE">
        <w:rPr>
          <w:i/>
          <w:iCs/>
        </w:rPr>
        <w:t>electronic</w:t>
      </w:r>
      <w:proofErr w:type="spellEnd"/>
      <w:r w:rsidRPr="00D73EFE">
        <w:rPr>
          <w:i/>
          <w:iCs/>
        </w:rPr>
        <w:t xml:space="preserve"> </w:t>
      </w:r>
      <w:proofErr w:type="spellStart"/>
      <w:r w:rsidRPr="00D73EFE">
        <w:rPr>
          <w:i/>
          <w:iCs/>
        </w:rPr>
        <w:t>communications</w:t>
      </w:r>
      <w:proofErr w:type="spellEnd"/>
      <w:r w:rsidRPr="00D73EFE">
        <w:rPr>
          <w:i/>
          <w:iCs/>
        </w:rPr>
        <w:t xml:space="preserve"> </w:t>
      </w:r>
      <w:proofErr w:type="spellStart"/>
      <w:r w:rsidRPr="00D73EFE">
        <w:rPr>
          <w:i/>
          <w:iCs/>
        </w:rPr>
        <w:t>sector</w:t>
      </w:r>
      <w:proofErr w:type="spellEnd"/>
      <w:r w:rsidRPr="00D73EFE">
        <w:rPr>
          <w:i/>
          <w:iCs/>
        </w:rPr>
        <w:t xml:space="preserve"> </w:t>
      </w:r>
      <w:proofErr w:type="spellStart"/>
      <w:r w:rsidRPr="00D73EFE">
        <w:rPr>
          <w:i/>
          <w:iCs/>
        </w:rPr>
        <w:t>susceptible</w:t>
      </w:r>
      <w:proofErr w:type="spellEnd"/>
      <w:r w:rsidRPr="00D73EFE">
        <w:rPr>
          <w:i/>
          <w:iCs/>
        </w:rPr>
        <w:t xml:space="preserve"> </w:t>
      </w:r>
      <w:proofErr w:type="spellStart"/>
      <w:r w:rsidRPr="00D73EFE">
        <w:rPr>
          <w:i/>
          <w:iCs/>
        </w:rPr>
        <w:t>to</w:t>
      </w:r>
      <w:proofErr w:type="spellEnd"/>
      <w:r w:rsidRPr="00D73EFE">
        <w:rPr>
          <w:i/>
          <w:iCs/>
        </w:rPr>
        <w:t xml:space="preserve"> </w:t>
      </w:r>
      <w:proofErr w:type="spellStart"/>
      <w:r w:rsidRPr="00D73EFE">
        <w:rPr>
          <w:i/>
          <w:iCs/>
        </w:rPr>
        <w:t>ex</w:t>
      </w:r>
      <w:proofErr w:type="spellEnd"/>
      <w:r w:rsidRPr="00D73EFE">
        <w:rPr>
          <w:i/>
          <w:iCs/>
        </w:rPr>
        <w:t xml:space="preserve"> </w:t>
      </w:r>
      <w:proofErr w:type="spellStart"/>
      <w:r w:rsidRPr="00D73EFE">
        <w:rPr>
          <w:i/>
          <w:iCs/>
        </w:rPr>
        <w:t>ante</w:t>
      </w:r>
      <w:proofErr w:type="spellEnd"/>
      <w:r w:rsidRPr="00D73EFE">
        <w:rPr>
          <w:i/>
          <w:iCs/>
        </w:rPr>
        <w:t xml:space="preserve"> </w:t>
      </w:r>
      <w:proofErr w:type="spellStart"/>
      <w:r w:rsidRPr="00D73EFE">
        <w:rPr>
          <w:i/>
          <w:iCs/>
        </w:rPr>
        <w:t>regulation</w:t>
      </w:r>
      <w:proofErr w:type="spellEnd"/>
      <w:r w:rsidRPr="00D73EFE">
        <w:rPr>
          <w:i/>
          <w:iCs/>
        </w:rPr>
        <w:t xml:space="preserve"> in </w:t>
      </w:r>
      <w:proofErr w:type="spellStart"/>
      <w:r w:rsidRPr="00D73EFE">
        <w:rPr>
          <w:i/>
          <w:iCs/>
        </w:rPr>
        <w:t>accordance</w:t>
      </w:r>
      <w:proofErr w:type="spellEnd"/>
      <w:r w:rsidRPr="00D73EFE">
        <w:rPr>
          <w:i/>
          <w:iCs/>
        </w:rPr>
        <w:t xml:space="preserve"> </w:t>
      </w:r>
      <w:proofErr w:type="spellStart"/>
      <w:r w:rsidRPr="00D73EFE">
        <w:rPr>
          <w:i/>
          <w:iCs/>
        </w:rPr>
        <w:t>with</w:t>
      </w:r>
      <w:proofErr w:type="spellEnd"/>
      <w:r w:rsidRPr="00D73EFE">
        <w:rPr>
          <w:i/>
          <w:iCs/>
        </w:rPr>
        <w:t xml:space="preserve"> </w:t>
      </w:r>
      <w:proofErr w:type="spellStart"/>
      <w:r w:rsidRPr="00D73EFE">
        <w:rPr>
          <w:i/>
          <w:iCs/>
        </w:rPr>
        <w:t>Directive</w:t>
      </w:r>
      <w:proofErr w:type="spellEnd"/>
      <w:r w:rsidRPr="00D73EFE">
        <w:rPr>
          <w:i/>
          <w:iCs/>
        </w:rPr>
        <w:t xml:space="preserve"> (EU) 2018/1972 of </w:t>
      </w:r>
      <w:proofErr w:type="spellStart"/>
      <w:r w:rsidRPr="00D73EFE">
        <w:rPr>
          <w:i/>
          <w:iCs/>
        </w:rPr>
        <w:t>the</w:t>
      </w:r>
      <w:proofErr w:type="spellEnd"/>
      <w:r w:rsidRPr="00D73EFE">
        <w:rPr>
          <w:i/>
          <w:iCs/>
        </w:rPr>
        <w:t xml:space="preserve"> </w:t>
      </w:r>
      <w:proofErr w:type="spellStart"/>
      <w:r w:rsidRPr="00D73EFE">
        <w:rPr>
          <w:i/>
          <w:iCs/>
        </w:rPr>
        <w:t>European</w:t>
      </w:r>
      <w:proofErr w:type="spellEnd"/>
      <w:r w:rsidRPr="00D73EFE">
        <w:rPr>
          <w:i/>
          <w:iCs/>
        </w:rPr>
        <w:t xml:space="preserve"> </w:t>
      </w:r>
      <w:proofErr w:type="spellStart"/>
      <w:r w:rsidRPr="00D73EFE">
        <w:rPr>
          <w:i/>
          <w:iCs/>
        </w:rPr>
        <w:t>Parliament</w:t>
      </w:r>
      <w:proofErr w:type="spellEnd"/>
      <w:r w:rsidRPr="00D73EFE">
        <w:rPr>
          <w:i/>
          <w:iCs/>
        </w:rPr>
        <w:t xml:space="preserve"> and of </w:t>
      </w:r>
      <w:proofErr w:type="spellStart"/>
      <w:r w:rsidRPr="00D73EFE">
        <w:rPr>
          <w:i/>
          <w:iCs/>
        </w:rPr>
        <w:t>the</w:t>
      </w:r>
      <w:proofErr w:type="spellEnd"/>
      <w:r w:rsidRPr="00D73EFE">
        <w:rPr>
          <w:i/>
          <w:iCs/>
        </w:rPr>
        <w:t xml:space="preserve"> </w:t>
      </w:r>
      <w:proofErr w:type="spellStart"/>
      <w:r w:rsidRPr="00D73EFE">
        <w:rPr>
          <w:i/>
          <w:iCs/>
        </w:rPr>
        <w:t>Council</w:t>
      </w:r>
      <w:proofErr w:type="spellEnd"/>
      <w:r w:rsidRPr="00D73EFE">
        <w:rPr>
          <w:i/>
          <w:iCs/>
        </w:rPr>
        <w:t xml:space="preserve"> of 11 </w:t>
      </w:r>
      <w:proofErr w:type="spellStart"/>
      <w:r w:rsidRPr="00D73EFE">
        <w:rPr>
          <w:i/>
          <w:iCs/>
        </w:rPr>
        <w:t>December</w:t>
      </w:r>
      <w:proofErr w:type="spellEnd"/>
      <w:r w:rsidRPr="00D73EFE">
        <w:rPr>
          <w:i/>
          <w:iCs/>
        </w:rPr>
        <w:t xml:space="preserve"> 2018 </w:t>
      </w:r>
      <w:proofErr w:type="spellStart"/>
      <w:r w:rsidRPr="00D73EFE">
        <w:rPr>
          <w:i/>
          <w:iCs/>
        </w:rPr>
        <w:t>establishing</w:t>
      </w:r>
      <w:proofErr w:type="spellEnd"/>
      <w:r w:rsidRPr="00D73EFE">
        <w:rPr>
          <w:i/>
          <w:iCs/>
        </w:rPr>
        <w:t xml:space="preserve"> </w:t>
      </w:r>
      <w:proofErr w:type="spellStart"/>
      <w:r w:rsidRPr="00D73EFE">
        <w:rPr>
          <w:i/>
          <w:iCs/>
        </w:rPr>
        <w:t>the</w:t>
      </w:r>
      <w:proofErr w:type="spellEnd"/>
      <w:r w:rsidRPr="00D73EFE">
        <w:rPr>
          <w:i/>
          <w:iCs/>
        </w:rPr>
        <w:t xml:space="preserve"> </w:t>
      </w:r>
      <w:proofErr w:type="spellStart"/>
      <w:r w:rsidRPr="00D73EFE">
        <w:rPr>
          <w:i/>
          <w:iCs/>
        </w:rPr>
        <w:t>European</w:t>
      </w:r>
      <w:proofErr w:type="spellEnd"/>
      <w:r w:rsidRPr="00D73EFE">
        <w:rPr>
          <w:i/>
          <w:iCs/>
        </w:rPr>
        <w:t xml:space="preserve"> </w:t>
      </w:r>
      <w:proofErr w:type="spellStart"/>
      <w:r w:rsidRPr="00D73EFE">
        <w:rPr>
          <w:i/>
          <w:iCs/>
        </w:rPr>
        <w:t>Electronic</w:t>
      </w:r>
      <w:proofErr w:type="spellEnd"/>
      <w:r w:rsidRPr="00D73EFE">
        <w:rPr>
          <w:i/>
          <w:iCs/>
        </w:rPr>
        <w:t xml:space="preserve"> </w:t>
      </w:r>
      <w:proofErr w:type="spellStart"/>
      <w:r w:rsidRPr="00D73EFE">
        <w:rPr>
          <w:i/>
          <w:iCs/>
        </w:rPr>
        <w:t>Communications</w:t>
      </w:r>
      <w:proofErr w:type="spellEnd"/>
      <w:r w:rsidRPr="00D73EFE">
        <w:rPr>
          <w:i/>
          <w:iCs/>
        </w:rPr>
        <w:t xml:space="preserve"> Code ,{C(2020) 8750 </w:t>
      </w:r>
      <w:proofErr w:type="spellStart"/>
      <w:r w:rsidRPr="00D73EFE">
        <w:rPr>
          <w:i/>
          <w:iCs/>
        </w:rPr>
        <w:t>final</w:t>
      </w:r>
      <w:proofErr w:type="spellEnd"/>
      <w:r w:rsidRPr="00D73EFE">
        <w:rPr>
          <w:i/>
          <w:iCs/>
        </w:rPr>
        <w:t>}</w:t>
      </w:r>
      <w:r w:rsidRPr="00D73EFE">
        <w:t>, ptk 2.5</w:t>
      </w:r>
      <w:r>
        <w:t xml:space="preserve"> tabel 2,</w:t>
      </w:r>
      <w:r w:rsidRPr="00D73EFE">
        <w:t xml:space="preserve"> viide dokumendile: </w:t>
      </w:r>
      <w:hyperlink r:id="rId48" w:history="1">
        <w:r w:rsidRPr="00D73EFE">
          <w:rPr>
            <w:rStyle w:val="Hperlink"/>
          </w:rPr>
          <w:t>https://ec.europa.eu/newsroom/dae/redirection/document/72442</w:t>
        </w:r>
      </w:hyperlink>
      <w:r w:rsidRPr="00D73EFE">
        <w:t xml:space="preserve"> </w:t>
      </w:r>
    </w:p>
    <w:p w14:paraId="758E1564" w14:textId="77777777" w:rsidR="0095323E" w:rsidRDefault="0095323E" w:rsidP="0095323E">
      <w:pPr>
        <w:pStyle w:val="Allmrkusetekst"/>
      </w:pPr>
    </w:p>
  </w:footnote>
  <w:footnote w:id="68">
    <w:p w14:paraId="48C0511D" w14:textId="77777777" w:rsidR="004B3570" w:rsidRDefault="004B3570" w:rsidP="004B3570">
      <w:pPr>
        <w:pStyle w:val="Allmrkusetekst"/>
      </w:pPr>
      <w:r>
        <w:rPr>
          <w:rStyle w:val="Allmrkuseviide"/>
        </w:rPr>
        <w:footnoteRef/>
      </w:r>
      <w:r>
        <w:t xml:space="preserve"> </w:t>
      </w:r>
      <w:r>
        <w:t xml:space="preserve">Viide allikale: </w:t>
      </w:r>
      <w:hyperlink r:id="rId49" w:history="1">
        <w:r w:rsidRPr="00747135">
          <w:rPr>
            <w:rStyle w:val="Hperlink"/>
          </w:rPr>
          <w:t>https://arileht.delfi.ee/artikkel/120299465/telia-toi-turule-uued-mobiilipaketid-5g-d-ei-saa-enam-valtida</w:t>
        </w:r>
      </w:hyperlink>
      <w:r>
        <w:t xml:space="preserve"> </w:t>
      </w:r>
    </w:p>
  </w:footnote>
  <w:footnote w:id="69">
    <w:p w14:paraId="7CCB1830" w14:textId="77777777" w:rsidR="00275814" w:rsidRPr="00AC6F81" w:rsidRDefault="00275814" w:rsidP="00275814">
      <w:pPr>
        <w:jc w:val="both"/>
        <w:rPr>
          <w:sz w:val="20"/>
          <w:szCs w:val="20"/>
        </w:rPr>
      </w:pPr>
      <w:r w:rsidRPr="00AC6F81">
        <w:rPr>
          <w:rStyle w:val="Allmrkuseviide"/>
          <w:sz w:val="20"/>
          <w:szCs w:val="20"/>
        </w:rPr>
        <w:footnoteRef/>
      </w:r>
      <w:r w:rsidRPr="00866DC9">
        <w:rPr>
          <w:sz w:val="20"/>
          <w:szCs w:val="20"/>
        </w:rPr>
        <w:t xml:space="preserve"> </w:t>
      </w:r>
      <w:r w:rsidRPr="00866DC9">
        <w:rPr>
          <w:sz w:val="20"/>
          <w:szCs w:val="20"/>
        </w:rPr>
        <w:t>Seadmemajutus</w:t>
      </w:r>
      <w:r w:rsidRPr="00AC6F81">
        <w:rPr>
          <w:sz w:val="20"/>
          <w:szCs w:val="20"/>
        </w:rPr>
        <w:t xml:space="preserve"> (</w:t>
      </w:r>
      <w:proofErr w:type="spellStart"/>
      <w:r w:rsidRPr="00AC6F81">
        <w:rPr>
          <w:i/>
          <w:sz w:val="20"/>
          <w:szCs w:val="20"/>
        </w:rPr>
        <w:t>colocation</w:t>
      </w:r>
      <w:proofErr w:type="spellEnd"/>
      <w:r w:rsidRPr="00AC6F81">
        <w:rPr>
          <w:sz w:val="20"/>
          <w:szCs w:val="20"/>
        </w:rPr>
        <w:t>) - teisele sideettevõtjale antakse kasutada kõrgendatud turvanõuetele vastava lahenduse ja spetsiaalse tehnilise infrastruktuuriga ruumid võrguelementide ja nendega seotud vahendite majutamiseks ja haldamiseks mahus, mis on vajalik vaskpaarile juurdepääsu hulgituru koosseisu kuuluvate teenuste kasutamiseks</w:t>
      </w:r>
    </w:p>
  </w:footnote>
  <w:footnote w:id="70">
    <w:p w14:paraId="166BD5C9" w14:textId="77777777" w:rsidR="00275814" w:rsidRPr="00EC6C62" w:rsidRDefault="00275814" w:rsidP="00275814">
      <w:pPr>
        <w:pStyle w:val="Allmrkusetekst"/>
        <w:jc w:val="both"/>
        <w:rPr>
          <w:rFonts w:ascii="Tahoma" w:hAnsi="Tahoma" w:cs="Tahoma"/>
        </w:rPr>
      </w:pPr>
      <w:r w:rsidRPr="00EC6C62">
        <w:rPr>
          <w:rStyle w:val="Allmrkuseviide"/>
          <w:rFonts w:ascii="Tahoma" w:hAnsi="Tahoma" w:cs="Tahoma"/>
        </w:rPr>
        <w:footnoteRef/>
      </w:r>
      <w:r w:rsidRPr="00721EAE">
        <w:rPr>
          <w:rStyle w:val="attliRakstzRakstzRakstzRakstzRakstzRakstzRakstzRakstzRakstzRakstzRakstzRakstzRakstzRakstzRakstzRakstzRakstz"/>
          <w:rFonts w:eastAsia="Calibri"/>
          <w:sz w:val="24"/>
        </w:rPr>
        <w:t xml:space="preserve"> </w:t>
      </w:r>
      <w:r w:rsidRPr="00721EAE">
        <w:rPr>
          <w:rStyle w:val="attliRakstzRakstzRakstzRakstzRakstzRakstzRakstzRakstzRakstzRakstzRakstzRakstzRakstzRakstzRakstzRakstzRakstz"/>
          <w:rFonts w:eastAsia="Calibri"/>
        </w:rPr>
        <w:t>See teenus pakub juurdepääsu majasisesele vaskpaar alamklindiliinile või valguskaabel kiule, kus juurdepääsu punkt on üldjuhul asub kortermaja keldris. Juurdepääsu punkt võib asuda ka väljaspoolmaja, maja lähedal asuvas kaabelkanalisatsiooni kaevus või ühendus/tänava kapis. FTTH – PON võrgu arhitektuuri puhul on viimane ühendus punkiks, kas maja keldris või maja lähedal asuvas kaabelkanalisatsiooni kaevus asuva, viimase splitteri asukoht</w:t>
      </w:r>
      <w:r w:rsidRPr="00EC6C62">
        <w:rPr>
          <w:rFonts w:ascii="Tahoma" w:hAnsi="Tahoma" w:cs="Tahoma"/>
        </w:rPr>
        <w:t>.</w:t>
      </w:r>
    </w:p>
  </w:footnote>
  <w:footnote w:id="71">
    <w:p w14:paraId="41F54CAC" w14:textId="1210EAF4" w:rsidR="00275814" w:rsidRPr="006152CD" w:rsidRDefault="00275814" w:rsidP="00275814">
      <w:pPr>
        <w:pStyle w:val="Allmrkusetekst"/>
        <w:jc w:val="both"/>
        <w:rPr>
          <w:rFonts w:cs="Times New Roman"/>
        </w:rPr>
      </w:pPr>
      <w:r w:rsidRPr="006152CD">
        <w:rPr>
          <w:rStyle w:val="Allmrkuseviide"/>
          <w:rFonts w:cs="Times New Roman"/>
        </w:rPr>
        <w:footnoteRef/>
      </w:r>
      <w:r w:rsidRPr="006152CD">
        <w:rPr>
          <w:rFonts w:cs="Times New Roman"/>
        </w:rPr>
        <w:t xml:space="preserve"> </w:t>
      </w:r>
      <w:r w:rsidRPr="006152CD">
        <w:rPr>
          <w:rFonts w:cs="Times New Roman"/>
        </w:rPr>
        <w:t>Avatud süsteemide sidumine (</w:t>
      </w:r>
      <w:r w:rsidR="00263F4A" w:rsidRPr="006152CD">
        <w:rPr>
          <w:rFonts w:cs="Times New Roman"/>
        </w:rPr>
        <w:t>OSI</w:t>
      </w:r>
      <w:r w:rsidRPr="006152CD">
        <w:rPr>
          <w:rFonts w:cs="Times New Roman"/>
          <w:i/>
        </w:rPr>
        <w:t xml:space="preserve"> – </w:t>
      </w:r>
      <w:proofErr w:type="spellStart"/>
      <w:r w:rsidRPr="006152CD">
        <w:rPr>
          <w:rFonts w:cs="Times New Roman"/>
          <w:i/>
        </w:rPr>
        <w:t>Open</w:t>
      </w:r>
      <w:proofErr w:type="spellEnd"/>
      <w:r w:rsidRPr="006152CD">
        <w:rPr>
          <w:rFonts w:cs="Times New Roman"/>
          <w:i/>
        </w:rPr>
        <w:t xml:space="preserve"> </w:t>
      </w:r>
      <w:proofErr w:type="spellStart"/>
      <w:r w:rsidRPr="006152CD">
        <w:rPr>
          <w:rFonts w:cs="Times New Roman"/>
          <w:i/>
        </w:rPr>
        <w:t>systems</w:t>
      </w:r>
      <w:proofErr w:type="spellEnd"/>
      <w:r w:rsidRPr="006152CD">
        <w:rPr>
          <w:rFonts w:cs="Times New Roman"/>
          <w:i/>
        </w:rPr>
        <w:t xml:space="preserve"> </w:t>
      </w:r>
      <w:proofErr w:type="spellStart"/>
      <w:r w:rsidRPr="006152CD">
        <w:rPr>
          <w:rFonts w:cs="Times New Roman"/>
          <w:i/>
        </w:rPr>
        <w:t>Interconnection</w:t>
      </w:r>
      <w:proofErr w:type="spellEnd"/>
      <w:r w:rsidRPr="006152CD">
        <w:rPr>
          <w:rFonts w:cs="Times New Roman"/>
        </w:rPr>
        <w:t>).</w:t>
      </w:r>
    </w:p>
  </w:footnote>
  <w:footnote w:id="72">
    <w:p w14:paraId="7A8B355A" w14:textId="77777777" w:rsidR="00275814" w:rsidRPr="006152CD" w:rsidRDefault="00275814" w:rsidP="00275814">
      <w:pPr>
        <w:pStyle w:val="Allmrkusetekst"/>
        <w:jc w:val="both"/>
        <w:rPr>
          <w:rFonts w:cs="Times New Roman"/>
        </w:rPr>
      </w:pPr>
      <w:r w:rsidRPr="006152CD">
        <w:rPr>
          <w:rStyle w:val="Allmrkuseviide"/>
          <w:rFonts w:cs="Times New Roman"/>
        </w:rPr>
        <w:footnoteRef/>
      </w:r>
      <w:r w:rsidRPr="006152CD">
        <w:rPr>
          <w:rFonts w:cs="Times New Roman"/>
        </w:rPr>
        <w:t xml:space="preserve"> </w:t>
      </w:r>
      <w:r w:rsidRPr="006152CD">
        <w:rPr>
          <w:rFonts w:cs="Times New Roman"/>
        </w:rPr>
        <w:t>Turgude soovituse 2014 selgitav memorandumi punkt 4.2.2. link:</w:t>
      </w:r>
    </w:p>
    <w:p w14:paraId="498AB9DA" w14:textId="77777777" w:rsidR="00275814" w:rsidRPr="006152CD" w:rsidRDefault="00275814" w:rsidP="00275814">
      <w:pPr>
        <w:pStyle w:val="Allmrkusetekst"/>
        <w:jc w:val="both"/>
        <w:rPr>
          <w:rFonts w:cs="Times New Roman"/>
        </w:rPr>
      </w:pPr>
      <w:hyperlink r:id="rId50" w:history="1">
        <w:r w:rsidRPr="006152CD">
          <w:rPr>
            <w:rStyle w:val="Hperlink"/>
            <w:rFonts w:cs="Times New Roman"/>
          </w:rPr>
          <w:t>https://nkom.no/ekom-markedet/markeder/markeder-som-reguleres/_/attachment/download/2e223e04-464c-4938-b139-11bcd58a0514:9c06cfc9326831ea9cb54043714bc481021a160c/Kommisjonens%20Explanatory%20Note%20til%20anbefalingen%209.%20oktober%202014.pdf</w:t>
        </w:r>
      </w:hyperlink>
      <w:r w:rsidRPr="006152CD">
        <w:rPr>
          <w:rFonts w:cs="Times New Roman"/>
        </w:rPr>
        <w:t xml:space="preserve">. </w:t>
      </w:r>
    </w:p>
  </w:footnote>
  <w:footnote w:id="73">
    <w:p w14:paraId="6A08B948" w14:textId="77777777" w:rsidR="00275814" w:rsidRPr="006152CD" w:rsidRDefault="00275814" w:rsidP="00275814">
      <w:pPr>
        <w:pStyle w:val="Allmrkusetekst"/>
        <w:rPr>
          <w:rFonts w:cs="Times New Roman"/>
        </w:rPr>
      </w:pPr>
      <w:r w:rsidRPr="006152CD">
        <w:rPr>
          <w:rStyle w:val="Allmrkuseviide"/>
          <w:rFonts w:cs="Times New Roman"/>
        </w:rPr>
        <w:footnoteRef/>
      </w:r>
      <w:r w:rsidRPr="006152CD">
        <w:rPr>
          <w:rFonts w:cs="Times New Roman"/>
        </w:rPr>
        <w:t xml:space="preserve"> </w:t>
      </w:r>
      <w:r w:rsidRPr="006152CD">
        <w:rPr>
          <w:rFonts w:cs="Times New Roman"/>
        </w:rPr>
        <w:t xml:space="preserve">NGA soovituse punktid 11 - 13. link </w:t>
      </w:r>
      <w:hyperlink r:id="rId51" w:history="1">
        <w:r w:rsidRPr="006152CD">
          <w:rPr>
            <w:rStyle w:val="Hperlink"/>
            <w:rFonts w:cs="Times New Roman"/>
          </w:rPr>
          <w:t>https://eur-lex.europa.eu/legal-content/ET/TXT/PDF/?uri=CELEX:32010H0572</w:t>
        </w:r>
      </w:hyperlink>
      <w:r w:rsidRPr="006152CD">
        <w:rPr>
          <w:rFonts w:cs="Times New Roman"/>
        </w:rPr>
        <w:t xml:space="preserve"> </w:t>
      </w:r>
    </w:p>
  </w:footnote>
  <w:footnote w:id="74">
    <w:p w14:paraId="6BB8FE3B" w14:textId="77777777" w:rsidR="00275814" w:rsidRPr="006152CD" w:rsidRDefault="00275814" w:rsidP="00275814">
      <w:pPr>
        <w:pStyle w:val="Allmrkusetekst"/>
        <w:rPr>
          <w:rFonts w:cs="Times New Roman"/>
        </w:rPr>
      </w:pPr>
      <w:r w:rsidRPr="006152CD">
        <w:rPr>
          <w:rStyle w:val="Allmrkuseviide"/>
          <w:rFonts w:cs="Times New Roman"/>
        </w:rPr>
        <w:footnoteRef/>
      </w:r>
      <w:r w:rsidRPr="006152CD">
        <w:rPr>
          <w:rFonts w:cs="Times New Roman"/>
        </w:rPr>
        <w:t xml:space="preserve"> </w:t>
      </w:r>
      <w:r w:rsidRPr="006152CD">
        <w:rPr>
          <w:rFonts w:cs="Times New Roman"/>
        </w:rPr>
        <w:t>NGA soovituse punkt 12.</w:t>
      </w:r>
    </w:p>
  </w:footnote>
  <w:footnote w:id="75">
    <w:p w14:paraId="7E30C17D" w14:textId="77777777" w:rsidR="0019768D" w:rsidRPr="006152CD" w:rsidRDefault="0019768D" w:rsidP="0019768D">
      <w:pPr>
        <w:pStyle w:val="Allmrkusetekst"/>
        <w:jc w:val="both"/>
        <w:rPr>
          <w:rFonts w:cs="Times New Roman"/>
        </w:rPr>
      </w:pPr>
      <w:r w:rsidRPr="006152CD">
        <w:rPr>
          <w:rStyle w:val="Allmrkuseviide"/>
          <w:rFonts w:cs="Times New Roman"/>
        </w:rPr>
        <w:footnoteRef/>
      </w:r>
      <w:r w:rsidRPr="006152CD">
        <w:rPr>
          <w:rFonts w:cs="Times New Roman"/>
        </w:rPr>
        <w:t xml:space="preserve"> </w:t>
      </w:r>
      <w:r w:rsidRPr="006152CD">
        <w:rPr>
          <w:rFonts w:cs="Times New Roman"/>
        </w:rPr>
        <w:t>Turuanalüüsi suuniste punkt 54.</w:t>
      </w:r>
    </w:p>
  </w:footnote>
  <w:footnote w:id="76">
    <w:p w14:paraId="2F7BDA43" w14:textId="77777777" w:rsidR="0019768D" w:rsidRPr="006152CD" w:rsidRDefault="0019768D" w:rsidP="0019768D">
      <w:pPr>
        <w:pStyle w:val="Allmrkusetekst"/>
        <w:rPr>
          <w:rFonts w:cs="Times New Roman"/>
        </w:rPr>
      </w:pPr>
      <w:r w:rsidRPr="006152CD">
        <w:rPr>
          <w:rStyle w:val="Allmrkuseviide"/>
          <w:rFonts w:cs="Times New Roman"/>
        </w:rPr>
        <w:footnoteRef/>
      </w:r>
      <w:r w:rsidRPr="006152CD">
        <w:rPr>
          <w:rFonts w:cs="Times New Roman"/>
        </w:rPr>
        <w:t xml:space="preserve"> </w:t>
      </w:r>
      <w:r w:rsidRPr="006152CD">
        <w:rPr>
          <w:rFonts w:cs="Times New Roman"/>
        </w:rPr>
        <w:t>turuanalüüsi suuniste punktid 55 ja 56.</w:t>
      </w:r>
    </w:p>
  </w:footnote>
  <w:footnote w:id="77">
    <w:p w14:paraId="3D710DF0" w14:textId="77777777" w:rsidR="0019768D" w:rsidRPr="006152CD" w:rsidRDefault="0019768D" w:rsidP="0019768D">
      <w:pPr>
        <w:pStyle w:val="Allmrkusetekst"/>
        <w:jc w:val="both"/>
        <w:rPr>
          <w:rFonts w:cs="Times New Roman"/>
        </w:rPr>
      </w:pPr>
      <w:r w:rsidRPr="006152CD">
        <w:rPr>
          <w:rStyle w:val="Allmrkuseviide"/>
          <w:rFonts w:cs="Times New Roman"/>
        </w:rPr>
        <w:footnoteRef/>
      </w:r>
      <w:r w:rsidRPr="006152CD">
        <w:rPr>
          <w:rFonts w:cs="Times New Roman"/>
        </w:rPr>
        <w:t xml:space="preserve"> </w:t>
      </w:r>
      <w:r w:rsidRPr="006152CD">
        <w:rPr>
          <w:rFonts w:cs="Times New Roman"/>
        </w:rPr>
        <w:t>Seega, kui riigis on tugev infrastruktuurikonkurents, moodustatakse suurimad turuosad turuliidrite seas, kes pakuvad Internetti oma elektroonilise side võrgu kaudu.</w:t>
      </w:r>
    </w:p>
  </w:footnote>
  <w:footnote w:id="78">
    <w:p w14:paraId="3530829C" w14:textId="77777777" w:rsidR="0019768D" w:rsidRPr="006152CD" w:rsidRDefault="0019768D" w:rsidP="0019768D">
      <w:pPr>
        <w:pStyle w:val="Allmrkusetekst"/>
        <w:rPr>
          <w:rFonts w:cs="Times New Roman"/>
        </w:rPr>
      </w:pPr>
      <w:r w:rsidRPr="006152CD">
        <w:rPr>
          <w:rStyle w:val="Allmrkuseviide"/>
          <w:rFonts w:cs="Times New Roman"/>
        </w:rPr>
        <w:footnoteRef/>
      </w:r>
      <w:r w:rsidRPr="006152CD">
        <w:rPr>
          <w:rFonts w:cs="Times New Roman"/>
        </w:rPr>
        <w:t xml:space="preserve"> </w:t>
      </w:r>
      <w:r w:rsidRPr="006152CD">
        <w:rPr>
          <w:rFonts w:cs="Times New Roman"/>
        </w:rPr>
        <w:t>EÜ seadustiku põhjendus 169.</w:t>
      </w:r>
    </w:p>
  </w:footnote>
  <w:footnote w:id="79">
    <w:p w14:paraId="210F6D05" w14:textId="77777777" w:rsidR="0019768D" w:rsidRPr="004D1902" w:rsidRDefault="0019768D" w:rsidP="0019768D">
      <w:pPr>
        <w:pStyle w:val="Allmrkusetekst"/>
        <w:jc w:val="both"/>
        <w:rPr>
          <w:rFonts w:ascii="Tahoma" w:hAnsi="Tahoma" w:cs="Tahoma"/>
        </w:rPr>
      </w:pPr>
      <w:r w:rsidRPr="004D1902">
        <w:rPr>
          <w:rStyle w:val="Allmrkuseviide"/>
          <w:rFonts w:ascii="Tahoma" w:hAnsi="Tahoma" w:cs="Tahoma"/>
        </w:rPr>
        <w:footnoteRef/>
      </w:r>
      <w:r w:rsidRPr="004D1902">
        <w:rPr>
          <w:rFonts w:ascii="Tahoma" w:hAnsi="Tahoma" w:cs="Tahoma"/>
        </w:rPr>
        <w:t xml:space="preserve"> </w:t>
      </w:r>
      <w:r w:rsidRPr="00A71655">
        <w:t xml:space="preserve">Kui lõppkasutaja vahetab teenusepakkujat, ei ole enam alternatiivseid võimalusi kõnealuse liini kasutamiseks. Inglise. - </w:t>
      </w:r>
      <w:r w:rsidRPr="00A71655">
        <w:rPr>
          <w:i/>
          <w:iCs/>
        </w:rPr>
        <w:t>pöördumatud kulud</w:t>
      </w:r>
      <w:r>
        <w:rPr>
          <w:rFonts w:ascii="Tahoma" w:hAnsi="Tahoma" w:cs="Tahoma"/>
        </w:rPr>
        <w:t>.</w:t>
      </w:r>
    </w:p>
  </w:footnote>
  <w:footnote w:id="80">
    <w:p w14:paraId="67D62431" w14:textId="098CD6E9" w:rsidR="0019768D" w:rsidRPr="00232B70" w:rsidRDefault="0019768D" w:rsidP="0019768D">
      <w:pPr>
        <w:pStyle w:val="Allmrkusetekst"/>
        <w:rPr>
          <w:rFonts w:ascii="Tahoma" w:hAnsi="Tahoma" w:cs="Tahoma"/>
        </w:rPr>
      </w:pPr>
      <w:r w:rsidRPr="006152CD">
        <w:rPr>
          <w:rStyle w:val="Allmrkuseviide"/>
          <w:rFonts w:cs="Times New Roman"/>
        </w:rPr>
        <w:footnoteRef/>
      </w:r>
      <w:r w:rsidRPr="006152CD">
        <w:rPr>
          <w:rFonts w:cs="Times New Roman"/>
        </w:rPr>
        <w:t xml:space="preserve"> </w:t>
      </w:r>
      <w:r w:rsidR="006152CD" w:rsidRPr="006152CD">
        <w:rPr>
          <w:rFonts w:cs="Times New Roman"/>
        </w:rPr>
        <w:t>Link</w:t>
      </w:r>
      <w:r w:rsidRPr="006152CD">
        <w:rPr>
          <w:rFonts w:cs="Times New Roman"/>
        </w:rPr>
        <w:t xml:space="preserve">: </w:t>
      </w:r>
      <w:hyperlink r:id="rId52" w:history="1">
        <w:r w:rsidRPr="006152CD">
          <w:rPr>
            <w:rStyle w:val="Hperlink"/>
            <w:rFonts w:cs="Times New Roman"/>
          </w:rPr>
          <w:t>https://eur-lex.europa.eu/EN/legal-content/summary/actions-to-reduce-the-costs-of-deployment-of-high-speed-electronic-communications-networks.html</w:t>
        </w:r>
      </w:hyperlink>
      <w:r>
        <w:rPr>
          <w:rStyle w:val="Hperlink"/>
          <w:rFonts w:ascii="Tahoma" w:hAnsi="Tahoma" w:cs="Tahoma"/>
        </w:rPr>
        <w:t>.</w:t>
      </w:r>
    </w:p>
  </w:footnote>
  <w:footnote w:id="81">
    <w:p w14:paraId="1D3761AA" w14:textId="60DC587C" w:rsidR="0019768D" w:rsidRPr="006F450E" w:rsidRDefault="0019768D" w:rsidP="0019768D">
      <w:pPr>
        <w:pStyle w:val="Allmrkusetekst"/>
        <w:jc w:val="both"/>
        <w:rPr>
          <w:rFonts w:cs="Times New Roman"/>
        </w:rPr>
      </w:pPr>
      <w:r w:rsidRPr="006F450E">
        <w:rPr>
          <w:rStyle w:val="Allmrkuseviide"/>
          <w:rFonts w:cs="Times New Roman"/>
        </w:rPr>
        <w:footnoteRef/>
      </w:r>
      <w:r w:rsidRPr="006F450E">
        <w:rPr>
          <w:rFonts w:cs="Times New Roman"/>
        </w:rPr>
        <w:t xml:space="preserve"> </w:t>
      </w:r>
      <w:r w:rsidRPr="006F450E">
        <w:rPr>
          <w:rFonts w:cs="Times New Roman"/>
        </w:rPr>
        <w:t xml:space="preserve">Otse </w:t>
      </w:r>
      <w:r w:rsidR="006F450E">
        <w:rPr>
          <w:rFonts w:cs="Times New Roman"/>
        </w:rPr>
        <w:t xml:space="preserve">maasse </w:t>
      </w:r>
      <w:r w:rsidRPr="006F450E">
        <w:rPr>
          <w:rFonts w:cs="Times New Roman"/>
        </w:rPr>
        <w:t>kaevatud kaabel (</w:t>
      </w:r>
      <w:proofErr w:type="spellStart"/>
      <w:r w:rsidRPr="006F450E">
        <w:rPr>
          <w:rFonts w:cs="Times New Roman"/>
          <w:i/>
          <w:iCs/>
        </w:rPr>
        <w:t>directburied</w:t>
      </w:r>
      <w:proofErr w:type="spellEnd"/>
      <w:r w:rsidRPr="006F450E">
        <w:rPr>
          <w:rFonts w:cs="Times New Roman"/>
          <w:i/>
        </w:rPr>
        <w:t xml:space="preserve"> </w:t>
      </w:r>
      <w:proofErr w:type="spellStart"/>
      <w:r w:rsidRPr="006F450E">
        <w:rPr>
          <w:rFonts w:cs="Times New Roman"/>
          <w:i/>
        </w:rPr>
        <w:t>cable</w:t>
      </w:r>
      <w:proofErr w:type="spellEnd"/>
      <w:r w:rsidRPr="006F450E">
        <w:rPr>
          <w:rFonts w:cs="Times New Roman"/>
        </w:rPr>
        <w:t>) on kaabel, mis on spetsiaalselt ette nähtud maapinna</w:t>
      </w:r>
      <w:r w:rsidR="006F450E">
        <w:rPr>
          <w:rFonts w:cs="Times New Roman"/>
        </w:rPr>
        <w:t>ses</w:t>
      </w:r>
      <w:r w:rsidRPr="006F450E">
        <w:rPr>
          <w:rFonts w:cs="Times New Roman"/>
        </w:rPr>
        <w:t xml:space="preserve"> </w:t>
      </w:r>
      <w:r w:rsidR="006F450E">
        <w:rPr>
          <w:rFonts w:cs="Times New Roman"/>
        </w:rPr>
        <w:t>paigaldamiseks</w:t>
      </w:r>
      <w:r w:rsidRPr="006F450E">
        <w:rPr>
          <w:rFonts w:cs="Times New Roman"/>
        </w:rPr>
        <w:t>, näiteks ilma kaabli kanalisatsioonitoruta.</w:t>
      </w:r>
    </w:p>
  </w:footnote>
  <w:footnote w:id="82">
    <w:p w14:paraId="70AA85E1" w14:textId="77777777" w:rsidR="0019768D" w:rsidRPr="00C57278" w:rsidRDefault="0019768D" w:rsidP="0019768D">
      <w:pPr>
        <w:pStyle w:val="Allmrkusetekst"/>
        <w:jc w:val="both"/>
        <w:rPr>
          <w:rFonts w:cs="Times New Roman"/>
        </w:rPr>
      </w:pPr>
      <w:r w:rsidRPr="00C57278">
        <w:rPr>
          <w:rStyle w:val="Allmrkuseviide"/>
          <w:rFonts w:cs="Times New Roman"/>
        </w:rPr>
        <w:footnoteRef/>
      </w:r>
      <w:r w:rsidRPr="00C57278">
        <w:rPr>
          <w:rFonts w:cs="Times New Roman"/>
        </w:rPr>
        <w:t xml:space="preserve"> </w:t>
      </w:r>
      <w:r w:rsidRPr="00C57278">
        <w:rPr>
          <w:rFonts w:cs="Times New Roman"/>
          <w:color w:val="000000"/>
        </w:rPr>
        <w:t xml:space="preserve">Veebisait mobiilsidevõrgus </w:t>
      </w:r>
      <w:r w:rsidRPr="00C57278">
        <w:rPr>
          <w:rFonts w:cs="Times New Roman"/>
        </w:rPr>
        <w:t xml:space="preserve">– </w:t>
      </w:r>
      <w:r w:rsidRPr="00C57278">
        <w:rPr>
          <w:rFonts w:cs="Times New Roman"/>
          <w:i/>
          <w:iCs/>
          <w:color w:val="000000"/>
        </w:rPr>
        <w:t>mobiilne sait</w:t>
      </w:r>
      <w:r w:rsidRPr="00C57278">
        <w:rPr>
          <w:rFonts w:cs="Times New Roman"/>
          <w:color w:val="000000"/>
        </w:rPr>
        <w:t>) viitab tavaliselt tornidele, mastidele, hoonetele või muudele tugistruktuuridele, millele on paigaldatud antennid ja muud elektroonilise side seadmed.</w:t>
      </w:r>
    </w:p>
  </w:footnote>
  <w:footnote w:id="83">
    <w:p w14:paraId="58DF01BF" w14:textId="77777777" w:rsidR="0019768D" w:rsidRPr="006B5F41" w:rsidRDefault="0019768D" w:rsidP="0019768D">
      <w:pPr>
        <w:pStyle w:val="Allmrkusetekst"/>
        <w:rPr>
          <w:rFonts w:cs="Times New Roman"/>
        </w:rPr>
      </w:pPr>
      <w:r w:rsidRPr="006B5F41">
        <w:rPr>
          <w:rStyle w:val="Allmrkuseviide"/>
          <w:rFonts w:cs="Times New Roman"/>
        </w:rPr>
        <w:footnoteRef/>
      </w:r>
      <w:r w:rsidRPr="006B5F41">
        <w:rPr>
          <w:rFonts w:cs="Times New Roman"/>
        </w:rPr>
        <w:t xml:space="preserve"> </w:t>
      </w:r>
      <w:proofErr w:type="spellStart"/>
      <w:r w:rsidRPr="006B5F41">
        <w:rPr>
          <w:rFonts w:cs="Times New Roman"/>
        </w:rPr>
        <w:t>ESL-i</w:t>
      </w:r>
      <w:proofErr w:type="spellEnd"/>
      <w:r w:rsidRPr="006B5F41">
        <w:rPr>
          <w:rFonts w:cs="Times New Roman"/>
        </w:rPr>
        <w:t xml:space="preserve"> artikli 76 teine lõik.</w:t>
      </w:r>
    </w:p>
  </w:footnote>
  <w:footnote w:id="84">
    <w:p w14:paraId="7E52E3B6" w14:textId="77777777" w:rsidR="0019768D" w:rsidRPr="00F968E2" w:rsidRDefault="0019768D" w:rsidP="0019768D">
      <w:pPr>
        <w:pStyle w:val="Allmrkusetekst"/>
        <w:rPr>
          <w:rFonts w:cs="Times New Roman"/>
          <w:highlight w:val="yellow"/>
        </w:rPr>
      </w:pPr>
      <w:r w:rsidRPr="006B5F41">
        <w:rPr>
          <w:rStyle w:val="Allmrkuseviide"/>
          <w:rFonts w:cs="Times New Roman"/>
        </w:rPr>
        <w:footnoteRef/>
      </w:r>
      <w:r w:rsidRPr="006B5F41">
        <w:rPr>
          <w:rFonts w:cs="Times New Roman"/>
        </w:rPr>
        <w:t xml:space="preserve"> </w:t>
      </w:r>
      <w:r w:rsidRPr="006B5F41">
        <w:rPr>
          <w:rFonts w:cs="Times New Roman"/>
        </w:rPr>
        <w:t>2020. aasta soovituse põhjendus 18.</w:t>
      </w:r>
    </w:p>
  </w:footnote>
  <w:footnote w:id="85">
    <w:p w14:paraId="4CF6A977" w14:textId="77777777" w:rsidR="0019768D" w:rsidRPr="006B5F41" w:rsidRDefault="0019768D" w:rsidP="0019768D">
      <w:pPr>
        <w:pStyle w:val="Allmrkusetekst"/>
        <w:rPr>
          <w:rFonts w:cs="Times New Roman"/>
        </w:rPr>
      </w:pPr>
      <w:r w:rsidRPr="006B5F41">
        <w:rPr>
          <w:rStyle w:val="Allmrkuseviide"/>
          <w:rFonts w:cs="Times New Roman"/>
        </w:rPr>
        <w:footnoteRef/>
      </w:r>
      <w:r w:rsidRPr="006B5F41">
        <w:rPr>
          <w:rFonts w:cs="Times New Roman"/>
        </w:rPr>
        <w:t xml:space="preserve"> </w:t>
      </w:r>
      <w:r w:rsidRPr="006B5F41">
        <w:rPr>
          <w:rFonts w:cs="Times New Roman"/>
        </w:rPr>
        <w:t>2020. aasta soovituse põhjendus 8.</w:t>
      </w:r>
    </w:p>
  </w:footnote>
  <w:footnote w:id="86">
    <w:p w14:paraId="2DD006E2" w14:textId="77777777" w:rsidR="0019768D" w:rsidRPr="006B5F41" w:rsidRDefault="0019768D" w:rsidP="0019768D">
      <w:pPr>
        <w:pStyle w:val="Allmrkusetekst"/>
        <w:rPr>
          <w:rFonts w:cs="Times New Roman"/>
        </w:rPr>
      </w:pPr>
      <w:r w:rsidRPr="006B5F41">
        <w:rPr>
          <w:rStyle w:val="Allmrkuseviide"/>
          <w:rFonts w:cs="Times New Roman"/>
        </w:rPr>
        <w:footnoteRef/>
      </w:r>
      <w:r w:rsidRPr="006B5F41">
        <w:rPr>
          <w:rFonts w:cs="Times New Roman"/>
        </w:rPr>
        <w:t xml:space="preserve"> </w:t>
      </w:r>
      <w:r w:rsidRPr="006B5F41">
        <w:rPr>
          <w:rFonts w:cs="Times New Roman"/>
        </w:rPr>
        <w:t>2020. aasta soovituse põhjendus 13.</w:t>
      </w:r>
    </w:p>
  </w:footnote>
  <w:footnote w:id="87">
    <w:p w14:paraId="20A4DEF9" w14:textId="77777777" w:rsidR="0019768D" w:rsidRPr="006B5F41" w:rsidRDefault="0019768D" w:rsidP="0019768D">
      <w:pPr>
        <w:pStyle w:val="Allmrkusetekst"/>
        <w:rPr>
          <w:rFonts w:cs="Times New Roman"/>
        </w:rPr>
      </w:pPr>
      <w:r w:rsidRPr="006B5F41">
        <w:rPr>
          <w:rStyle w:val="Allmrkuseviide"/>
          <w:rFonts w:cs="Times New Roman"/>
        </w:rPr>
        <w:footnoteRef/>
      </w:r>
      <w:r w:rsidRPr="006B5F41">
        <w:rPr>
          <w:rFonts w:cs="Times New Roman"/>
        </w:rPr>
        <w:t xml:space="preserve"> </w:t>
      </w:r>
      <w:r w:rsidRPr="006B5F41">
        <w:rPr>
          <w:rFonts w:cs="Times New Roman"/>
        </w:rPr>
        <w:t>2020. aasta soovituse põhjendus 14.</w:t>
      </w:r>
    </w:p>
  </w:footnote>
  <w:footnote w:id="88">
    <w:p w14:paraId="700ACC3F" w14:textId="77777777" w:rsidR="0019768D" w:rsidRPr="00F968E2" w:rsidRDefault="0019768D" w:rsidP="0019768D">
      <w:pPr>
        <w:pStyle w:val="Allmrkusetekst"/>
        <w:rPr>
          <w:rFonts w:cs="Times New Roman"/>
          <w:highlight w:val="yellow"/>
        </w:rPr>
      </w:pPr>
      <w:r w:rsidRPr="006B5F41">
        <w:rPr>
          <w:rStyle w:val="Allmrkuseviide"/>
          <w:rFonts w:cs="Times New Roman"/>
        </w:rPr>
        <w:footnoteRef/>
      </w:r>
      <w:r w:rsidRPr="006B5F41">
        <w:rPr>
          <w:rFonts w:cs="Times New Roman"/>
        </w:rPr>
        <w:t xml:space="preserve"> </w:t>
      </w:r>
      <w:r w:rsidRPr="006B5F41">
        <w:rPr>
          <w:rFonts w:cs="Times New Roman"/>
        </w:rPr>
        <w:t>2020. aasta soovituse põhjendus 15.</w:t>
      </w:r>
    </w:p>
  </w:footnote>
  <w:footnote w:id="89">
    <w:p w14:paraId="694A8C43" w14:textId="77777777" w:rsidR="0019768D" w:rsidRPr="00261B04" w:rsidRDefault="0019768D" w:rsidP="0019768D">
      <w:pPr>
        <w:pStyle w:val="Allmrkusetekst"/>
        <w:rPr>
          <w:rFonts w:cs="Times New Roman"/>
        </w:rPr>
      </w:pPr>
      <w:r w:rsidRPr="006B5F41">
        <w:rPr>
          <w:rStyle w:val="Allmrkuseviide"/>
          <w:rFonts w:cs="Times New Roman"/>
        </w:rPr>
        <w:footnoteRef/>
      </w:r>
      <w:r w:rsidRPr="006B5F41">
        <w:rPr>
          <w:rFonts w:cs="Times New Roman"/>
        </w:rPr>
        <w:t xml:space="preserve"> </w:t>
      </w:r>
      <w:r w:rsidRPr="006B5F41">
        <w:rPr>
          <w:rFonts w:cs="Times New Roman"/>
        </w:rPr>
        <w:t>2020. aasta soovituse põhjendus 17.</w:t>
      </w:r>
    </w:p>
  </w:footnote>
  <w:footnote w:id="90">
    <w:p w14:paraId="6D9F61D5" w14:textId="77777777" w:rsidR="00EC24B2" w:rsidRPr="00FE198E" w:rsidRDefault="00EC24B2" w:rsidP="00EC24B2">
      <w:pPr>
        <w:pStyle w:val="Allmrkusetekst"/>
        <w:jc w:val="both"/>
        <w:rPr>
          <w:rFonts w:cs="Times New Roman"/>
        </w:rPr>
      </w:pPr>
      <w:r w:rsidRPr="00FE198E">
        <w:rPr>
          <w:rStyle w:val="Allmrkuseviide"/>
          <w:rFonts w:cs="Times New Roman"/>
        </w:rPr>
        <w:footnoteRef/>
      </w:r>
      <w:r w:rsidRPr="00FE198E">
        <w:rPr>
          <w:rFonts w:cs="Times New Roman"/>
        </w:rPr>
        <w:t xml:space="preserve"> </w:t>
      </w:r>
      <w:r w:rsidRPr="00FE198E">
        <w:rPr>
          <w:rFonts w:cs="Times New Roman"/>
        </w:rPr>
        <w:t>Seega, kui riigis on tugev infrastruktuurikonkurents, moodustatakse suurimad turuosad turuliidrite seas, kes pakuvad Internetti oma elektroonilise side võrgu kaudu.</w:t>
      </w:r>
    </w:p>
  </w:footnote>
  <w:footnote w:id="91">
    <w:p w14:paraId="167918D9" w14:textId="77777777" w:rsidR="00EC24B2" w:rsidRPr="00232B70" w:rsidRDefault="00EC24B2" w:rsidP="00EC24B2">
      <w:pPr>
        <w:pStyle w:val="Allmrkusetekst"/>
        <w:rPr>
          <w:rFonts w:ascii="Tahoma" w:hAnsi="Tahoma" w:cs="Tahoma"/>
        </w:rPr>
      </w:pPr>
      <w:r w:rsidRPr="00FE198E">
        <w:rPr>
          <w:rStyle w:val="Allmrkuseviide"/>
          <w:rFonts w:cs="Times New Roman"/>
        </w:rPr>
        <w:footnoteRef/>
      </w:r>
      <w:r w:rsidRPr="00FE198E">
        <w:rPr>
          <w:rFonts w:cs="Times New Roman"/>
        </w:rPr>
        <w:t xml:space="preserve"> </w:t>
      </w:r>
      <w:r w:rsidRPr="00FE198E">
        <w:rPr>
          <w:rFonts w:cs="Times New Roman"/>
        </w:rPr>
        <w:t>EÜ seadustiku põhjendus 169.</w:t>
      </w:r>
    </w:p>
  </w:footnote>
  <w:footnote w:id="92">
    <w:p w14:paraId="3EBB0909" w14:textId="77777777" w:rsidR="00EC24B2" w:rsidRPr="00C41619" w:rsidRDefault="00EC24B2" w:rsidP="00EC24B2">
      <w:pPr>
        <w:pStyle w:val="Allmrkusetekst"/>
        <w:jc w:val="both"/>
        <w:rPr>
          <w:rFonts w:cs="Times New Roman"/>
        </w:rPr>
      </w:pPr>
      <w:r w:rsidRPr="00C41619">
        <w:rPr>
          <w:rStyle w:val="Allmrkuseviide"/>
          <w:rFonts w:cs="Times New Roman"/>
        </w:rPr>
        <w:footnoteRef/>
      </w:r>
      <w:r w:rsidRPr="00C41619">
        <w:rPr>
          <w:rFonts w:cs="Times New Roman"/>
        </w:rPr>
        <w:t xml:space="preserve"> </w:t>
      </w:r>
      <w:r w:rsidRPr="00C41619">
        <w:rPr>
          <w:rFonts w:cs="Times New Roman"/>
        </w:rPr>
        <w:t>T.sk. koos vabatahtlike 1. turuteenustega, kui neid on.</w:t>
      </w:r>
    </w:p>
  </w:footnote>
  <w:footnote w:id="93">
    <w:p w14:paraId="28566DB2" w14:textId="77777777" w:rsidR="00EC24B2" w:rsidRPr="00304485" w:rsidRDefault="00EC24B2" w:rsidP="00EC24B2">
      <w:pPr>
        <w:pStyle w:val="Allmrkusetekst"/>
        <w:rPr>
          <w:rFonts w:ascii="Tahoma" w:hAnsi="Tahoma" w:cs="Tahoma"/>
        </w:rPr>
      </w:pPr>
      <w:r w:rsidRPr="00C41619">
        <w:rPr>
          <w:rStyle w:val="Allmrkuseviide"/>
          <w:rFonts w:cs="Times New Roman"/>
        </w:rPr>
        <w:footnoteRef/>
      </w:r>
      <w:r w:rsidRPr="00C41619">
        <w:rPr>
          <w:rFonts w:cs="Times New Roman"/>
        </w:rPr>
        <w:t xml:space="preserve"> </w:t>
      </w:r>
      <w:r w:rsidRPr="00C41619">
        <w:rPr>
          <w:rFonts w:cs="Times New Roman"/>
        </w:rPr>
        <w:t>vastava aasta 1. jaanuar.</w:t>
      </w:r>
    </w:p>
  </w:footnote>
  <w:footnote w:id="94">
    <w:p w14:paraId="16BB0DD3" w14:textId="77777777" w:rsidR="00EC24B2" w:rsidRPr="00AC6F81" w:rsidRDefault="00EC24B2" w:rsidP="00EC24B2">
      <w:pPr>
        <w:jc w:val="both"/>
        <w:rPr>
          <w:sz w:val="20"/>
          <w:szCs w:val="20"/>
        </w:rPr>
      </w:pPr>
      <w:r w:rsidRPr="00AC6F81">
        <w:rPr>
          <w:rStyle w:val="Allmrkuseviide"/>
          <w:sz w:val="20"/>
          <w:szCs w:val="20"/>
        </w:rPr>
        <w:footnoteRef/>
      </w:r>
      <w:r w:rsidRPr="00866DC9">
        <w:rPr>
          <w:sz w:val="20"/>
          <w:szCs w:val="20"/>
        </w:rPr>
        <w:t xml:space="preserve"> </w:t>
      </w:r>
      <w:r w:rsidRPr="00866DC9">
        <w:rPr>
          <w:sz w:val="20"/>
          <w:szCs w:val="20"/>
        </w:rPr>
        <w:t>Seadmemajutus</w:t>
      </w:r>
      <w:r w:rsidRPr="00AC6F81">
        <w:rPr>
          <w:sz w:val="20"/>
          <w:szCs w:val="20"/>
        </w:rPr>
        <w:t xml:space="preserve"> (</w:t>
      </w:r>
      <w:proofErr w:type="spellStart"/>
      <w:r w:rsidRPr="00AC6F81">
        <w:rPr>
          <w:i/>
          <w:sz w:val="20"/>
          <w:szCs w:val="20"/>
        </w:rPr>
        <w:t>colocation</w:t>
      </w:r>
      <w:proofErr w:type="spellEnd"/>
      <w:r w:rsidRPr="00AC6F81">
        <w:rPr>
          <w:sz w:val="20"/>
          <w:szCs w:val="20"/>
        </w:rPr>
        <w:t>) - teisele sideettevõtjale antakse kasutada kõrgendatud turvanõuetele vastava lahenduse ja spetsiaalse tehnilise infrastruktuuriga ruumid võrguelementide ja nendega seotud vahendite majutamiseks ja haldamiseks mahus, mis on vajalik vaskpaarile juurdepääsu hulgituru koosseisu kuuluvate teenuste kasutamiseks</w:t>
      </w:r>
    </w:p>
  </w:footnote>
  <w:footnote w:id="95">
    <w:p w14:paraId="210E080F" w14:textId="77777777" w:rsidR="00EC24B2" w:rsidRPr="003367FA" w:rsidRDefault="00EC24B2" w:rsidP="00EC24B2">
      <w:pPr>
        <w:pStyle w:val="Allmrkusetekst"/>
        <w:jc w:val="both"/>
        <w:rPr>
          <w:rFonts w:cs="Times New Roman"/>
        </w:rPr>
      </w:pPr>
      <w:r w:rsidRPr="003367FA">
        <w:rPr>
          <w:rStyle w:val="Allmrkuseviide"/>
          <w:rFonts w:cs="Times New Roman"/>
        </w:rPr>
        <w:footnoteRef/>
      </w:r>
      <w:r w:rsidRPr="003367FA">
        <w:rPr>
          <w:rFonts w:cs="Times New Roman"/>
        </w:rPr>
        <w:t xml:space="preserve"> </w:t>
      </w:r>
      <w:r w:rsidRPr="003367FA">
        <w:rPr>
          <w:rFonts w:cs="Times New Roman"/>
          <w:color w:val="000000" w:themeColor="text1"/>
        </w:rPr>
        <w:t>Eraldatud juurdepääs (t.sk osaline juurdepääs) vaskpaaril põhinevatele kliendiliinidele ja alamvaskpaarile lairiba- ja kõneteenuste pakkumiseks.</w:t>
      </w:r>
    </w:p>
  </w:footnote>
  <w:footnote w:id="96">
    <w:p w14:paraId="3257E7F7" w14:textId="77777777" w:rsidR="00EC24B2" w:rsidRPr="003367FA" w:rsidRDefault="00EC24B2" w:rsidP="00EC24B2">
      <w:pPr>
        <w:pStyle w:val="Allmrkusetekst"/>
        <w:jc w:val="both"/>
        <w:rPr>
          <w:rFonts w:cs="Times New Roman"/>
        </w:rPr>
      </w:pPr>
      <w:r w:rsidRPr="003367FA">
        <w:rPr>
          <w:rStyle w:val="Allmrkuseviide"/>
          <w:rFonts w:cs="Times New Roman"/>
        </w:rPr>
        <w:footnoteRef/>
      </w:r>
      <w:r w:rsidRPr="003367FA">
        <w:rPr>
          <w:rFonts w:cs="Times New Roman"/>
        </w:rPr>
        <w:t xml:space="preserve"> </w:t>
      </w:r>
      <w:r w:rsidRPr="003367FA">
        <w:rPr>
          <w:rFonts w:cs="Times New Roman"/>
          <w:color w:val="000000" w:themeColor="text1"/>
        </w:rPr>
        <w:t>Juurdepääs hulgituru (füüsilisele) võrgutaristule (sealhulgas täielikule või täielikult eraldatud juurdepääsule) määratletud asukohas.</w:t>
      </w:r>
    </w:p>
  </w:footnote>
  <w:footnote w:id="97">
    <w:p w14:paraId="716AB144" w14:textId="77777777" w:rsidR="00EC24B2" w:rsidRPr="003367FA" w:rsidRDefault="00EC24B2" w:rsidP="00EC24B2">
      <w:pPr>
        <w:pStyle w:val="Allmrkusetekst"/>
        <w:jc w:val="both"/>
        <w:rPr>
          <w:rFonts w:cs="Times New Roman"/>
        </w:rPr>
      </w:pPr>
      <w:r w:rsidRPr="003367FA">
        <w:rPr>
          <w:rStyle w:val="Allmrkuseviide"/>
          <w:rFonts w:cs="Times New Roman"/>
        </w:rPr>
        <w:footnoteRef/>
      </w:r>
      <w:r w:rsidRPr="003367FA">
        <w:rPr>
          <w:rFonts w:cs="Times New Roman"/>
        </w:rPr>
        <w:t xml:space="preserve"> </w:t>
      </w:r>
      <w:r w:rsidRPr="003367FA">
        <w:rPr>
          <w:rFonts w:cs="Times New Roman"/>
        </w:rPr>
        <w:t>K</w:t>
      </w:r>
      <w:r w:rsidRPr="003367FA">
        <w:rPr>
          <w:rFonts w:cs="Times New Roman"/>
          <w:color w:val="000000" w:themeColor="text1"/>
        </w:rPr>
        <w:t>indlaksmääratud asukohas kohaliku juurdepääsu hulgiturg.</w:t>
      </w:r>
    </w:p>
  </w:footnote>
  <w:footnote w:id="98">
    <w:p w14:paraId="251F62EF" w14:textId="77777777" w:rsidR="00EC24B2" w:rsidRPr="003367FA" w:rsidRDefault="00EC24B2" w:rsidP="00EC24B2">
      <w:pPr>
        <w:pStyle w:val="Allmrkusetekst"/>
        <w:jc w:val="both"/>
        <w:rPr>
          <w:rFonts w:cs="Times New Roman"/>
        </w:rPr>
      </w:pPr>
      <w:r w:rsidRPr="003367FA">
        <w:rPr>
          <w:rStyle w:val="Allmrkuseviide"/>
          <w:rFonts w:cs="Times New Roman"/>
        </w:rPr>
        <w:footnoteRef/>
      </w:r>
      <w:r w:rsidRPr="003367FA">
        <w:rPr>
          <w:rFonts w:cs="Times New Roman"/>
        </w:rPr>
        <w:t xml:space="preserve"> </w:t>
      </w:r>
      <w:bookmarkStart w:id="793" w:name="_Hlk172293709"/>
      <w:r w:rsidRPr="003367FA">
        <w:rPr>
          <w:rFonts w:cs="Times New Roman"/>
        </w:rPr>
        <w:t>K</w:t>
      </w:r>
      <w:r w:rsidRPr="003367FA">
        <w:rPr>
          <w:rFonts w:cs="Times New Roman"/>
          <w:color w:val="000000" w:themeColor="text1"/>
        </w:rPr>
        <w:t>indlaksmääratud asukohas kohaliku juurdepääsu hulgiturg</w:t>
      </w:r>
      <w:bookmarkEnd w:id="793"/>
      <w:r w:rsidRPr="003367FA">
        <w:rPr>
          <w:rFonts w:cs="Times New Roman"/>
          <w:color w:val="000000" w:themeColor="text1"/>
        </w:rPr>
        <w:t>.</w:t>
      </w:r>
    </w:p>
  </w:footnote>
  <w:footnote w:id="99">
    <w:p w14:paraId="40232D96" w14:textId="77777777" w:rsidR="00EC24B2" w:rsidRPr="006B3769" w:rsidRDefault="00EC24B2" w:rsidP="00EC24B2">
      <w:pPr>
        <w:pStyle w:val="Allmrkusetekst"/>
        <w:rPr>
          <w:rFonts w:cs="Times New Roman"/>
        </w:rPr>
      </w:pPr>
      <w:r w:rsidRPr="006B3769">
        <w:rPr>
          <w:rStyle w:val="Allmrkuseviide"/>
          <w:rFonts w:cs="Times New Roman"/>
        </w:rPr>
        <w:footnoteRef/>
      </w:r>
      <w:r w:rsidRPr="006B3769">
        <w:rPr>
          <w:rFonts w:cs="Times New Roman"/>
        </w:rPr>
        <w:t xml:space="preserve"> </w:t>
      </w:r>
      <w:r w:rsidRPr="006B3769">
        <w:rPr>
          <w:rFonts w:cs="Times New Roman"/>
        </w:rPr>
        <w:t>2014. aasta soovituse selgitava märkuse punkt 4.2.2.1.</w:t>
      </w:r>
    </w:p>
  </w:footnote>
  <w:footnote w:id="100">
    <w:p w14:paraId="2098A744" w14:textId="77777777" w:rsidR="00EC24B2" w:rsidRPr="006B3769" w:rsidRDefault="00EC24B2" w:rsidP="00EC24B2">
      <w:pPr>
        <w:pStyle w:val="Allmrkusetekst"/>
        <w:rPr>
          <w:rFonts w:cs="Times New Roman"/>
        </w:rPr>
      </w:pPr>
      <w:r w:rsidRPr="006B3769">
        <w:rPr>
          <w:rStyle w:val="Allmrkuseviide"/>
          <w:rFonts w:cs="Times New Roman"/>
        </w:rPr>
        <w:footnoteRef/>
      </w:r>
      <w:r w:rsidRPr="006B3769">
        <w:rPr>
          <w:rFonts w:cs="Times New Roman"/>
        </w:rPr>
        <w:t xml:space="preserve"> </w:t>
      </w:r>
      <w:r w:rsidRPr="006B3769">
        <w:rPr>
          <w:rFonts w:cs="Times New Roman"/>
        </w:rPr>
        <w:t>2014. aasta soovituse selgitava märkuse punkt 4.2.2.1.</w:t>
      </w:r>
    </w:p>
  </w:footnote>
  <w:footnote w:id="101">
    <w:p w14:paraId="640C08FE" w14:textId="77777777" w:rsidR="007341F0" w:rsidRPr="00D46F06" w:rsidRDefault="00D458EB" w:rsidP="007341F0">
      <w:pPr>
        <w:pStyle w:val="Allmrkusetekst"/>
        <w:rPr>
          <w:rFonts w:cs="Times New Roman"/>
        </w:rPr>
      </w:pPr>
      <w:r w:rsidRPr="00D46F06">
        <w:rPr>
          <w:rStyle w:val="Allmrkuseviide"/>
          <w:rFonts w:cs="Times New Roman"/>
        </w:rPr>
        <w:footnoteRef/>
      </w:r>
      <w:r w:rsidRPr="00D46F06">
        <w:rPr>
          <w:rFonts w:cs="Times New Roman"/>
        </w:rPr>
        <w:t xml:space="preserve"> </w:t>
      </w:r>
      <w:proofErr w:type="spellStart"/>
      <w:r w:rsidR="007341F0" w:rsidRPr="00D46F06">
        <w:rPr>
          <w:rFonts w:cs="Times New Roman"/>
        </w:rPr>
        <w:t>Explanatory</w:t>
      </w:r>
      <w:proofErr w:type="spellEnd"/>
      <w:r w:rsidR="007341F0" w:rsidRPr="00D46F06">
        <w:rPr>
          <w:rFonts w:cs="Times New Roman"/>
        </w:rPr>
        <w:t xml:space="preserve"> </w:t>
      </w:r>
      <w:proofErr w:type="spellStart"/>
      <w:r w:rsidR="007341F0" w:rsidRPr="00D46F06">
        <w:rPr>
          <w:rFonts w:cs="Times New Roman"/>
        </w:rPr>
        <w:t>note</w:t>
      </w:r>
      <w:proofErr w:type="spellEnd"/>
      <w:r w:rsidR="007341F0" w:rsidRPr="00D46F06">
        <w:rPr>
          <w:rFonts w:cs="Times New Roman"/>
        </w:rPr>
        <w:t xml:space="preserve">. </w:t>
      </w:r>
      <w:proofErr w:type="spellStart"/>
      <w:r w:rsidR="007341F0" w:rsidRPr="00D46F06">
        <w:rPr>
          <w:rFonts w:cs="Times New Roman"/>
        </w:rPr>
        <w:t>Commission</w:t>
      </w:r>
      <w:proofErr w:type="spellEnd"/>
      <w:r w:rsidR="007341F0" w:rsidRPr="00D46F06">
        <w:rPr>
          <w:rFonts w:cs="Times New Roman"/>
        </w:rPr>
        <w:t xml:space="preserve"> </w:t>
      </w:r>
      <w:proofErr w:type="spellStart"/>
      <w:r w:rsidR="007341F0" w:rsidRPr="00D46F06">
        <w:rPr>
          <w:rFonts w:cs="Times New Roman"/>
        </w:rPr>
        <w:t>Recommendationon</w:t>
      </w:r>
      <w:proofErr w:type="spellEnd"/>
      <w:r w:rsidR="007341F0" w:rsidRPr="00D46F06">
        <w:rPr>
          <w:rFonts w:cs="Times New Roman"/>
        </w:rPr>
        <w:t xml:space="preserve"> relevant </w:t>
      </w:r>
      <w:proofErr w:type="spellStart"/>
      <w:r w:rsidR="007341F0" w:rsidRPr="00D46F06">
        <w:rPr>
          <w:rFonts w:cs="Times New Roman"/>
        </w:rPr>
        <w:t>product</w:t>
      </w:r>
      <w:proofErr w:type="spellEnd"/>
      <w:r w:rsidR="007341F0" w:rsidRPr="00D46F06">
        <w:rPr>
          <w:rFonts w:cs="Times New Roman"/>
        </w:rPr>
        <w:t xml:space="preserve"> and </w:t>
      </w:r>
      <w:proofErr w:type="spellStart"/>
      <w:r w:rsidR="007341F0" w:rsidRPr="00D46F06">
        <w:rPr>
          <w:rFonts w:cs="Times New Roman"/>
        </w:rPr>
        <w:t>service</w:t>
      </w:r>
      <w:proofErr w:type="spellEnd"/>
      <w:r w:rsidR="007341F0" w:rsidRPr="00D46F06">
        <w:rPr>
          <w:rFonts w:cs="Times New Roman"/>
        </w:rPr>
        <w:t xml:space="preserve"> </w:t>
      </w:r>
      <w:proofErr w:type="spellStart"/>
      <w:r w:rsidR="007341F0" w:rsidRPr="00D46F06">
        <w:rPr>
          <w:rFonts w:cs="Times New Roman"/>
        </w:rPr>
        <w:t>markets</w:t>
      </w:r>
      <w:proofErr w:type="spellEnd"/>
      <w:r w:rsidR="007341F0" w:rsidRPr="00D46F06">
        <w:rPr>
          <w:rFonts w:cs="Times New Roman"/>
        </w:rPr>
        <w:t xml:space="preserve"> </w:t>
      </w:r>
      <w:proofErr w:type="spellStart"/>
      <w:r w:rsidR="007341F0" w:rsidRPr="00D46F06">
        <w:rPr>
          <w:rFonts w:cs="Times New Roman"/>
        </w:rPr>
        <w:t>within</w:t>
      </w:r>
      <w:proofErr w:type="spellEnd"/>
      <w:r w:rsidR="007341F0" w:rsidRPr="00D46F06">
        <w:rPr>
          <w:rFonts w:cs="Times New Roman"/>
        </w:rPr>
        <w:t xml:space="preserve"> </w:t>
      </w:r>
      <w:proofErr w:type="spellStart"/>
      <w:r w:rsidR="007341F0" w:rsidRPr="00D46F06">
        <w:rPr>
          <w:rFonts w:cs="Times New Roman"/>
        </w:rPr>
        <w:t>the</w:t>
      </w:r>
      <w:proofErr w:type="spellEnd"/>
      <w:r w:rsidR="007341F0" w:rsidRPr="00D46F06">
        <w:rPr>
          <w:rFonts w:cs="Times New Roman"/>
        </w:rPr>
        <w:t xml:space="preserve"> </w:t>
      </w:r>
      <w:proofErr w:type="spellStart"/>
      <w:r w:rsidR="007341F0" w:rsidRPr="00D46F06">
        <w:rPr>
          <w:rFonts w:cs="Times New Roman"/>
        </w:rPr>
        <w:t>electronic</w:t>
      </w:r>
      <w:proofErr w:type="spellEnd"/>
      <w:r w:rsidR="007341F0" w:rsidRPr="00D46F06">
        <w:rPr>
          <w:rFonts w:cs="Times New Roman"/>
        </w:rPr>
        <w:t xml:space="preserve"> </w:t>
      </w:r>
      <w:proofErr w:type="spellStart"/>
      <w:r w:rsidR="007341F0" w:rsidRPr="00D46F06">
        <w:rPr>
          <w:rFonts w:cs="Times New Roman"/>
        </w:rPr>
        <w:t>communications</w:t>
      </w:r>
      <w:proofErr w:type="spellEnd"/>
      <w:r w:rsidR="007341F0" w:rsidRPr="00D46F06">
        <w:rPr>
          <w:rFonts w:cs="Times New Roman"/>
        </w:rPr>
        <w:t xml:space="preserve"> </w:t>
      </w:r>
      <w:proofErr w:type="spellStart"/>
      <w:r w:rsidR="007341F0" w:rsidRPr="00D46F06">
        <w:rPr>
          <w:rFonts w:cs="Times New Roman"/>
        </w:rPr>
        <w:t>sectorsusceptible</w:t>
      </w:r>
      <w:proofErr w:type="spellEnd"/>
      <w:r w:rsidR="007341F0" w:rsidRPr="00D46F06">
        <w:rPr>
          <w:rFonts w:cs="Times New Roman"/>
        </w:rPr>
        <w:t xml:space="preserve"> </w:t>
      </w:r>
      <w:proofErr w:type="spellStart"/>
      <w:r w:rsidR="007341F0" w:rsidRPr="00D46F06">
        <w:rPr>
          <w:rFonts w:cs="Times New Roman"/>
        </w:rPr>
        <w:t>to</w:t>
      </w:r>
      <w:proofErr w:type="spellEnd"/>
      <w:r w:rsidR="007341F0" w:rsidRPr="00D46F06">
        <w:rPr>
          <w:rFonts w:cs="Times New Roman"/>
        </w:rPr>
        <w:t xml:space="preserve"> </w:t>
      </w:r>
      <w:proofErr w:type="spellStart"/>
      <w:r w:rsidR="007341F0" w:rsidRPr="00D46F06">
        <w:rPr>
          <w:rFonts w:cs="Times New Roman"/>
        </w:rPr>
        <w:t>ex</w:t>
      </w:r>
      <w:proofErr w:type="spellEnd"/>
      <w:r w:rsidR="007341F0" w:rsidRPr="00D46F06">
        <w:rPr>
          <w:rFonts w:cs="Times New Roman"/>
        </w:rPr>
        <w:t xml:space="preserve"> </w:t>
      </w:r>
      <w:proofErr w:type="spellStart"/>
      <w:r w:rsidR="007341F0" w:rsidRPr="00D46F06">
        <w:rPr>
          <w:rFonts w:cs="Times New Roman"/>
        </w:rPr>
        <w:t>ante</w:t>
      </w:r>
      <w:proofErr w:type="spellEnd"/>
      <w:r w:rsidR="007341F0" w:rsidRPr="00D46F06">
        <w:rPr>
          <w:rFonts w:cs="Times New Roman"/>
        </w:rPr>
        <w:t xml:space="preserve"> </w:t>
      </w:r>
      <w:proofErr w:type="spellStart"/>
      <w:r w:rsidR="007341F0" w:rsidRPr="00D46F06">
        <w:rPr>
          <w:rFonts w:cs="Times New Roman"/>
        </w:rPr>
        <w:t>regulation</w:t>
      </w:r>
      <w:proofErr w:type="spellEnd"/>
      <w:r w:rsidR="007341F0" w:rsidRPr="00D46F06">
        <w:rPr>
          <w:rFonts w:cs="Times New Roman"/>
        </w:rPr>
        <w:t xml:space="preserve"> in </w:t>
      </w:r>
      <w:proofErr w:type="spellStart"/>
      <w:r w:rsidR="007341F0" w:rsidRPr="00D46F06">
        <w:rPr>
          <w:rFonts w:cs="Times New Roman"/>
        </w:rPr>
        <w:t>accordance</w:t>
      </w:r>
      <w:proofErr w:type="spellEnd"/>
      <w:r w:rsidR="007341F0" w:rsidRPr="00D46F06">
        <w:rPr>
          <w:rFonts w:cs="Times New Roman"/>
        </w:rPr>
        <w:t xml:space="preserve"> </w:t>
      </w:r>
      <w:proofErr w:type="spellStart"/>
      <w:r w:rsidR="007341F0" w:rsidRPr="00D46F06">
        <w:rPr>
          <w:rFonts w:cs="Times New Roman"/>
        </w:rPr>
        <w:t>with</w:t>
      </w:r>
      <w:proofErr w:type="spellEnd"/>
      <w:r w:rsidR="007341F0" w:rsidRPr="00D46F06">
        <w:rPr>
          <w:rFonts w:cs="Times New Roman"/>
        </w:rPr>
        <w:t xml:space="preserve"> </w:t>
      </w:r>
      <w:proofErr w:type="spellStart"/>
      <w:r w:rsidR="007341F0" w:rsidRPr="00D46F06">
        <w:rPr>
          <w:rFonts w:cs="Times New Roman"/>
        </w:rPr>
        <w:t>Directive</w:t>
      </w:r>
      <w:proofErr w:type="spellEnd"/>
      <w:r w:rsidR="007341F0" w:rsidRPr="00D46F06">
        <w:rPr>
          <w:rFonts w:cs="Times New Roman"/>
        </w:rPr>
        <w:t xml:space="preserve"> 2002/21/EC of </w:t>
      </w:r>
      <w:proofErr w:type="spellStart"/>
      <w:r w:rsidR="007341F0" w:rsidRPr="00D46F06">
        <w:rPr>
          <w:rFonts w:cs="Times New Roman"/>
        </w:rPr>
        <w:t>the</w:t>
      </w:r>
      <w:proofErr w:type="spellEnd"/>
      <w:r w:rsidR="007341F0" w:rsidRPr="00D46F06">
        <w:rPr>
          <w:rFonts w:cs="Times New Roman"/>
        </w:rPr>
        <w:t xml:space="preserve"> </w:t>
      </w:r>
      <w:proofErr w:type="spellStart"/>
      <w:r w:rsidR="007341F0" w:rsidRPr="00D46F06">
        <w:rPr>
          <w:rFonts w:cs="Times New Roman"/>
        </w:rPr>
        <w:t>European</w:t>
      </w:r>
      <w:proofErr w:type="spellEnd"/>
      <w:r w:rsidR="007341F0" w:rsidRPr="00D46F06">
        <w:rPr>
          <w:rFonts w:cs="Times New Roman"/>
        </w:rPr>
        <w:t xml:space="preserve"> </w:t>
      </w:r>
      <w:proofErr w:type="spellStart"/>
      <w:r w:rsidR="007341F0" w:rsidRPr="00D46F06">
        <w:rPr>
          <w:rFonts w:cs="Times New Roman"/>
        </w:rPr>
        <w:t>Parliament</w:t>
      </w:r>
      <w:proofErr w:type="spellEnd"/>
      <w:r w:rsidR="007341F0" w:rsidRPr="00D46F06">
        <w:rPr>
          <w:rFonts w:cs="Times New Roman"/>
        </w:rPr>
        <w:t xml:space="preserve"> and of </w:t>
      </w:r>
      <w:proofErr w:type="spellStart"/>
      <w:r w:rsidR="007341F0" w:rsidRPr="00D46F06">
        <w:rPr>
          <w:rFonts w:cs="Times New Roman"/>
        </w:rPr>
        <w:t>the</w:t>
      </w:r>
      <w:proofErr w:type="spellEnd"/>
      <w:r w:rsidR="007341F0" w:rsidRPr="00D46F06">
        <w:rPr>
          <w:rFonts w:cs="Times New Roman"/>
        </w:rPr>
        <w:t xml:space="preserve"> </w:t>
      </w:r>
      <w:proofErr w:type="spellStart"/>
      <w:r w:rsidR="007341F0" w:rsidRPr="00D46F06">
        <w:rPr>
          <w:rFonts w:cs="Times New Roman"/>
        </w:rPr>
        <w:t>Council</w:t>
      </w:r>
      <w:proofErr w:type="spellEnd"/>
      <w:r w:rsidR="007341F0" w:rsidRPr="00D46F06">
        <w:rPr>
          <w:rFonts w:cs="Times New Roman"/>
        </w:rPr>
        <w:t xml:space="preserve"> on a </w:t>
      </w:r>
      <w:proofErr w:type="spellStart"/>
      <w:r w:rsidR="007341F0" w:rsidRPr="00D46F06">
        <w:rPr>
          <w:rFonts w:cs="Times New Roman"/>
        </w:rPr>
        <w:t>common</w:t>
      </w:r>
      <w:proofErr w:type="spellEnd"/>
      <w:r w:rsidR="007341F0" w:rsidRPr="00D46F06">
        <w:rPr>
          <w:rFonts w:cs="Times New Roman"/>
        </w:rPr>
        <w:t xml:space="preserve"> </w:t>
      </w:r>
      <w:proofErr w:type="spellStart"/>
      <w:r w:rsidR="007341F0" w:rsidRPr="00D46F06">
        <w:rPr>
          <w:rFonts w:cs="Times New Roman"/>
        </w:rPr>
        <w:t>regulatory</w:t>
      </w:r>
      <w:proofErr w:type="spellEnd"/>
      <w:r w:rsidR="007341F0" w:rsidRPr="00D46F06">
        <w:rPr>
          <w:rFonts w:cs="Times New Roman"/>
        </w:rPr>
        <w:t xml:space="preserve"> </w:t>
      </w:r>
      <w:proofErr w:type="spellStart"/>
      <w:r w:rsidR="007341F0" w:rsidRPr="00D46F06">
        <w:rPr>
          <w:rFonts w:cs="Times New Roman"/>
        </w:rPr>
        <w:t>framework</w:t>
      </w:r>
      <w:proofErr w:type="spellEnd"/>
      <w:r w:rsidR="007341F0" w:rsidRPr="00D46F06">
        <w:rPr>
          <w:rFonts w:cs="Times New Roman"/>
        </w:rPr>
        <w:t xml:space="preserve"> </w:t>
      </w:r>
      <w:proofErr w:type="spellStart"/>
      <w:r w:rsidR="007341F0" w:rsidRPr="00D46F06">
        <w:rPr>
          <w:rFonts w:cs="Times New Roman"/>
        </w:rPr>
        <w:t>for</w:t>
      </w:r>
      <w:proofErr w:type="spellEnd"/>
      <w:r w:rsidR="007341F0" w:rsidRPr="00D46F06">
        <w:rPr>
          <w:rFonts w:cs="Times New Roman"/>
        </w:rPr>
        <w:t xml:space="preserve"> </w:t>
      </w:r>
      <w:proofErr w:type="spellStart"/>
      <w:r w:rsidR="007341F0" w:rsidRPr="00D46F06">
        <w:rPr>
          <w:rFonts w:cs="Times New Roman"/>
        </w:rPr>
        <w:t>electronic</w:t>
      </w:r>
      <w:proofErr w:type="spellEnd"/>
      <w:r w:rsidR="007341F0" w:rsidRPr="00D46F06">
        <w:rPr>
          <w:rFonts w:cs="Times New Roman"/>
        </w:rPr>
        <w:t xml:space="preserve"> </w:t>
      </w:r>
      <w:proofErr w:type="spellStart"/>
      <w:r w:rsidR="007341F0" w:rsidRPr="00D46F06">
        <w:rPr>
          <w:rFonts w:cs="Times New Roman"/>
        </w:rPr>
        <w:t>communications</w:t>
      </w:r>
      <w:proofErr w:type="spellEnd"/>
      <w:r w:rsidR="007341F0" w:rsidRPr="00D46F06">
        <w:rPr>
          <w:rFonts w:cs="Times New Roman"/>
        </w:rPr>
        <w:t xml:space="preserve"> </w:t>
      </w:r>
      <w:proofErr w:type="spellStart"/>
      <w:r w:rsidR="007341F0" w:rsidRPr="00D46F06">
        <w:rPr>
          <w:rFonts w:cs="Times New Roman"/>
        </w:rPr>
        <w:t>networks</w:t>
      </w:r>
      <w:proofErr w:type="spellEnd"/>
      <w:r w:rsidR="007341F0" w:rsidRPr="00D46F06">
        <w:rPr>
          <w:rFonts w:cs="Times New Roman"/>
        </w:rPr>
        <w:t xml:space="preserve"> and </w:t>
      </w:r>
      <w:proofErr w:type="spellStart"/>
      <w:r w:rsidR="007341F0" w:rsidRPr="00D46F06">
        <w:rPr>
          <w:rFonts w:cs="Times New Roman"/>
        </w:rPr>
        <w:t>services</w:t>
      </w:r>
      <w:proofErr w:type="spellEnd"/>
      <w:r w:rsidR="007341F0" w:rsidRPr="00D46F06">
        <w:rPr>
          <w:rFonts w:cs="Times New Roman"/>
        </w:rPr>
        <w:t xml:space="preserve"> </w:t>
      </w:r>
    </w:p>
    <w:p w14:paraId="4DE65EF8" w14:textId="04C8CF0B" w:rsidR="00D458EB" w:rsidRPr="00D46F06" w:rsidRDefault="007341F0" w:rsidP="007341F0">
      <w:pPr>
        <w:pStyle w:val="Allmrkusetekst"/>
        <w:rPr>
          <w:rFonts w:cs="Times New Roman"/>
          <w:sz w:val="16"/>
          <w:szCs w:val="16"/>
        </w:rPr>
      </w:pPr>
      <w:hyperlink r:id="rId53" w:history="1">
        <w:r w:rsidRPr="00D46F06">
          <w:rPr>
            <w:rStyle w:val="Hperlink"/>
            <w:rFonts w:cs="Times New Roman"/>
            <w:sz w:val="16"/>
            <w:szCs w:val="16"/>
          </w:rPr>
          <w:t>https://eur-lex.europa.eu/legal-content/EN/TXT/?uri=CELEX%3A32014H0710</w:t>
        </w:r>
      </w:hyperlink>
    </w:p>
    <w:p w14:paraId="56B20D72" w14:textId="77777777" w:rsidR="007341F0" w:rsidRPr="00D46F06" w:rsidRDefault="007341F0" w:rsidP="007341F0">
      <w:pPr>
        <w:pStyle w:val="Allmrkusetekst"/>
        <w:rPr>
          <w:rFonts w:cs="Times New Roman"/>
          <w:sz w:val="16"/>
          <w:szCs w:val="16"/>
        </w:rPr>
      </w:pPr>
    </w:p>
  </w:footnote>
  <w:footnote w:id="102">
    <w:p w14:paraId="2B3C10CF" w14:textId="6ED8AA0C" w:rsidR="00843319" w:rsidRPr="00D46F06" w:rsidRDefault="00843319">
      <w:pPr>
        <w:pStyle w:val="Allmrkusetekst"/>
        <w:rPr>
          <w:rFonts w:cs="Times New Roman"/>
        </w:rPr>
      </w:pPr>
      <w:r w:rsidRPr="00D46F06">
        <w:rPr>
          <w:rStyle w:val="Allmrkuseviide"/>
          <w:rFonts w:cs="Times New Roman"/>
        </w:rPr>
        <w:footnoteRef/>
      </w:r>
      <w:r w:rsidRPr="00D46F06">
        <w:rPr>
          <w:rFonts w:cs="Times New Roman"/>
        </w:rPr>
        <w:t xml:space="preserve"> </w:t>
      </w:r>
      <w:r w:rsidR="00476BE9" w:rsidRPr="00D46F06">
        <w:rPr>
          <w:rFonts w:cs="Times New Roman"/>
          <w:sz w:val="18"/>
          <w:szCs w:val="18"/>
        </w:rPr>
        <w:t xml:space="preserve">Euroopa Komisjoni soovitus (EL) 2020/2245, 18. detsember 2020, elektroonilise side sektori asjaomaste toote- ja teenuseturgude kohta, mis vastavalt Euroopa Parlamendi ja nõukogu direktiivile (EL) 2018/1972 (millega kehtestatakse Euroopa elektroonilise side seadustik) vajavad eelnevat reguleerimist, viide allikale: </w:t>
      </w:r>
      <w:hyperlink r:id="rId54" w:history="1">
        <w:r w:rsidR="00476BE9" w:rsidRPr="00D46F06">
          <w:rPr>
            <w:rStyle w:val="Hperlink"/>
            <w:rFonts w:cs="Times New Roman"/>
            <w:sz w:val="18"/>
            <w:szCs w:val="18"/>
          </w:rPr>
          <w:t>https://eur-lex.europa.eu/legal-content/EN-ET/TXT/?uri=CELEX:32020H2245</w:t>
        </w:r>
      </w:hyperlink>
    </w:p>
  </w:footnote>
  <w:footnote w:id="103">
    <w:p w14:paraId="39FD46B7" w14:textId="63285D5A" w:rsidR="00476BE9" w:rsidRDefault="00476BE9">
      <w:pPr>
        <w:pStyle w:val="Allmrkusetekst"/>
      </w:pPr>
      <w:r w:rsidRPr="00D46F06">
        <w:rPr>
          <w:rStyle w:val="Allmrkuseviide"/>
          <w:rFonts w:cs="Times New Roman"/>
        </w:rPr>
        <w:footnoteRef/>
      </w:r>
      <w:proofErr w:type="spellStart"/>
      <w:r w:rsidR="00D53BD4" w:rsidRPr="00D46F06">
        <w:rPr>
          <w:rFonts w:cs="Times New Roman"/>
        </w:rPr>
        <w:t>Explanatory</w:t>
      </w:r>
      <w:proofErr w:type="spellEnd"/>
      <w:r w:rsidR="00D53BD4" w:rsidRPr="00D46F06">
        <w:rPr>
          <w:rFonts w:cs="Times New Roman"/>
        </w:rPr>
        <w:t xml:space="preserve"> </w:t>
      </w:r>
      <w:proofErr w:type="spellStart"/>
      <w:r w:rsidR="00D53BD4" w:rsidRPr="00D46F06">
        <w:rPr>
          <w:rFonts w:cs="Times New Roman"/>
        </w:rPr>
        <w:t>note</w:t>
      </w:r>
      <w:proofErr w:type="spellEnd"/>
      <w:r w:rsidR="00D53BD4" w:rsidRPr="00D46F06">
        <w:rPr>
          <w:rFonts w:cs="Times New Roman"/>
        </w:rPr>
        <w:t xml:space="preserve"> </w:t>
      </w:r>
      <w:r w:rsidRPr="00D46F06">
        <w:rPr>
          <w:rFonts w:cs="Times New Roman"/>
        </w:rPr>
        <w:t xml:space="preserve"> </w:t>
      </w:r>
      <w:r w:rsidR="00157BC8" w:rsidRPr="00D46F06">
        <w:rPr>
          <w:rFonts w:cs="Times New Roman"/>
        </w:rPr>
        <w:t>169</w:t>
      </w:r>
    </w:p>
  </w:footnote>
  <w:footnote w:id="104">
    <w:p w14:paraId="3089D45D" w14:textId="6A5297C7" w:rsidR="00336455" w:rsidRDefault="00336455">
      <w:pPr>
        <w:pStyle w:val="Allmrkusetekst"/>
      </w:pPr>
      <w:r>
        <w:rPr>
          <w:rStyle w:val="Allmrkuseviide"/>
        </w:rPr>
        <w:footnoteRef/>
      </w:r>
      <w:r>
        <w:t xml:space="preserve"> </w:t>
      </w:r>
      <w:r w:rsidRPr="00D46F06">
        <w:rPr>
          <w:rFonts w:cs="Times New Roman"/>
        </w:rPr>
        <w:t>Jaeturu kindlaksmääramisel ja analüüsimisel tuleb seda põhimõtet kohaldada, eeldades, et kõnealust märkimisväärset turujõudu hulgiturul ei reguleerita.  See on lähenemisviis, mida tuntakse kui "</w:t>
      </w:r>
      <w:proofErr w:type="spellStart"/>
      <w:r w:rsidRPr="008F5CF2">
        <w:rPr>
          <w:rFonts w:cs="Times New Roman"/>
          <w:i/>
          <w:iCs/>
        </w:rPr>
        <w:t>Greenfield</w:t>
      </w:r>
      <w:proofErr w:type="spellEnd"/>
      <w:r w:rsidRPr="00D46F06">
        <w:rPr>
          <w:rFonts w:cs="Times New Roman"/>
        </w:rPr>
        <w:t xml:space="preserve"> e muudetud rohelise ala lähenemisviisi", mis põhineb eeldusel, et ilma turu 1 ja 3b reguleerimiseta ei oleks märkimisväärse turujõuga kauplejal stiimulit nendele turgudele teenuseid osutada.</w:t>
      </w:r>
    </w:p>
  </w:footnote>
  <w:footnote w:id="105">
    <w:p w14:paraId="762743B9" w14:textId="77777777" w:rsidR="00F03958" w:rsidRPr="00144353" w:rsidRDefault="00F03958" w:rsidP="00F03958">
      <w:pPr>
        <w:pStyle w:val="Allmrkusetekst"/>
        <w:rPr>
          <w:sz w:val="18"/>
          <w:szCs w:val="18"/>
        </w:rPr>
      </w:pPr>
      <w:r w:rsidRPr="00144353">
        <w:rPr>
          <w:rStyle w:val="Allmrkuseviide"/>
          <w:sz w:val="18"/>
          <w:szCs w:val="18"/>
        </w:rPr>
        <w:footnoteRef/>
      </w:r>
      <w:r w:rsidRPr="00144353">
        <w:rPr>
          <w:sz w:val="18"/>
          <w:szCs w:val="18"/>
        </w:rPr>
        <w:t xml:space="preserve"> </w:t>
      </w:r>
      <w:r w:rsidRPr="00144353">
        <w:rPr>
          <w:sz w:val="18"/>
          <w:szCs w:val="18"/>
        </w:rPr>
        <w:t xml:space="preserve">Viide allikale: </w:t>
      </w:r>
      <w:hyperlink r:id="rId55" w:history="1">
        <w:r w:rsidRPr="00144353">
          <w:rPr>
            <w:rStyle w:val="Hperlink"/>
            <w:sz w:val="18"/>
            <w:szCs w:val="18"/>
          </w:rPr>
          <w:t>https://www.telia.ee/partnerile/sideettevotjale/vorguressursi-rent</w:t>
        </w:r>
      </w:hyperlink>
      <w:r w:rsidRPr="00144353">
        <w:rPr>
          <w:sz w:val="18"/>
          <w:szCs w:val="18"/>
        </w:rPr>
        <w:t xml:space="preserve"> </w:t>
      </w:r>
    </w:p>
  </w:footnote>
  <w:footnote w:id="106">
    <w:p w14:paraId="5B5E0ACA" w14:textId="77777777" w:rsidR="00F03958" w:rsidRPr="00144353" w:rsidRDefault="00F03958" w:rsidP="00F03958">
      <w:pPr>
        <w:pStyle w:val="Allmrkusetekst"/>
        <w:rPr>
          <w:sz w:val="18"/>
          <w:szCs w:val="18"/>
        </w:rPr>
      </w:pPr>
      <w:r w:rsidRPr="00144353">
        <w:rPr>
          <w:rStyle w:val="Allmrkuseviide"/>
          <w:sz w:val="18"/>
          <w:szCs w:val="18"/>
        </w:rPr>
        <w:footnoteRef/>
      </w:r>
      <w:r w:rsidRPr="00144353">
        <w:rPr>
          <w:sz w:val="18"/>
          <w:szCs w:val="18"/>
        </w:rPr>
        <w:t xml:space="preserve"> </w:t>
      </w:r>
      <w:r w:rsidRPr="00144353">
        <w:rPr>
          <w:sz w:val="18"/>
          <w:szCs w:val="18"/>
        </w:rPr>
        <w:t xml:space="preserve">Viide allikale: </w:t>
      </w:r>
      <w:hyperlink r:id="rId56" w:history="1">
        <w:r w:rsidRPr="009F266C">
          <w:rPr>
            <w:rStyle w:val="Hperlink"/>
            <w:sz w:val="18"/>
            <w:szCs w:val="18"/>
          </w:rPr>
          <w:t>https://www.telia.ee/images/documents/tt/est/tt_optiline_juurdaasuliin_alates10032017.pdf</w:t>
        </w:r>
      </w:hyperlink>
      <w:r>
        <w:rPr>
          <w:sz w:val="18"/>
          <w:szCs w:val="18"/>
        </w:rPr>
        <w:t xml:space="preserve"> </w:t>
      </w:r>
    </w:p>
  </w:footnote>
  <w:footnote w:id="107">
    <w:p w14:paraId="41D0C784" w14:textId="77777777" w:rsidR="00F03958" w:rsidRPr="00144353" w:rsidRDefault="00F03958" w:rsidP="00F03958">
      <w:pPr>
        <w:pStyle w:val="Allmrkusetekst"/>
        <w:rPr>
          <w:sz w:val="18"/>
          <w:szCs w:val="18"/>
        </w:rPr>
      </w:pPr>
      <w:r w:rsidRPr="00144353">
        <w:rPr>
          <w:rStyle w:val="Allmrkuseviide"/>
          <w:sz w:val="18"/>
          <w:szCs w:val="18"/>
        </w:rPr>
        <w:footnoteRef/>
      </w:r>
      <w:r w:rsidRPr="00144353">
        <w:rPr>
          <w:sz w:val="18"/>
          <w:szCs w:val="18"/>
        </w:rPr>
        <w:t xml:space="preserve"> </w:t>
      </w:r>
      <w:r w:rsidRPr="00144353">
        <w:rPr>
          <w:sz w:val="18"/>
          <w:szCs w:val="18"/>
        </w:rPr>
        <w:t xml:space="preserve">Viide allikale: </w:t>
      </w:r>
      <w:hyperlink r:id="rId57" w:history="1">
        <w:r w:rsidRPr="00144353">
          <w:rPr>
            <w:rStyle w:val="Hperlink"/>
            <w:sz w:val="18"/>
            <w:szCs w:val="18"/>
          </w:rPr>
          <w:t>https://www.telia.ee/partnerile/sideettevotjale/vorguressursi-rent</w:t>
        </w:r>
      </w:hyperlink>
      <w:r w:rsidRPr="00144353">
        <w:rPr>
          <w:sz w:val="18"/>
          <w:szCs w:val="18"/>
        </w:rPr>
        <w:t xml:space="preserve"> </w:t>
      </w:r>
    </w:p>
  </w:footnote>
  <w:footnote w:id="108">
    <w:p w14:paraId="0182EE85" w14:textId="77777777" w:rsidR="00F03958" w:rsidRPr="00144353" w:rsidRDefault="00F03958" w:rsidP="00F03958">
      <w:pPr>
        <w:pStyle w:val="Allmrkusetekst"/>
        <w:rPr>
          <w:sz w:val="18"/>
          <w:szCs w:val="18"/>
        </w:rPr>
      </w:pPr>
      <w:r w:rsidRPr="00144353">
        <w:rPr>
          <w:rStyle w:val="Allmrkuseviide"/>
          <w:sz w:val="18"/>
          <w:szCs w:val="18"/>
        </w:rPr>
        <w:footnoteRef/>
      </w:r>
      <w:r w:rsidRPr="00144353">
        <w:rPr>
          <w:sz w:val="18"/>
          <w:szCs w:val="18"/>
        </w:rPr>
        <w:t xml:space="preserve"> </w:t>
      </w:r>
      <w:r w:rsidRPr="00144353">
        <w:rPr>
          <w:sz w:val="18"/>
          <w:szCs w:val="18"/>
        </w:rPr>
        <w:t xml:space="preserve">Viide allikale: </w:t>
      </w:r>
      <w:hyperlink r:id="rId58" w:history="1">
        <w:r w:rsidRPr="009F266C">
          <w:rPr>
            <w:rStyle w:val="Hperlink"/>
            <w:sz w:val="18"/>
            <w:szCs w:val="18"/>
          </w:rPr>
          <w:t>https://www.telia.ee/images/documents/tt/est/tt_jagatud_optiline_juurdepaasuliin.pdf</w:t>
        </w:r>
      </w:hyperlink>
      <w:r>
        <w:rPr>
          <w:sz w:val="18"/>
          <w:szCs w:val="18"/>
        </w:rPr>
        <w:t xml:space="preserve"> </w:t>
      </w:r>
    </w:p>
  </w:footnote>
  <w:footnote w:id="109">
    <w:p w14:paraId="4B17A09D" w14:textId="77777777" w:rsidR="00422301" w:rsidRPr="00E32DE7" w:rsidRDefault="00422301" w:rsidP="00422301">
      <w:r w:rsidRPr="00A15261">
        <w:rPr>
          <w:rStyle w:val="Allmrkuseviide"/>
          <w:sz w:val="20"/>
          <w:szCs w:val="20"/>
        </w:rPr>
        <w:footnoteRef/>
      </w:r>
      <w:r w:rsidRPr="00E32DE7">
        <w:rPr>
          <w:sz w:val="20"/>
          <w:szCs w:val="20"/>
        </w:rPr>
        <w:t xml:space="preserve"> </w:t>
      </w:r>
      <w:r w:rsidRPr="00E32DE7">
        <w:rPr>
          <w:sz w:val="18"/>
          <w:szCs w:val="18"/>
        </w:rPr>
        <w:t>TJA 16.06.17 otsus nr 1-10/17-227 „</w:t>
      </w:r>
      <w:r w:rsidRPr="00E32DE7">
        <w:t xml:space="preserve"> </w:t>
      </w:r>
      <w:r w:rsidRPr="00E32DE7">
        <w:rPr>
          <w:sz w:val="18"/>
          <w:szCs w:val="18"/>
        </w:rPr>
        <w:t xml:space="preserve">Kindlaksmääratud asukohas kohaliku juurdepääsu hulgituru piiritlemine, analüüs, märkimisväärse turujõuga ettevõtjaks tunnistamine ja kohustuste kehtestamine “vt IV ring </w:t>
      </w:r>
      <w:hyperlink r:id="rId59" w:anchor="fuusiline-juurdepaas" w:history="1">
        <w:r w:rsidRPr="00E32DE7">
          <w:rPr>
            <w:rStyle w:val="Hperlink"/>
            <w:sz w:val="18"/>
            <w:szCs w:val="18"/>
          </w:rPr>
          <w:t>https://www.ttja.ee/ariklient/side-ja-meediateenused/sideteenused/sideturg#fuusiline-juurdepaas</w:t>
        </w:r>
      </w:hyperlink>
      <w:r w:rsidRPr="00E32DE7">
        <w:rPr>
          <w:sz w:val="18"/>
          <w:szCs w:val="18"/>
        </w:rPr>
        <w:t xml:space="preserve"> </w:t>
      </w:r>
      <w:r w:rsidRPr="00E32DE7">
        <w:t>.</w:t>
      </w:r>
    </w:p>
  </w:footnote>
  <w:footnote w:id="110">
    <w:p w14:paraId="17051672" w14:textId="77777777" w:rsidR="00F03958" w:rsidRPr="00E14FB7" w:rsidRDefault="00F03958" w:rsidP="00F03958">
      <w:pPr>
        <w:pStyle w:val="Allmrkusetekst"/>
        <w:spacing w:before="60" w:after="60"/>
        <w:rPr>
          <w:sz w:val="18"/>
          <w:szCs w:val="18"/>
        </w:rPr>
      </w:pPr>
      <w:r w:rsidRPr="00E14FB7">
        <w:rPr>
          <w:rStyle w:val="Allmrkuseviide"/>
          <w:sz w:val="18"/>
          <w:szCs w:val="18"/>
        </w:rPr>
        <w:footnoteRef/>
      </w:r>
      <w:r w:rsidRPr="00E14FB7">
        <w:rPr>
          <w:sz w:val="18"/>
          <w:szCs w:val="18"/>
        </w:rPr>
        <w:t xml:space="preserve"> </w:t>
      </w:r>
      <w:r w:rsidRPr="00E14FB7">
        <w:rPr>
          <w:sz w:val="18"/>
          <w:szCs w:val="18"/>
        </w:rPr>
        <w:t>ESS § 40 lõige 1</w:t>
      </w:r>
    </w:p>
  </w:footnote>
  <w:footnote w:id="111">
    <w:p w14:paraId="393ADABF" w14:textId="77777777" w:rsidR="00F03958" w:rsidRDefault="00F03958" w:rsidP="00F03958">
      <w:pPr>
        <w:pStyle w:val="Allmrkusetekst"/>
      </w:pPr>
      <w:r>
        <w:rPr>
          <w:rStyle w:val="Allmrkuseviide"/>
        </w:rPr>
        <w:footnoteRef/>
      </w:r>
      <w:r>
        <w:t xml:space="preserve"> </w:t>
      </w:r>
      <w:r w:rsidRPr="001B30BE">
        <w:t>ESS § 134</w:t>
      </w:r>
    </w:p>
  </w:footnote>
  <w:footnote w:id="112">
    <w:p w14:paraId="21E6B3BB" w14:textId="77777777" w:rsidR="00F03958" w:rsidRPr="003A4E18" w:rsidRDefault="00F03958" w:rsidP="00F03958">
      <w:pPr>
        <w:pStyle w:val="Allmrkusetekst"/>
      </w:pPr>
      <w:r w:rsidRPr="00E14FB7">
        <w:rPr>
          <w:rStyle w:val="Allmrkuseviide"/>
          <w:sz w:val="18"/>
          <w:szCs w:val="18"/>
        </w:rPr>
        <w:footnoteRef/>
      </w:r>
      <w:r w:rsidRPr="00E14FB7">
        <w:rPr>
          <w:sz w:val="18"/>
          <w:szCs w:val="18"/>
        </w:rPr>
        <w:t xml:space="preserve"> </w:t>
      </w:r>
      <w:r w:rsidRPr="00E14FB7">
        <w:rPr>
          <w:sz w:val="18"/>
          <w:szCs w:val="18"/>
        </w:rPr>
        <w:t xml:space="preserve">Euroopa sidekoodeks (EL 2018/1972)  </w:t>
      </w:r>
      <w:hyperlink r:id="rId60" w:history="1">
        <w:r w:rsidRPr="00E14FB7">
          <w:rPr>
            <w:rStyle w:val="Hperlink"/>
            <w:sz w:val="18"/>
            <w:szCs w:val="18"/>
          </w:rPr>
          <w:t>https://eur-lex.europa.eu/legal-content/EN-ET/TXT/?from=EN&amp;uri=CELEX%3A02018L1972-20181217</w:t>
        </w:r>
      </w:hyperlink>
      <w:r w:rsidRPr="00E14FB7">
        <w:rPr>
          <w:sz w:val="18"/>
          <w:szCs w:val="18"/>
        </w:rPr>
        <w:t xml:space="preserve"> artikli 63 lõige 2, ESS § 45 lõige 2</w:t>
      </w:r>
    </w:p>
  </w:footnote>
  <w:footnote w:id="113">
    <w:p w14:paraId="2A89E31A" w14:textId="77777777" w:rsidR="00F03958" w:rsidRPr="0034780A" w:rsidRDefault="00F03958" w:rsidP="00F03958">
      <w:pPr>
        <w:pStyle w:val="Allmrkusetekst"/>
        <w:spacing w:before="60" w:after="60"/>
        <w:rPr>
          <w:sz w:val="18"/>
          <w:szCs w:val="18"/>
        </w:rPr>
      </w:pPr>
      <w:r w:rsidRPr="0034780A">
        <w:rPr>
          <w:rStyle w:val="Allmrkuseviide"/>
          <w:sz w:val="18"/>
          <w:szCs w:val="18"/>
        </w:rPr>
        <w:footnoteRef/>
      </w:r>
      <w:r w:rsidRPr="0034780A">
        <w:rPr>
          <w:sz w:val="18"/>
          <w:szCs w:val="18"/>
        </w:rPr>
        <w:t xml:space="preserve"> </w:t>
      </w:r>
      <w:r w:rsidRPr="0034780A">
        <w:rPr>
          <w:sz w:val="18"/>
          <w:szCs w:val="18"/>
        </w:rPr>
        <w:t>ESS § 46 lõige 2</w:t>
      </w:r>
    </w:p>
  </w:footnote>
  <w:footnote w:id="114">
    <w:p w14:paraId="06DA31F1" w14:textId="77777777" w:rsidR="00F03958" w:rsidRPr="0034780A" w:rsidRDefault="00F03958" w:rsidP="00F03958">
      <w:pPr>
        <w:pStyle w:val="Allmrkusetekst"/>
        <w:spacing w:before="60" w:after="60"/>
        <w:rPr>
          <w:sz w:val="18"/>
          <w:szCs w:val="18"/>
        </w:rPr>
      </w:pPr>
      <w:r w:rsidRPr="0034780A">
        <w:rPr>
          <w:rStyle w:val="Allmrkuseviide"/>
          <w:sz w:val="18"/>
          <w:szCs w:val="18"/>
        </w:rPr>
        <w:footnoteRef/>
      </w:r>
      <w:r w:rsidRPr="0034780A">
        <w:rPr>
          <w:sz w:val="18"/>
          <w:szCs w:val="18"/>
        </w:rPr>
        <w:t xml:space="preserve"> </w:t>
      </w:r>
      <w:r w:rsidRPr="0034780A">
        <w:rPr>
          <w:sz w:val="18"/>
          <w:szCs w:val="18"/>
        </w:rPr>
        <w:t>ESS § 50 lõige 5</w:t>
      </w:r>
    </w:p>
  </w:footnote>
  <w:footnote w:id="115">
    <w:p w14:paraId="7BBAA7B0" w14:textId="77777777" w:rsidR="00F03958" w:rsidRPr="0034780A" w:rsidRDefault="00F03958" w:rsidP="00F03958">
      <w:pPr>
        <w:pStyle w:val="Allmrkusetekst"/>
        <w:spacing w:before="60" w:after="60"/>
        <w:rPr>
          <w:sz w:val="18"/>
          <w:szCs w:val="18"/>
        </w:rPr>
      </w:pPr>
      <w:r w:rsidRPr="0034780A">
        <w:rPr>
          <w:rStyle w:val="Allmrkuseviide"/>
          <w:sz w:val="18"/>
          <w:szCs w:val="18"/>
        </w:rPr>
        <w:footnoteRef/>
      </w:r>
      <w:r w:rsidRPr="0034780A">
        <w:rPr>
          <w:sz w:val="18"/>
          <w:szCs w:val="18"/>
        </w:rPr>
        <w:t xml:space="preserve"> </w:t>
      </w:r>
      <w:r w:rsidRPr="0034780A">
        <w:rPr>
          <w:sz w:val="18"/>
          <w:szCs w:val="18"/>
        </w:rPr>
        <w:t>ESS § 50 lõige 3</w:t>
      </w:r>
    </w:p>
  </w:footnote>
  <w:footnote w:id="116">
    <w:p w14:paraId="42C01388" w14:textId="77777777" w:rsidR="00F03958" w:rsidRPr="0034780A" w:rsidRDefault="00F03958" w:rsidP="00F03958">
      <w:pPr>
        <w:pStyle w:val="Allmrkusetekst"/>
        <w:spacing w:before="60" w:after="60"/>
        <w:rPr>
          <w:sz w:val="18"/>
          <w:szCs w:val="18"/>
        </w:rPr>
      </w:pPr>
      <w:r w:rsidRPr="0034780A">
        <w:rPr>
          <w:rStyle w:val="Allmrkuseviide"/>
          <w:sz w:val="18"/>
          <w:szCs w:val="18"/>
        </w:rPr>
        <w:footnoteRef/>
      </w:r>
      <w:r w:rsidRPr="0034780A">
        <w:rPr>
          <w:sz w:val="18"/>
          <w:szCs w:val="18"/>
        </w:rPr>
        <w:t xml:space="preserve"> </w:t>
      </w:r>
      <w:r w:rsidRPr="0034780A">
        <w:rPr>
          <w:sz w:val="18"/>
          <w:szCs w:val="18"/>
        </w:rPr>
        <w:t>ESS § 50 lõige 1 ja 2</w:t>
      </w:r>
    </w:p>
  </w:footnote>
  <w:footnote w:id="117">
    <w:p w14:paraId="5DBA2757" w14:textId="77777777" w:rsidR="00F03958" w:rsidRPr="0034780A" w:rsidRDefault="00F03958" w:rsidP="00F03958">
      <w:pPr>
        <w:pStyle w:val="Allmrkusetekst"/>
        <w:spacing w:before="60" w:after="60"/>
        <w:rPr>
          <w:sz w:val="18"/>
          <w:szCs w:val="18"/>
        </w:rPr>
      </w:pPr>
      <w:r w:rsidRPr="0034780A">
        <w:rPr>
          <w:rStyle w:val="Allmrkuseviide"/>
          <w:sz w:val="18"/>
          <w:szCs w:val="18"/>
        </w:rPr>
        <w:footnoteRef/>
      </w:r>
      <w:r w:rsidRPr="0034780A">
        <w:rPr>
          <w:sz w:val="18"/>
          <w:szCs w:val="18"/>
        </w:rPr>
        <w:t xml:space="preserve"> </w:t>
      </w:r>
      <w:r w:rsidRPr="0034780A">
        <w:rPr>
          <w:sz w:val="18"/>
          <w:szCs w:val="18"/>
        </w:rPr>
        <w:t>ESS § 50 lõige 4 ja 7</w:t>
      </w:r>
    </w:p>
  </w:footnote>
  <w:footnote w:id="118">
    <w:p w14:paraId="498413C4" w14:textId="01DD2D18" w:rsidR="00F03958" w:rsidRDefault="00F03958" w:rsidP="00F03958">
      <w:pPr>
        <w:pStyle w:val="Allmrkusetekst"/>
      </w:pPr>
      <w:r>
        <w:rPr>
          <w:rStyle w:val="Allmrkuseviide"/>
        </w:rPr>
        <w:footnoteRef/>
      </w:r>
      <w:r>
        <w:t xml:space="preserve"> </w:t>
      </w:r>
      <w:r>
        <w:t xml:space="preserve">Viide allikale: </w:t>
      </w:r>
      <w:hyperlink r:id="rId61" w:history="1">
        <w:r w:rsidRPr="00117D5A">
          <w:rPr>
            <w:rStyle w:val="Hperlink"/>
          </w:rPr>
          <w:t>https://eur-lex.europa.eu/eli/reco/2024/539</w:t>
        </w:r>
      </w:hyperlink>
      <w:r>
        <w:t xml:space="preserve">  </w:t>
      </w:r>
    </w:p>
  </w:footnote>
  <w:footnote w:id="119">
    <w:p w14:paraId="6AF713E7" w14:textId="77777777" w:rsidR="00F03958" w:rsidRDefault="00F03958" w:rsidP="00F03958">
      <w:pPr>
        <w:pStyle w:val="Allmrkusetekst"/>
      </w:pPr>
      <w:r>
        <w:rPr>
          <w:rStyle w:val="Allmrkuseviide"/>
        </w:rPr>
        <w:footnoteRef/>
      </w:r>
      <w:r>
        <w:t xml:space="preserve"> </w:t>
      </w:r>
      <w:r>
        <w:t xml:space="preserve">COMMISSION STAFF WORKING DOCUMENT EXPLANATORY NOTE </w:t>
      </w:r>
      <w:proofErr w:type="spellStart"/>
      <w:r>
        <w:t>Accompanying</w:t>
      </w:r>
      <w:proofErr w:type="spellEnd"/>
      <w:r>
        <w:t xml:space="preserve"> </w:t>
      </w:r>
      <w:proofErr w:type="spellStart"/>
      <w:r>
        <w:t>the</w:t>
      </w:r>
      <w:proofErr w:type="spellEnd"/>
      <w:r>
        <w:t xml:space="preserve"> </w:t>
      </w:r>
      <w:proofErr w:type="spellStart"/>
      <w:r>
        <w:t>document</w:t>
      </w:r>
      <w:proofErr w:type="spellEnd"/>
      <w:r>
        <w:t xml:space="preserve"> </w:t>
      </w:r>
      <w:proofErr w:type="spellStart"/>
      <w:r>
        <w:t>Commission</w:t>
      </w:r>
      <w:proofErr w:type="spellEnd"/>
      <w:r>
        <w:t xml:space="preserve"> </w:t>
      </w:r>
      <w:proofErr w:type="spellStart"/>
      <w:r>
        <w:t>Recommendation</w:t>
      </w:r>
      <w:proofErr w:type="spellEnd"/>
      <w:r>
        <w:t xml:space="preserve"> On </w:t>
      </w:r>
      <w:proofErr w:type="spellStart"/>
      <w:r>
        <w:t>the</w:t>
      </w:r>
      <w:proofErr w:type="spellEnd"/>
      <w:r>
        <w:t xml:space="preserve"> </w:t>
      </w:r>
      <w:proofErr w:type="spellStart"/>
      <w:r>
        <w:t>regulatory</w:t>
      </w:r>
      <w:proofErr w:type="spellEnd"/>
      <w:r>
        <w:t xml:space="preserve"> </w:t>
      </w:r>
      <w:proofErr w:type="spellStart"/>
      <w:r>
        <w:t>promotion</w:t>
      </w:r>
      <w:proofErr w:type="spellEnd"/>
      <w:r>
        <w:t xml:space="preserve"> of </w:t>
      </w:r>
      <w:proofErr w:type="spellStart"/>
      <w:r>
        <w:t>Gigabit</w:t>
      </w:r>
      <w:proofErr w:type="spellEnd"/>
      <w:r>
        <w:t xml:space="preserve"> </w:t>
      </w:r>
      <w:proofErr w:type="spellStart"/>
      <w:r>
        <w:t>connectivity</w:t>
      </w:r>
      <w:proofErr w:type="spellEnd"/>
      <w:r>
        <w:t xml:space="preserve">, vt </w:t>
      </w:r>
      <w:hyperlink r:id="rId62" w:history="1">
        <w:r w:rsidRPr="00117D5A">
          <w:rPr>
            <w:rStyle w:val="Hperlink"/>
          </w:rPr>
          <w:t>https://ec.europa.eu/newsroom/dae/redirection/document/93964</w:t>
        </w:r>
      </w:hyperlink>
      <w:r>
        <w:t xml:space="preserve"> </w:t>
      </w:r>
    </w:p>
  </w:footnote>
  <w:footnote w:id="120">
    <w:p w14:paraId="23C36C9F" w14:textId="77777777" w:rsidR="00F03958" w:rsidRPr="00B845B0" w:rsidRDefault="00F03958" w:rsidP="00F03958">
      <w:pPr>
        <w:pStyle w:val="Allmrkusetekst"/>
        <w:rPr>
          <w:sz w:val="18"/>
          <w:szCs w:val="18"/>
        </w:rPr>
      </w:pPr>
      <w:r w:rsidRPr="00B845B0">
        <w:rPr>
          <w:rStyle w:val="Allmrkuseviide"/>
          <w:sz w:val="18"/>
          <w:szCs w:val="18"/>
        </w:rPr>
        <w:footnoteRef/>
      </w:r>
      <w:r w:rsidRPr="00B845B0">
        <w:rPr>
          <w:sz w:val="18"/>
          <w:szCs w:val="18"/>
        </w:rPr>
        <w:t xml:space="preserve"> </w:t>
      </w:r>
      <w:r w:rsidRPr="00B845B0">
        <w:rPr>
          <w:sz w:val="18"/>
          <w:szCs w:val="18"/>
        </w:rPr>
        <w:t>„</w:t>
      </w:r>
      <w:r w:rsidRPr="00B845B0">
        <w:rPr>
          <w:i/>
          <w:iCs/>
          <w:sz w:val="18"/>
          <w:szCs w:val="18"/>
        </w:rPr>
        <w:t xml:space="preserve">BEREC </w:t>
      </w:r>
      <w:proofErr w:type="spellStart"/>
      <w:r w:rsidRPr="00B845B0">
        <w:rPr>
          <w:i/>
          <w:iCs/>
          <w:sz w:val="18"/>
          <w:szCs w:val="18"/>
        </w:rPr>
        <w:t>Guidelines</w:t>
      </w:r>
      <w:proofErr w:type="spellEnd"/>
      <w:r w:rsidRPr="00B845B0">
        <w:rPr>
          <w:i/>
          <w:iCs/>
          <w:sz w:val="18"/>
          <w:szCs w:val="18"/>
        </w:rPr>
        <w:t xml:space="preserve"> on </w:t>
      </w:r>
      <w:proofErr w:type="spellStart"/>
      <w:r w:rsidRPr="00B845B0">
        <w:rPr>
          <w:i/>
          <w:iCs/>
          <w:sz w:val="18"/>
          <w:szCs w:val="18"/>
        </w:rPr>
        <w:t>the</w:t>
      </w:r>
      <w:proofErr w:type="spellEnd"/>
      <w:r w:rsidRPr="00B845B0">
        <w:rPr>
          <w:i/>
          <w:iCs/>
          <w:sz w:val="18"/>
          <w:szCs w:val="18"/>
        </w:rPr>
        <w:t xml:space="preserve"> </w:t>
      </w:r>
      <w:proofErr w:type="spellStart"/>
      <w:r w:rsidRPr="00B845B0">
        <w:rPr>
          <w:i/>
          <w:iCs/>
          <w:sz w:val="18"/>
          <w:szCs w:val="18"/>
        </w:rPr>
        <w:t>minimum</w:t>
      </w:r>
      <w:proofErr w:type="spellEnd"/>
      <w:r w:rsidRPr="00B845B0">
        <w:rPr>
          <w:i/>
          <w:iCs/>
          <w:sz w:val="18"/>
          <w:szCs w:val="18"/>
        </w:rPr>
        <w:t xml:space="preserve"> </w:t>
      </w:r>
      <w:proofErr w:type="spellStart"/>
      <w:r w:rsidRPr="00B845B0">
        <w:rPr>
          <w:i/>
          <w:iCs/>
          <w:sz w:val="18"/>
          <w:szCs w:val="18"/>
        </w:rPr>
        <w:t>criteria</w:t>
      </w:r>
      <w:proofErr w:type="spellEnd"/>
      <w:r w:rsidRPr="00B845B0">
        <w:rPr>
          <w:i/>
          <w:iCs/>
          <w:sz w:val="18"/>
          <w:szCs w:val="18"/>
        </w:rPr>
        <w:t xml:space="preserve"> </w:t>
      </w:r>
      <w:proofErr w:type="spellStart"/>
      <w:r w:rsidRPr="00B845B0">
        <w:rPr>
          <w:i/>
          <w:iCs/>
          <w:sz w:val="18"/>
          <w:szCs w:val="18"/>
        </w:rPr>
        <w:t>for</w:t>
      </w:r>
      <w:proofErr w:type="spellEnd"/>
      <w:r w:rsidRPr="00B845B0">
        <w:rPr>
          <w:i/>
          <w:iCs/>
          <w:sz w:val="18"/>
          <w:szCs w:val="18"/>
        </w:rPr>
        <w:t xml:space="preserve"> a </w:t>
      </w:r>
      <w:proofErr w:type="spellStart"/>
      <w:r w:rsidRPr="00B845B0">
        <w:rPr>
          <w:i/>
          <w:iCs/>
          <w:sz w:val="18"/>
          <w:szCs w:val="18"/>
        </w:rPr>
        <w:t>reference</w:t>
      </w:r>
      <w:proofErr w:type="spellEnd"/>
      <w:r w:rsidRPr="00B845B0">
        <w:rPr>
          <w:i/>
          <w:iCs/>
          <w:sz w:val="18"/>
          <w:szCs w:val="18"/>
        </w:rPr>
        <w:t xml:space="preserve"> </w:t>
      </w:r>
      <w:proofErr w:type="spellStart"/>
      <w:r w:rsidRPr="00B845B0">
        <w:rPr>
          <w:i/>
          <w:iCs/>
          <w:sz w:val="18"/>
          <w:szCs w:val="18"/>
        </w:rPr>
        <w:t>offer</w:t>
      </w:r>
      <w:proofErr w:type="spellEnd"/>
      <w:r w:rsidRPr="00B845B0">
        <w:rPr>
          <w:i/>
          <w:iCs/>
          <w:sz w:val="18"/>
          <w:szCs w:val="18"/>
        </w:rPr>
        <w:t xml:space="preserve"> </w:t>
      </w:r>
      <w:proofErr w:type="spellStart"/>
      <w:r w:rsidRPr="00B845B0">
        <w:rPr>
          <w:i/>
          <w:iCs/>
          <w:sz w:val="18"/>
          <w:szCs w:val="18"/>
        </w:rPr>
        <w:t>relating</w:t>
      </w:r>
      <w:proofErr w:type="spellEnd"/>
      <w:r w:rsidRPr="00B845B0">
        <w:rPr>
          <w:i/>
          <w:iCs/>
          <w:sz w:val="18"/>
          <w:szCs w:val="18"/>
        </w:rPr>
        <w:t xml:space="preserve"> </w:t>
      </w:r>
      <w:proofErr w:type="spellStart"/>
      <w:r w:rsidRPr="00B845B0">
        <w:rPr>
          <w:i/>
          <w:iCs/>
          <w:sz w:val="18"/>
          <w:szCs w:val="18"/>
        </w:rPr>
        <w:t>to</w:t>
      </w:r>
      <w:proofErr w:type="spellEnd"/>
      <w:r w:rsidRPr="00B845B0">
        <w:rPr>
          <w:i/>
          <w:iCs/>
          <w:sz w:val="18"/>
          <w:szCs w:val="18"/>
        </w:rPr>
        <w:t xml:space="preserve"> </w:t>
      </w:r>
      <w:proofErr w:type="spellStart"/>
      <w:r w:rsidRPr="00B845B0">
        <w:rPr>
          <w:i/>
          <w:iCs/>
          <w:sz w:val="18"/>
          <w:szCs w:val="18"/>
        </w:rPr>
        <w:t>obligations</w:t>
      </w:r>
      <w:proofErr w:type="spellEnd"/>
      <w:r w:rsidRPr="00B845B0">
        <w:rPr>
          <w:i/>
          <w:iCs/>
          <w:sz w:val="18"/>
          <w:szCs w:val="18"/>
        </w:rPr>
        <w:t xml:space="preserve"> of </w:t>
      </w:r>
      <w:proofErr w:type="spellStart"/>
      <w:r w:rsidRPr="00B845B0">
        <w:rPr>
          <w:i/>
          <w:iCs/>
          <w:sz w:val="18"/>
          <w:szCs w:val="18"/>
        </w:rPr>
        <w:t>transparency</w:t>
      </w:r>
      <w:proofErr w:type="spellEnd"/>
      <w:r w:rsidRPr="00B845B0">
        <w:rPr>
          <w:sz w:val="18"/>
          <w:szCs w:val="18"/>
        </w:rPr>
        <w:t xml:space="preserve">“, viide allikale </w:t>
      </w:r>
      <w:hyperlink r:id="rId63" w:history="1">
        <w:r w:rsidRPr="00B845B0">
          <w:rPr>
            <w:rStyle w:val="Hperlink"/>
            <w:sz w:val="18"/>
            <w:szCs w:val="18"/>
          </w:rPr>
          <w:t>https://www.berec.europa.eu/en/document-categories/berec/regulatory-best-practices/guidelines/berec-guidelines-on-the-minimum-criteria-for-a-reference-offer-relating-to-obligations-of-transparency</w:t>
        </w:r>
      </w:hyperlink>
      <w:r w:rsidRPr="00B845B0">
        <w:rPr>
          <w:sz w:val="18"/>
          <w:szCs w:val="18"/>
        </w:rPr>
        <w:t xml:space="preserve"> </w:t>
      </w:r>
    </w:p>
  </w:footnote>
  <w:footnote w:id="121">
    <w:p w14:paraId="1B2AD23A" w14:textId="77777777" w:rsidR="00F03958" w:rsidRPr="00B845B0" w:rsidRDefault="00F03958" w:rsidP="00F03958">
      <w:pPr>
        <w:pStyle w:val="Allmrkusetekst"/>
        <w:rPr>
          <w:sz w:val="18"/>
          <w:szCs w:val="18"/>
        </w:rPr>
      </w:pPr>
      <w:r w:rsidRPr="00B845B0">
        <w:rPr>
          <w:rStyle w:val="Allmrkuseviide"/>
          <w:sz w:val="18"/>
          <w:szCs w:val="18"/>
        </w:rPr>
        <w:footnoteRef/>
      </w:r>
      <w:r w:rsidRPr="00B845B0">
        <w:rPr>
          <w:sz w:val="18"/>
          <w:szCs w:val="18"/>
        </w:rPr>
        <w:t xml:space="preserve">  </w:t>
      </w:r>
      <w:r w:rsidRPr="00B845B0">
        <w:rPr>
          <w:sz w:val="18"/>
          <w:szCs w:val="18"/>
        </w:rPr>
        <w:t xml:space="preserve">BEREC COMMON POSITION ON BEST PRACTICE IN REMEDIES ON THE MARKET FOR WHOLESALE BROADBAND ACCESS (INCLUDING BITSTREAM ACCESS) IMPOSED AS A CONSEQUENCE OF A POSITION OF SIGNIFICANT MARKET POWER IN THE RELEVANT MARKET, </w:t>
      </w:r>
      <w:proofErr w:type="spellStart"/>
      <w:r w:rsidRPr="00B845B0">
        <w:rPr>
          <w:sz w:val="18"/>
          <w:szCs w:val="18"/>
        </w:rPr>
        <w:t>BoR</w:t>
      </w:r>
      <w:proofErr w:type="spellEnd"/>
      <w:r w:rsidRPr="00B845B0">
        <w:rPr>
          <w:sz w:val="18"/>
          <w:szCs w:val="18"/>
        </w:rPr>
        <w:t xml:space="preserve"> (12) 128, viide allikale </w:t>
      </w:r>
      <w:hyperlink r:id="rId64" w:history="1">
        <w:r w:rsidRPr="00B845B0">
          <w:rPr>
            <w:rStyle w:val="Hperlink"/>
            <w:sz w:val="18"/>
            <w:szCs w:val="18"/>
          </w:rPr>
          <w:t>https://www.berec.europa.eu/en/document-categories/berec/regulatory-best-practices/common-approachespositions/revised-berec-common-position-on-best-practice-in-remedies-on-the-market-for-wholesale-broadband-access-including-bitstream-access-imposed-as-a-consequence-of-a-position-of</w:t>
        </w:r>
      </w:hyperlink>
    </w:p>
  </w:footnote>
  <w:footnote w:id="122">
    <w:p w14:paraId="54CFB2F7" w14:textId="77777777" w:rsidR="00F03958" w:rsidRPr="00B845B0" w:rsidRDefault="00F03958" w:rsidP="00F03958">
      <w:pPr>
        <w:pStyle w:val="Allmrkusetekst"/>
        <w:rPr>
          <w:sz w:val="18"/>
          <w:szCs w:val="18"/>
        </w:rPr>
      </w:pPr>
      <w:r w:rsidRPr="00B845B0">
        <w:rPr>
          <w:rStyle w:val="Allmrkuseviide"/>
          <w:sz w:val="18"/>
          <w:szCs w:val="18"/>
        </w:rPr>
        <w:footnoteRef/>
      </w:r>
      <w:r w:rsidRPr="00B845B0">
        <w:rPr>
          <w:sz w:val="18"/>
          <w:szCs w:val="18"/>
        </w:rPr>
        <w:t xml:space="preserve"> </w:t>
      </w:r>
      <w:r w:rsidRPr="00B845B0">
        <w:rPr>
          <w:sz w:val="18"/>
          <w:szCs w:val="18"/>
        </w:rPr>
        <w:t xml:space="preserve">Viide allikale: </w:t>
      </w:r>
      <w:hyperlink r:id="rId65" w:history="1">
        <w:r w:rsidRPr="00B845B0">
          <w:rPr>
            <w:rStyle w:val="Hperlink"/>
            <w:sz w:val="18"/>
            <w:szCs w:val="18"/>
          </w:rPr>
          <w:t>EUR-Lex - 32005H0698 - ET - EUR-Lex (europa.eu)</w:t>
        </w:r>
      </w:hyperlink>
      <w:r w:rsidRPr="00B845B0">
        <w:rPr>
          <w:sz w:val="18"/>
          <w:szCs w:val="18"/>
        </w:rPr>
        <w:t xml:space="preserve"> </w:t>
      </w:r>
    </w:p>
  </w:footnote>
  <w:footnote w:id="123">
    <w:p w14:paraId="3F119AE7" w14:textId="77777777" w:rsidR="00F03958" w:rsidRPr="00E32DE7" w:rsidRDefault="00F03958" w:rsidP="00F03958">
      <w:r w:rsidRPr="00A15261">
        <w:rPr>
          <w:rStyle w:val="Allmrkuseviide"/>
          <w:sz w:val="20"/>
          <w:szCs w:val="20"/>
        </w:rPr>
        <w:footnoteRef/>
      </w:r>
      <w:r w:rsidRPr="00E32DE7">
        <w:rPr>
          <w:sz w:val="20"/>
          <w:szCs w:val="20"/>
        </w:rPr>
        <w:t xml:space="preserve"> </w:t>
      </w:r>
      <w:r w:rsidRPr="00E32DE7">
        <w:rPr>
          <w:sz w:val="18"/>
          <w:szCs w:val="18"/>
        </w:rPr>
        <w:t>TJA 16.06.17 otsus nr 1-10/17-227 „</w:t>
      </w:r>
      <w:r w:rsidRPr="00E32DE7">
        <w:t xml:space="preserve"> </w:t>
      </w:r>
      <w:r w:rsidRPr="00E32DE7">
        <w:rPr>
          <w:sz w:val="18"/>
          <w:szCs w:val="18"/>
        </w:rPr>
        <w:t xml:space="preserve">Kindlaksmääratud asukohas kohaliku juurdepääsu hulgituru piiritlemine, analüüs, märkimisväärse turujõuga ettevõtjaks tunnistamine ja kohustuste kehtestamine “vt IV ring </w:t>
      </w:r>
      <w:hyperlink r:id="rId66" w:anchor="fuusiline-juurdepaas" w:history="1">
        <w:r w:rsidRPr="00E32DE7">
          <w:rPr>
            <w:rStyle w:val="Hperlink"/>
            <w:sz w:val="18"/>
            <w:szCs w:val="18"/>
          </w:rPr>
          <w:t>https://www.ttja.ee/ariklient/side-ja-meediateenused/sideteenused/sideturg#fuusiline-juurdepaas</w:t>
        </w:r>
      </w:hyperlink>
      <w:r w:rsidRPr="00E32DE7">
        <w:rPr>
          <w:sz w:val="18"/>
          <w:szCs w:val="18"/>
        </w:rPr>
        <w:t xml:space="preserve"> </w:t>
      </w:r>
      <w:r w:rsidRPr="00E32DE7">
        <w:t>.</w:t>
      </w:r>
    </w:p>
  </w:footnote>
  <w:footnote w:id="124">
    <w:p w14:paraId="21705C59" w14:textId="77777777" w:rsidR="00F03958" w:rsidRPr="006077AF" w:rsidRDefault="00F03958" w:rsidP="00F03958">
      <w:pPr>
        <w:rPr>
          <w:sz w:val="18"/>
          <w:szCs w:val="18"/>
        </w:rPr>
      </w:pPr>
      <w:r w:rsidRPr="00F44E20">
        <w:rPr>
          <w:rStyle w:val="Allmrkuseviide"/>
          <w:sz w:val="18"/>
          <w:szCs w:val="18"/>
        </w:rPr>
        <w:footnoteRef/>
      </w:r>
      <w:r w:rsidRPr="006077AF">
        <w:rPr>
          <w:sz w:val="18"/>
          <w:szCs w:val="18"/>
        </w:rPr>
        <w:t xml:space="preserve"> </w:t>
      </w:r>
      <w:r w:rsidRPr="006077AF">
        <w:rPr>
          <w:sz w:val="18"/>
          <w:szCs w:val="18"/>
        </w:rPr>
        <w:t>TTJA 15.03.2021 otsuse eelnõu  „</w:t>
      </w:r>
      <w:r w:rsidRPr="006077AF">
        <w:t xml:space="preserve"> </w:t>
      </w:r>
      <w:r w:rsidRPr="006077AF">
        <w:rPr>
          <w:sz w:val="18"/>
          <w:szCs w:val="18"/>
        </w:rPr>
        <w:t xml:space="preserve">Kindlaksmääratud asukohas kohaliku juurdepääsu hulgituru piiritlemine, analüüs, märkimisväärse turujõuga ettevõtjaks tunnistamine ja kohustuste kehtestamine “, viide allikale: </w:t>
      </w:r>
      <w:hyperlink r:id="rId67" w:history="1">
        <w:r w:rsidRPr="006077AF">
          <w:rPr>
            <w:rStyle w:val="Hperlink"/>
            <w:sz w:val="18"/>
            <w:szCs w:val="18"/>
          </w:rPr>
          <w:t>https://circabc.europa.eu/ui/group/2328c58f-1fed-4402-a6cc-0f0237699dc3/library/c565c8d6-d666-4981-b55d-fcaaaf533f65</w:t>
        </w:r>
      </w:hyperlink>
    </w:p>
  </w:footnote>
  <w:footnote w:id="125">
    <w:p w14:paraId="6E93804C" w14:textId="77777777" w:rsidR="00F03958" w:rsidRPr="00F44E20" w:rsidRDefault="00F03958" w:rsidP="00F03958">
      <w:pPr>
        <w:pStyle w:val="Allmrkusetekst"/>
        <w:rPr>
          <w:sz w:val="18"/>
          <w:szCs w:val="18"/>
        </w:rPr>
      </w:pPr>
      <w:r w:rsidRPr="00F44E20">
        <w:rPr>
          <w:rStyle w:val="Allmrkuseviide"/>
          <w:sz w:val="18"/>
          <w:szCs w:val="18"/>
        </w:rPr>
        <w:footnoteRef/>
      </w:r>
      <w:r w:rsidRPr="00F44E20">
        <w:rPr>
          <w:sz w:val="18"/>
          <w:szCs w:val="18"/>
        </w:rPr>
        <w:t xml:space="preserve"> </w:t>
      </w:r>
      <w:r w:rsidRPr="00F44E20">
        <w:rPr>
          <w:sz w:val="18"/>
          <w:szCs w:val="18"/>
        </w:rPr>
        <w:t>Eelkõige kahtles EK, kas</w:t>
      </w:r>
      <w:r>
        <w:rPr>
          <w:sz w:val="18"/>
          <w:szCs w:val="18"/>
        </w:rPr>
        <w:t xml:space="preserve"> internetiühenduste</w:t>
      </w:r>
      <w:r w:rsidRPr="00F44E20">
        <w:rPr>
          <w:sz w:val="18"/>
          <w:szCs w:val="18"/>
        </w:rPr>
        <w:t xml:space="preserve"> jaeturu konkurents on ühetaoline kogu Eesti ulatuses ja soovitas</w:t>
      </w:r>
      <w:r>
        <w:rPr>
          <w:sz w:val="18"/>
          <w:szCs w:val="18"/>
        </w:rPr>
        <w:t xml:space="preserve"> vastavat</w:t>
      </w:r>
      <w:r w:rsidRPr="00F44E20">
        <w:rPr>
          <w:sz w:val="18"/>
          <w:szCs w:val="18"/>
        </w:rPr>
        <w:t xml:space="preserve"> jaeturgu analüüsida veelgi väiksemate geograafiliste üksuste põhiselt ning eristada kõrge ja madala konkurentsiga piirkonnad.</w:t>
      </w:r>
    </w:p>
  </w:footnote>
  <w:footnote w:id="126">
    <w:p w14:paraId="2BADC5C4" w14:textId="77777777" w:rsidR="00F03958" w:rsidRDefault="00F03958" w:rsidP="00F03958">
      <w:pPr>
        <w:pStyle w:val="Allmrkusetekst"/>
      </w:pPr>
      <w:r>
        <w:rPr>
          <w:rStyle w:val="Allmrkuseviide"/>
        </w:rPr>
        <w:footnoteRef/>
      </w:r>
      <w:r>
        <w:t xml:space="preserve"> </w:t>
      </w:r>
      <w:r>
        <w:t xml:space="preserve">Viide allikale: </w:t>
      </w:r>
      <w:hyperlink r:id="rId68" w:history="1">
        <w:r w:rsidRPr="009F266C">
          <w:rPr>
            <w:rStyle w:val="Hperlink"/>
          </w:rPr>
          <w:t>https://circabc.europa.eu/ui/group/2328c58f-1fed-4402-a6cc-0f0237699dc3/library/f038c86b-1c5b-42b7-bf90-e202fd4b240f?p=1&amp;n=10&amp;sort=modified_DESC</w:t>
        </w:r>
      </w:hyperlink>
      <w:r>
        <w:t xml:space="preserve"> </w:t>
      </w:r>
    </w:p>
  </w:footnote>
  <w:footnote w:id="127">
    <w:p w14:paraId="4488C83E" w14:textId="77777777" w:rsidR="00F03958" w:rsidRDefault="00F03958" w:rsidP="00F03958">
      <w:pPr>
        <w:pStyle w:val="Allmrkusetekst"/>
      </w:pPr>
      <w:r>
        <w:rPr>
          <w:rStyle w:val="Allmrkuseviide"/>
        </w:rPr>
        <w:footnoteRef/>
      </w:r>
      <w:r>
        <w:t xml:space="preserve"> </w:t>
      </w:r>
      <w:r>
        <w:rPr>
          <w:rStyle w:val="Laad1Mrk"/>
          <w:rFonts w:eastAsia="Calibri"/>
        </w:rPr>
        <w:t xml:space="preserve">ESS § 50 lg 1 p 5  ja § </w:t>
      </w:r>
      <w:r w:rsidRPr="00F14D85">
        <w:rPr>
          <w:rStyle w:val="Laad1Mrk"/>
          <w:rFonts w:eastAsia="Calibri"/>
        </w:rPr>
        <w:t xml:space="preserve">51 </w:t>
      </w:r>
      <w:r>
        <w:rPr>
          <w:rStyle w:val="Laad1Mrk"/>
          <w:rFonts w:eastAsia="Calibri"/>
        </w:rPr>
        <w:t>lg 1 p 2</w:t>
      </w:r>
    </w:p>
  </w:footnote>
  <w:footnote w:id="128">
    <w:p w14:paraId="4E76DCC5" w14:textId="77777777" w:rsidR="00F03958" w:rsidRDefault="00F03958" w:rsidP="00F03958">
      <w:pPr>
        <w:pStyle w:val="Allmrkusetekst"/>
      </w:pPr>
      <w:r>
        <w:rPr>
          <w:rStyle w:val="Allmrkuseviide"/>
        </w:rPr>
        <w:footnoteRef/>
      </w:r>
      <w:r>
        <w:t xml:space="preserve"> </w:t>
      </w:r>
      <w:r>
        <w:rPr>
          <w:rStyle w:val="Laad1Mrk"/>
          <w:rFonts w:eastAsia="Calibri"/>
        </w:rPr>
        <w:t>Kasutuses mitte olev ja reserveerimata valguskaabli fiidersegmendi kiud (kaasa arvatud ühendamata kiud),</w:t>
      </w:r>
      <w:r w:rsidRPr="001D7FE2">
        <w:rPr>
          <w:rStyle w:val="Laad1Mrk"/>
          <w:rFonts w:eastAsia="Calibri"/>
        </w:rPr>
        <w:t xml:space="preserve"> arvestades seejuures </w:t>
      </w:r>
      <w:r>
        <w:rPr>
          <w:rStyle w:val="Laad1Mrk"/>
          <w:rFonts w:eastAsia="Calibri"/>
        </w:rPr>
        <w:t xml:space="preserve">Telia </w:t>
      </w:r>
      <w:r w:rsidRPr="001D7FE2">
        <w:rPr>
          <w:rStyle w:val="Laad1Mrk"/>
          <w:rFonts w:eastAsia="Calibri"/>
        </w:rPr>
        <w:t>tulevasi vajadusi, mis peavad olema piisavalt põhjendatud</w:t>
      </w:r>
      <w:r>
        <w:rPr>
          <w:rStyle w:val="Laad1Mrk"/>
          <w:rFonts w:eastAsia="Calibri"/>
        </w:rPr>
        <w:t>.</w:t>
      </w:r>
    </w:p>
  </w:footnote>
  <w:footnote w:id="129">
    <w:p w14:paraId="41006123" w14:textId="77777777" w:rsidR="00F03958" w:rsidRDefault="00F03958" w:rsidP="00F03958">
      <w:pPr>
        <w:pStyle w:val="Allmrkusetekst"/>
      </w:pPr>
      <w:r>
        <w:rPr>
          <w:rStyle w:val="Allmrkuseviide"/>
        </w:rPr>
        <w:footnoteRef/>
      </w:r>
      <w:r>
        <w:t xml:space="preserve"> </w:t>
      </w:r>
      <w:r>
        <w:rPr>
          <w:rStyle w:val="Laad1Mrk"/>
          <w:rFonts w:eastAsia="Calibri"/>
        </w:rPr>
        <w:t xml:space="preserve">ESS § 50 lg 1 p 5  ja § </w:t>
      </w:r>
      <w:r w:rsidRPr="00F14D85">
        <w:rPr>
          <w:rStyle w:val="Laad1Mrk"/>
          <w:rFonts w:eastAsia="Calibri"/>
        </w:rPr>
        <w:t xml:space="preserve">51 </w:t>
      </w:r>
      <w:r>
        <w:rPr>
          <w:rStyle w:val="Laad1Mrk"/>
          <w:rFonts w:eastAsia="Calibri"/>
        </w:rPr>
        <w:t>lg 1 p 1</w:t>
      </w:r>
    </w:p>
  </w:footnote>
  <w:footnote w:id="130">
    <w:p w14:paraId="469B40F3" w14:textId="77777777" w:rsidR="00F03958" w:rsidRDefault="00F03958" w:rsidP="00F03958">
      <w:pPr>
        <w:pStyle w:val="Allmrkusetekst"/>
      </w:pPr>
      <w:r>
        <w:rPr>
          <w:rStyle w:val="Allmrkuseviide"/>
        </w:rPr>
        <w:footnoteRef/>
      </w:r>
      <w:r>
        <w:t xml:space="preserve"> </w:t>
      </w:r>
      <w:r w:rsidRPr="00DA4DE2">
        <w:rPr>
          <w:sz w:val="18"/>
        </w:rPr>
        <w:t>Kasutuses mitte olev ja reserveerimata valguskaabli fiidersegmendi kiu</w:t>
      </w:r>
      <w:r>
        <w:rPr>
          <w:sz w:val="18"/>
        </w:rPr>
        <w:t xml:space="preserve"> maht</w:t>
      </w:r>
      <w:r w:rsidRPr="00DA4DE2">
        <w:rPr>
          <w:sz w:val="18"/>
        </w:rPr>
        <w:t>, arvestades seejuures Telia tulevasi vajadusi, mis peavad olema piisavalt põhjendatud</w:t>
      </w:r>
      <w:r>
        <w:rPr>
          <w:sz w:val="18"/>
        </w:rPr>
        <w:t>.</w:t>
      </w:r>
    </w:p>
  </w:footnote>
  <w:footnote w:id="131">
    <w:p w14:paraId="4D177DD2" w14:textId="77777777" w:rsidR="00F03958" w:rsidRDefault="00F03958" w:rsidP="00F03958">
      <w:pPr>
        <w:pStyle w:val="Allmrkusetekst"/>
      </w:pPr>
      <w:r>
        <w:rPr>
          <w:rStyle w:val="Allmrkuseviide"/>
        </w:rPr>
        <w:footnoteRef/>
      </w:r>
      <w:r>
        <w:t xml:space="preserve"> </w:t>
      </w:r>
      <w:r>
        <w:rPr>
          <w:rStyle w:val="Laad1Mrk"/>
          <w:rFonts w:eastAsia="Calibri"/>
        </w:rPr>
        <w:t xml:space="preserve">ESS § 50 lg 1 p 5  ja § </w:t>
      </w:r>
      <w:r w:rsidRPr="00F14D85">
        <w:rPr>
          <w:rStyle w:val="Laad1Mrk"/>
          <w:rFonts w:eastAsia="Calibri"/>
        </w:rPr>
        <w:t xml:space="preserve">51 </w:t>
      </w:r>
      <w:r>
        <w:rPr>
          <w:rStyle w:val="Laad1Mrk"/>
          <w:rFonts w:eastAsia="Calibri"/>
        </w:rPr>
        <w:t>lg 1 p 1</w:t>
      </w:r>
    </w:p>
  </w:footnote>
  <w:footnote w:id="132">
    <w:p w14:paraId="1942CF70" w14:textId="77777777" w:rsidR="00F03958" w:rsidRDefault="00F03958" w:rsidP="00F03958">
      <w:pPr>
        <w:pStyle w:val="Allmrkusetekst"/>
      </w:pPr>
      <w:r>
        <w:rPr>
          <w:rStyle w:val="Allmrkuseviide"/>
        </w:rPr>
        <w:footnoteRef/>
      </w:r>
      <w:r>
        <w:t xml:space="preserve"> </w:t>
      </w:r>
      <w:r w:rsidRPr="00F14D85">
        <w:rPr>
          <w:rStyle w:val="Laad1Mrk"/>
          <w:rFonts w:eastAsia="Calibri"/>
        </w:rPr>
        <w:t xml:space="preserve">ESS </w:t>
      </w:r>
      <w:r>
        <w:rPr>
          <w:rStyle w:val="Laad1Mrk"/>
          <w:rFonts w:eastAsia="Calibri"/>
        </w:rPr>
        <w:t xml:space="preserve">§ 50 lg 1 p 5  ja § </w:t>
      </w:r>
      <w:r w:rsidRPr="00F14D85">
        <w:rPr>
          <w:rStyle w:val="Laad1Mrk"/>
          <w:rFonts w:eastAsia="Calibri"/>
        </w:rPr>
        <w:t xml:space="preserve">51 </w:t>
      </w:r>
      <w:r>
        <w:rPr>
          <w:rStyle w:val="Laad1Mrk"/>
          <w:rFonts w:eastAsia="Calibri"/>
        </w:rPr>
        <w:t>lg 1 p 6</w:t>
      </w:r>
    </w:p>
  </w:footnote>
  <w:footnote w:id="133">
    <w:p w14:paraId="331CAF9D" w14:textId="77777777" w:rsidR="00F03958" w:rsidRDefault="00F03958" w:rsidP="00F03958">
      <w:pPr>
        <w:pStyle w:val="Allmrkusetekst"/>
      </w:pPr>
      <w:r>
        <w:rPr>
          <w:rStyle w:val="Allmrkuseviide"/>
        </w:rPr>
        <w:footnoteRef/>
      </w:r>
      <w:r>
        <w:t xml:space="preserve"> </w:t>
      </w:r>
      <w:r w:rsidRPr="00F14D85">
        <w:rPr>
          <w:rStyle w:val="Laad1Mrk"/>
          <w:rFonts w:eastAsia="Calibri"/>
        </w:rPr>
        <w:t xml:space="preserve">ESS § 50 lg 1 p 5  ja §-51 </w:t>
      </w:r>
      <w:r>
        <w:rPr>
          <w:rStyle w:val="Laad1Mrk"/>
          <w:rFonts w:eastAsia="Calibri"/>
        </w:rPr>
        <w:t>lg 1 p 8</w:t>
      </w:r>
    </w:p>
  </w:footnote>
  <w:footnote w:id="134">
    <w:p w14:paraId="6E89EF27" w14:textId="77777777" w:rsidR="00F03958" w:rsidRDefault="00F03958" w:rsidP="00F03958">
      <w:pPr>
        <w:pStyle w:val="Allmrkusetekst"/>
      </w:pPr>
      <w:r>
        <w:rPr>
          <w:rStyle w:val="Allmrkuseviide"/>
        </w:rPr>
        <w:footnoteRef/>
      </w:r>
      <w:r>
        <w:t xml:space="preserve"> </w:t>
      </w:r>
      <w:r w:rsidRPr="00F14D85">
        <w:rPr>
          <w:rStyle w:val="Laad1Mrk"/>
          <w:rFonts w:eastAsia="Calibri"/>
        </w:rPr>
        <w:t xml:space="preserve">ESS § 50 lg 1 p 5  ja §-51 </w:t>
      </w:r>
      <w:r>
        <w:rPr>
          <w:rStyle w:val="Laad1Mrk"/>
          <w:rFonts w:eastAsia="Calibri"/>
        </w:rPr>
        <w:t>lg 1 p 12</w:t>
      </w:r>
    </w:p>
  </w:footnote>
  <w:footnote w:id="135">
    <w:p w14:paraId="3CA89232" w14:textId="77777777" w:rsidR="00F03958" w:rsidRPr="00952655" w:rsidRDefault="00F03958" w:rsidP="00F03958">
      <w:pPr>
        <w:pStyle w:val="Allmrkusetekst"/>
        <w:rPr>
          <w:rStyle w:val="Laad1Mrk"/>
          <w:rFonts w:eastAsia="Calibri"/>
        </w:rPr>
      </w:pPr>
      <w:r>
        <w:rPr>
          <w:rStyle w:val="Allmrkuseviide"/>
        </w:rPr>
        <w:footnoteRef/>
      </w:r>
      <w:r>
        <w:t xml:space="preserve"> </w:t>
      </w:r>
      <w:r w:rsidRPr="00952655">
        <w:rPr>
          <w:rStyle w:val="Laad1Mrk"/>
          <w:rFonts w:eastAsia="Calibri"/>
        </w:rPr>
        <w:t>ESS § 64 lg 1 ja § 50 g 1 punkti 3</w:t>
      </w:r>
    </w:p>
  </w:footnote>
  <w:footnote w:id="136">
    <w:p w14:paraId="29FD58B7" w14:textId="77777777" w:rsidR="00F03958" w:rsidRPr="00E24B4E" w:rsidRDefault="00F03958" w:rsidP="00F03958">
      <w:pPr>
        <w:pStyle w:val="Allmrkusetekst"/>
        <w:rPr>
          <w:sz w:val="18"/>
          <w:szCs w:val="18"/>
        </w:rPr>
      </w:pPr>
      <w:r w:rsidRPr="00E24B4E">
        <w:rPr>
          <w:rStyle w:val="Allmrkuseviide"/>
          <w:sz w:val="18"/>
          <w:szCs w:val="18"/>
        </w:rPr>
        <w:footnoteRef/>
      </w:r>
      <w:r w:rsidRPr="00E24B4E">
        <w:rPr>
          <w:sz w:val="18"/>
          <w:szCs w:val="18"/>
        </w:rPr>
        <w:t xml:space="preserve"> </w:t>
      </w:r>
      <w:r w:rsidRPr="00E24B4E">
        <w:rPr>
          <w:sz w:val="18"/>
          <w:szCs w:val="18"/>
        </w:rPr>
        <w:t>ESS § 134 lõike 1 punktid 1 ja 2</w:t>
      </w:r>
    </w:p>
  </w:footnote>
  <w:footnote w:id="137">
    <w:p w14:paraId="77412212" w14:textId="77777777" w:rsidR="00F03958" w:rsidRDefault="00F03958" w:rsidP="00F03958">
      <w:pPr>
        <w:pStyle w:val="Allmrkusetekst"/>
      </w:pPr>
      <w:r w:rsidRPr="00E24B4E">
        <w:rPr>
          <w:rStyle w:val="Allmrkuseviide"/>
          <w:sz w:val="18"/>
          <w:szCs w:val="18"/>
        </w:rPr>
        <w:footnoteRef/>
      </w:r>
      <w:r w:rsidRPr="00E24B4E">
        <w:rPr>
          <w:sz w:val="18"/>
          <w:szCs w:val="18"/>
        </w:rPr>
        <w:t xml:space="preserve"> </w:t>
      </w:r>
      <w:r w:rsidRPr="00E24B4E">
        <w:rPr>
          <w:sz w:val="18"/>
          <w:szCs w:val="18"/>
        </w:rPr>
        <w:t>ESS § 50 lõige 1 punkt  5</w:t>
      </w:r>
    </w:p>
  </w:footnote>
  <w:footnote w:id="138">
    <w:p w14:paraId="18C4F238" w14:textId="77777777" w:rsidR="00F03958" w:rsidRPr="00E24B4E" w:rsidRDefault="00F03958" w:rsidP="00F03958">
      <w:pPr>
        <w:pStyle w:val="Allmrkusetekst"/>
        <w:rPr>
          <w:sz w:val="18"/>
          <w:szCs w:val="18"/>
        </w:rPr>
      </w:pPr>
      <w:r w:rsidRPr="00E24B4E">
        <w:rPr>
          <w:rStyle w:val="Allmrkuseviide"/>
          <w:sz w:val="18"/>
          <w:szCs w:val="18"/>
        </w:rPr>
        <w:footnoteRef/>
      </w:r>
      <w:r w:rsidRPr="00E24B4E">
        <w:rPr>
          <w:sz w:val="18"/>
          <w:szCs w:val="18"/>
        </w:rPr>
        <w:t xml:space="preserve"> </w:t>
      </w:r>
      <w:r w:rsidRPr="00E24B4E">
        <w:rPr>
          <w:sz w:val="18"/>
          <w:szCs w:val="18"/>
        </w:rPr>
        <w:t>ESS § 51 lg 3</w:t>
      </w:r>
    </w:p>
  </w:footnote>
  <w:footnote w:id="139">
    <w:p w14:paraId="568D148D" w14:textId="77777777" w:rsidR="00F03958" w:rsidRPr="00F73FAF" w:rsidRDefault="00F03958" w:rsidP="00F03958">
      <w:pPr>
        <w:pStyle w:val="Allmrkusetekst"/>
        <w:rPr>
          <w:sz w:val="18"/>
          <w:szCs w:val="18"/>
        </w:rPr>
      </w:pPr>
      <w:r w:rsidRPr="00F73FAF">
        <w:rPr>
          <w:rStyle w:val="Allmrkuseviide"/>
          <w:sz w:val="18"/>
          <w:szCs w:val="18"/>
        </w:rPr>
        <w:footnoteRef/>
      </w:r>
      <w:r w:rsidRPr="00F73FAF">
        <w:rPr>
          <w:sz w:val="18"/>
          <w:szCs w:val="18"/>
        </w:rPr>
        <w:t xml:space="preserve"> </w:t>
      </w:r>
      <w:r w:rsidRPr="00F73FAF">
        <w:rPr>
          <w:sz w:val="18"/>
          <w:szCs w:val="18"/>
        </w:rPr>
        <w:t>ESS § 51 lg 1</w:t>
      </w:r>
      <w:r w:rsidRPr="00F73FAF">
        <w:rPr>
          <w:sz w:val="18"/>
          <w:szCs w:val="18"/>
          <w:vertAlign w:val="superscript"/>
        </w:rPr>
        <w:t>1</w:t>
      </w:r>
    </w:p>
  </w:footnote>
  <w:footnote w:id="140">
    <w:p w14:paraId="7D5A46A0" w14:textId="77777777" w:rsidR="00F03958" w:rsidRPr="00F73FAF" w:rsidRDefault="00F03958" w:rsidP="00F03958">
      <w:pPr>
        <w:pStyle w:val="Allmrkusetekst"/>
        <w:rPr>
          <w:sz w:val="18"/>
          <w:szCs w:val="18"/>
        </w:rPr>
      </w:pPr>
      <w:r w:rsidRPr="00F73FAF">
        <w:rPr>
          <w:rStyle w:val="Allmrkuseviide"/>
          <w:sz w:val="18"/>
          <w:szCs w:val="18"/>
        </w:rPr>
        <w:footnoteRef/>
      </w:r>
      <w:r w:rsidRPr="00F73FAF">
        <w:rPr>
          <w:sz w:val="18"/>
          <w:szCs w:val="18"/>
        </w:rPr>
        <w:t xml:space="preserve"> </w:t>
      </w:r>
      <w:r w:rsidRPr="00F73FAF">
        <w:rPr>
          <w:sz w:val="18"/>
          <w:szCs w:val="18"/>
        </w:rPr>
        <w:t xml:space="preserve">ESS § 51 lg </w:t>
      </w:r>
      <w:r>
        <w:rPr>
          <w:sz w:val="18"/>
          <w:szCs w:val="18"/>
        </w:rPr>
        <w:t>2</w:t>
      </w:r>
    </w:p>
  </w:footnote>
  <w:footnote w:id="141">
    <w:p w14:paraId="0B546D6D" w14:textId="77777777" w:rsidR="00F03958" w:rsidRPr="00E24B4E" w:rsidRDefault="00F03958" w:rsidP="00F03958">
      <w:pPr>
        <w:pStyle w:val="Allmrkusetekst"/>
        <w:rPr>
          <w:sz w:val="18"/>
          <w:szCs w:val="18"/>
        </w:rPr>
      </w:pPr>
      <w:r w:rsidRPr="00E24B4E">
        <w:rPr>
          <w:rStyle w:val="Allmrkuseviide"/>
          <w:sz w:val="18"/>
          <w:szCs w:val="18"/>
        </w:rPr>
        <w:footnoteRef/>
      </w:r>
      <w:r w:rsidRPr="00E24B4E">
        <w:rPr>
          <w:sz w:val="18"/>
          <w:szCs w:val="18"/>
        </w:rPr>
        <w:t xml:space="preserve"> </w:t>
      </w:r>
      <w:r w:rsidRPr="00E24B4E">
        <w:rPr>
          <w:sz w:val="18"/>
          <w:szCs w:val="18"/>
        </w:rPr>
        <w:t>ESS § 64 lg 1</w:t>
      </w:r>
    </w:p>
  </w:footnote>
  <w:footnote w:id="142">
    <w:p w14:paraId="40F6A778" w14:textId="77777777" w:rsidR="00F03958" w:rsidRPr="00E24B4E" w:rsidRDefault="00F03958" w:rsidP="00F03958">
      <w:pPr>
        <w:pStyle w:val="Allmrkusetekst"/>
        <w:rPr>
          <w:sz w:val="18"/>
          <w:szCs w:val="18"/>
        </w:rPr>
      </w:pPr>
      <w:r w:rsidRPr="00E24B4E">
        <w:rPr>
          <w:rStyle w:val="Allmrkuseviide"/>
          <w:sz w:val="18"/>
          <w:szCs w:val="18"/>
        </w:rPr>
        <w:footnoteRef/>
      </w:r>
      <w:r w:rsidRPr="00E24B4E">
        <w:rPr>
          <w:sz w:val="18"/>
          <w:szCs w:val="18"/>
        </w:rPr>
        <w:t xml:space="preserve"> </w:t>
      </w:r>
      <w:r w:rsidRPr="00E24B4E">
        <w:rPr>
          <w:sz w:val="18"/>
          <w:szCs w:val="18"/>
        </w:rPr>
        <w:t>ESS § 64 lg 2</w:t>
      </w:r>
    </w:p>
  </w:footnote>
  <w:footnote w:id="143">
    <w:p w14:paraId="51837B43" w14:textId="77777777" w:rsidR="00F03958" w:rsidRPr="00F61F8C" w:rsidRDefault="00F03958" w:rsidP="00F03958">
      <w:pPr>
        <w:pStyle w:val="Allmrkusetekst"/>
      </w:pPr>
      <w:r w:rsidRPr="003E68CB">
        <w:rPr>
          <w:rStyle w:val="Allmrkuseviide"/>
        </w:rPr>
        <w:footnoteRef/>
      </w:r>
      <w:r w:rsidRPr="00F61F8C">
        <w:t xml:space="preserve"> </w:t>
      </w:r>
      <w:hyperlink r:id="rId69" w:history="1">
        <w:r w:rsidRPr="00FC5729">
          <w:rPr>
            <w:rStyle w:val="Hperlink"/>
          </w:rPr>
          <w:t>https://www.berec.europa.eu/en/document-categories/berec/regulatory-best-practices/common-approachespositions/revised-berec-common-position-on-best-practice-in-remedies-on-the-market-for-wholesale-physical-network-infrastructure-access-including-shared-or-fully-unbundled-access-at-a</w:t>
        </w:r>
      </w:hyperlink>
      <w:r>
        <w:t xml:space="preserve"> </w:t>
      </w:r>
    </w:p>
  </w:footnote>
  <w:footnote w:id="144">
    <w:p w14:paraId="3C1C9CEC" w14:textId="77777777" w:rsidR="00F03958" w:rsidRPr="00DC7443" w:rsidRDefault="00F03958" w:rsidP="00F03958">
      <w:pPr>
        <w:pStyle w:val="Allmrkusetekst"/>
        <w:rPr>
          <w:sz w:val="18"/>
          <w:szCs w:val="18"/>
        </w:rPr>
      </w:pPr>
      <w:r w:rsidRPr="00DC7443">
        <w:rPr>
          <w:rStyle w:val="Allmrkuseviide"/>
          <w:sz w:val="18"/>
          <w:szCs w:val="18"/>
        </w:rPr>
        <w:footnoteRef/>
      </w:r>
      <w:r w:rsidRPr="00DC7443">
        <w:rPr>
          <w:sz w:val="18"/>
          <w:szCs w:val="18"/>
        </w:rPr>
        <w:t xml:space="preserve"> </w:t>
      </w:r>
      <w:r w:rsidRPr="00DC7443">
        <w:rPr>
          <w:sz w:val="18"/>
          <w:szCs w:val="18"/>
        </w:rPr>
        <w:t>Otsuse eelnõule eelnenud turuanalüüsi küsimustiku vastustes ja vastava otsuse kavandi riigisisese konsultatsiooni vastustes</w:t>
      </w:r>
    </w:p>
  </w:footnote>
  <w:footnote w:id="145">
    <w:p w14:paraId="30BCCC92" w14:textId="77777777" w:rsidR="00F03958" w:rsidRPr="00F61F8C" w:rsidRDefault="00F03958" w:rsidP="00F03958">
      <w:pPr>
        <w:pStyle w:val="Allmrkusetekst"/>
      </w:pPr>
      <w:r w:rsidRPr="00F61F8C">
        <w:rPr>
          <w:rStyle w:val="Allmrkuseviide"/>
        </w:rPr>
        <w:footnoteRef/>
      </w:r>
      <w:r w:rsidRPr="00F61F8C">
        <w:t xml:space="preserve"> </w:t>
      </w:r>
      <w:r w:rsidRPr="00F61F8C">
        <w:t>ESS § 50 lõige 1 ja 2</w:t>
      </w:r>
    </w:p>
  </w:footnote>
  <w:footnote w:id="146">
    <w:p w14:paraId="5600D7C7" w14:textId="77777777" w:rsidR="00F03958" w:rsidRPr="00F61F8C" w:rsidRDefault="00F03958" w:rsidP="00F03958">
      <w:pPr>
        <w:pStyle w:val="Allmrkusetekst"/>
      </w:pPr>
      <w:r w:rsidRPr="00F61F8C">
        <w:rPr>
          <w:rStyle w:val="Allmrkuseviide"/>
        </w:rPr>
        <w:footnoteRef/>
      </w:r>
      <w:r w:rsidRPr="00F61F8C">
        <w:t xml:space="preserve"> </w:t>
      </w:r>
      <w:r w:rsidRPr="00F61F8C">
        <w:t>ESS § 50 lõige 3</w:t>
      </w:r>
    </w:p>
  </w:footnote>
  <w:footnote w:id="147">
    <w:p w14:paraId="7962C5DB" w14:textId="77777777" w:rsidR="00F03958" w:rsidRDefault="00F03958" w:rsidP="00F03958">
      <w:pPr>
        <w:pStyle w:val="Allmrkusetekst"/>
      </w:pPr>
      <w:r w:rsidRPr="00F61F8C">
        <w:rPr>
          <w:rStyle w:val="Allmrkuseviide"/>
        </w:rPr>
        <w:footnoteRef/>
      </w:r>
      <w:r w:rsidRPr="00F61F8C">
        <w:t xml:space="preserve"> </w:t>
      </w:r>
      <w:r w:rsidRPr="00F61F8C">
        <w:t>ESS § 50 lõige 4 ja 7</w:t>
      </w:r>
    </w:p>
  </w:footnote>
  <w:footnote w:id="148">
    <w:p w14:paraId="5D4D5738" w14:textId="77777777" w:rsidR="00F03958" w:rsidRDefault="00F03958" w:rsidP="00F03958">
      <w:pPr>
        <w:pStyle w:val="Allmrkusetekst"/>
      </w:pPr>
      <w:r>
        <w:rPr>
          <w:rStyle w:val="Allmrkuseviide"/>
        </w:rPr>
        <w:footnoteRef/>
      </w:r>
      <w:r>
        <w:t xml:space="preserve"> </w:t>
      </w:r>
      <w:r>
        <w:t xml:space="preserve">Viide allikale: </w:t>
      </w:r>
      <w:hyperlink r:id="rId70" w:history="1">
        <w:r w:rsidRPr="006B45E5">
          <w:rPr>
            <w:rStyle w:val="Hperlink"/>
          </w:rPr>
          <w:t>https://circabc.europa.eu/ui/group/2328c58f-1fed-4402-a6cc-0f0237699dc3/library/1427ede2-cfab-40d4-82e1-f0c51dc7263d/details</w:t>
        </w:r>
      </w:hyperlink>
      <w:r>
        <w:t xml:space="preserve"> </w:t>
      </w:r>
    </w:p>
  </w:footnote>
  <w:footnote w:id="149">
    <w:p w14:paraId="7B17F880" w14:textId="13D68C6A" w:rsidR="00F03958" w:rsidRDefault="00F03958" w:rsidP="00F03958">
      <w:pPr>
        <w:pStyle w:val="Allmrkusetekst"/>
      </w:pPr>
      <w:r>
        <w:rPr>
          <w:rStyle w:val="Allmrkuseviide"/>
        </w:rPr>
        <w:footnoteRef/>
      </w:r>
      <w:r>
        <w:t xml:space="preserve"> </w:t>
      </w:r>
      <w:r>
        <w:rPr>
          <w:rStyle w:val="Laad1Mrk"/>
          <w:rFonts w:eastAsia="Calibri"/>
        </w:rPr>
        <w:t>ESS §</w:t>
      </w:r>
      <w:r w:rsidR="006C069A">
        <w:rPr>
          <w:rStyle w:val="Laad1Mrk"/>
          <w:rFonts w:eastAsia="Calibri"/>
        </w:rPr>
        <w:t>7</w:t>
      </w:r>
      <w:r>
        <w:rPr>
          <w:rStyle w:val="Laad1Mrk"/>
          <w:rFonts w:eastAsia="Calibri"/>
        </w:rPr>
        <w:t xml:space="preserve"> 50 lg 1 p 5  ja § </w:t>
      </w:r>
      <w:r w:rsidRPr="00F14D85">
        <w:rPr>
          <w:rStyle w:val="Laad1Mrk"/>
          <w:rFonts w:eastAsia="Calibri"/>
        </w:rPr>
        <w:t xml:space="preserve">51 </w:t>
      </w:r>
      <w:r>
        <w:rPr>
          <w:rStyle w:val="Laad1Mrk"/>
          <w:rFonts w:eastAsia="Calibri"/>
        </w:rPr>
        <w:t>lg 1 p 2</w:t>
      </w:r>
    </w:p>
  </w:footnote>
  <w:footnote w:id="150">
    <w:p w14:paraId="118F03B3" w14:textId="77777777" w:rsidR="007B490B" w:rsidRDefault="007B490B" w:rsidP="007B490B">
      <w:pPr>
        <w:pStyle w:val="Allmrkusetekst"/>
      </w:pPr>
      <w:r>
        <w:rPr>
          <w:rStyle w:val="Allmrkuseviide"/>
        </w:rPr>
        <w:footnoteRef/>
      </w:r>
      <w:r>
        <w:t xml:space="preserve"> </w:t>
      </w:r>
      <w:r>
        <w:rPr>
          <w:rStyle w:val="Laad1Mrk"/>
          <w:rFonts w:eastAsia="Calibri"/>
        </w:rPr>
        <w:t xml:space="preserve">Kasutuses mitte olev ja reserveerimata valguskaabli </w:t>
      </w:r>
      <w:r>
        <w:rPr>
          <w:rStyle w:val="Laad1Mrk"/>
          <w:rFonts w:eastAsia="Calibri"/>
          <w:i/>
          <w:iCs/>
        </w:rPr>
        <w:t xml:space="preserve">kliendiliini maht </w:t>
      </w:r>
      <w:r>
        <w:rPr>
          <w:rStyle w:val="Laad1Mrk"/>
          <w:rFonts w:eastAsia="Calibri"/>
        </w:rPr>
        <w:t xml:space="preserve"> (kaasa arvatud ühendamata kiud),</w:t>
      </w:r>
      <w:r w:rsidRPr="001D7FE2">
        <w:rPr>
          <w:rStyle w:val="Laad1Mrk"/>
          <w:rFonts w:eastAsia="Calibri"/>
        </w:rPr>
        <w:t xml:space="preserve"> arvestades seejuures </w:t>
      </w:r>
      <w:r>
        <w:rPr>
          <w:rStyle w:val="Laad1Mrk"/>
          <w:rFonts w:eastAsia="Calibri"/>
        </w:rPr>
        <w:t xml:space="preserve">Telia </w:t>
      </w:r>
      <w:r w:rsidRPr="001D7FE2">
        <w:rPr>
          <w:rStyle w:val="Laad1Mrk"/>
          <w:rFonts w:eastAsia="Calibri"/>
        </w:rPr>
        <w:t>tulevasi vajadusi, mis peavad olema piisavalt põhjendatud</w:t>
      </w:r>
      <w:r>
        <w:rPr>
          <w:rStyle w:val="Laad1Mrk"/>
          <w:rFonts w:eastAsia="Calibri"/>
        </w:rPr>
        <w:t>.</w:t>
      </w:r>
    </w:p>
  </w:footnote>
  <w:footnote w:id="151">
    <w:p w14:paraId="1AEFAC13" w14:textId="78FC5110" w:rsidR="00F03958" w:rsidRDefault="00F03958" w:rsidP="00F03958">
      <w:pPr>
        <w:pStyle w:val="Allmrkusetekst"/>
      </w:pPr>
      <w:r>
        <w:rPr>
          <w:rStyle w:val="Allmrkuseviide"/>
        </w:rPr>
        <w:footnoteRef/>
      </w:r>
      <w:r>
        <w:t xml:space="preserve"> </w:t>
      </w:r>
      <w:r>
        <w:t xml:space="preserve">Viide allikale: </w:t>
      </w:r>
      <w:hyperlink r:id="rId71" w:history="1">
        <w:r w:rsidR="00543393" w:rsidRPr="00D80154">
          <w:rPr>
            <w:rStyle w:val="Hperlink"/>
          </w:rPr>
          <w:t>https://www.berec.europa.eu/en/document-categories/berec/regulatory-best-practices/common-approachespositions/berec-common-position-on-layer-2-wholesale-access-products</w:t>
        </w:r>
      </w:hyperlink>
      <w:r w:rsidR="00543393">
        <w:t xml:space="preserve"> </w:t>
      </w:r>
    </w:p>
  </w:footnote>
  <w:footnote w:id="152">
    <w:p w14:paraId="77A92645" w14:textId="77777777" w:rsidR="00F03958" w:rsidRDefault="00F03958" w:rsidP="00F03958">
      <w:pPr>
        <w:pStyle w:val="Allmrkusetekst"/>
      </w:pPr>
      <w:r>
        <w:rPr>
          <w:rStyle w:val="Allmrkuseviide"/>
        </w:rPr>
        <w:footnoteRef/>
      </w:r>
      <w:r>
        <w:t xml:space="preserve"> </w:t>
      </w:r>
      <w:r>
        <w:rPr>
          <w:rStyle w:val="Laad1Mrk"/>
          <w:rFonts w:eastAsia="Calibri"/>
        </w:rPr>
        <w:t xml:space="preserve">ESS § 50 lg 1 p 5  ja § </w:t>
      </w:r>
      <w:r w:rsidRPr="00F14D85">
        <w:rPr>
          <w:rStyle w:val="Laad1Mrk"/>
          <w:rFonts w:eastAsia="Calibri"/>
        </w:rPr>
        <w:t xml:space="preserve">51 </w:t>
      </w:r>
      <w:r>
        <w:rPr>
          <w:rStyle w:val="Laad1Mrk"/>
          <w:rFonts w:eastAsia="Calibri"/>
        </w:rPr>
        <w:t>lg 1 p 1</w:t>
      </w:r>
    </w:p>
  </w:footnote>
  <w:footnote w:id="153">
    <w:p w14:paraId="52ED0E45" w14:textId="77777777" w:rsidR="00F03958" w:rsidRDefault="00F03958" w:rsidP="00F03958">
      <w:pPr>
        <w:pStyle w:val="Allmrkusetekst"/>
      </w:pPr>
      <w:r>
        <w:rPr>
          <w:rStyle w:val="Allmrkuseviide"/>
        </w:rPr>
        <w:footnoteRef/>
      </w:r>
      <w:r>
        <w:t xml:space="preserve"> </w:t>
      </w:r>
      <w:r w:rsidRPr="00F14D85">
        <w:rPr>
          <w:rStyle w:val="Laad1Mrk"/>
          <w:rFonts w:eastAsia="Calibri"/>
        </w:rPr>
        <w:t xml:space="preserve">ESS </w:t>
      </w:r>
      <w:r>
        <w:rPr>
          <w:rStyle w:val="Laad1Mrk"/>
          <w:rFonts w:eastAsia="Calibri"/>
        </w:rPr>
        <w:t xml:space="preserve">§ 50 lg 1 p 5  ja § </w:t>
      </w:r>
      <w:r w:rsidRPr="00F14D85">
        <w:rPr>
          <w:rStyle w:val="Laad1Mrk"/>
          <w:rFonts w:eastAsia="Calibri"/>
        </w:rPr>
        <w:t xml:space="preserve">51 </w:t>
      </w:r>
      <w:r>
        <w:rPr>
          <w:rStyle w:val="Laad1Mrk"/>
          <w:rFonts w:eastAsia="Calibri"/>
        </w:rPr>
        <w:t>lg 1 p 6</w:t>
      </w:r>
    </w:p>
  </w:footnote>
  <w:footnote w:id="154">
    <w:p w14:paraId="6B494302" w14:textId="77777777" w:rsidR="00F03958" w:rsidRDefault="00F03958" w:rsidP="00F03958">
      <w:pPr>
        <w:pStyle w:val="Allmrkusetekst"/>
      </w:pPr>
      <w:r>
        <w:rPr>
          <w:rStyle w:val="Allmrkuseviide"/>
        </w:rPr>
        <w:footnoteRef/>
      </w:r>
      <w:r>
        <w:t xml:space="preserve"> </w:t>
      </w:r>
      <w:r w:rsidRPr="00F14D85">
        <w:rPr>
          <w:rStyle w:val="Laad1Mrk"/>
          <w:rFonts w:eastAsia="Calibri"/>
        </w:rPr>
        <w:t xml:space="preserve">ESS § 50 lg 1 p 5  ja §-51 </w:t>
      </w:r>
      <w:r>
        <w:rPr>
          <w:rStyle w:val="Laad1Mrk"/>
          <w:rFonts w:eastAsia="Calibri"/>
        </w:rPr>
        <w:t>lg 1 p 8</w:t>
      </w:r>
    </w:p>
  </w:footnote>
  <w:footnote w:id="155">
    <w:p w14:paraId="749C8AAD" w14:textId="77777777" w:rsidR="00F03958" w:rsidRDefault="00F03958" w:rsidP="00F03958">
      <w:pPr>
        <w:pStyle w:val="Allmrkusetekst"/>
      </w:pPr>
      <w:r>
        <w:rPr>
          <w:rStyle w:val="Allmrkuseviide"/>
        </w:rPr>
        <w:footnoteRef/>
      </w:r>
      <w:r>
        <w:t xml:space="preserve"> </w:t>
      </w:r>
      <w:r w:rsidRPr="00F14D85">
        <w:rPr>
          <w:rStyle w:val="Laad1Mrk"/>
          <w:rFonts w:eastAsia="Calibri"/>
        </w:rPr>
        <w:t xml:space="preserve">ESS § 50 lg 1 p 5  ja §-51 </w:t>
      </w:r>
      <w:r>
        <w:rPr>
          <w:rStyle w:val="Laad1Mrk"/>
          <w:rFonts w:eastAsia="Calibri"/>
        </w:rPr>
        <w:t>lg 1 p 12</w:t>
      </w:r>
    </w:p>
  </w:footnote>
  <w:footnote w:id="156">
    <w:p w14:paraId="3480FEDE" w14:textId="77777777" w:rsidR="00F03958" w:rsidRPr="00952655" w:rsidRDefault="00F03958" w:rsidP="00F03958">
      <w:pPr>
        <w:pStyle w:val="Allmrkusetekst"/>
        <w:rPr>
          <w:rStyle w:val="Laad1Mrk"/>
          <w:rFonts w:eastAsia="Calibri"/>
        </w:rPr>
      </w:pPr>
      <w:r>
        <w:rPr>
          <w:rStyle w:val="Allmrkuseviide"/>
        </w:rPr>
        <w:footnoteRef/>
      </w:r>
      <w:r>
        <w:t xml:space="preserve"> </w:t>
      </w:r>
      <w:r w:rsidRPr="00952655">
        <w:rPr>
          <w:rStyle w:val="Laad1Mrk"/>
          <w:rFonts w:eastAsia="Calibri"/>
        </w:rPr>
        <w:t>ESS § 64 lg 1 ja § 50 g 1 punkti 3</w:t>
      </w:r>
    </w:p>
  </w:footnote>
  <w:footnote w:id="157">
    <w:p w14:paraId="53BE5367" w14:textId="77777777" w:rsidR="00F03958" w:rsidRPr="00BB754D" w:rsidRDefault="00F03958" w:rsidP="00F03958">
      <w:pPr>
        <w:pStyle w:val="Allmrkusetekst"/>
        <w:rPr>
          <w:sz w:val="18"/>
          <w:szCs w:val="18"/>
        </w:rPr>
      </w:pPr>
      <w:r w:rsidRPr="00BB754D">
        <w:rPr>
          <w:rStyle w:val="Allmrkuseviide"/>
          <w:sz w:val="18"/>
          <w:szCs w:val="18"/>
        </w:rPr>
        <w:footnoteRef/>
      </w:r>
      <w:r w:rsidRPr="00BB754D">
        <w:rPr>
          <w:sz w:val="18"/>
          <w:szCs w:val="18"/>
        </w:rPr>
        <w:t xml:space="preserve"> </w:t>
      </w:r>
      <w:r w:rsidRPr="00BB754D">
        <w:rPr>
          <w:sz w:val="18"/>
          <w:szCs w:val="18"/>
        </w:rPr>
        <w:t xml:space="preserve">Euroopa sidekoodeksi (EL 2018/1972) preambuli punkti 184 </w:t>
      </w:r>
      <w:hyperlink r:id="rId72" w:history="1">
        <w:r w:rsidRPr="00BB754D">
          <w:rPr>
            <w:rStyle w:val="Hperlink"/>
            <w:sz w:val="18"/>
            <w:szCs w:val="18"/>
          </w:rPr>
          <w:t>https://eur-lex.europa.eu/legal-content/EN-ET/TXT/?from=EN&amp;uri=CELEX%3A32018L1972</w:t>
        </w:r>
      </w:hyperlink>
      <w:r w:rsidRPr="00BB754D">
        <w:rPr>
          <w:sz w:val="18"/>
          <w:szCs w:val="18"/>
        </w:rPr>
        <w:t xml:space="preserve">  ja ESS § 134 lõige 1  </w:t>
      </w:r>
    </w:p>
  </w:footnote>
  <w:footnote w:id="158">
    <w:p w14:paraId="47927E91" w14:textId="77777777" w:rsidR="00F03958" w:rsidRPr="00BB754D" w:rsidRDefault="00F03958" w:rsidP="00F03958">
      <w:pPr>
        <w:pStyle w:val="Allmrkusetekst"/>
        <w:rPr>
          <w:sz w:val="18"/>
          <w:szCs w:val="18"/>
        </w:rPr>
      </w:pPr>
      <w:r w:rsidRPr="00BB754D">
        <w:rPr>
          <w:rStyle w:val="Allmrkuseviide"/>
          <w:sz w:val="18"/>
          <w:szCs w:val="18"/>
        </w:rPr>
        <w:footnoteRef/>
      </w:r>
      <w:r w:rsidRPr="00BB754D">
        <w:rPr>
          <w:sz w:val="18"/>
          <w:szCs w:val="18"/>
        </w:rPr>
        <w:t xml:space="preserve"> </w:t>
      </w:r>
      <w:r w:rsidRPr="00BB754D">
        <w:rPr>
          <w:sz w:val="18"/>
          <w:szCs w:val="18"/>
        </w:rPr>
        <w:t>ESS § 50 lõige 1 punkt 3</w:t>
      </w:r>
    </w:p>
  </w:footnote>
  <w:footnote w:id="159">
    <w:p w14:paraId="5A0E6CF2" w14:textId="77777777" w:rsidR="00F03958" w:rsidRPr="00BB754D" w:rsidRDefault="00F03958" w:rsidP="00F03958">
      <w:pPr>
        <w:pStyle w:val="Allmrkusetekst"/>
        <w:rPr>
          <w:sz w:val="18"/>
          <w:szCs w:val="18"/>
        </w:rPr>
      </w:pPr>
      <w:r w:rsidRPr="00BB754D">
        <w:rPr>
          <w:rStyle w:val="Allmrkuseviide"/>
          <w:sz w:val="18"/>
          <w:szCs w:val="18"/>
        </w:rPr>
        <w:footnoteRef/>
      </w:r>
      <w:r w:rsidRPr="00BB754D">
        <w:rPr>
          <w:sz w:val="18"/>
          <w:szCs w:val="18"/>
        </w:rPr>
        <w:t xml:space="preserve"> </w:t>
      </w:r>
      <w:r w:rsidRPr="00BB754D">
        <w:rPr>
          <w:sz w:val="18"/>
          <w:szCs w:val="18"/>
        </w:rPr>
        <w:t xml:space="preserve">Viide allikale: </w:t>
      </w:r>
      <w:hyperlink r:id="rId73" w:history="1">
        <w:r w:rsidRPr="00FC5729">
          <w:rPr>
            <w:rStyle w:val="Hperlink"/>
          </w:rPr>
          <w:t>https://www.berec.europa.eu/en/document-categories/berec/regulatory-best-practices/common-approachespositions/revised-berec-common-position-on-best-practice-in-remedies-on-the-market-for-wholesale-physical-network-infrastructure-access-including-shared-or-fully-unbundled-access-at-a</w:t>
        </w:r>
      </w:hyperlink>
    </w:p>
  </w:footnote>
  <w:footnote w:id="160">
    <w:p w14:paraId="76766BCF" w14:textId="77777777" w:rsidR="00F03958" w:rsidRPr="00B4113E" w:rsidRDefault="00F03958" w:rsidP="00F03958">
      <w:pPr>
        <w:pStyle w:val="Allmrkusetekst"/>
      </w:pPr>
      <w:r w:rsidRPr="00B4113E">
        <w:rPr>
          <w:rStyle w:val="Allmrkuseviide"/>
        </w:rPr>
        <w:footnoteRef/>
      </w:r>
      <w:r w:rsidRPr="00B4113E">
        <w:t xml:space="preserve"> </w:t>
      </w:r>
      <w:r w:rsidRPr="00B4113E">
        <w:t xml:space="preserve">ESS § 50 lg 5 </w:t>
      </w:r>
    </w:p>
  </w:footnote>
  <w:footnote w:id="161">
    <w:p w14:paraId="3812D39E" w14:textId="77777777" w:rsidR="00F03958" w:rsidRPr="00B4113E" w:rsidRDefault="00F03958" w:rsidP="00F03958">
      <w:pPr>
        <w:pStyle w:val="Allmrkusetekst"/>
      </w:pPr>
      <w:r w:rsidRPr="00B4113E">
        <w:rPr>
          <w:rStyle w:val="Allmrkuseviide"/>
        </w:rPr>
        <w:footnoteRef/>
      </w:r>
      <w:r w:rsidRPr="00B4113E">
        <w:t xml:space="preserve"> </w:t>
      </w:r>
      <w:r w:rsidRPr="00B4113E">
        <w:t>ESS § 50 lg 1 ja 2</w:t>
      </w:r>
    </w:p>
  </w:footnote>
  <w:footnote w:id="162">
    <w:p w14:paraId="454D3222" w14:textId="77777777" w:rsidR="00F03958" w:rsidRPr="00B4113E" w:rsidRDefault="00F03958" w:rsidP="00F03958">
      <w:pPr>
        <w:pStyle w:val="Allmrkusetekst"/>
      </w:pPr>
      <w:r w:rsidRPr="00B4113E">
        <w:rPr>
          <w:rStyle w:val="Allmrkuseviide"/>
        </w:rPr>
        <w:footnoteRef/>
      </w:r>
      <w:r w:rsidRPr="00B4113E">
        <w:t xml:space="preserve"> </w:t>
      </w:r>
      <w:r w:rsidRPr="00B4113E">
        <w:t>ESS § 50 lg 4 ja 7</w:t>
      </w:r>
    </w:p>
  </w:footnote>
  <w:footnote w:id="163">
    <w:p w14:paraId="3D89251C" w14:textId="77777777" w:rsidR="00F03958" w:rsidRDefault="00F03958" w:rsidP="00F03958">
      <w:pPr>
        <w:pStyle w:val="Allmrkusetekst"/>
      </w:pPr>
      <w:r>
        <w:rPr>
          <w:rStyle w:val="Allmrkuseviide"/>
        </w:rPr>
        <w:footnoteRef/>
      </w:r>
      <w:r>
        <w:t xml:space="preserve"> </w:t>
      </w:r>
      <w:r>
        <w:t xml:space="preserve">Optilise juurdepääsuliini teenusetingimused: </w:t>
      </w:r>
      <w:hyperlink r:id="rId74" w:history="1">
        <w:r w:rsidRPr="004235C3">
          <w:rPr>
            <w:rStyle w:val="Hperlink"/>
          </w:rPr>
          <w:t>https://www.telia.ee/images/documents/tt/est/tt_optiline_juurdaasuliin_alates10032017.pdf</w:t>
        </w:r>
      </w:hyperlink>
      <w:r>
        <w:t xml:space="preserve"> </w:t>
      </w:r>
    </w:p>
  </w:footnote>
  <w:footnote w:id="164">
    <w:p w14:paraId="51616615" w14:textId="77777777" w:rsidR="00F03958" w:rsidRDefault="00F03958" w:rsidP="00F03958">
      <w:pPr>
        <w:pStyle w:val="Allmrkusetekst"/>
      </w:pPr>
      <w:r>
        <w:rPr>
          <w:rStyle w:val="Allmrkuseviide"/>
        </w:rPr>
        <w:footnoteRef/>
      </w:r>
      <w:r>
        <w:t xml:space="preserve"> </w:t>
      </w:r>
      <w:r w:rsidRPr="00C2189B">
        <w:rPr>
          <w:rStyle w:val="Laad1Mrk"/>
          <w:rFonts w:eastAsia="Calibri"/>
        </w:rPr>
        <w:t>ESS § 50 lg 1 p 1</w:t>
      </w:r>
    </w:p>
  </w:footnote>
  <w:footnote w:id="165">
    <w:p w14:paraId="20961556" w14:textId="77777777" w:rsidR="00F03958" w:rsidRDefault="00F03958" w:rsidP="00F03958">
      <w:pPr>
        <w:pStyle w:val="Allmrkusetekst"/>
      </w:pPr>
      <w:r>
        <w:rPr>
          <w:rStyle w:val="Allmrkuseviide"/>
        </w:rPr>
        <w:footnoteRef/>
      </w:r>
      <w:r>
        <w:t xml:space="preserve"> </w:t>
      </w:r>
      <w:r w:rsidRPr="00C2189B">
        <w:rPr>
          <w:rStyle w:val="Laad1Mrk"/>
          <w:rFonts w:eastAsia="Calibri"/>
        </w:rPr>
        <w:t>ESS § 50 lg 1 p 1 ja p 3</w:t>
      </w:r>
    </w:p>
  </w:footnote>
  <w:footnote w:id="166">
    <w:p w14:paraId="38BD58B0" w14:textId="77777777" w:rsidR="00F03958" w:rsidRDefault="00F03958" w:rsidP="00F03958">
      <w:pPr>
        <w:pStyle w:val="Allmrkusetekst"/>
      </w:pPr>
      <w:r>
        <w:rPr>
          <w:rStyle w:val="Allmrkuseviide"/>
        </w:rPr>
        <w:footnoteRef/>
      </w:r>
      <w:r>
        <w:t xml:space="preserve"> </w:t>
      </w:r>
      <w:r w:rsidRPr="00C2189B">
        <w:rPr>
          <w:rStyle w:val="Laad1Mrk"/>
          <w:rFonts w:eastAsia="Calibri"/>
        </w:rPr>
        <w:t>ESS § 50 lg 1 p 2</w:t>
      </w:r>
    </w:p>
  </w:footnote>
  <w:footnote w:id="167">
    <w:p w14:paraId="5300269D" w14:textId="77777777" w:rsidR="00F03958" w:rsidRDefault="00F03958" w:rsidP="00F03958">
      <w:pPr>
        <w:pStyle w:val="Allmrkusetekst"/>
      </w:pPr>
      <w:r>
        <w:rPr>
          <w:rStyle w:val="Allmrkuseviide"/>
        </w:rPr>
        <w:footnoteRef/>
      </w:r>
      <w:r>
        <w:t xml:space="preserve"> </w:t>
      </w:r>
      <w:r w:rsidRPr="00C2189B">
        <w:rPr>
          <w:rStyle w:val="Laad1Mrk"/>
          <w:rFonts w:eastAsia="Calibri"/>
        </w:rPr>
        <w:t>ESS § 50 lg 1 p 2</w:t>
      </w:r>
    </w:p>
  </w:footnote>
  <w:footnote w:id="168">
    <w:p w14:paraId="47D6243C" w14:textId="77777777" w:rsidR="00F03958" w:rsidRPr="007F6D16" w:rsidRDefault="00F03958" w:rsidP="00F03958">
      <w:pPr>
        <w:pStyle w:val="Allmrkusetekst"/>
        <w:rPr>
          <w:sz w:val="18"/>
          <w:szCs w:val="18"/>
        </w:rPr>
      </w:pPr>
      <w:r w:rsidRPr="007F6D16">
        <w:rPr>
          <w:rStyle w:val="Allmrkuseviide"/>
          <w:sz w:val="18"/>
          <w:szCs w:val="18"/>
        </w:rPr>
        <w:footnoteRef/>
      </w:r>
      <w:r w:rsidRPr="007F6D16">
        <w:rPr>
          <w:sz w:val="18"/>
          <w:szCs w:val="18"/>
        </w:rPr>
        <w:t xml:space="preserve"> </w:t>
      </w:r>
      <w:r w:rsidRPr="007F6D16">
        <w:rPr>
          <w:sz w:val="18"/>
          <w:szCs w:val="18"/>
        </w:rPr>
        <w:t xml:space="preserve">Euroopa sidekoodeksi (EL 2018/1972) preambuli punkti 182 </w:t>
      </w:r>
      <w:hyperlink r:id="rId75" w:history="1">
        <w:r w:rsidRPr="007F6D16">
          <w:rPr>
            <w:rStyle w:val="Hperlink"/>
            <w:sz w:val="18"/>
            <w:szCs w:val="18"/>
          </w:rPr>
          <w:t>https://eur-lex.europa.eu/legal-content/EN-ET/TXT/?from=EN&amp;uri=CELEX%3A32018L1972</w:t>
        </w:r>
      </w:hyperlink>
      <w:r w:rsidRPr="007F6D16">
        <w:rPr>
          <w:sz w:val="18"/>
          <w:szCs w:val="18"/>
        </w:rPr>
        <w:t xml:space="preserve">  </w:t>
      </w:r>
    </w:p>
  </w:footnote>
  <w:footnote w:id="169">
    <w:p w14:paraId="7D38EB68" w14:textId="77777777" w:rsidR="00F03958" w:rsidRPr="007F6D16" w:rsidRDefault="00F03958" w:rsidP="00F03958">
      <w:pPr>
        <w:pStyle w:val="Allmrkusetekst"/>
        <w:rPr>
          <w:sz w:val="18"/>
          <w:szCs w:val="18"/>
        </w:rPr>
      </w:pPr>
      <w:r w:rsidRPr="007F6D16">
        <w:rPr>
          <w:rStyle w:val="Allmrkuseviide"/>
          <w:sz w:val="18"/>
          <w:szCs w:val="18"/>
        </w:rPr>
        <w:footnoteRef/>
      </w:r>
      <w:r w:rsidRPr="007F6D16">
        <w:rPr>
          <w:sz w:val="18"/>
          <w:szCs w:val="18"/>
        </w:rPr>
        <w:t xml:space="preserve"> </w:t>
      </w:r>
      <w:r w:rsidRPr="007F6D16">
        <w:rPr>
          <w:sz w:val="18"/>
          <w:szCs w:val="18"/>
        </w:rPr>
        <w:t>ESS § 50 lõige 1 punkt 1</w:t>
      </w:r>
    </w:p>
  </w:footnote>
  <w:footnote w:id="170">
    <w:p w14:paraId="0BABFE47" w14:textId="77777777" w:rsidR="00F03958" w:rsidRDefault="00F03958" w:rsidP="00F03958">
      <w:pPr>
        <w:pStyle w:val="Allmrkusetekst"/>
      </w:pPr>
      <w:r w:rsidRPr="007F6D16">
        <w:rPr>
          <w:rStyle w:val="Allmrkuseviide"/>
          <w:sz w:val="18"/>
          <w:szCs w:val="18"/>
        </w:rPr>
        <w:footnoteRef/>
      </w:r>
      <w:r w:rsidRPr="007F6D16">
        <w:rPr>
          <w:sz w:val="18"/>
          <w:szCs w:val="18"/>
        </w:rPr>
        <w:t xml:space="preserve"> </w:t>
      </w:r>
      <w:r w:rsidRPr="007F6D16">
        <w:rPr>
          <w:sz w:val="18"/>
          <w:szCs w:val="18"/>
        </w:rPr>
        <w:t>ESS § 50 lõige 1 punkt 2</w:t>
      </w:r>
    </w:p>
  </w:footnote>
  <w:footnote w:id="171">
    <w:p w14:paraId="6046A941" w14:textId="77777777" w:rsidR="00F03958" w:rsidRPr="00362D58" w:rsidRDefault="00F03958" w:rsidP="00F03958">
      <w:pPr>
        <w:pStyle w:val="Allmrkusetekst"/>
        <w:rPr>
          <w:sz w:val="18"/>
          <w:szCs w:val="18"/>
        </w:rPr>
      </w:pPr>
      <w:r w:rsidRPr="00264A47">
        <w:rPr>
          <w:rStyle w:val="Allmrkuseviide"/>
          <w:sz w:val="18"/>
          <w:szCs w:val="18"/>
        </w:rPr>
        <w:footnoteRef/>
      </w:r>
      <w:r w:rsidRPr="00264A47">
        <w:rPr>
          <w:sz w:val="18"/>
          <w:szCs w:val="18"/>
        </w:rPr>
        <w:t xml:space="preserve"> </w:t>
      </w:r>
      <w:r w:rsidRPr="00264A47">
        <w:rPr>
          <w:sz w:val="18"/>
          <w:szCs w:val="18"/>
        </w:rPr>
        <w:t xml:space="preserve">vt peatükid </w:t>
      </w:r>
      <w:r w:rsidRPr="00264A47">
        <w:rPr>
          <w:sz w:val="18"/>
          <w:szCs w:val="18"/>
        </w:rPr>
        <w:fldChar w:fldCharType="begin"/>
      </w:r>
      <w:r w:rsidRPr="00264A47">
        <w:rPr>
          <w:sz w:val="18"/>
          <w:szCs w:val="18"/>
        </w:rPr>
        <w:instrText xml:space="preserve"> REF _Ref465421348 \h  \* MERGEFORMAT </w:instrText>
      </w:r>
      <w:r w:rsidRPr="00264A47">
        <w:rPr>
          <w:sz w:val="18"/>
          <w:szCs w:val="18"/>
        </w:rPr>
      </w:r>
      <w:r w:rsidRPr="00264A47">
        <w:rPr>
          <w:sz w:val="18"/>
          <w:szCs w:val="18"/>
        </w:rPr>
        <w:fldChar w:fldCharType="separate"/>
      </w:r>
      <w:r w:rsidRPr="00264A47">
        <w:rPr>
          <w:sz w:val="18"/>
          <w:szCs w:val="18"/>
        </w:rPr>
        <w:t>2.2. Juurdepääsuga seotud konkurentsiprobleemid</w:t>
      </w:r>
      <w:r w:rsidRPr="00264A47">
        <w:rPr>
          <w:sz w:val="18"/>
          <w:szCs w:val="18"/>
        </w:rPr>
        <w:fldChar w:fldCharType="end"/>
      </w:r>
      <w:r w:rsidRPr="00264A47">
        <w:rPr>
          <w:sz w:val="18"/>
          <w:szCs w:val="18"/>
        </w:rPr>
        <w:t xml:space="preserve">“, </w:t>
      </w:r>
      <w:r w:rsidRPr="00264A47">
        <w:rPr>
          <w:sz w:val="18"/>
          <w:szCs w:val="18"/>
        </w:rPr>
        <w:fldChar w:fldCharType="begin"/>
      </w:r>
      <w:r w:rsidRPr="00264A47">
        <w:rPr>
          <w:sz w:val="18"/>
          <w:szCs w:val="18"/>
        </w:rPr>
        <w:instrText xml:space="preserve"> REF _Ref465421365 \h  \* MERGEFORMAT </w:instrText>
      </w:r>
      <w:r w:rsidRPr="00264A47">
        <w:rPr>
          <w:sz w:val="18"/>
          <w:szCs w:val="18"/>
        </w:rPr>
      </w:r>
      <w:r w:rsidRPr="00264A47">
        <w:rPr>
          <w:sz w:val="18"/>
          <w:szCs w:val="18"/>
        </w:rPr>
        <w:fldChar w:fldCharType="separate"/>
      </w:r>
      <w:r w:rsidRPr="00264A47">
        <w:rPr>
          <w:sz w:val="18"/>
          <w:szCs w:val="18"/>
        </w:rPr>
        <w:t>3.2. Diskrimineerimisega seotud konkurentsiprobleemid</w:t>
      </w:r>
      <w:r w:rsidRPr="00264A47">
        <w:rPr>
          <w:sz w:val="18"/>
          <w:szCs w:val="18"/>
        </w:rPr>
        <w:fldChar w:fldCharType="end"/>
      </w:r>
      <w:r w:rsidRPr="00264A47">
        <w:rPr>
          <w:sz w:val="18"/>
          <w:szCs w:val="18"/>
        </w:rPr>
        <w:t xml:space="preserve">“, </w:t>
      </w:r>
      <w:r w:rsidRPr="00264A47">
        <w:rPr>
          <w:sz w:val="18"/>
          <w:szCs w:val="18"/>
        </w:rPr>
        <w:fldChar w:fldCharType="begin"/>
      </w:r>
      <w:r w:rsidRPr="00264A47">
        <w:rPr>
          <w:sz w:val="18"/>
          <w:szCs w:val="18"/>
        </w:rPr>
        <w:instrText xml:space="preserve"> REF _Ref465421375 \h  \* MERGEFORMAT </w:instrText>
      </w:r>
      <w:r w:rsidRPr="00264A47">
        <w:rPr>
          <w:sz w:val="18"/>
          <w:szCs w:val="18"/>
        </w:rPr>
      </w:r>
      <w:r w:rsidRPr="00264A47">
        <w:rPr>
          <w:sz w:val="18"/>
          <w:szCs w:val="18"/>
        </w:rPr>
        <w:fldChar w:fldCharType="separate"/>
      </w:r>
      <w:r w:rsidRPr="00264A47">
        <w:rPr>
          <w:sz w:val="18"/>
          <w:szCs w:val="18"/>
        </w:rPr>
        <w:t>5.2. Hinnaga seotud konkurentsiprobleemid ja hindade analüüs</w:t>
      </w:r>
      <w:r w:rsidRPr="00264A47">
        <w:rPr>
          <w:sz w:val="18"/>
          <w:szCs w:val="18"/>
        </w:rPr>
        <w:fldChar w:fldCharType="end"/>
      </w:r>
      <w:r w:rsidRPr="00264A47">
        <w:rPr>
          <w:sz w:val="18"/>
          <w:szCs w:val="18"/>
        </w:rPr>
        <w:t>“</w:t>
      </w:r>
    </w:p>
  </w:footnote>
  <w:footnote w:id="172">
    <w:p w14:paraId="11D81D0D" w14:textId="77777777" w:rsidR="00F03958" w:rsidRDefault="00F03958" w:rsidP="00F03958">
      <w:pPr>
        <w:pStyle w:val="Allmrkusetekst"/>
      </w:pPr>
      <w:r>
        <w:rPr>
          <w:rStyle w:val="Allmrkuseviide"/>
        </w:rPr>
        <w:footnoteRef/>
      </w:r>
      <w:r>
        <w:t xml:space="preserve"> </w:t>
      </w:r>
      <w:r w:rsidRPr="00BB754D">
        <w:rPr>
          <w:sz w:val="18"/>
          <w:szCs w:val="18"/>
        </w:rPr>
        <w:t xml:space="preserve">Viide allikale: </w:t>
      </w:r>
      <w:hyperlink r:id="rId76" w:history="1">
        <w:r w:rsidRPr="00FC5729">
          <w:rPr>
            <w:rStyle w:val="Hperlink"/>
          </w:rPr>
          <w:t>https://www.berec.europa.eu/en/document-categories/berec/regulatory-best-practices/common-approachespositions/revised-berec-common-position-on-best-practice-in-remedies-on-the-market-for-wholesale-physical-network-infrastructure-access-including-shared-or-fully-unbundled-access-at-a</w:t>
        </w:r>
      </w:hyperlink>
    </w:p>
  </w:footnote>
  <w:footnote w:id="173">
    <w:p w14:paraId="2ADF278F" w14:textId="77777777" w:rsidR="00F03958" w:rsidRDefault="00F03958" w:rsidP="00F03958">
      <w:pPr>
        <w:pStyle w:val="Allmrkusetekst"/>
      </w:pPr>
      <w:r>
        <w:rPr>
          <w:rStyle w:val="Allmrkuseviide"/>
        </w:rPr>
        <w:footnoteRef/>
      </w:r>
      <w:r>
        <w:t xml:space="preserve"> </w:t>
      </w:r>
      <w:r>
        <w:t>ESS § 50 lg 3</w:t>
      </w:r>
    </w:p>
  </w:footnote>
  <w:footnote w:id="174">
    <w:p w14:paraId="4DFD5664" w14:textId="77777777" w:rsidR="00F03958" w:rsidRPr="00634D43" w:rsidRDefault="00F03958" w:rsidP="00F03958">
      <w:pPr>
        <w:pStyle w:val="Allmrkusetekst"/>
        <w:rPr>
          <w:rStyle w:val="Laad1Mrk"/>
          <w:rFonts w:eastAsia="Calibri"/>
        </w:rPr>
      </w:pPr>
      <w:r w:rsidRPr="00634D43">
        <w:rPr>
          <w:rStyle w:val="Laad1Mrk"/>
          <w:rFonts w:eastAsia="Calibri"/>
        </w:rPr>
        <w:footnoteRef/>
      </w:r>
      <w:r w:rsidRPr="00634D43">
        <w:rPr>
          <w:rStyle w:val="Laad1Mrk"/>
          <w:rFonts w:eastAsia="Calibri"/>
        </w:rPr>
        <w:t xml:space="preserve"> </w:t>
      </w:r>
      <w:r w:rsidRPr="00634D43">
        <w:rPr>
          <w:rStyle w:val="Laad1Mrk"/>
          <w:rFonts w:eastAsia="Calibri"/>
        </w:rPr>
        <w:t>ESS § 50 lg 4, 5 ja 7</w:t>
      </w:r>
    </w:p>
  </w:footnote>
  <w:footnote w:id="175">
    <w:p w14:paraId="0AE81213" w14:textId="77777777" w:rsidR="00F03958" w:rsidRDefault="00F03958" w:rsidP="00F03958">
      <w:pPr>
        <w:pStyle w:val="Allmrkusetekst"/>
      </w:pPr>
      <w:r>
        <w:rPr>
          <w:rStyle w:val="Allmrkuseviide"/>
        </w:rPr>
        <w:footnoteRef/>
      </w:r>
      <w:r>
        <w:t xml:space="preserve"> </w:t>
      </w:r>
      <w:r w:rsidRPr="00C2189B">
        <w:t>ESS § 50 lg 1 p 1</w:t>
      </w:r>
    </w:p>
  </w:footnote>
  <w:footnote w:id="176">
    <w:p w14:paraId="040A0AEB" w14:textId="77777777" w:rsidR="00F03958" w:rsidRDefault="00F03958" w:rsidP="00F03958">
      <w:pPr>
        <w:pStyle w:val="Allmrkusetekst"/>
      </w:pPr>
      <w:r>
        <w:rPr>
          <w:rStyle w:val="Allmrkuseviide"/>
        </w:rPr>
        <w:footnoteRef/>
      </w:r>
      <w:r>
        <w:t xml:space="preserve"> </w:t>
      </w:r>
      <w:r w:rsidRPr="00C2189B">
        <w:rPr>
          <w:rStyle w:val="Laad1Mrk"/>
          <w:rFonts w:eastAsia="Calibri"/>
        </w:rPr>
        <w:t>ESS § 50 lg 1 p 1 ja p 3</w:t>
      </w:r>
    </w:p>
  </w:footnote>
  <w:footnote w:id="177">
    <w:p w14:paraId="10518CB3" w14:textId="77777777" w:rsidR="00F03958" w:rsidRDefault="00F03958" w:rsidP="00F03958">
      <w:pPr>
        <w:pStyle w:val="Allmrkusetekst"/>
      </w:pPr>
      <w:r>
        <w:rPr>
          <w:rStyle w:val="Allmrkuseviide"/>
        </w:rPr>
        <w:footnoteRef/>
      </w:r>
      <w:r>
        <w:t xml:space="preserve"> </w:t>
      </w:r>
      <w:r w:rsidRPr="00C2189B">
        <w:rPr>
          <w:rStyle w:val="Laad1Mrk"/>
          <w:rFonts w:eastAsia="Calibri"/>
        </w:rPr>
        <w:t>ESS § 50 lg 1 p 2</w:t>
      </w:r>
    </w:p>
  </w:footnote>
  <w:footnote w:id="178">
    <w:p w14:paraId="51328478" w14:textId="77777777" w:rsidR="00F03958" w:rsidRPr="00E80A68" w:rsidRDefault="00F03958" w:rsidP="00F03958">
      <w:pPr>
        <w:pStyle w:val="Allmrkusetekst"/>
      </w:pPr>
      <w:r w:rsidRPr="00E80A68">
        <w:rPr>
          <w:rStyle w:val="Allmrkuseviide"/>
        </w:rPr>
        <w:footnoteRef/>
      </w:r>
      <w:r w:rsidRPr="00E80A68">
        <w:t xml:space="preserve"> </w:t>
      </w:r>
      <w:r w:rsidRPr="00E80A68">
        <w:t>ESS §53 lg 4</w:t>
      </w:r>
    </w:p>
  </w:footnote>
  <w:footnote w:id="179">
    <w:p w14:paraId="471ED5A3" w14:textId="72D21B7D" w:rsidR="00B46C85" w:rsidRDefault="00B46C85">
      <w:pPr>
        <w:pStyle w:val="Allmrkusetekst"/>
      </w:pPr>
      <w:r>
        <w:rPr>
          <w:rStyle w:val="Allmrkuseviide"/>
        </w:rPr>
        <w:footnoteRef/>
      </w:r>
      <w:r>
        <w:t xml:space="preserve"> </w:t>
      </w:r>
      <w:r>
        <w:t xml:space="preserve">ESS §53 lg </w:t>
      </w:r>
      <w:r w:rsidR="00245083">
        <w:t>6</w:t>
      </w:r>
    </w:p>
  </w:footnote>
  <w:footnote w:id="180">
    <w:p w14:paraId="1A10E36F" w14:textId="77777777" w:rsidR="00F03958" w:rsidRPr="00E80A68" w:rsidRDefault="00F03958" w:rsidP="00F03958">
      <w:pPr>
        <w:pStyle w:val="Allmrkusetekst"/>
      </w:pPr>
      <w:r w:rsidRPr="00E80A68">
        <w:rPr>
          <w:rStyle w:val="Allmrkuseviide"/>
        </w:rPr>
        <w:footnoteRef/>
      </w:r>
      <w:r w:rsidRPr="00E80A68">
        <w:t xml:space="preserve"> </w:t>
      </w:r>
      <w:r w:rsidRPr="00E80A68">
        <w:t>ESS § 53 lg 3</w:t>
      </w:r>
    </w:p>
  </w:footnote>
  <w:footnote w:id="181">
    <w:p w14:paraId="14F1EC1F" w14:textId="77777777" w:rsidR="00F03958" w:rsidRPr="00AF7918" w:rsidRDefault="00F03958" w:rsidP="00F03958">
      <w:pPr>
        <w:pStyle w:val="Allmrkusetekst"/>
        <w:rPr>
          <w:sz w:val="18"/>
          <w:szCs w:val="18"/>
        </w:rPr>
      </w:pPr>
      <w:r w:rsidRPr="00AF7918">
        <w:rPr>
          <w:rStyle w:val="Allmrkuseviide"/>
          <w:sz w:val="18"/>
          <w:szCs w:val="18"/>
        </w:rPr>
        <w:footnoteRef/>
      </w:r>
      <w:r w:rsidRPr="00AF7918">
        <w:rPr>
          <w:sz w:val="18"/>
          <w:szCs w:val="18"/>
        </w:rPr>
        <w:t xml:space="preserve"> </w:t>
      </w:r>
      <w:r w:rsidRPr="00AF7918">
        <w:rPr>
          <w:sz w:val="18"/>
          <w:szCs w:val="18"/>
        </w:rPr>
        <w:t>ESS § 134 lõige 1</w:t>
      </w:r>
    </w:p>
  </w:footnote>
  <w:footnote w:id="182">
    <w:p w14:paraId="1FFC3017" w14:textId="77777777" w:rsidR="00F03958" w:rsidRPr="00AF7918" w:rsidRDefault="00F03958" w:rsidP="00F03958">
      <w:pPr>
        <w:pStyle w:val="Allmrkusetekst"/>
        <w:rPr>
          <w:sz w:val="18"/>
          <w:szCs w:val="18"/>
        </w:rPr>
      </w:pPr>
      <w:r w:rsidRPr="00AF7918">
        <w:rPr>
          <w:rStyle w:val="Allmrkuseviide"/>
          <w:sz w:val="18"/>
          <w:szCs w:val="18"/>
        </w:rPr>
        <w:footnoteRef/>
      </w:r>
      <w:r w:rsidRPr="00AF7918">
        <w:rPr>
          <w:sz w:val="18"/>
          <w:szCs w:val="18"/>
        </w:rPr>
        <w:t xml:space="preserve"> </w:t>
      </w:r>
      <w:r w:rsidRPr="00AF7918">
        <w:rPr>
          <w:sz w:val="18"/>
          <w:szCs w:val="18"/>
        </w:rPr>
        <w:t>ESS § 134 lõige 2</w:t>
      </w:r>
    </w:p>
  </w:footnote>
  <w:footnote w:id="183">
    <w:p w14:paraId="28CD9921" w14:textId="77777777" w:rsidR="00F03958" w:rsidRPr="00AF7918" w:rsidRDefault="00F03958" w:rsidP="00F03958">
      <w:pPr>
        <w:pStyle w:val="Allmrkusetekst"/>
        <w:rPr>
          <w:sz w:val="18"/>
          <w:szCs w:val="18"/>
        </w:rPr>
      </w:pPr>
      <w:r w:rsidRPr="00AF7918">
        <w:rPr>
          <w:rStyle w:val="Allmrkuseviide"/>
          <w:sz w:val="18"/>
          <w:szCs w:val="18"/>
        </w:rPr>
        <w:footnoteRef/>
      </w:r>
      <w:r w:rsidRPr="00AF7918">
        <w:rPr>
          <w:rStyle w:val="Allmrkuseviide"/>
          <w:sz w:val="18"/>
          <w:szCs w:val="18"/>
        </w:rPr>
        <w:t xml:space="preserve"> </w:t>
      </w:r>
      <w:r w:rsidRPr="00AF7918">
        <w:rPr>
          <w:sz w:val="18"/>
          <w:szCs w:val="18"/>
        </w:rPr>
        <w:t>ESS § 50 lõige 4</w:t>
      </w:r>
    </w:p>
  </w:footnote>
  <w:footnote w:id="184">
    <w:p w14:paraId="7278585C" w14:textId="77777777" w:rsidR="00F03958" w:rsidRDefault="00F03958" w:rsidP="00F03958">
      <w:pPr>
        <w:pStyle w:val="Allmrkusetekst"/>
      </w:pPr>
      <w:r w:rsidRPr="00AF7918">
        <w:rPr>
          <w:rStyle w:val="Allmrkuseviide"/>
          <w:sz w:val="18"/>
          <w:szCs w:val="18"/>
        </w:rPr>
        <w:footnoteRef/>
      </w:r>
      <w:r w:rsidRPr="00AF7918">
        <w:rPr>
          <w:sz w:val="18"/>
          <w:szCs w:val="18"/>
        </w:rPr>
        <w:t xml:space="preserve"> </w:t>
      </w:r>
      <w:r w:rsidRPr="00AF7918">
        <w:rPr>
          <w:sz w:val="18"/>
          <w:szCs w:val="18"/>
        </w:rPr>
        <w:t xml:space="preserve">Euroopa sidekoodeksi preambul p 186, </w:t>
      </w:r>
      <w:hyperlink r:id="rId77" w:history="1">
        <w:r w:rsidRPr="00AF7918">
          <w:rPr>
            <w:rStyle w:val="Hperlink"/>
            <w:sz w:val="18"/>
            <w:szCs w:val="18"/>
          </w:rPr>
          <w:t>https://eur-lex.europa.eu/legal-content/EN-ET/TXT/?from=EN&amp;uri=CELEX%3A32018L1972</w:t>
        </w:r>
      </w:hyperlink>
    </w:p>
  </w:footnote>
  <w:footnote w:id="185">
    <w:p w14:paraId="0DE2A54E" w14:textId="77777777" w:rsidR="00F03958" w:rsidRPr="00AF7918" w:rsidRDefault="00F03958" w:rsidP="00F03958">
      <w:pPr>
        <w:pStyle w:val="Allmrkusetekst"/>
        <w:rPr>
          <w:sz w:val="18"/>
          <w:szCs w:val="18"/>
        </w:rPr>
      </w:pPr>
      <w:r w:rsidRPr="00AF7918">
        <w:rPr>
          <w:rStyle w:val="Allmrkuseviide"/>
          <w:sz w:val="18"/>
          <w:szCs w:val="18"/>
        </w:rPr>
        <w:footnoteRef/>
      </w:r>
      <w:r w:rsidRPr="00AF7918">
        <w:rPr>
          <w:sz w:val="18"/>
          <w:szCs w:val="18"/>
        </w:rPr>
        <w:t xml:space="preserve"> </w:t>
      </w:r>
      <w:r w:rsidRPr="00AF7918">
        <w:rPr>
          <w:sz w:val="18"/>
          <w:szCs w:val="18"/>
        </w:rPr>
        <w:t>ESS § 50 lõige 1 punkt 7</w:t>
      </w:r>
    </w:p>
  </w:footnote>
  <w:footnote w:id="186">
    <w:p w14:paraId="4AEC59C2" w14:textId="77777777" w:rsidR="00F03958" w:rsidRPr="00AF7918" w:rsidRDefault="00F03958" w:rsidP="00F03958">
      <w:pPr>
        <w:pStyle w:val="Allmrkusetekst"/>
        <w:rPr>
          <w:sz w:val="18"/>
          <w:szCs w:val="18"/>
        </w:rPr>
      </w:pPr>
      <w:r w:rsidRPr="00AF7918">
        <w:rPr>
          <w:rStyle w:val="Allmrkuseviide"/>
          <w:sz w:val="18"/>
          <w:szCs w:val="18"/>
        </w:rPr>
        <w:footnoteRef/>
      </w:r>
      <w:r w:rsidRPr="00AF7918">
        <w:rPr>
          <w:sz w:val="18"/>
          <w:szCs w:val="18"/>
        </w:rPr>
        <w:t xml:space="preserve"> </w:t>
      </w:r>
      <w:r w:rsidRPr="00AF7918">
        <w:rPr>
          <w:sz w:val="18"/>
          <w:szCs w:val="18"/>
        </w:rPr>
        <w:t>ESS § 52 lõige 1</w:t>
      </w:r>
    </w:p>
  </w:footnote>
  <w:footnote w:id="187">
    <w:p w14:paraId="683C38B2" w14:textId="77777777" w:rsidR="00F03958" w:rsidRPr="00AF7918" w:rsidRDefault="00F03958" w:rsidP="00F03958">
      <w:pPr>
        <w:pStyle w:val="Allmrkusetekst"/>
        <w:rPr>
          <w:sz w:val="18"/>
          <w:szCs w:val="18"/>
        </w:rPr>
      </w:pPr>
      <w:r w:rsidRPr="00AF7918">
        <w:rPr>
          <w:rStyle w:val="Allmrkuseviide"/>
          <w:sz w:val="18"/>
          <w:szCs w:val="18"/>
        </w:rPr>
        <w:footnoteRef/>
      </w:r>
      <w:r w:rsidRPr="00AF7918">
        <w:rPr>
          <w:sz w:val="18"/>
          <w:szCs w:val="18"/>
        </w:rPr>
        <w:t xml:space="preserve"> </w:t>
      </w:r>
      <w:r w:rsidRPr="00AF7918">
        <w:rPr>
          <w:sz w:val="18"/>
          <w:szCs w:val="18"/>
        </w:rPr>
        <w:t>ESS § 52 lõige 2</w:t>
      </w:r>
    </w:p>
  </w:footnote>
  <w:footnote w:id="188">
    <w:p w14:paraId="695800F8" w14:textId="77777777" w:rsidR="00F03958" w:rsidRPr="000D640B" w:rsidRDefault="00F03958" w:rsidP="00F03958">
      <w:pPr>
        <w:rPr>
          <w:sz w:val="18"/>
          <w:szCs w:val="18"/>
          <w:lang w:val="fr-FR"/>
        </w:rPr>
      </w:pPr>
      <w:r w:rsidRPr="00AF7918">
        <w:rPr>
          <w:rStyle w:val="Allmrkuseviide"/>
          <w:sz w:val="18"/>
          <w:szCs w:val="18"/>
        </w:rPr>
        <w:footnoteRef/>
      </w:r>
      <w:r w:rsidRPr="000D640B">
        <w:rPr>
          <w:sz w:val="18"/>
          <w:szCs w:val="18"/>
          <w:lang w:val="fr-FR"/>
        </w:rPr>
        <w:t xml:space="preserve"> </w:t>
      </w:r>
      <w:r w:rsidRPr="000D640B">
        <w:rPr>
          <w:sz w:val="18"/>
          <w:szCs w:val="18"/>
          <w:lang w:val="fr-FR"/>
        </w:rPr>
        <w:t>ESS § 46 lõige 2</w:t>
      </w:r>
    </w:p>
  </w:footnote>
  <w:footnote w:id="189">
    <w:p w14:paraId="702A110B" w14:textId="77777777" w:rsidR="00F03958" w:rsidRDefault="00F03958" w:rsidP="00F03958">
      <w:pPr>
        <w:pStyle w:val="Allmrkusetekst"/>
      </w:pPr>
      <w:r>
        <w:rPr>
          <w:rStyle w:val="Allmrkuseviide"/>
        </w:rPr>
        <w:footnoteRef/>
      </w:r>
      <w:r>
        <w:t xml:space="preserve"> </w:t>
      </w:r>
      <w:r>
        <w:t xml:space="preserve">ˇViide allikale: </w:t>
      </w:r>
      <w:hyperlink r:id="rId78" w:history="1">
        <w:r w:rsidRPr="00117D5A">
          <w:rPr>
            <w:rStyle w:val="Hperlink"/>
          </w:rPr>
          <w:t>https://eur-lex.europa.eu/eli/reco/2024/539</w:t>
        </w:r>
      </w:hyperlink>
      <w:r>
        <w:t xml:space="preserve">  </w:t>
      </w:r>
    </w:p>
  </w:footnote>
  <w:footnote w:id="190">
    <w:p w14:paraId="18DCC2DE" w14:textId="77777777" w:rsidR="00F03958" w:rsidRDefault="00F03958" w:rsidP="00F03958">
      <w:pPr>
        <w:pStyle w:val="Allmrkusetekst"/>
      </w:pPr>
      <w:r>
        <w:rPr>
          <w:rStyle w:val="Allmrkuseviide"/>
        </w:rPr>
        <w:footnoteRef/>
      </w:r>
      <w:r>
        <w:t xml:space="preserve"> </w:t>
      </w:r>
      <w:r>
        <w:t xml:space="preserve">COMMISSION STAFF WORKING DOCUMENT EXPLANATORY NOTE </w:t>
      </w:r>
      <w:proofErr w:type="spellStart"/>
      <w:r>
        <w:t>Accompanying</w:t>
      </w:r>
      <w:proofErr w:type="spellEnd"/>
      <w:r>
        <w:t xml:space="preserve"> </w:t>
      </w:r>
      <w:proofErr w:type="spellStart"/>
      <w:r>
        <w:t>the</w:t>
      </w:r>
      <w:proofErr w:type="spellEnd"/>
      <w:r>
        <w:t xml:space="preserve"> </w:t>
      </w:r>
      <w:proofErr w:type="spellStart"/>
      <w:r>
        <w:t>document</w:t>
      </w:r>
      <w:proofErr w:type="spellEnd"/>
      <w:r>
        <w:t xml:space="preserve"> </w:t>
      </w:r>
      <w:proofErr w:type="spellStart"/>
      <w:r>
        <w:t>Commission</w:t>
      </w:r>
      <w:proofErr w:type="spellEnd"/>
      <w:r>
        <w:t xml:space="preserve"> </w:t>
      </w:r>
      <w:proofErr w:type="spellStart"/>
      <w:r>
        <w:t>Recommendation</w:t>
      </w:r>
      <w:proofErr w:type="spellEnd"/>
      <w:r>
        <w:t xml:space="preserve"> On </w:t>
      </w:r>
      <w:proofErr w:type="spellStart"/>
      <w:r>
        <w:t>the</w:t>
      </w:r>
      <w:proofErr w:type="spellEnd"/>
      <w:r>
        <w:t xml:space="preserve"> </w:t>
      </w:r>
      <w:proofErr w:type="spellStart"/>
      <w:r>
        <w:t>regulatory</w:t>
      </w:r>
      <w:proofErr w:type="spellEnd"/>
      <w:r>
        <w:t xml:space="preserve"> </w:t>
      </w:r>
      <w:proofErr w:type="spellStart"/>
      <w:r>
        <w:t>promotion</w:t>
      </w:r>
      <w:proofErr w:type="spellEnd"/>
      <w:r>
        <w:t xml:space="preserve"> of </w:t>
      </w:r>
      <w:proofErr w:type="spellStart"/>
      <w:r>
        <w:t>Gigabit</w:t>
      </w:r>
      <w:proofErr w:type="spellEnd"/>
      <w:r>
        <w:t xml:space="preserve"> </w:t>
      </w:r>
      <w:proofErr w:type="spellStart"/>
      <w:r>
        <w:t>connectivity</w:t>
      </w:r>
      <w:proofErr w:type="spellEnd"/>
      <w:r>
        <w:t xml:space="preserve">, vt </w:t>
      </w:r>
      <w:hyperlink r:id="rId79" w:history="1">
        <w:r w:rsidRPr="00117D5A">
          <w:rPr>
            <w:rStyle w:val="Hperlink"/>
          </w:rPr>
          <w:t>https://ec.europa.eu/newsroom/dae/redirection/document/93964</w:t>
        </w:r>
      </w:hyperlink>
      <w:r>
        <w:t xml:space="preserve"> </w:t>
      </w:r>
    </w:p>
  </w:footnote>
  <w:footnote w:id="191">
    <w:p w14:paraId="682C7977" w14:textId="77777777" w:rsidR="00F03958" w:rsidRPr="00AF7918" w:rsidRDefault="00F03958" w:rsidP="00F03958">
      <w:pPr>
        <w:pStyle w:val="Allmrkusetekst"/>
        <w:rPr>
          <w:sz w:val="18"/>
          <w:szCs w:val="18"/>
        </w:rPr>
      </w:pPr>
      <w:r w:rsidRPr="00AF7918">
        <w:rPr>
          <w:rStyle w:val="Allmrkuseviide"/>
          <w:sz w:val="18"/>
          <w:szCs w:val="18"/>
        </w:rPr>
        <w:footnoteRef/>
      </w:r>
      <w:r w:rsidRPr="00AF7918">
        <w:rPr>
          <w:sz w:val="18"/>
          <w:szCs w:val="18"/>
        </w:rPr>
        <w:t xml:space="preserve"> </w:t>
      </w:r>
      <w:r w:rsidRPr="00AF7918">
        <w:rPr>
          <w:sz w:val="18"/>
          <w:szCs w:val="18"/>
        </w:rPr>
        <w:t>„</w:t>
      </w:r>
      <w:r w:rsidRPr="001B46E3">
        <w:rPr>
          <w:i/>
          <w:iCs/>
          <w:sz w:val="18"/>
          <w:szCs w:val="18"/>
        </w:rPr>
        <w:t>REVISED BEREC COMMON POSITION ON BEST PRACTICE IN REMEDIES ON THE MARKET FOR WHOLESALE BROADBAND ACCESS (INCLUDING BITSTREAM ACCESS) IMPOSED AS A CONSEQUENCE OF A POSITION OF SIGNIFICANT MARKET POWER IN THE RELEVANT MARKET</w:t>
      </w:r>
      <w:r w:rsidRPr="00AF7918">
        <w:rPr>
          <w:sz w:val="18"/>
          <w:szCs w:val="18"/>
        </w:rPr>
        <w:t xml:space="preserve">, viide allikale: </w:t>
      </w:r>
      <w:r w:rsidRPr="00A919B7">
        <w:rPr>
          <w:sz w:val="18"/>
          <w:szCs w:val="18"/>
        </w:rPr>
        <w:t xml:space="preserve">Viide allikale: </w:t>
      </w:r>
      <w:hyperlink r:id="rId80" w:history="1">
        <w:r w:rsidRPr="00156F01">
          <w:rPr>
            <w:rStyle w:val="Hperlink"/>
            <w:sz w:val="18"/>
            <w:szCs w:val="18"/>
          </w:rPr>
          <w:t>https://www.berec.europa.eu/en/document-categories/berec/regulatory-best-practices/common-approachespositions/revised-berec-common-position-on-best-practice-in-remedies-on-the-market-for-wholesale-broadband-access-including-bitstream-access-imposed-as-a-consequence-of-a-position-of</w:t>
        </w:r>
      </w:hyperlink>
      <w:r>
        <w:rPr>
          <w:sz w:val="18"/>
          <w:szCs w:val="18"/>
        </w:rPr>
        <w:t xml:space="preserve"> </w:t>
      </w:r>
    </w:p>
  </w:footnote>
  <w:footnote w:id="192">
    <w:p w14:paraId="0D3CBAA0" w14:textId="77777777" w:rsidR="00F03958" w:rsidRDefault="00F03958" w:rsidP="00F03958">
      <w:pPr>
        <w:pStyle w:val="Allmrkusetekst"/>
      </w:pPr>
      <w:r w:rsidRPr="00AF7918">
        <w:rPr>
          <w:rStyle w:val="Allmrkuseviide"/>
          <w:sz w:val="18"/>
          <w:szCs w:val="18"/>
        </w:rPr>
        <w:footnoteRef/>
      </w:r>
      <w:r w:rsidRPr="00AF7918">
        <w:rPr>
          <w:sz w:val="18"/>
          <w:szCs w:val="18"/>
        </w:rPr>
        <w:t xml:space="preserve"> </w:t>
      </w:r>
      <w:r w:rsidRPr="00AF7918">
        <w:rPr>
          <w:sz w:val="18"/>
          <w:szCs w:val="18"/>
        </w:rPr>
        <w:t xml:space="preserve">Viide allikale: </w:t>
      </w:r>
      <w:hyperlink r:id="rId81" w:history="1">
        <w:r w:rsidRPr="00AF7918">
          <w:rPr>
            <w:rStyle w:val="Hperlink"/>
            <w:sz w:val="18"/>
            <w:szCs w:val="18"/>
          </w:rPr>
          <w:t>EUR-Lex - 32005H0698 - ET - EUR-Lex (europa.eu)</w:t>
        </w:r>
      </w:hyperlink>
      <w:r>
        <w:t xml:space="preserve"> </w:t>
      </w:r>
    </w:p>
  </w:footnote>
  <w:footnote w:id="193">
    <w:p w14:paraId="6DD05148" w14:textId="77777777" w:rsidR="00F03958" w:rsidRPr="00AF7918" w:rsidRDefault="00F03958" w:rsidP="00F03958">
      <w:pPr>
        <w:pStyle w:val="Allmrkusetekst"/>
        <w:rPr>
          <w:sz w:val="18"/>
          <w:szCs w:val="18"/>
        </w:rPr>
      </w:pPr>
      <w:r w:rsidRPr="00AF7918">
        <w:rPr>
          <w:rStyle w:val="Allmrkuseviide"/>
          <w:sz w:val="18"/>
          <w:szCs w:val="18"/>
        </w:rPr>
        <w:footnoteRef/>
      </w:r>
      <w:r w:rsidRPr="00AF7918">
        <w:rPr>
          <w:sz w:val="18"/>
          <w:szCs w:val="18"/>
        </w:rPr>
        <w:t xml:space="preserve"> </w:t>
      </w:r>
      <w:r w:rsidRPr="00AF7918">
        <w:rPr>
          <w:sz w:val="18"/>
          <w:szCs w:val="18"/>
        </w:rPr>
        <w:t xml:space="preserve">Euroopa sidekoodeksi preambul p 192, </w:t>
      </w:r>
      <w:hyperlink r:id="rId82" w:history="1">
        <w:r w:rsidRPr="00AF7918">
          <w:rPr>
            <w:rStyle w:val="Hperlink"/>
            <w:sz w:val="18"/>
            <w:szCs w:val="18"/>
          </w:rPr>
          <w:t>https://eur-lex.europa.eu/legal-content/EN-ET/TXT/?from=EN&amp;uri=CELEX%3A32018L1972</w:t>
        </w:r>
      </w:hyperlink>
      <w:r w:rsidRPr="00AF7918">
        <w:rPr>
          <w:sz w:val="18"/>
          <w:szCs w:val="18"/>
        </w:rPr>
        <w:t xml:space="preserve"> </w:t>
      </w:r>
    </w:p>
  </w:footnote>
  <w:footnote w:id="194">
    <w:p w14:paraId="6BCB2A18" w14:textId="77777777" w:rsidR="00F03958" w:rsidRPr="00F61F8C" w:rsidRDefault="00F03958" w:rsidP="00F03958">
      <w:pPr>
        <w:pStyle w:val="Allmrkusetekst"/>
      </w:pPr>
      <w:r w:rsidRPr="003E68CB">
        <w:rPr>
          <w:rStyle w:val="Allmrkuseviide"/>
        </w:rPr>
        <w:footnoteRef/>
      </w:r>
      <w:r w:rsidRPr="00F61F8C">
        <w:t xml:space="preserve"> </w:t>
      </w:r>
      <w:hyperlink r:id="rId83" w:history="1">
        <w:r w:rsidRPr="00FC5729">
          <w:rPr>
            <w:rStyle w:val="Hperlink"/>
          </w:rPr>
          <w:t>https://www.berec.europa.eu/en/document-categories/berec/regulatory-best-practices/common-approachespositions/revised-berec-common-position-on-best-practice-in-remedies-on-the-market-for-wholesale-physical-network-infrastructure-access-including-shared-or-fully-unbundled-access-at-a</w:t>
        </w:r>
      </w:hyperlink>
      <w:r>
        <w:t xml:space="preserve"> </w:t>
      </w:r>
    </w:p>
  </w:footnote>
  <w:footnote w:id="195">
    <w:p w14:paraId="6C1ACD22" w14:textId="77777777" w:rsidR="00F03958" w:rsidRPr="00144353" w:rsidRDefault="00F03958" w:rsidP="00F03958">
      <w:pPr>
        <w:pStyle w:val="Allmrkusetekst"/>
        <w:rPr>
          <w:sz w:val="18"/>
          <w:szCs w:val="18"/>
        </w:rPr>
      </w:pPr>
      <w:r w:rsidRPr="00144353">
        <w:rPr>
          <w:rStyle w:val="Allmrkuseviide"/>
          <w:sz w:val="18"/>
          <w:szCs w:val="18"/>
        </w:rPr>
        <w:footnoteRef/>
      </w:r>
      <w:r w:rsidRPr="00144353">
        <w:rPr>
          <w:sz w:val="18"/>
          <w:szCs w:val="18"/>
        </w:rPr>
        <w:t xml:space="preserve"> </w:t>
      </w:r>
      <w:r w:rsidRPr="00144353">
        <w:rPr>
          <w:sz w:val="18"/>
          <w:szCs w:val="18"/>
        </w:rPr>
        <w:t xml:space="preserve">Viide allikale: </w:t>
      </w:r>
      <w:hyperlink r:id="rId84" w:history="1">
        <w:r w:rsidRPr="00144353">
          <w:rPr>
            <w:rStyle w:val="Hperlink"/>
            <w:sz w:val="18"/>
            <w:szCs w:val="18"/>
          </w:rPr>
          <w:t>https://www.telia.ee/partnerile/sideettevotjale/vorguressursi-rent</w:t>
        </w:r>
      </w:hyperlink>
      <w:r w:rsidRPr="00144353">
        <w:rPr>
          <w:sz w:val="18"/>
          <w:szCs w:val="18"/>
        </w:rPr>
        <w:t xml:space="preserve"> </w:t>
      </w:r>
    </w:p>
  </w:footnote>
  <w:footnote w:id="196">
    <w:p w14:paraId="5B3C7947" w14:textId="77777777" w:rsidR="00F03958" w:rsidRPr="00144353" w:rsidRDefault="00F03958" w:rsidP="00F03958">
      <w:pPr>
        <w:pStyle w:val="Allmrkusetekst"/>
        <w:rPr>
          <w:sz w:val="18"/>
          <w:szCs w:val="18"/>
        </w:rPr>
      </w:pPr>
      <w:r w:rsidRPr="00144353">
        <w:rPr>
          <w:rStyle w:val="Allmrkuseviide"/>
          <w:sz w:val="18"/>
          <w:szCs w:val="18"/>
        </w:rPr>
        <w:footnoteRef/>
      </w:r>
      <w:r w:rsidRPr="00144353">
        <w:rPr>
          <w:sz w:val="18"/>
          <w:szCs w:val="18"/>
        </w:rPr>
        <w:t xml:space="preserve"> </w:t>
      </w:r>
      <w:r w:rsidRPr="00144353">
        <w:rPr>
          <w:sz w:val="18"/>
          <w:szCs w:val="18"/>
        </w:rPr>
        <w:t xml:space="preserve">Viide allikale: </w:t>
      </w:r>
      <w:hyperlink r:id="rId85" w:history="1">
        <w:r w:rsidRPr="00144353">
          <w:rPr>
            <w:rStyle w:val="Hperlink"/>
            <w:sz w:val="18"/>
            <w:szCs w:val="18"/>
          </w:rPr>
          <w:t>https://www.telia.ee/images/documents/tt/est/tt-lairibaressurss-3-0.pdf</w:t>
        </w:r>
      </w:hyperlink>
      <w:r w:rsidRPr="00144353">
        <w:rPr>
          <w:sz w:val="18"/>
          <w:szCs w:val="18"/>
        </w:rPr>
        <w:t xml:space="preserve"> </w:t>
      </w:r>
    </w:p>
  </w:footnote>
  <w:footnote w:id="197">
    <w:p w14:paraId="08E5299D" w14:textId="77777777" w:rsidR="00074A13" w:rsidRPr="00E32DE7" w:rsidRDefault="00074A13" w:rsidP="00074A13">
      <w:pPr>
        <w:rPr>
          <w:sz w:val="18"/>
          <w:szCs w:val="18"/>
        </w:rPr>
      </w:pPr>
      <w:r w:rsidRPr="00A15261">
        <w:rPr>
          <w:rStyle w:val="Allmrkuseviide"/>
          <w:sz w:val="20"/>
          <w:szCs w:val="20"/>
        </w:rPr>
        <w:footnoteRef/>
      </w:r>
      <w:r w:rsidRPr="00E32DE7">
        <w:rPr>
          <w:sz w:val="20"/>
          <w:szCs w:val="20"/>
        </w:rPr>
        <w:t xml:space="preserve"> </w:t>
      </w:r>
      <w:r w:rsidRPr="00E32DE7">
        <w:rPr>
          <w:sz w:val="18"/>
          <w:szCs w:val="18"/>
        </w:rPr>
        <w:t>TJA 16.06.17 otsus nr 1-10/17-227 „Kindlaksmääratud asukohas masstoodete keskse juurdepääsu hulgituru</w:t>
      </w:r>
    </w:p>
    <w:p w14:paraId="5A7A1073" w14:textId="77777777" w:rsidR="00074A13" w:rsidRPr="006077AF" w:rsidRDefault="00074A13" w:rsidP="00074A13">
      <w:r w:rsidRPr="006077AF">
        <w:rPr>
          <w:sz w:val="18"/>
          <w:szCs w:val="18"/>
        </w:rPr>
        <w:t xml:space="preserve">piiritlemine, analüüs, märkimisväärse turujõuga ettevõtjaks tunnistamine ja kohustuste kehtestamine“ </w:t>
      </w:r>
      <w:hyperlink r:id="rId86" w:anchor="lairiba-juurdepaas-f" w:history="1">
        <w:r w:rsidRPr="006077AF">
          <w:rPr>
            <w:rStyle w:val="Hperlink"/>
            <w:sz w:val="18"/>
            <w:szCs w:val="18"/>
          </w:rPr>
          <w:t>https://www.ttja.ee/ariklient/side-ja-meediateenused/sideteenused/sideturg#lairiba-juurdepaas-f</w:t>
        </w:r>
      </w:hyperlink>
      <w:r w:rsidRPr="006077AF">
        <w:rPr>
          <w:sz w:val="18"/>
          <w:szCs w:val="18"/>
        </w:rPr>
        <w:t xml:space="preserve"> </w:t>
      </w:r>
      <w:r w:rsidRPr="006077AF">
        <w:t>.</w:t>
      </w:r>
    </w:p>
  </w:footnote>
  <w:footnote w:id="198">
    <w:p w14:paraId="3A05703C" w14:textId="77777777" w:rsidR="00F03958" w:rsidRPr="00E14FB7" w:rsidRDefault="00F03958" w:rsidP="00F03958">
      <w:pPr>
        <w:pStyle w:val="Allmrkusetekst"/>
        <w:spacing w:before="60" w:after="60"/>
        <w:rPr>
          <w:sz w:val="18"/>
          <w:szCs w:val="18"/>
        </w:rPr>
      </w:pPr>
      <w:r w:rsidRPr="00E14FB7">
        <w:rPr>
          <w:rStyle w:val="Allmrkuseviide"/>
          <w:sz w:val="18"/>
          <w:szCs w:val="18"/>
        </w:rPr>
        <w:footnoteRef/>
      </w:r>
      <w:r w:rsidRPr="00E14FB7">
        <w:rPr>
          <w:sz w:val="18"/>
          <w:szCs w:val="18"/>
        </w:rPr>
        <w:t xml:space="preserve"> </w:t>
      </w:r>
      <w:r w:rsidRPr="00E14FB7">
        <w:rPr>
          <w:sz w:val="18"/>
          <w:szCs w:val="18"/>
        </w:rPr>
        <w:t>ESS § 40 lõige 1</w:t>
      </w:r>
    </w:p>
  </w:footnote>
  <w:footnote w:id="199">
    <w:p w14:paraId="7DAF86A9" w14:textId="77777777" w:rsidR="00F03958" w:rsidRDefault="00F03958" w:rsidP="00F03958">
      <w:pPr>
        <w:pStyle w:val="Allmrkusetekst"/>
      </w:pPr>
      <w:r>
        <w:rPr>
          <w:rStyle w:val="Allmrkuseviide"/>
        </w:rPr>
        <w:footnoteRef/>
      </w:r>
      <w:r>
        <w:t xml:space="preserve"> </w:t>
      </w:r>
      <w:r w:rsidRPr="001B30BE">
        <w:t>ESS § 134</w:t>
      </w:r>
    </w:p>
  </w:footnote>
  <w:footnote w:id="200">
    <w:p w14:paraId="51CDEB91" w14:textId="77777777" w:rsidR="00F03958" w:rsidRPr="003A4E18" w:rsidRDefault="00F03958" w:rsidP="00F03958">
      <w:pPr>
        <w:pStyle w:val="Allmrkusetekst"/>
      </w:pPr>
      <w:r w:rsidRPr="00E14FB7">
        <w:rPr>
          <w:rStyle w:val="Allmrkuseviide"/>
          <w:sz w:val="18"/>
          <w:szCs w:val="18"/>
        </w:rPr>
        <w:footnoteRef/>
      </w:r>
      <w:r w:rsidRPr="00E14FB7">
        <w:rPr>
          <w:sz w:val="18"/>
          <w:szCs w:val="18"/>
        </w:rPr>
        <w:t xml:space="preserve"> </w:t>
      </w:r>
      <w:bookmarkStart w:id="1121" w:name="_Hlk117682504"/>
      <w:r w:rsidRPr="00E14FB7">
        <w:rPr>
          <w:sz w:val="18"/>
          <w:szCs w:val="18"/>
        </w:rPr>
        <w:t xml:space="preserve">Euroopa sidekoodeks (EL 2018/1972)  </w:t>
      </w:r>
      <w:hyperlink r:id="rId87" w:history="1">
        <w:r w:rsidRPr="00E14FB7">
          <w:rPr>
            <w:rStyle w:val="Hperlink"/>
            <w:sz w:val="18"/>
            <w:szCs w:val="18"/>
          </w:rPr>
          <w:t>https://eur-lex.europa.eu/legal-content/EN-ET/TXT/?from=EN&amp;uri=CELEX%3A02018L1972-20181217</w:t>
        </w:r>
      </w:hyperlink>
      <w:r w:rsidRPr="00E14FB7">
        <w:rPr>
          <w:sz w:val="18"/>
          <w:szCs w:val="18"/>
        </w:rPr>
        <w:t xml:space="preserve"> artikli 63 lõige 2, ESS § 45 lõige 2</w:t>
      </w:r>
      <w:bookmarkEnd w:id="1121"/>
    </w:p>
  </w:footnote>
  <w:footnote w:id="201">
    <w:p w14:paraId="63D30259" w14:textId="77777777" w:rsidR="00F03958" w:rsidRPr="0034780A" w:rsidRDefault="00F03958" w:rsidP="00F03958">
      <w:pPr>
        <w:pStyle w:val="Allmrkusetekst"/>
        <w:spacing w:before="60" w:after="60"/>
        <w:rPr>
          <w:sz w:val="18"/>
          <w:szCs w:val="18"/>
        </w:rPr>
      </w:pPr>
      <w:r w:rsidRPr="0034780A">
        <w:rPr>
          <w:rStyle w:val="Allmrkuseviide"/>
          <w:sz w:val="18"/>
          <w:szCs w:val="18"/>
        </w:rPr>
        <w:footnoteRef/>
      </w:r>
      <w:r w:rsidRPr="0034780A">
        <w:rPr>
          <w:sz w:val="18"/>
          <w:szCs w:val="18"/>
        </w:rPr>
        <w:t xml:space="preserve"> </w:t>
      </w:r>
      <w:r w:rsidRPr="0034780A">
        <w:rPr>
          <w:sz w:val="18"/>
          <w:szCs w:val="18"/>
        </w:rPr>
        <w:t>ESS § 46 lõige 2</w:t>
      </w:r>
    </w:p>
  </w:footnote>
  <w:footnote w:id="202">
    <w:p w14:paraId="310E0705" w14:textId="77777777" w:rsidR="00F03958" w:rsidRPr="0034780A" w:rsidRDefault="00F03958" w:rsidP="00F03958">
      <w:pPr>
        <w:pStyle w:val="Allmrkusetekst"/>
        <w:spacing w:before="60" w:after="60"/>
        <w:rPr>
          <w:sz w:val="18"/>
          <w:szCs w:val="18"/>
        </w:rPr>
      </w:pPr>
      <w:r w:rsidRPr="0034780A">
        <w:rPr>
          <w:rStyle w:val="Allmrkuseviide"/>
          <w:sz w:val="18"/>
          <w:szCs w:val="18"/>
        </w:rPr>
        <w:footnoteRef/>
      </w:r>
      <w:r w:rsidRPr="0034780A">
        <w:rPr>
          <w:sz w:val="18"/>
          <w:szCs w:val="18"/>
        </w:rPr>
        <w:t xml:space="preserve"> </w:t>
      </w:r>
      <w:r w:rsidRPr="0034780A">
        <w:rPr>
          <w:sz w:val="18"/>
          <w:szCs w:val="18"/>
        </w:rPr>
        <w:t>ESS § 50 lõige 5</w:t>
      </w:r>
    </w:p>
  </w:footnote>
  <w:footnote w:id="203">
    <w:p w14:paraId="023019DF" w14:textId="77777777" w:rsidR="00F03958" w:rsidRPr="0034780A" w:rsidRDefault="00F03958" w:rsidP="00F03958">
      <w:pPr>
        <w:pStyle w:val="Allmrkusetekst"/>
        <w:spacing w:before="60" w:after="60"/>
        <w:rPr>
          <w:sz w:val="18"/>
          <w:szCs w:val="18"/>
        </w:rPr>
      </w:pPr>
      <w:r w:rsidRPr="0034780A">
        <w:rPr>
          <w:rStyle w:val="Allmrkuseviide"/>
          <w:sz w:val="18"/>
          <w:szCs w:val="18"/>
        </w:rPr>
        <w:footnoteRef/>
      </w:r>
      <w:r w:rsidRPr="0034780A">
        <w:rPr>
          <w:sz w:val="18"/>
          <w:szCs w:val="18"/>
        </w:rPr>
        <w:t xml:space="preserve"> </w:t>
      </w:r>
      <w:r w:rsidRPr="0034780A">
        <w:rPr>
          <w:sz w:val="18"/>
          <w:szCs w:val="18"/>
        </w:rPr>
        <w:t>ESS § 50 lõige 3</w:t>
      </w:r>
    </w:p>
  </w:footnote>
  <w:footnote w:id="204">
    <w:p w14:paraId="0A5D2554" w14:textId="77777777" w:rsidR="00F03958" w:rsidRPr="0034780A" w:rsidRDefault="00F03958" w:rsidP="00F03958">
      <w:pPr>
        <w:pStyle w:val="Allmrkusetekst"/>
        <w:spacing w:before="60" w:after="60"/>
        <w:rPr>
          <w:sz w:val="18"/>
          <w:szCs w:val="18"/>
        </w:rPr>
      </w:pPr>
      <w:r w:rsidRPr="0034780A">
        <w:rPr>
          <w:rStyle w:val="Allmrkuseviide"/>
          <w:sz w:val="18"/>
          <w:szCs w:val="18"/>
        </w:rPr>
        <w:footnoteRef/>
      </w:r>
      <w:r w:rsidRPr="0034780A">
        <w:rPr>
          <w:sz w:val="18"/>
          <w:szCs w:val="18"/>
        </w:rPr>
        <w:t xml:space="preserve"> </w:t>
      </w:r>
      <w:r w:rsidRPr="0034780A">
        <w:rPr>
          <w:sz w:val="18"/>
          <w:szCs w:val="18"/>
        </w:rPr>
        <w:t>ESS § 50 lõige 1 ja 2</w:t>
      </w:r>
    </w:p>
  </w:footnote>
  <w:footnote w:id="205">
    <w:p w14:paraId="326DCC87" w14:textId="77777777" w:rsidR="00F03958" w:rsidRPr="0034780A" w:rsidRDefault="00F03958" w:rsidP="00F03958">
      <w:pPr>
        <w:pStyle w:val="Allmrkusetekst"/>
        <w:spacing w:before="60" w:after="60"/>
        <w:rPr>
          <w:sz w:val="18"/>
          <w:szCs w:val="18"/>
        </w:rPr>
      </w:pPr>
      <w:r w:rsidRPr="0034780A">
        <w:rPr>
          <w:rStyle w:val="Allmrkuseviide"/>
          <w:sz w:val="18"/>
          <w:szCs w:val="18"/>
        </w:rPr>
        <w:footnoteRef/>
      </w:r>
      <w:r w:rsidRPr="0034780A">
        <w:rPr>
          <w:sz w:val="18"/>
          <w:szCs w:val="18"/>
        </w:rPr>
        <w:t xml:space="preserve"> </w:t>
      </w:r>
      <w:r w:rsidRPr="0034780A">
        <w:rPr>
          <w:sz w:val="18"/>
          <w:szCs w:val="18"/>
        </w:rPr>
        <w:t>ESS § 50 lõige 4 ja 7</w:t>
      </w:r>
    </w:p>
  </w:footnote>
  <w:footnote w:id="206">
    <w:p w14:paraId="394C2CAD" w14:textId="77777777" w:rsidR="00F03958" w:rsidRDefault="00F03958" w:rsidP="00F03958">
      <w:pPr>
        <w:pStyle w:val="Allmrkusetekst"/>
      </w:pPr>
      <w:r>
        <w:rPr>
          <w:rStyle w:val="Allmrkuseviide"/>
        </w:rPr>
        <w:footnoteRef/>
      </w:r>
      <w:r>
        <w:t xml:space="preserve"> </w:t>
      </w:r>
      <w:r>
        <w:t xml:space="preserve">ˇViide allikale: </w:t>
      </w:r>
      <w:hyperlink r:id="rId88" w:history="1">
        <w:r w:rsidRPr="00117D5A">
          <w:rPr>
            <w:rStyle w:val="Hperlink"/>
          </w:rPr>
          <w:t>https://eur-lex.europa.eu/eli/reco/2024/539</w:t>
        </w:r>
      </w:hyperlink>
      <w:r>
        <w:t xml:space="preserve">  </w:t>
      </w:r>
    </w:p>
  </w:footnote>
  <w:footnote w:id="207">
    <w:p w14:paraId="3A5ACB0B" w14:textId="77777777" w:rsidR="00F03958" w:rsidRDefault="00F03958" w:rsidP="00F03958">
      <w:pPr>
        <w:pStyle w:val="Allmrkusetekst"/>
      </w:pPr>
      <w:r>
        <w:rPr>
          <w:rStyle w:val="Allmrkuseviide"/>
        </w:rPr>
        <w:footnoteRef/>
      </w:r>
      <w:r>
        <w:t xml:space="preserve"> </w:t>
      </w:r>
      <w:r>
        <w:t xml:space="preserve">COMMISSION STAFF WORKING DOCUMENT EXPLANATORY NOTE </w:t>
      </w:r>
      <w:proofErr w:type="spellStart"/>
      <w:r>
        <w:t>Accompanying</w:t>
      </w:r>
      <w:proofErr w:type="spellEnd"/>
      <w:r>
        <w:t xml:space="preserve"> </w:t>
      </w:r>
      <w:proofErr w:type="spellStart"/>
      <w:r>
        <w:t>the</w:t>
      </w:r>
      <w:proofErr w:type="spellEnd"/>
      <w:r>
        <w:t xml:space="preserve"> </w:t>
      </w:r>
      <w:proofErr w:type="spellStart"/>
      <w:r>
        <w:t>document</w:t>
      </w:r>
      <w:proofErr w:type="spellEnd"/>
      <w:r>
        <w:t xml:space="preserve"> </w:t>
      </w:r>
      <w:proofErr w:type="spellStart"/>
      <w:r>
        <w:t>Commission</w:t>
      </w:r>
      <w:proofErr w:type="spellEnd"/>
      <w:r>
        <w:t xml:space="preserve"> </w:t>
      </w:r>
      <w:proofErr w:type="spellStart"/>
      <w:r>
        <w:t>Recommendation</w:t>
      </w:r>
      <w:proofErr w:type="spellEnd"/>
      <w:r>
        <w:t xml:space="preserve"> On </w:t>
      </w:r>
      <w:proofErr w:type="spellStart"/>
      <w:r>
        <w:t>the</w:t>
      </w:r>
      <w:proofErr w:type="spellEnd"/>
      <w:r>
        <w:t xml:space="preserve"> </w:t>
      </w:r>
      <w:proofErr w:type="spellStart"/>
      <w:r>
        <w:t>regulatory</w:t>
      </w:r>
      <w:proofErr w:type="spellEnd"/>
      <w:r>
        <w:t xml:space="preserve"> </w:t>
      </w:r>
      <w:proofErr w:type="spellStart"/>
      <w:r>
        <w:t>promotion</w:t>
      </w:r>
      <w:proofErr w:type="spellEnd"/>
      <w:r>
        <w:t xml:space="preserve"> of </w:t>
      </w:r>
      <w:proofErr w:type="spellStart"/>
      <w:r>
        <w:t>Gigabit</w:t>
      </w:r>
      <w:proofErr w:type="spellEnd"/>
      <w:r>
        <w:t xml:space="preserve"> </w:t>
      </w:r>
      <w:proofErr w:type="spellStart"/>
      <w:r>
        <w:t>connectivity</w:t>
      </w:r>
      <w:proofErr w:type="spellEnd"/>
      <w:r>
        <w:t xml:space="preserve">, vt </w:t>
      </w:r>
      <w:hyperlink r:id="rId89" w:history="1">
        <w:r w:rsidRPr="00117D5A">
          <w:rPr>
            <w:rStyle w:val="Hperlink"/>
          </w:rPr>
          <w:t>https://ec.europa.eu/newsroom/dae/redirection/document/93964</w:t>
        </w:r>
      </w:hyperlink>
      <w:r>
        <w:t xml:space="preserve"> </w:t>
      </w:r>
    </w:p>
  </w:footnote>
  <w:footnote w:id="208">
    <w:p w14:paraId="482C2D3A" w14:textId="77777777" w:rsidR="00F03958" w:rsidRPr="00B845B0" w:rsidRDefault="00F03958" w:rsidP="00F03958">
      <w:pPr>
        <w:pStyle w:val="Allmrkusetekst"/>
        <w:rPr>
          <w:sz w:val="18"/>
          <w:szCs w:val="18"/>
        </w:rPr>
      </w:pPr>
      <w:r w:rsidRPr="00B845B0">
        <w:rPr>
          <w:rStyle w:val="Allmrkuseviide"/>
          <w:sz w:val="18"/>
          <w:szCs w:val="18"/>
        </w:rPr>
        <w:footnoteRef/>
      </w:r>
      <w:r w:rsidRPr="00B845B0">
        <w:rPr>
          <w:sz w:val="18"/>
          <w:szCs w:val="18"/>
        </w:rPr>
        <w:t xml:space="preserve"> </w:t>
      </w:r>
      <w:r w:rsidRPr="00B845B0">
        <w:rPr>
          <w:sz w:val="18"/>
          <w:szCs w:val="18"/>
        </w:rPr>
        <w:t>„</w:t>
      </w:r>
      <w:r w:rsidRPr="00B845B0">
        <w:rPr>
          <w:i/>
          <w:iCs/>
          <w:sz w:val="18"/>
          <w:szCs w:val="18"/>
        </w:rPr>
        <w:t xml:space="preserve">BEREC </w:t>
      </w:r>
      <w:proofErr w:type="spellStart"/>
      <w:r w:rsidRPr="00B845B0">
        <w:rPr>
          <w:i/>
          <w:iCs/>
          <w:sz w:val="18"/>
          <w:szCs w:val="18"/>
        </w:rPr>
        <w:t>Guidelines</w:t>
      </w:r>
      <w:proofErr w:type="spellEnd"/>
      <w:r w:rsidRPr="00B845B0">
        <w:rPr>
          <w:i/>
          <w:iCs/>
          <w:sz w:val="18"/>
          <w:szCs w:val="18"/>
        </w:rPr>
        <w:t xml:space="preserve"> on </w:t>
      </w:r>
      <w:proofErr w:type="spellStart"/>
      <w:r w:rsidRPr="00B845B0">
        <w:rPr>
          <w:i/>
          <w:iCs/>
          <w:sz w:val="18"/>
          <w:szCs w:val="18"/>
        </w:rPr>
        <w:t>the</w:t>
      </w:r>
      <w:proofErr w:type="spellEnd"/>
      <w:r w:rsidRPr="00B845B0">
        <w:rPr>
          <w:i/>
          <w:iCs/>
          <w:sz w:val="18"/>
          <w:szCs w:val="18"/>
        </w:rPr>
        <w:t xml:space="preserve"> </w:t>
      </w:r>
      <w:proofErr w:type="spellStart"/>
      <w:r w:rsidRPr="00B845B0">
        <w:rPr>
          <w:i/>
          <w:iCs/>
          <w:sz w:val="18"/>
          <w:szCs w:val="18"/>
        </w:rPr>
        <w:t>minimum</w:t>
      </w:r>
      <w:proofErr w:type="spellEnd"/>
      <w:r w:rsidRPr="00B845B0">
        <w:rPr>
          <w:i/>
          <w:iCs/>
          <w:sz w:val="18"/>
          <w:szCs w:val="18"/>
        </w:rPr>
        <w:t xml:space="preserve"> </w:t>
      </w:r>
      <w:proofErr w:type="spellStart"/>
      <w:r w:rsidRPr="00B845B0">
        <w:rPr>
          <w:i/>
          <w:iCs/>
          <w:sz w:val="18"/>
          <w:szCs w:val="18"/>
        </w:rPr>
        <w:t>criteria</w:t>
      </w:r>
      <w:proofErr w:type="spellEnd"/>
      <w:r w:rsidRPr="00B845B0">
        <w:rPr>
          <w:i/>
          <w:iCs/>
          <w:sz w:val="18"/>
          <w:szCs w:val="18"/>
        </w:rPr>
        <w:t xml:space="preserve"> </w:t>
      </w:r>
      <w:proofErr w:type="spellStart"/>
      <w:r w:rsidRPr="00B845B0">
        <w:rPr>
          <w:i/>
          <w:iCs/>
          <w:sz w:val="18"/>
          <w:szCs w:val="18"/>
        </w:rPr>
        <w:t>for</w:t>
      </w:r>
      <w:proofErr w:type="spellEnd"/>
      <w:r w:rsidRPr="00B845B0">
        <w:rPr>
          <w:i/>
          <w:iCs/>
          <w:sz w:val="18"/>
          <w:szCs w:val="18"/>
        </w:rPr>
        <w:t xml:space="preserve"> a </w:t>
      </w:r>
      <w:proofErr w:type="spellStart"/>
      <w:r w:rsidRPr="00B845B0">
        <w:rPr>
          <w:i/>
          <w:iCs/>
          <w:sz w:val="18"/>
          <w:szCs w:val="18"/>
        </w:rPr>
        <w:t>reference</w:t>
      </w:r>
      <w:proofErr w:type="spellEnd"/>
      <w:r w:rsidRPr="00B845B0">
        <w:rPr>
          <w:i/>
          <w:iCs/>
          <w:sz w:val="18"/>
          <w:szCs w:val="18"/>
        </w:rPr>
        <w:t xml:space="preserve"> </w:t>
      </w:r>
      <w:proofErr w:type="spellStart"/>
      <w:r w:rsidRPr="00B845B0">
        <w:rPr>
          <w:i/>
          <w:iCs/>
          <w:sz w:val="18"/>
          <w:szCs w:val="18"/>
        </w:rPr>
        <w:t>offer</w:t>
      </w:r>
      <w:proofErr w:type="spellEnd"/>
      <w:r w:rsidRPr="00B845B0">
        <w:rPr>
          <w:i/>
          <w:iCs/>
          <w:sz w:val="18"/>
          <w:szCs w:val="18"/>
        </w:rPr>
        <w:t xml:space="preserve"> </w:t>
      </w:r>
      <w:proofErr w:type="spellStart"/>
      <w:r w:rsidRPr="00B845B0">
        <w:rPr>
          <w:i/>
          <w:iCs/>
          <w:sz w:val="18"/>
          <w:szCs w:val="18"/>
        </w:rPr>
        <w:t>relating</w:t>
      </w:r>
      <w:proofErr w:type="spellEnd"/>
      <w:r w:rsidRPr="00B845B0">
        <w:rPr>
          <w:i/>
          <w:iCs/>
          <w:sz w:val="18"/>
          <w:szCs w:val="18"/>
        </w:rPr>
        <w:t xml:space="preserve"> </w:t>
      </w:r>
      <w:proofErr w:type="spellStart"/>
      <w:r w:rsidRPr="00B845B0">
        <w:rPr>
          <w:i/>
          <w:iCs/>
          <w:sz w:val="18"/>
          <w:szCs w:val="18"/>
        </w:rPr>
        <w:t>to</w:t>
      </w:r>
      <w:proofErr w:type="spellEnd"/>
      <w:r w:rsidRPr="00B845B0">
        <w:rPr>
          <w:i/>
          <w:iCs/>
          <w:sz w:val="18"/>
          <w:szCs w:val="18"/>
        </w:rPr>
        <w:t xml:space="preserve"> </w:t>
      </w:r>
      <w:proofErr w:type="spellStart"/>
      <w:r w:rsidRPr="00B845B0">
        <w:rPr>
          <w:i/>
          <w:iCs/>
          <w:sz w:val="18"/>
          <w:szCs w:val="18"/>
        </w:rPr>
        <w:t>obligations</w:t>
      </w:r>
      <w:proofErr w:type="spellEnd"/>
      <w:r w:rsidRPr="00B845B0">
        <w:rPr>
          <w:i/>
          <w:iCs/>
          <w:sz w:val="18"/>
          <w:szCs w:val="18"/>
        </w:rPr>
        <w:t xml:space="preserve"> of </w:t>
      </w:r>
      <w:proofErr w:type="spellStart"/>
      <w:r w:rsidRPr="00B845B0">
        <w:rPr>
          <w:i/>
          <w:iCs/>
          <w:sz w:val="18"/>
          <w:szCs w:val="18"/>
        </w:rPr>
        <w:t>transparency</w:t>
      </w:r>
      <w:proofErr w:type="spellEnd"/>
      <w:r w:rsidRPr="00B845B0">
        <w:rPr>
          <w:sz w:val="18"/>
          <w:szCs w:val="18"/>
        </w:rPr>
        <w:t xml:space="preserve">“, viide allikale </w:t>
      </w:r>
      <w:hyperlink r:id="rId90" w:history="1">
        <w:r w:rsidRPr="00B845B0">
          <w:rPr>
            <w:rStyle w:val="Hperlink"/>
            <w:sz w:val="18"/>
            <w:szCs w:val="18"/>
          </w:rPr>
          <w:t>https://www.berec.europa.eu/en/document-categories/berec/regulatory-best-practices/guidelines/berec-guidelines-on-the-minimum-criteria-for-a-reference-offer-relating-to-obligations-of-transparency</w:t>
        </w:r>
      </w:hyperlink>
      <w:r w:rsidRPr="00B845B0">
        <w:rPr>
          <w:sz w:val="18"/>
          <w:szCs w:val="18"/>
        </w:rPr>
        <w:t xml:space="preserve"> </w:t>
      </w:r>
    </w:p>
  </w:footnote>
  <w:footnote w:id="209">
    <w:p w14:paraId="61CFE7CE" w14:textId="77777777" w:rsidR="00F03958" w:rsidRPr="00B845B0" w:rsidRDefault="00F03958" w:rsidP="00F03958">
      <w:pPr>
        <w:pStyle w:val="Allmrkusetekst"/>
        <w:rPr>
          <w:sz w:val="18"/>
          <w:szCs w:val="18"/>
        </w:rPr>
      </w:pPr>
      <w:r w:rsidRPr="00B845B0">
        <w:rPr>
          <w:rStyle w:val="Allmrkuseviide"/>
          <w:sz w:val="18"/>
          <w:szCs w:val="18"/>
        </w:rPr>
        <w:footnoteRef/>
      </w:r>
      <w:r w:rsidRPr="00B845B0">
        <w:rPr>
          <w:sz w:val="18"/>
          <w:szCs w:val="18"/>
        </w:rPr>
        <w:t xml:space="preserve">  </w:t>
      </w:r>
      <w:r w:rsidRPr="00B845B0">
        <w:rPr>
          <w:sz w:val="18"/>
          <w:szCs w:val="18"/>
        </w:rPr>
        <w:t xml:space="preserve">BEREC COMMON POSITION ON BEST PRACTICE IN REMEDIES ON THE MARKET FOR WHOLESALE BROADBAND ACCESS (INCLUDING BITSTREAM ACCESS) IMPOSED AS A CONSEQUENCE OF A POSITION OF SIGNIFICANT MARKET POWER IN THE RELEVANT MARKET, </w:t>
      </w:r>
      <w:proofErr w:type="spellStart"/>
      <w:r w:rsidRPr="00B845B0">
        <w:rPr>
          <w:sz w:val="18"/>
          <w:szCs w:val="18"/>
        </w:rPr>
        <w:t>BoR</w:t>
      </w:r>
      <w:proofErr w:type="spellEnd"/>
      <w:r w:rsidRPr="00B845B0">
        <w:rPr>
          <w:sz w:val="18"/>
          <w:szCs w:val="18"/>
        </w:rPr>
        <w:t xml:space="preserve"> (12) 128, viide allikale </w:t>
      </w:r>
      <w:hyperlink r:id="rId91" w:history="1">
        <w:r w:rsidRPr="00B845B0">
          <w:rPr>
            <w:rStyle w:val="Hperlink"/>
            <w:sz w:val="18"/>
            <w:szCs w:val="18"/>
          </w:rPr>
          <w:t>https://www.berec.europa.eu/en/document-categories/berec/regulatory-best-practices/common-approachespositions/revised-berec-common-position-on-best-practice-in-remedies-on-the-market-for-wholesale-broadband-access-including-bitstream-access-imposed-as-a-consequence-of-a-position-of</w:t>
        </w:r>
      </w:hyperlink>
    </w:p>
  </w:footnote>
  <w:footnote w:id="210">
    <w:p w14:paraId="7FFCAC96" w14:textId="77777777" w:rsidR="00F03958" w:rsidRPr="00B845B0" w:rsidRDefault="00F03958" w:rsidP="00F03958">
      <w:pPr>
        <w:pStyle w:val="Allmrkusetekst"/>
        <w:rPr>
          <w:sz w:val="18"/>
          <w:szCs w:val="18"/>
        </w:rPr>
      </w:pPr>
      <w:r w:rsidRPr="00B845B0">
        <w:rPr>
          <w:rStyle w:val="Allmrkuseviide"/>
          <w:sz w:val="18"/>
          <w:szCs w:val="18"/>
        </w:rPr>
        <w:footnoteRef/>
      </w:r>
      <w:r w:rsidRPr="00B845B0">
        <w:rPr>
          <w:sz w:val="18"/>
          <w:szCs w:val="18"/>
        </w:rPr>
        <w:t xml:space="preserve"> </w:t>
      </w:r>
      <w:r w:rsidRPr="00B845B0">
        <w:rPr>
          <w:sz w:val="18"/>
          <w:szCs w:val="18"/>
        </w:rPr>
        <w:t xml:space="preserve">Viide allikale: </w:t>
      </w:r>
      <w:hyperlink r:id="rId92" w:history="1">
        <w:r w:rsidRPr="00B845B0">
          <w:rPr>
            <w:rStyle w:val="Hperlink"/>
            <w:sz w:val="18"/>
            <w:szCs w:val="18"/>
          </w:rPr>
          <w:t>EUR-Lex - 32005H0698 - ET - EUR-Lex (europa.eu)</w:t>
        </w:r>
      </w:hyperlink>
      <w:r w:rsidRPr="00B845B0">
        <w:rPr>
          <w:sz w:val="18"/>
          <w:szCs w:val="18"/>
        </w:rPr>
        <w:t xml:space="preserve"> </w:t>
      </w:r>
    </w:p>
  </w:footnote>
  <w:footnote w:id="211">
    <w:p w14:paraId="6F6459F7" w14:textId="77777777" w:rsidR="00AC15CF" w:rsidRPr="00E32DE7" w:rsidRDefault="00AC15CF" w:rsidP="00AC15CF">
      <w:pPr>
        <w:rPr>
          <w:sz w:val="18"/>
          <w:szCs w:val="18"/>
        </w:rPr>
      </w:pPr>
      <w:r w:rsidRPr="00A15261">
        <w:rPr>
          <w:rStyle w:val="Allmrkuseviide"/>
          <w:sz w:val="20"/>
          <w:szCs w:val="20"/>
        </w:rPr>
        <w:footnoteRef/>
      </w:r>
      <w:r w:rsidRPr="00E32DE7">
        <w:rPr>
          <w:sz w:val="20"/>
          <w:szCs w:val="20"/>
        </w:rPr>
        <w:t xml:space="preserve"> </w:t>
      </w:r>
      <w:r w:rsidRPr="00E32DE7">
        <w:rPr>
          <w:sz w:val="18"/>
          <w:szCs w:val="18"/>
        </w:rPr>
        <w:t>TJA 16.06.17 otsus nr 1-10/17-227 „Kindlaksmääratud asukohas masstoodete keskse juurdepääsu hulgituru</w:t>
      </w:r>
    </w:p>
    <w:p w14:paraId="77DC4AEB" w14:textId="77777777" w:rsidR="00AC15CF" w:rsidRPr="006077AF" w:rsidRDefault="00AC15CF" w:rsidP="00AC15CF">
      <w:r w:rsidRPr="006077AF">
        <w:rPr>
          <w:sz w:val="18"/>
          <w:szCs w:val="18"/>
        </w:rPr>
        <w:t xml:space="preserve">piiritlemine, analüüs, märkimisväärse turujõuga ettevõtjaks tunnistamine ja kohustuste kehtestamine“ </w:t>
      </w:r>
      <w:hyperlink r:id="rId93" w:anchor="lairiba-juurdepaas-f" w:history="1">
        <w:r w:rsidRPr="006077AF">
          <w:rPr>
            <w:rStyle w:val="Hperlink"/>
            <w:sz w:val="18"/>
            <w:szCs w:val="18"/>
          </w:rPr>
          <w:t>https://www.ttja.ee/ariklient/side-ja-meediateenused/sideteenused/sideturg#lairiba-juurdepaas-f</w:t>
        </w:r>
      </w:hyperlink>
      <w:r w:rsidRPr="006077AF">
        <w:rPr>
          <w:sz w:val="18"/>
          <w:szCs w:val="18"/>
        </w:rPr>
        <w:t xml:space="preserve"> </w:t>
      </w:r>
      <w:r w:rsidRPr="006077AF">
        <w:t>.</w:t>
      </w:r>
    </w:p>
  </w:footnote>
  <w:footnote w:id="212">
    <w:p w14:paraId="420EBDFB" w14:textId="77777777" w:rsidR="00F03958" w:rsidRPr="006077AF" w:rsidRDefault="00F03958" w:rsidP="00F03958">
      <w:pPr>
        <w:rPr>
          <w:sz w:val="18"/>
          <w:szCs w:val="18"/>
        </w:rPr>
      </w:pPr>
      <w:r w:rsidRPr="00F44E20">
        <w:rPr>
          <w:rStyle w:val="Allmrkuseviide"/>
          <w:sz w:val="18"/>
          <w:szCs w:val="18"/>
        </w:rPr>
        <w:footnoteRef/>
      </w:r>
      <w:r w:rsidRPr="006077AF">
        <w:rPr>
          <w:sz w:val="18"/>
          <w:szCs w:val="18"/>
        </w:rPr>
        <w:t xml:space="preserve"> </w:t>
      </w:r>
      <w:r w:rsidRPr="006077AF">
        <w:rPr>
          <w:sz w:val="18"/>
          <w:szCs w:val="18"/>
        </w:rPr>
        <w:t xml:space="preserve">TTJA 15.03.2021 otsuse eelnõu  „Kindlaksmääratud asukohas masstoodete keskse juurdepääsu hulgituru piiritlemine, analüüs, märkimisväärse turujõuga ettevõtja tunnistamine ja kohutuste määramine“, viide allikale: </w:t>
      </w:r>
      <w:hyperlink r:id="rId94" w:history="1">
        <w:r w:rsidRPr="006077AF">
          <w:rPr>
            <w:rStyle w:val="Hperlink"/>
            <w:sz w:val="18"/>
            <w:szCs w:val="18"/>
          </w:rPr>
          <w:t>https://circabc.europa.eu/ui/group/2328c58f-1fed-4402-a6cc-0f0237699dc3/library/c565c8d6-d666-4981-b55d-fcaaaf533f65</w:t>
        </w:r>
      </w:hyperlink>
    </w:p>
  </w:footnote>
  <w:footnote w:id="213">
    <w:p w14:paraId="4A9B10BD" w14:textId="77777777" w:rsidR="00F03958" w:rsidRPr="00F44E20" w:rsidRDefault="00F03958" w:rsidP="00F03958">
      <w:pPr>
        <w:pStyle w:val="Allmrkusetekst"/>
        <w:rPr>
          <w:sz w:val="18"/>
          <w:szCs w:val="18"/>
        </w:rPr>
      </w:pPr>
      <w:r w:rsidRPr="00F44E20">
        <w:rPr>
          <w:rStyle w:val="Allmrkuseviide"/>
          <w:sz w:val="18"/>
          <w:szCs w:val="18"/>
        </w:rPr>
        <w:footnoteRef/>
      </w:r>
      <w:r w:rsidRPr="00F44E20">
        <w:rPr>
          <w:sz w:val="18"/>
          <w:szCs w:val="18"/>
        </w:rPr>
        <w:t xml:space="preserve"> </w:t>
      </w:r>
      <w:r w:rsidRPr="00F44E20">
        <w:rPr>
          <w:sz w:val="18"/>
          <w:szCs w:val="18"/>
        </w:rPr>
        <w:t>Eelkõige kahtles EK, kas</w:t>
      </w:r>
      <w:r>
        <w:rPr>
          <w:sz w:val="18"/>
          <w:szCs w:val="18"/>
        </w:rPr>
        <w:t xml:space="preserve"> internetiühenduste</w:t>
      </w:r>
      <w:r w:rsidRPr="00F44E20">
        <w:rPr>
          <w:sz w:val="18"/>
          <w:szCs w:val="18"/>
        </w:rPr>
        <w:t xml:space="preserve"> jaeturu konkurents on ühetaoline kogu Eesti ulatuses ja soovitas</w:t>
      </w:r>
      <w:r>
        <w:rPr>
          <w:sz w:val="18"/>
          <w:szCs w:val="18"/>
        </w:rPr>
        <w:t xml:space="preserve"> vastavat</w:t>
      </w:r>
      <w:r w:rsidRPr="00F44E20">
        <w:rPr>
          <w:sz w:val="18"/>
          <w:szCs w:val="18"/>
        </w:rPr>
        <w:t xml:space="preserve"> jaeturgu analüüsida veelgi väiksemate geograafiliste üksuste põhiselt ning eristada kõrge ja madala konkurentsiga piirkonnad.</w:t>
      </w:r>
    </w:p>
  </w:footnote>
  <w:footnote w:id="214">
    <w:p w14:paraId="39DDF23C" w14:textId="77777777" w:rsidR="00F03958" w:rsidRDefault="00F03958" w:rsidP="00F03958">
      <w:pPr>
        <w:pStyle w:val="Allmrkusetekst"/>
      </w:pPr>
      <w:r>
        <w:rPr>
          <w:rStyle w:val="Allmrkuseviide"/>
        </w:rPr>
        <w:footnoteRef/>
      </w:r>
      <w:r>
        <w:t xml:space="preserve"> </w:t>
      </w:r>
      <w:r>
        <w:t xml:space="preserve">Viide allikale: </w:t>
      </w:r>
      <w:hyperlink r:id="rId95" w:history="1">
        <w:r w:rsidRPr="009F266C">
          <w:rPr>
            <w:rStyle w:val="Hperlink"/>
          </w:rPr>
          <w:t>https://circabc.europa.eu/ui/group/2328c58f-1fed-4402-a6cc-0f0237699dc3/library/518fec54-048d-4e5c-894b-9811c782835b?p=1&amp;n=10&amp;sort=modified_DESC</w:t>
        </w:r>
      </w:hyperlink>
      <w:r>
        <w:t xml:space="preserve"> </w:t>
      </w:r>
    </w:p>
  </w:footnote>
  <w:footnote w:id="215">
    <w:p w14:paraId="12A2BDE4" w14:textId="77777777" w:rsidR="00F03958" w:rsidRDefault="00F03958" w:rsidP="00F03958">
      <w:pPr>
        <w:pStyle w:val="Allmrkusetekst"/>
      </w:pPr>
      <w:r>
        <w:rPr>
          <w:rStyle w:val="Allmrkuseviide"/>
        </w:rPr>
        <w:footnoteRef/>
      </w:r>
      <w:r>
        <w:t xml:space="preserve"> </w:t>
      </w:r>
      <w:r w:rsidRPr="00F14D85">
        <w:rPr>
          <w:rStyle w:val="Laad1Mrk"/>
          <w:rFonts w:eastAsia="Calibri"/>
        </w:rPr>
        <w:t xml:space="preserve">ESS § 50 lg 1 p 5  ja §-51 </w:t>
      </w:r>
      <w:r>
        <w:rPr>
          <w:rStyle w:val="Laad1Mrk"/>
          <w:rFonts w:eastAsia="Calibri"/>
        </w:rPr>
        <w:t>lg 1 p 2</w:t>
      </w:r>
    </w:p>
  </w:footnote>
  <w:footnote w:id="216">
    <w:p w14:paraId="085BA25B" w14:textId="77777777" w:rsidR="00F03958" w:rsidRDefault="00F03958" w:rsidP="00F03958">
      <w:pPr>
        <w:pStyle w:val="Allmrkusetekst"/>
      </w:pPr>
      <w:r>
        <w:rPr>
          <w:rStyle w:val="Allmrkuseviide"/>
        </w:rPr>
        <w:footnoteRef/>
      </w:r>
      <w:r>
        <w:t xml:space="preserve"> </w:t>
      </w:r>
      <w:r w:rsidRPr="00481C76">
        <w:rPr>
          <w:sz w:val="18"/>
        </w:rPr>
        <w:t>ESS § 50 lg 1 p 5  ja §-51 lg 1 p 1</w:t>
      </w:r>
    </w:p>
  </w:footnote>
  <w:footnote w:id="217">
    <w:p w14:paraId="3E703E52" w14:textId="77777777" w:rsidR="00F03958" w:rsidRDefault="00F03958" w:rsidP="00F03958">
      <w:pPr>
        <w:pStyle w:val="Allmrkusetekst"/>
      </w:pPr>
      <w:r>
        <w:rPr>
          <w:rStyle w:val="Allmrkuseviide"/>
        </w:rPr>
        <w:footnoteRef/>
      </w:r>
      <w:r>
        <w:t xml:space="preserve"> </w:t>
      </w:r>
      <w:r w:rsidRPr="00F14D85">
        <w:rPr>
          <w:rStyle w:val="Laad1Mrk"/>
          <w:rFonts w:eastAsia="Calibri"/>
        </w:rPr>
        <w:t xml:space="preserve">ESS § 50 lg 1 p 5  ja §-51 </w:t>
      </w:r>
      <w:r>
        <w:rPr>
          <w:rStyle w:val="Laad1Mrk"/>
          <w:rFonts w:eastAsia="Calibri"/>
        </w:rPr>
        <w:t>lg 1 p 5</w:t>
      </w:r>
    </w:p>
  </w:footnote>
  <w:footnote w:id="218">
    <w:p w14:paraId="7313B1A5" w14:textId="77777777" w:rsidR="00F03958" w:rsidRDefault="00F03958" w:rsidP="00F03958">
      <w:pPr>
        <w:pStyle w:val="Allmrkusetekst"/>
      </w:pPr>
      <w:r>
        <w:rPr>
          <w:rStyle w:val="Allmrkuseviide"/>
        </w:rPr>
        <w:footnoteRef/>
      </w:r>
      <w:r>
        <w:t xml:space="preserve"> </w:t>
      </w:r>
      <w:r w:rsidRPr="00F14D85">
        <w:rPr>
          <w:rStyle w:val="Laad1Mrk"/>
          <w:rFonts w:eastAsia="Calibri"/>
        </w:rPr>
        <w:t xml:space="preserve">ESS § 50 lg 1 p 5  ja §-51 </w:t>
      </w:r>
      <w:r>
        <w:rPr>
          <w:rStyle w:val="Laad1Mrk"/>
          <w:rFonts w:eastAsia="Calibri"/>
        </w:rPr>
        <w:t>lg 1 p 6</w:t>
      </w:r>
    </w:p>
  </w:footnote>
  <w:footnote w:id="219">
    <w:p w14:paraId="5592E952" w14:textId="77777777" w:rsidR="00F03958" w:rsidRDefault="00F03958" w:rsidP="00F03958">
      <w:pPr>
        <w:pStyle w:val="Allmrkusetekst"/>
      </w:pPr>
      <w:r>
        <w:rPr>
          <w:rStyle w:val="Allmrkuseviide"/>
        </w:rPr>
        <w:footnoteRef/>
      </w:r>
      <w:r>
        <w:t xml:space="preserve"> </w:t>
      </w:r>
      <w:r>
        <w:rPr>
          <w:rStyle w:val="Laad1Mrk"/>
          <w:rFonts w:eastAsia="Calibri"/>
        </w:rPr>
        <w:t xml:space="preserve">ESS § 50 lg 1 p 5  ja § </w:t>
      </w:r>
      <w:r w:rsidRPr="00F14D85">
        <w:rPr>
          <w:rStyle w:val="Laad1Mrk"/>
          <w:rFonts w:eastAsia="Calibri"/>
        </w:rPr>
        <w:t xml:space="preserve">51 </w:t>
      </w:r>
      <w:r>
        <w:rPr>
          <w:rStyle w:val="Laad1Mrk"/>
          <w:rFonts w:eastAsia="Calibri"/>
        </w:rPr>
        <w:t>lg 1 p 8</w:t>
      </w:r>
    </w:p>
  </w:footnote>
  <w:footnote w:id="220">
    <w:p w14:paraId="000DDBAA" w14:textId="77777777" w:rsidR="00F03958" w:rsidRPr="00E24B4E" w:rsidRDefault="00F03958" w:rsidP="00F03958">
      <w:pPr>
        <w:pStyle w:val="Allmrkusetekst"/>
        <w:rPr>
          <w:sz w:val="18"/>
          <w:szCs w:val="18"/>
        </w:rPr>
      </w:pPr>
      <w:r w:rsidRPr="00E24B4E">
        <w:rPr>
          <w:rStyle w:val="Allmrkuseviide"/>
          <w:sz w:val="18"/>
          <w:szCs w:val="18"/>
        </w:rPr>
        <w:footnoteRef/>
      </w:r>
      <w:r w:rsidRPr="00E24B4E">
        <w:rPr>
          <w:sz w:val="18"/>
          <w:szCs w:val="18"/>
        </w:rPr>
        <w:t xml:space="preserve"> </w:t>
      </w:r>
      <w:r w:rsidRPr="00E24B4E">
        <w:rPr>
          <w:sz w:val="18"/>
          <w:szCs w:val="18"/>
        </w:rPr>
        <w:t>ESS § 134 lõike 1 punktid 1 ja 2</w:t>
      </w:r>
    </w:p>
  </w:footnote>
  <w:footnote w:id="221">
    <w:p w14:paraId="2EB0B950" w14:textId="77777777" w:rsidR="00F03958" w:rsidRDefault="00F03958" w:rsidP="00F03958">
      <w:pPr>
        <w:pStyle w:val="Allmrkusetekst"/>
      </w:pPr>
      <w:r w:rsidRPr="00E24B4E">
        <w:rPr>
          <w:rStyle w:val="Allmrkuseviide"/>
          <w:sz w:val="18"/>
          <w:szCs w:val="18"/>
        </w:rPr>
        <w:footnoteRef/>
      </w:r>
      <w:r w:rsidRPr="00E24B4E">
        <w:rPr>
          <w:sz w:val="18"/>
          <w:szCs w:val="18"/>
        </w:rPr>
        <w:t xml:space="preserve"> </w:t>
      </w:r>
      <w:r w:rsidRPr="00E24B4E">
        <w:rPr>
          <w:sz w:val="18"/>
          <w:szCs w:val="18"/>
        </w:rPr>
        <w:t>ESS § 50 lõige 1 punkt  5</w:t>
      </w:r>
    </w:p>
  </w:footnote>
  <w:footnote w:id="222">
    <w:p w14:paraId="4CC20083" w14:textId="77777777" w:rsidR="00F03958" w:rsidRPr="00E24B4E" w:rsidRDefault="00F03958" w:rsidP="00F03958">
      <w:pPr>
        <w:pStyle w:val="Allmrkusetekst"/>
        <w:rPr>
          <w:sz w:val="18"/>
          <w:szCs w:val="18"/>
        </w:rPr>
      </w:pPr>
      <w:r w:rsidRPr="00E24B4E">
        <w:rPr>
          <w:rStyle w:val="Allmrkuseviide"/>
          <w:sz w:val="18"/>
          <w:szCs w:val="18"/>
        </w:rPr>
        <w:footnoteRef/>
      </w:r>
      <w:r w:rsidRPr="00E24B4E">
        <w:rPr>
          <w:sz w:val="18"/>
          <w:szCs w:val="18"/>
        </w:rPr>
        <w:t xml:space="preserve"> </w:t>
      </w:r>
      <w:r w:rsidRPr="00E24B4E">
        <w:rPr>
          <w:sz w:val="18"/>
          <w:szCs w:val="18"/>
        </w:rPr>
        <w:t>ESS § 51 lg 3</w:t>
      </w:r>
    </w:p>
  </w:footnote>
  <w:footnote w:id="223">
    <w:p w14:paraId="499A8FE2" w14:textId="77777777" w:rsidR="00F03958" w:rsidRPr="00F73FAF" w:rsidRDefault="00F03958" w:rsidP="00F03958">
      <w:pPr>
        <w:pStyle w:val="Allmrkusetekst"/>
        <w:rPr>
          <w:sz w:val="18"/>
          <w:szCs w:val="18"/>
        </w:rPr>
      </w:pPr>
      <w:r w:rsidRPr="00F73FAF">
        <w:rPr>
          <w:rStyle w:val="Allmrkuseviide"/>
          <w:sz w:val="18"/>
          <w:szCs w:val="18"/>
        </w:rPr>
        <w:footnoteRef/>
      </w:r>
      <w:r w:rsidRPr="00F73FAF">
        <w:rPr>
          <w:sz w:val="18"/>
          <w:szCs w:val="18"/>
        </w:rPr>
        <w:t xml:space="preserve"> </w:t>
      </w:r>
      <w:r w:rsidRPr="00F73FAF">
        <w:rPr>
          <w:sz w:val="18"/>
          <w:szCs w:val="18"/>
        </w:rPr>
        <w:t>ESS § 51 lg 1</w:t>
      </w:r>
      <w:r w:rsidRPr="00F73FAF">
        <w:rPr>
          <w:sz w:val="18"/>
          <w:szCs w:val="18"/>
          <w:vertAlign w:val="superscript"/>
        </w:rPr>
        <w:t>1</w:t>
      </w:r>
    </w:p>
  </w:footnote>
  <w:footnote w:id="224">
    <w:p w14:paraId="498EB954" w14:textId="77777777" w:rsidR="00F03958" w:rsidRPr="00F73FAF" w:rsidRDefault="00F03958" w:rsidP="00F03958">
      <w:pPr>
        <w:pStyle w:val="Allmrkusetekst"/>
        <w:rPr>
          <w:sz w:val="18"/>
          <w:szCs w:val="18"/>
        </w:rPr>
      </w:pPr>
      <w:r w:rsidRPr="00F73FAF">
        <w:rPr>
          <w:rStyle w:val="Allmrkuseviide"/>
          <w:sz w:val="18"/>
          <w:szCs w:val="18"/>
        </w:rPr>
        <w:footnoteRef/>
      </w:r>
      <w:r w:rsidRPr="00F73FAF">
        <w:rPr>
          <w:sz w:val="18"/>
          <w:szCs w:val="18"/>
        </w:rPr>
        <w:t xml:space="preserve"> </w:t>
      </w:r>
      <w:r w:rsidRPr="00F73FAF">
        <w:rPr>
          <w:sz w:val="18"/>
          <w:szCs w:val="18"/>
        </w:rPr>
        <w:t xml:space="preserve">ESS § 51 lg </w:t>
      </w:r>
      <w:r>
        <w:rPr>
          <w:sz w:val="18"/>
          <w:szCs w:val="18"/>
        </w:rPr>
        <w:t>2</w:t>
      </w:r>
    </w:p>
  </w:footnote>
  <w:footnote w:id="225">
    <w:p w14:paraId="03689865" w14:textId="77777777" w:rsidR="00F03958" w:rsidRPr="00E24B4E" w:rsidRDefault="00F03958" w:rsidP="00F03958">
      <w:pPr>
        <w:pStyle w:val="Allmrkusetekst"/>
        <w:rPr>
          <w:sz w:val="18"/>
          <w:szCs w:val="18"/>
        </w:rPr>
      </w:pPr>
      <w:r w:rsidRPr="00E24B4E">
        <w:rPr>
          <w:rStyle w:val="Allmrkuseviide"/>
          <w:sz w:val="18"/>
          <w:szCs w:val="18"/>
        </w:rPr>
        <w:footnoteRef/>
      </w:r>
      <w:r w:rsidRPr="00E24B4E">
        <w:rPr>
          <w:sz w:val="18"/>
          <w:szCs w:val="18"/>
        </w:rPr>
        <w:t xml:space="preserve"> </w:t>
      </w:r>
      <w:r w:rsidRPr="00E24B4E">
        <w:rPr>
          <w:sz w:val="18"/>
          <w:szCs w:val="18"/>
        </w:rPr>
        <w:t>ESS § 64 lg 1</w:t>
      </w:r>
    </w:p>
  </w:footnote>
  <w:footnote w:id="226">
    <w:p w14:paraId="5EAB1C1A" w14:textId="77777777" w:rsidR="00F03958" w:rsidRPr="00E24B4E" w:rsidRDefault="00F03958" w:rsidP="00F03958">
      <w:pPr>
        <w:pStyle w:val="Allmrkusetekst"/>
        <w:rPr>
          <w:sz w:val="18"/>
          <w:szCs w:val="18"/>
        </w:rPr>
      </w:pPr>
      <w:r w:rsidRPr="00E24B4E">
        <w:rPr>
          <w:rStyle w:val="Allmrkuseviide"/>
          <w:sz w:val="18"/>
          <w:szCs w:val="18"/>
        </w:rPr>
        <w:footnoteRef/>
      </w:r>
      <w:r w:rsidRPr="00E24B4E">
        <w:rPr>
          <w:sz w:val="18"/>
          <w:szCs w:val="18"/>
        </w:rPr>
        <w:t xml:space="preserve"> </w:t>
      </w:r>
      <w:r w:rsidRPr="00E24B4E">
        <w:rPr>
          <w:sz w:val="18"/>
          <w:szCs w:val="18"/>
        </w:rPr>
        <w:t>ESS § 64 lg 2</w:t>
      </w:r>
    </w:p>
  </w:footnote>
  <w:footnote w:id="227">
    <w:p w14:paraId="6562013D" w14:textId="77777777" w:rsidR="00F03958" w:rsidRPr="00F61F8C" w:rsidRDefault="00F03958" w:rsidP="00F03958">
      <w:pPr>
        <w:pStyle w:val="Allmrkusetekst"/>
      </w:pPr>
      <w:r w:rsidRPr="00F61F8C">
        <w:rPr>
          <w:rStyle w:val="Allmrkuseviide"/>
        </w:rPr>
        <w:footnoteRef/>
      </w:r>
      <w:r w:rsidRPr="00F61F8C">
        <w:t xml:space="preserve"> </w:t>
      </w:r>
      <w:r w:rsidRPr="00E04CD4">
        <w:t xml:space="preserve">BEREC COMMON POSITION ON BEST PRACTICE IN REMEDIES ON THE MARKET FOR WHOLESALE BROADBAND ACCESS (INCLUDING BITSTREAM ACCESS) IMPOSED AS A CONSEQUENCE OF A POSITION OF SIGNIFICANT MARKET POWER IN THE RELEVANT MARKET, </w:t>
      </w:r>
      <w:proofErr w:type="spellStart"/>
      <w:r w:rsidRPr="00E04CD4">
        <w:t>BoR</w:t>
      </w:r>
      <w:proofErr w:type="spellEnd"/>
      <w:r w:rsidRPr="00E04CD4">
        <w:t xml:space="preserve"> (12) 128, viide allikale </w:t>
      </w:r>
      <w:hyperlink r:id="rId96" w:history="1">
        <w:r w:rsidRPr="00801C7A">
          <w:rPr>
            <w:rStyle w:val="Hperlink"/>
          </w:rPr>
          <w:t>https://www.berec.europa.eu/en/document-categories/berec/regulatory-best-practices/common-approachespositions/revised-berec-common-position-on-best-practice-in-remedies-on-the-market-for-wholesale-broadband-access-including-bitstream-access-imposed-as-a-consequence-of-a-position-of</w:t>
        </w:r>
      </w:hyperlink>
      <w:r>
        <w:t xml:space="preserve"> </w:t>
      </w:r>
    </w:p>
  </w:footnote>
  <w:footnote w:id="228">
    <w:p w14:paraId="7BD65B4C" w14:textId="77777777" w:rsidR="00F03958" w:rsidRPr="00DC7443" w:rsidRDefault="00F03958" w:rsidP="00F03958">
      <w:pPr>
        <w:pStyle w:val="Allmrkusetekst"/>
        <w:rPr>
          <w:sz w:val="18"/>
          <w:szCs w:val="18"/>
        </w:rPr>
      </w:pPr>
      <w:r w:rsidRPr="00DC7443">
        <w:rPr>
          <w:rStyle w:val="Allmrkuseviide"/>
          <w:sz w:val="18"/>
          <w:szCs w:val="18"/>
        </w:rPr>
        <w:footnoteRef/>
      </w:r>
      <w:r w:rsidRPr="00DC7443">
        <w:rPr>
          <w:sz w:val="18"/>
          <w:szCs w:val="18"/>
        </w:rPr>
        <w:t xml:space="preserve"> </w:t>
      </w:r>
      <w:r w:rsidRPr="00DC7443">
        <w:rPr>
          <w:sz w:val="18"/>
          <w:szCs w:val="18"/>
        </w:rPr>
        <w:t>Otsuse eelnõule eelnenud turuanalüüsi küsimustiku vastustes ja vastava otsuse kavandi riigisisese konsultatsiooni vastustes</w:t>
      </w:r>
    </w:p>
  </w:footnote>
  <w:footnote w:id="229">
    <w:p w14:paraId="69796027" w14:textId="77777777" w:rsidR="00F03958" w:rsidRPr="00F61F8C" w:rsidRDefault="00F03958" w:rsidP="00F03958">
      <w:pPr>
        <w:pStyle w:val="Allmrkusetekst"/>
      </w:pPr>
      <w:r w:rsidRPr="00F61F8C">
        <w:rPr>
          <w:rStyle w:val="Allmrkuseviide"/>
        </w:rPr>
        <w:footnoteRef/>
      </w:r>
      <w:r w:rsidRPr="00F61F8C">
        <w:t xml:space="preserve"> </w:t>
      </w:r>
      <w:r w:rsidRPr="00F61F8C">
        <w:t>ESS § 50 lõige 1 ja 2</w:t>
      </w:r>
    </w:p>
  </w:footnote>
  <w:footnote w:id="230">
    <w:p w14:paraId="706AA795" w14:textId="77777777" w:rsidR="00F03958" w:rsidRPr="00F61F8C" w:rsidRDefault="00F03958" w:rsidP="00F03958">
      <w:pPr>
        <w:pStyle w:val="Allmrkusetekst"/>
      </w:pPr>
      <w:r w:rsidRPr="00F61F8C">
        <w:rPr>
          <w:rStyle w:val="Allmrkuseviide"/>
        </w:rPr>
        <w:footnoteRef/>
      </w:r>
      <w:r w:rsidRPr="00F61F8C">
        <w:t xml:space="preserve"> </w:t>
      </w:r>
      <w:r w:rsidRPr="00F61F8C">
        <w:t>ESS § 50 lõige 3</w:t>
      </w:r>
    </w:p>
  </w:footnote>
  <w:footnote w:id="231">
    <w:p w14:paraId="46AC0327" w14:textId="77777777" w:rsidR="00F03958" w:rsidRDefault="00F03958" w:rsidP="00F03958">
      <w:pPr>
        <w:pStyle w:val="Allmrkusetekst"/>
      </w:pPr>
      <w:r w:rsidRPr="00F61F8C">
        <w:rPr>
          <w:rStyle w:val="Allmrkuseviide"/>
        </w:rPr>
        <w:footnoteRef/>
      </w:r>
      <w:r w:rsidRPr="00F61F8C">
        <w:t xml:space="preserve"> </w:t>
      </w:r>
      <w:r w:rsidRPr="00F61F8C">
        <w:t>ESS § 50 lõige 4 ja 7</w:t>
      </w:r>
    </w:p>
  </w:footnote>
  <w:footnote w:id="232">
    <w:p w14:paraId="5001CB1B" w14:textId="77777777" w:rsidR="00F03958" w:rsidRPr="00430ADA" w:rsidRDefault="00F03958" w:rsidP="00F03958">
      <w:pPr>
        <w:pStyle w:val="Allmrkusetekst"/>
      </w:pPr>
      <w:r w:rsidRPr="00430ADA">
        <w:rPr>
          <w:rStyle w:val="Allmrkuseviide"/>
        </w:rPr>
        <w:footnoteRef/>
      </w:r>
      <w:r w:rsidRPr="00430ADA">
        <w:t xml:space="preserve"> </w:t>
      </w:r>
      <w:r w:rsidRPr="00430ADA">
        <w:rPr>
          <w:rStyle w:val="Laad1Mrk"/>
          <w:rFonts w:eastAsia="Calibri"/>
        </w:rPr>
        <w:t>ESS § 50 lg 1 p 5  ja §-51 lg 1 p 2 ja § 51 lg 3 ja § 64 lg 1</w:t>
      </w:r>
    </w:p>
  </w:footnote>
  <w:footnote w:id="233">
    <w:p w14:paraId="6FD99FC6" w14:textId="77777777" w:rsidR="00F03958" w:rsidRDefault="00F03958" w:rsidP="00F03958">
      <w:pPr>
        <w:pStyle w:val="Allmrkusetekst"/>
      </w:pPr>
      <w:r>
        <w:rPr>
          <w:rStyle w:val="Allmrkuseviide"/>
        </w:rPr>
        <w:footnoteRef/>
      </w:r>
      <w:r>
        <w:t xml:space="preserve"> </w:t>
      </w:r>
      <w:r w:rsidRPr="00481C76">
        <w:rPr>
          <w:sz w:val="18"/>
        </w:rPr>
        <w:t>ESS § 50 lg 1 p 5  ja §-51 lg 1 p 1</w:t>
      </w:r>
    </w:p>
  </w:footnote>
  <w:footnote w:id="234">
    <w:p w14:paraId="0AD36E63" w14:textId="77777777" w:rsidR="00F03958" w:rsidRDefault="00F03958" w:rsidP="00F03958">
      <w:pPr>
        <w:pStyle w:val="Allmrkusetekst"/>
      </w:pPr>
      <w:r>
        <w:rPr>
          <w:rStyle w:val="Allmrkuseviide"/>
        </w:rPr>
        <w:footnoteRef/>
      </w:r>
      <w:r>
        <w:t xml:space="preserve"> </w:t>
      </w:r>
      <w:r w:rsidRPr="00F14D85">
        <w:rPr>
          <w:rStyle w:val="Laad1Mrk"/>
          <w:rFonts w:eastAsia="Calibri"/>
        </w:rPr>
        <w:t xml:space="preserve">ESS § 50 lg 1 p 5  ja §-51 </w:t>
      </w:r>
      <w:r>
        <w:rPr>
          <w:rStyle w:val="Laad1Mrk"/>
          <w:rFonts w:eastAsia="Calibri"/>
        </w:rPr>
        <w:t>lg 1 p 5</w:t>
      </w:r>
    </w:p>
  </w:footnote>
  <w:footnote w:id="235">
    <w:p w14:paraId="4FB7144A" w14:textId="77777777" w:rsidR="009805E1" w:rsidRPr="00BB754D" w:rsidRDefault="009805E1" w:rsidP="009805E1">
      <w:pPr>
        <w:pStyle w:val="Allmrkusetekst"/>
        <w:rPr>
          <w:sz w:val="18"/>
          <w:szCs w:val="18"/>
        </w:rPr>
      </w:pPr>
      <w:r w:rsidRPr="00BB754D">
        <w:rPr>
          <w:rStyle w:val="Allmrkuseviide"/>
          <w:sz w:val="18"/>
          <w:szCs w:val="18"/>
        </w:rPr>
        <w:footnoteRef/>
      </w:r>
      <w:r w:rsidRPr="00BB754D">
        <w:rPr>
          <w:sz w:val="18"/>
          <w:szCs w:val="18"/>
        </w:rPr>
        <w:t xml:space="preserve"> </w:t>
      </w:r>
      <w:r w:rsidRPr="00BB754D">
        <w:rPr>
          <w:sz w:val="18"/>
          <w:szCs w:val="18"/>
        </w:rPr>
        <w:t xml:space="preserve">Euroopa sidekoodeksi (EL 2018/1972) preambuli punkti 184 </w:t>
      </w:r>
      <w:hyperlink r:id="rId97" w:history="1">
        <w:r w:rsidRPr="00BB754D">
          <w:rPr>
            <w:rStyle w:val="Hperlink"/>
            <w:sz w:val="18"/>
            <w:szCs w:val="18"/>
          </w:rPr>
          <w:t>https://eur-lex.europa.eu/legal-content/EN-ET/TXT/?from=EN&amp;uri=CELEX%3A32018L1972</w:t>
        </w:r>
      </w:hyperlink>
      <w:r w:rsidRPr="00BB754D">
        <w:rPr>
          <w:sz w:val="18"/>
          <w:szCs w:val="18"/>
        </w:rPr>
        <w:t xml:space="preserve">  ja ESS § 134 lõige 1  </w:t>
      </w:r>
    </w:p>
  </w:footnote>
  <w:footnote w:id="236">
    <w:p w14:paraId="3D923D0A" w14:textId="77777777" w:rsidR="009805E1" w:rsidRPr="00BB754D" w:rsidRDefault="009805E1" w:rsidP="009805E1">
      <w:pPr>
        <w:pStyle w:val="Allmrkusetekst"/>
        <w:rPr>
          <w:sz w:val="18"/>
          <w:szCs w:val="18"/>
        </w:rPr>
      </w:pPr>
      <w:r w:rsidRPr="00BB754D">
        <w:rPr>
          <w:rStyle w:val="Allmrkuseviide"/>
          <w:sz w:val="18"/>
          <w:szCs w:val="18"/>
        </w:rPr>
        <w:footnoteRef/>
      </w:r>
      <w:r w:rsidRPr="00BB754D">
        <w:rPr>
          <w:sz w:val="18"/>
          <w:szCs w:val="18"/>
        </w:rPr>
        <w:t xml:space="preserve"> </w:t>
      </w:r>
      <w:r w:rsidRPr="00BB754D">
        <w:rPr>
          <w:sz w:val="18"/>
          <w:szCs w:val="18"/>
        </w:rPr>
        <w:t>ESS § 50 lõige 1 punkt 3</w:t>
      </w:r>
    </w:p>
  </w:footnote>
  <w:footnote w:id="237">
    <w:p w14:paraId="39723F21" w14:textId="77777777" w:rsidR="00F03958" w:rsidRPr="00BB754D" w:rsidRDefault="00F03958" w:rsidP="00F03958">
      <w:pPr>
        <w:pStyle w:val="Allmrkusetekst"/>
        <w:rPr>
          <w:sz w:val="18"/>
          <w:szCs w:val="18"/>
        </w:rPr>
      </w:pPr>
      <w:r w:rsidRPr="00BB754D">
        <w:rPr>
          <w:rStyle w:val="Allmrkuseviide"/>
          <w:sz w:val="18"/>
          <w:szCs w:val="18"/>
        </w:rPr>
        <w:footnoteRef/>
      </w:r>
      <w:r w:rsidRPr="00BB754D">
        <w:rPr>
          <w:sz w:val="18"/>
          <w:szCs w:val="18"/>
        </w:rPr>
        <w:t xml:space="preserve"> </w:t>
      </w:r>
      <w:r w:rsidRPr="00BB754D">
        <w:rPr>
          <w:sz w:val="18"/>
          <w:szCs w:val="18"/>
        </w:rPr>
        <w:t xml:space="preserve">Viide allikale: </w:t>
      </w:r>
      <w:hyperlink r:id="rId98" w:history="1">
        <w:r w:rsidRPr="00156F01">
          <w:rPr>
            <w:rStyle w:val="Hperlink"/>
            <w:sz w:val="18"/>
            <w:szCs w:val="18"/>
          </w:rPr>
          <w:t>https://www.berec.europa.eu/en/document-categories/berec/regulatory-best-practices/common-approachespositions/revised-berec-common-position-on-best-practice-in-remedies-on-the-market-for-wholesale-broadband-access-including-bitstream-access-imposed-as-a-consequence-of-a-position-of</w:t>
        </w:r>
      </w:hyperlink>
      <w:r>
        <w:rPr>
          <w:sz w:val="18"/>
          <w:szCs w:val="18"/>
        </w:rPr>
        <w:t xml:space="preserve"> </w:t>
      </w:r>
    </w:p>
  </w:footnote>
  <w:footnote w:id="238">
    <w:p w14:paraId="6EEC9DF7" w14:textId="77777777" w:rsidR="00F03958" w:rsidRPr="00B4113E" w:rsidRDefault="00F03958" w:rsidP="00F03958">
      <w:pPr>
        <w:pStyle w:val="Allmrkusetekst"/>
      </w:pPr>
      <w:r w:rsidRPr="00B4113E">
        <w:rPr>
          <w:rStyle w:val="Allmrkuseviide"/>
        </w:rPr>
        <w:footnoteRef/>
      </w:r>
      <w:r w:rsidRPr="00B4113E">
        <w:t xml:space="preserve"> </w:t>
      </w:r>
      <w:r w:rsidRPr="00B4113E">
        <w:t xml:space="preserve">ESS § 50 lg 5 </w:t>
      </w:r>
    </w:p>
  </w:footnote>
  <w:footnote w:id="239">
    <w:p w14:paraId="067509CA" w14:textId="77777777" w:rsidR="00F03958" w:rsidRPr="00B4113E" w:rsidRDefault="00F03958" w:rsidP="00F03958">
      <w:pPr>
        <w:pStyle w:val="Allmrkusetekst"/>
      </w:pPr>
      <w:r w:rsidRPr="00B4113E">
        <w:rPr>
          <w:rStyle w:val="Allmrkuseviide"/>
        </w:rPr>
        <w:footnoteRef/>
      </w:r>
      <w:r w:rsidRPr="00B4113E">
        <w:t xml:space="preserve"> </w:t>
      </w:r>
      <w:r w:rsidRPr="00B4113E">
        <w:t>ESS § 50 lg 1 ja 2</w:t>
      </w:r>
    </w:p>
  </w:footnote>
  <w:footnote w:id="240">
    <w:p w14:paraId="53054400" w14:textId="77777777" w:rsidR="00F03958" w:rsidRPr="00B4113E" w:rsidRDefault="00F03958" w:rsidP="00F03958">
      <w:pPr>
        <w:pStyle w:val="Allmrkusetekst"/>
      </w:pPr>
      <w:r w:rsidRPr="00B4113E">
        <w:rPr>
          <w:rStyle w:val="Allmrkuseviide"/>
        </w:rPr>
        <w:footnoteRef/>
      </w:r>
      <w:r w:rsidRPr="00B4113E">
        <w:t xml:space="preserve"> </w:t>
      </w:r>
      <w:r w:rsidRPr="00B4113E">
        <w:t>ESS § 50 lg 4 ja 7</w:t>
      </w:r>
    </w:p>
  </w:footnote>
  <w:footnote w:id="241">
    <w:p w14:paraId="0C0EA7FE" w14:textId="77777777" w:rsidR="00F03958" w:rsidRDefault="00F03958" w:rsidP="00F03958">
      <w:pPr>
        <w:pStyle w:val="Allmrkusetekst"/>
      </w:pPr>
      <w:r>
        <w:rPr>
          <w:rStyle w:val="Allmrkuseviide"/>
        </w:rPr>
        <w:footnoteRef/>
      </w:r>
      <w:r>
        <w:t xml:space="preserve"> </w:t>
      </w:r>
      <w:r>
        <w:t xml:space="preserve">Lairibaressursiteenuse 3.0 teenusetingimused: </w:t>
      </w:r>
      <w:hyperlink r:id="rId99" w:history="1">
        <w:r w:rsidRPr="006B7F96">
          <w:rPr>
            <w:rStyle w:val="Hperlink"/>
          </w:rPr>
          <w:t>https://www.telia.ee/images/documents/tt/est/tt-lairibaressurss-3-0.pdf</w:t>
        </w:r>
      </w:hyperlink>
      <w:r>
        <w:t xml:space="preserve"> </w:t>
      </w:r>
    </w:p>
  </w:footnote>
  <w:footnote w:id="242">
    <w:p w14:paraId="294F75A5" w14:textId="77777777" w:rsidR="00F03958" w:rsidRDefault="00F03958" w:rsidP="00F03958">
      <w:pPr>
        <w:pStyle w:val="Allmrkusetekst"/>
      </w:pPr>
      <w:r>
        <w:rPr>
          <w:rStyle w:val="Allmrkuseviide"/>
        </w:rPr>
        <w:footnoteRef/>
      </w:r>
      <w:r>
        <w:t xml:space="preserve"> </w:t>
      </w:r>
      <w:r w:rsidRPr="00C2189B">
        <w:rPr>
          <w:rStyle w:val="Laad1Mrk"/>
          <w:rFonts w:eastAsia="Calibri"/>
        </w:rPr>
        <w:t>ESS § 50 lg 1 p 1</w:t>
      </w:r>
    </w:p>
  </w:footnote>
  <w:footnote w:id="243">
    <w:p w14:paraId="68610186" w14:textId="77777777" w:rsidR="00F03958" w:rsidRDefault="00F03958" w:rsidP="00F03958">
      <w:pPr>
        <w:pStyle w:val="Allmrkusetekst"/>
      </w:pPr>
      <w:r>
        <w:rPr>
          <w:rStyle w:val="Allmrkuseviide"/>
        </w:rPr>
        <w:footnoteRef/>
      </w:r>
      <w:r>
        <w:t xml:space="preserve"> </w:t>
      </w:r>
      <w:r w:rsidRPr="00C2189B">
        <w:rPr>
          <w:rStyle w:val="Laad1Mrk"/>
          <w:rFonts w:eastAsia="Calibri"/>
        </w:rPr>
        <w:t>ESS § 50 lg 1 p 1 ja p 3</w:t>
      </w:r>
    </w:p>
  </w:footnote>
  <w:footnote w:id="244">
    <w:p w14:paraId="6C844F90" w14:textId="77777777" w:rsidR="00F03958" w:rsidRDefault="00F03958" w:rsidP="00F03958">
      <w:pPr>
        <w:pStyle w:val="Allmrkusetekst"/>
      </w:pPr>
      <w:r>
        <w:rPr>
          <w:rStyle w:val="Allmrkuseviide"/>
        </w:rPr>
        <w:footnoteRef/>
      </w:r>
      <w:r>
        <w:t xml:space="preserve"> </w:t>
      </w:r>
      <w:r w:rsidRPr="00C2189B">
        <w:rPr>
          <w:rStyle w:val="Laad1Mrk"/>
          <w:rFonts w:eastAsia="Calibri"/>
        </w:rPr>
        <w:t>ESS § 50 lg 1 p 2</w:t>
      </w:r>
    </w:p>
  </w:footnote>
  <w:footnote w:id="245">
    <w:p w14:paraId="2AED3802" w14:textId="77777777" w:rsidR="00F03958" w:rsidRDefault="00F03958" w:rsidP="00F03958">
      <w:pPr>
        <w:pStyle w:val="Allmrkusetekst"/>
      </w:pPr>
      <w:r>
        <w:rPr>
          <w:rStyle w:val="Allmrkuseviide"/>
        </w:rPr>
        <w:footnoteRef/>
      </w:r>
      <w:r>
        <w:t xml:space="preserve"> </w:t>
      </w:r>
      <w:r w:rsidRPr="00C2189B">
        <w:rPr>
          <w:rStyle w:val="Laad1Mrk"/>
          <w:rFonts w:eastAsia="Calibri"/>
        </w:rPr>
        <w:t>ESS § 50 lg 1 p 2</w:t>
      </w:r>
    </w:p>
  </w:footnote>
  <w:footnote w:id="246">
    <w:p w14:paraId="698A5F65" w14:textId="77777777" w:rsidR="00F03958" w:rsidRPr="007F6D16" w:rsidRDefault="00F03958" w:rsidP="00F03958">
      <w:pPr>
        <w:pStyle w:val="Allmrkusetekst"/>
        <w:rPr>
          <w:sz w:val="18"/>
          <w:szCs w:val="18"/>
        </w:rPr>
      </w:pPr>
      <w:r w:rsidRPr="007F6D16">
        <w:rPr>
          <w:rStyle w:val="Allmrkuseviide"/>
          <w:sz w:val="18"/>
          <w:szCs w:val="18"/>
        </w:rPr>
        <w:footnoteRef/>
      </w:r>
      <w:r w:rsidRPr="007F6D16">
        <w:rPr>
          <w:sz w:val="18"/>
          <w:szCs w:val="18"/>
        </w:rPr>
        <w:t xml:space="preserve"> </w:t>
      </w:r>
      <w:r w:rsidRPr="007F6D16">
        <w:rPr>
          <w:sz w:val="18"/>
          <w:szCs w:val="18"/>
        </w:rPr>
        <w:t xml:space="preserve">Euroopa sidekoodeksi (EL 2018/1972) preambuli punkti 182 </w:t>
      </w:r>
      <w:hyperlink r:id="rId100" w:history="1">
        <w:r w:rsidRPr="007F6D16">
          <w:rPr>
            <w:rStyle w:val="Hperlink"/>
            <w:sz w:val="18"/>
            <w:szCs w:val="18"/>
          </w:rPr>
          <w:t>https://eur-lex.europa.eu/legal-content/EN-ET/TXT/?from=EN&amp;uri=CELEX%3A32018L1972</w:t>
        </w:r>
      </w:hyperlink>
      <w:r w:rsidRPr="007F6D16">
        <w:rPr>
          <w:sz w:val="18"/>
          <w:szCs w:val="18"/>
        </w:rPr>
        <w:t xml:space="preserve">  </w:t>
      </w:r>
    </w:p>
  </w:footnote>
  <w:footnote w:id="247">
    <w:p w14:paraId="7C7A8825" w14:textId="77777777" w:rsidR="00F03958" w:rsidRPr="007F6D16" w:rsidRDefault="00F03958" w:rsidP="00F03958">
      <w:pPr>
        <w:pStyle w:val="Allmrkusetekst"/>
        <w:rPr>
          <w:sz w:val="18"/>
          <w:szCs w:val="18"/>
        </w:rPr>
      </w:pPr>
      <w:r w:rsidRPr="007F6D16">
        <w:rPr>
          <w:rStyle w:val="Allmrkuseviide"/>
          <w:sz w:val="18"/>
          <w:szCs w:val="18"/>
        </w:rPr>
        <w:footnoteRef/>
      </w:r>
      <w:r w:rsidRPr="007F6D16">
        <w:rPr>
          <w:sz w:val="18"/>
          <w:szCs w:val="18"/>
        </w:rPr>
        <w:t xml:space="preserve"> </w:t>
      </w:r>
      <w:r w:rsidRPr="007F6D16">
        <w:rPr>
          <w:sz w:val="18"/>
          <w:szCs w:val="18"/>
        </w:rPr>
        <w:t>ESS § 50 lõige 1 punkt 1</w:t>
      </w:r>
    </w:p>
  </w:footnote>
  <w:footnote w:id="248">
    <w:p w14:paraId="03C5E736" w14:textId="77777777" w:rsidR="00F03958" w:rsidRDefault="00F03958" w:rsidP="00F03958">
      <w:pPr>
        <w:pStyle w:val="Allmrkusetekst"/>
      </w:pPr>
      <w:r w:rsidRPr="007F6D16">
        <w:rPr>
          <w:rStyle w:val="Allmrkuseviide"/>
          <w:sz w:val="18"/>
          <w:szCs w:val="18"/>
        </w:rPr>
        <w:footnoteRef/>
      </w:r>
      <w:r w:rsidRPr="007F6D16">
        <w:rPr>
          <w:sz w:val="18"/>
          <w:szCs w:val="18"/>
        </w:rPr>
        <w:t xml:space="preserve"> </w:t>
      </w:r>
      <w:r w:rsidRPr="007F6D16">
        <w:rPr>
          <w:sz w:val="18"/>
          <w:szCs w:val="18"/>
        </w:rPr>
        <w:t>ESS § 50 lõige 1 punkt 2</w:t>
      </w:r>
    </w:p>
  </w:footnote>
  <w:footnote w:id="249">
    <w:p w14:paraId="5A43A828" w14:textId="77777777" w:rsidR="00F03958" w:rsidRPr="00362D58" w:rsidRDefault="00F03958" w:rsidP="00F03958">
      <w:pPr>
        <w:pStyle w:val="Allmrkusetekst"/>
        <w:rPr>
          <w:sz w:val="18"/>
          <w:szCs w:val="18"/>
        </w:rPr>
      </w:pPr>
      <w:r w:rsidRPr="00264A47">
        <w:rPr>
          <w:rStyle w:val="Allmrkuseviide"/>
          <w:sz w:val="18"/>
          <w:szCs w:val="18"/>
        </w:rPr>
        <w:footnoteRef/>
      </w:r>
      <w:r w:rsidRPr="00264A47">
        <w:rPr>
          <w:sz w:val="18"/>
          <w:szCs w:val="18"/>
        </w:rPr>
        <w:t xml:space="preserve"> </w:t>
      </w:r>
      <w:r w:rsidRPr="00264A47">
        <w:rPr>
          <w:sz w:val="18"/>
          <w:szCs w:val="18"/>
        </w:rPr>
        <w:t xml:space="preserve">vt peatükid </w:t>
      </w:r>
      <w:r w:rsidRPr="00264A47">
        <w:rPr>
          <w:sz w:val="18"/>
          <w:szCs w:val="18"/>
        </w:rPr>
        <w:fldChar w:fldCharType="begin"/>
      </w:r>
      <w:r w:rsidRPr="00264A47">
        <w:rPr>
          <w:sz w:val="18"/>
          <w:szCs w:val="18"/>
        </w:rPr>
        <w:instrText xml:space="preserve"> REF _Ref465421348 \h  \* MERGEFORMAT </w:instrText>
      </w:r>
      <w:r w:rsidRPr="00264A47">
        <w:rPr>
          <w:sz w:val="18"/>
          <w:szCs w:val="18"/>
        </w:rPr>
      </w:r>
      <w:r w:rsidRPr="00264A47">
        <w:rPr>
          <w:sz w:val="18"/>
          <w:szCs w:val="18"/>
        </w:rPr>
        <w:fldChar w:fldCharType="separate"/>
      </w:r>
      <w:r w:rsidRPr="00264A47">
        <w:rPr>
          <w:sz w:val="18"/>
          <w:szCs w:val="18"/>
        </w:rPr>
        <w:t>2.2. Juurdepääsuga seotud konkurentsiprobleemid</w:t>
      </w:r>
      <w:r w:rsidRPr="00264A47">
        <w:rPr>
          <w:sz w:val="18"/>
          <w:szCs w:val="18"/>
        </w:rPr>
        <w:fldChar w:fldCharType="end"/>
      </w:r>
      <w:r w:rsidRPr="00264A47">
        <w:rPr>
          <w:sz w:val="18"/>
          <w:szCs w:val="18"/>
        </w:rPr>
        <w:t xml:space="preserve">“, </w:t>
      </w:r>
      <w:r w:rsidRPr="00264A47">
        <w:rPr>
          <w:sz w:val="18"/>
          <w:szCs w:val="18"/>
        </w:rPr>
        <w:fldChar w:fldCharType="begin"/>
      </w:r>
      <w:r w:rsidRPr="00264A47">
        <w:rPr>
          <w:sz w:val="18"/>
          <w:szCs w:val="18"/>
        </w:rPr>
        <w:instrText xml:space="preserve"> REF _Ref465421365 \h  \* MERGEFORMAT </w:instrText>
      </w:r>
      <w:r w:rsidRPr="00264A47">
        <w:rPr>
          <w:sz w:val="18"/>
          <w:szCs w:val="18"/>
        </w:rPr>
      </w:r>
      <w:r w:rsidRPr="00264A47">
        <w:rPr>
          <w:sz w:val="18"/>
          <w:szCs w:val="18"/>
        </w:rPr>
        <w:fldChar w:fldCharType="separate"/>
      </w:r>
      <w:r w:rsidRPr="00264A47">
        <w:rPr>
          <w:sz w:val="18"/>
          <w:szCs w:val="18"/>
        </w:rPr>
        <w:t>3.2. Diskrimineerimisega seotud konkurentsiprobleemid</w:t>
      </w:r>
      <w:r w:rsidRPr="00264A47">
        <w:rPr>
          <w:sz w:val="18"/>
          <w:szCs w:val="18"/>
        </w:rPr>
        <w:fldChar w:fldCharType="end"/>
      </w:r>
      <w:r w:rsidRPr="00264A47">
        <w:rPr>
          <w:sz w:val="18"/>
          <w:szCs w:val="18"/>
        </w:rPr>
        <w:t xml:space="preserve">“, </w:t>
      </w:r>
      <w:r w:rsidRPr="00264A47">
        <w:rPr>
          <w:sz w:val="18"/>
          <w:szCs w:val="18"/>
        </w:rPr>
        <w:fldChar w:fldCharType="begin"/>
      </w:r>
      <w:r w:rsidRPr="00264A47">
        <w:rPr>
          <w:sz w:val="18"/>
          <w:szCs w:val="18"/>
        </w:rPr>
        <w:instrText xml:space="preserve"> REF _Ref465421375 \h  \* MERGEFORMAT </w:instrText>
      </w:r>
      <w:r w:rsidRPr="00264A47">
        <w:rPr>
          <w:sz w:val="18"/>
          <w:szCs w:val="18"/>
        </w:rPr>
      </w:r>
      <w:r w:rsidRPr="00264A47">
        <w:rPr>
          <w:sz w:val="18"/>
          <w:szCs w:val="18"/>
        </w:rPr>
        <w:fldChar w:fldCharType="separate"/>
      </w:r>
      <w:r w:rsidRPr="00264A47">
        <w:rPr>
          <w:sz w:val="18"/>
          <w:szCs w:val="18"/>
        </w:rPr>
        <w:t>5.2. Hinnaga seotud konkurentsiprobleemid ja hindade analüüs</w:t>
      </w:r>
      <w:r w:rsidRPr="00264A47">
        <w:rPr>
          <w:sz w:val="18"/>
          <w:szCs w:val="18"/>
        </w:rPr>
        <w:fldChar w:fldCharType="end"/>
      </w:r>
      <w:r w:rsidRPr="00264A47">
        <w:rPr>
          <w:sz w:val="18"/>
          <w:szCs w:val="18"/>
        </w:rPr>
        <w:t>“</w:t>
      </w:r>
    </w:p>
  </w:footnote>
  <w:footnote w:id="250">
    <w:p w14:paraId="7096E071" w14:textId="77777777" w:rsidR="00F03958" w:rsidRPr="00A919B7" w:rsidRDefault="00F03958" w:rsidP="00F03958">
      <w:pPr>
        <w:pStyle w:val="Allmrkusetekst"/>
        <w:rPr>
          <w:sz w:val="18"/>
          <w:szCs w:val="18"/>
        </w:rPr>
      </w:pPr>
      <w:r w:rsidRPr="00A919B7">
        <w:rPr>
          <w:rStyle w:val="Allmrkuseviide"/>
          <w:sz w:val="18"/>
          <w:szCs w:val="18"/>
        </w:rPr>
        <w:footnoteRef/>
      </w:r>
      <w:r w:rsidRPr="00A919B7">
        <w:rPr>
          <w:sz w:val="18"/>
          <w:szCs w:val="18"/>
        </w:rPr>
        <w:t xml:space="preserve"> </w:t>
      </w:r>
      <w:r w:rsidRPr="00A919B7">
        <w:rPr>
          <w:sz w:val="18"/>
          <w:szCs w:val="18"/>
        </w:rPr>
        <w:t xml:space="preserve">Viide allikale: </w:t>
      </w:r>
      <w:hyperlink r:id="rId101" w:history="1">
        <w:r w:rsidRPr="00156F01">
          <w:rPr>
            <w:rStyle w:val="Hperlink"/>
            <w:sz w:val="18"/>
            <w:szCs w:val="18"/>
          </w:rPr>
          <w:t>https://www.berec.europa.eu/en/document-categories/berec/regulatory-best-practices/common-approachespositions/revised-berec-common-position-on-best-practice-in-remedies-on-the-market-for-wholesale-broadband-access-including-bitstream-access-imposed-as-a-consequence-of-a-position-of</w:t>
        </w:r>
      </w:hyperlink>
      <w:r>
        <w:rPr>
          <w:sz w:val="18"/>
          <w:szCs w:val="18"/>
        </w:rPr>
        <w:t xml:space="preserve"> </w:t>
      </w:r>
    </w:p>
  </w:footnote>
  <w:footnote w:id="251">
    <w:p w14:paraId="672D4E0D" w14:textId="77777777" w:rsidR="00F03958" w:rsidRDefault="00F03958" w:rsidP="00F03958">
      <w:pPr>
        <w:pStyle w:val="Allmrkusetekst"/>
      </w:pPr>
      <w:r>
        <w:rPr>
          <w:rStyle w:val="Allmrkuseviide"/>
        </w:rPr>
        <w:footnoteRef/>
      </w:r>
      <w:r>
        <w:t xml:space="preserve"> </w:t>
      </w:r>
      <w:r>
        <w:t>ESS § 50 lg 3</w:t>
      </w:r>
    </w:p>
  </w:footnote>
  <w:footnote w:id="252">
    <w:p w14:paraId="5018446E" w14:textId="77777777" w:rsidR="00F03958" w:rsidRPr="00634D43" w:rsidRDefault="00F03958" w:rsidP="00F03958">
      <w:pPr>
        <w:pStyle w:val="Allmrkusetekst"/>
        <w:rPr>
          <w:rStyle w:val="Laad1Mrk"/>
          <w:rFonts w:eastAsia="Calibri"/>
        </w:rPr>
      </w:pPr>
      <w:r w:rsidRPr="00634D43">
        <w:rPr>
          <w:rStyle w:val="Laad1Mrk"/>
          <w:rFonts w:eastAsia="Calibri"/>
        </w:rPr>
        <w:footnoteRef/>
      </w:r>
      <w:r w:rsidRPr="00634D43">
        <w:rPr>
          <w:rStyle w:val="Laad1Mrk"/>
          <w:rFonts w:eastAsia="Calibri"/>
        </w:rPr>
        <w:t xml:space="preserve"> </w:t>
      </w:r>
      <w:r w:rsidRPr="00634D43">
        <w:rPr>
          <w:rStyle w:val="Laad1Mrk"/>
          <w:rFonts w:eastAsia="Calibri"/>
        </w:rPr>
        <w:t>ESS § 50 lg 4, 5 ja 7</w:t>
      </w:r>
    </w:p>
  </w:footnote>
  <w:footnote w:id="253">
    <w:p w14:paraId="4E060587" w14:textId="77777777" w:rsidR="00F03958" w:rsidRDefault="00F03958" w:rsidP="00F03958">
      <w:pPr>
        <w:pStyle w:val="Allmrkusetekst"/>
      </w:pPr>
      <w:r>
        <w:rPr>
          <w:rStyle w:val="Allmrkuseviide"/>
        </w:rPr>
        <w:footnoteRef/>
      </w:r>
      <w:r>
        <w:t xml:space="preserve"> </w:t>
      </w:r>
      <w:r w:rsidRPr="00C2189B">
        <w:t>ESS § 50 lg 1 p 1</w:t>
      </w:r>
    </w:p>
  </w:footnote>
  <w:footnote w:id="254">
    <w:p w14:paraId="580EF684" w14:textId="77777777" w:rsidR="00F03958" w:rsidRDefault="00F03958" w:rsidP="00F03958">
      <w:pPr>
        <w:pStyle w:val="Allmrkusetekst"/>
      </w:pPr>
      <w:r>
        <w:rPr>
          <w:rStyle w:val="Allmrkuseviide"/>
        </w:rPr>
        <w:footnoteRef/>
      </w:r>
      <w:r>
        <w:t xml:space="preserve"> </w:t>
      </w:r>
      <w:r w:rsidRPr="00C2189B">
        <w:t>ESS § 50 lg 1 p 1 ja p 3</w:t>
      </w:r>
    </w:p>
  </w:footnote>
  <w:footnote w:id="255">
    <w:p w14:paraId="51140410" w14:textId="77777777" w:rsidR="00F03958" w:rsidRDefault="00F03958" w:rsidP="00F03958">
      <w:pPr>
        <w:pStyle w:val="Allmrkusetekst"/>
      </w:pPr>
      <w:r>
        <w:rPr>
          <w:rStyle w:val="Allmrkuseviide"/>
        </w:rPr>
        <w:footnoteRef/>
      </w:r>
      <w:r>
        <w:t xml:space="preserve"> </w:t>
      </w:r>
      <w:r w:rsidRPr="00C2189B">
        <w:t>ESS § 50 lg 1 p 2</w:t>
      </w:r>
    </w:p>
  </w:footnote>
  <w:footnote w:id="256">
    <w:p w14:paraId="1F83D608" w14:textId="77777777" w:rsidR="00F03958" w:rsidRPr="00E80A68" w:rsidRDefault="00F03958" w:rsidP="00F03958">
      <w:pPr>
        <w:pStyle w:val="Allmrkusetekst"/>
      </w:pPr>
      <w:r w:rsidRPr="00E80A68">
        <w:rPr>
          <w:rStyle w:val="Allmrkuseviide"/>
        </w:rPr>
        <w:footnoteRef/>
      </w:r>
      <w:r w:rsidRPr="00E80A68">
        <w:t xml:space="preserve"> </w:t>
      </w:r>
      <w:r w:rsidRPr="00E80A68">
        <w:t>ESS §53 lg 4</w:t>
      </w:r>
    </w:p>
  </w:footnote>
  <w:footnote w:id="257">
    <w:p w14:paraId="3E16B0C1" w14:textId="77777777" w:rsidR="0012062C" w:rsidRDefault="0012062C" w:rsidP="0012062C">
      <w:pPr>
        <w:pStyle w:val="Allmrkusetekst"/>
      </w:pPr>
      <w:r>
        <w:rPr>
          <w:rStyle w:val="Allmrkuseviide"/>
        </w:rPr>
        <w:footnoteRef/>
      </w:r>
      <w:r>
        <w:t xml:space="preserve"> </w:t>
      </w:r>
      <w:r>
        <w:t>ESS §53 lg 6</w:t>
      </w:r>
    </w:p>
  </w:footnote>
  <w:footnote w:id="258">
    <w:p w14:paraId="1FB6AE20" w14:textId="77777777" w:rsidR="00F03958" w:rsidRPr="00E80A68" w:rsidRDefault="00F03958" w:rsidP="00F03958">
      <w:pPr>
        <w:pStyle w:val="Allmrkusetekst"/>
      </w:pPr>
      <w:r w:rsidRPr="00E80A68">
        <w:rPr>
          <w:rStyle w:val="Allmrkuseviide"/>
        </w:rPr>
        <w:footnoteRef/>
      </w:r>
      <w:r w:rsidRPr="00E80A68">
        <w:t xml:space="preserve"> </w:t>
      </w:r>
      <w:r w:rsidRPr="00E80A68">
        <w:t>ESS § 53 lg 3</w:t>
      </w:r>
    </w:p>
  </w:footnote>
  <w:footnote w:id="259">
    <w:p w14:paraId="3E42C476" w14:textId="77777777" w:rsidR="00F03958" w:rsidRPr="00E80A68" w:rsidRDefault="00F03958" w:rsidP="00F03958">
      <w:pPr>
        <w:pStyle w:val="Allmrkusetekst"/>
      </w:pPr>
      <w:r w:rsidRPr="00E80A68">
        <w:rPr>
          <w:rStyle w:val="Allmrkuseviide"/>
        </w:rPr>
        <w:footnoteRef/>
      </w:r>
      <w:r w:rsidRPr="00E80A68">
        <w:t xml:space="preserve"> </w:t>
      </w:r>
      <w:r w:rsidRPr="00E80A68">
        <w:t>ESS §53 lg 5</w:t>
      </w:r>
    </w:p>
  </w:footnote>
  <w:footnote w:id="260">
    <w:p w14:paraId="202B3FED" w14:textId="77777777" w:rsidR="00215CA5" w:rsidRPr="00AF7918" w:rsidRDefault="00215CA5" w:rsidP="00215CA5">
      <w:pPr>
        <w:pStyle w:val="Allmrkusetekst"/>
        <w:rPr>
          <w:sz w:val="18"/>
          <w:szCs w:val="18"/>
        </w:rPr>
      </w:pPr>
      <w:r w:rsidRPr="00AF7918">
        <w:rPr>
          <w:rStyle w:val="Allmrkuseviide"/>
          <w:sz w:val="18"/>
          <w:szCs w:val="18"/>
        </w:rPr>
        <w:footnoteRef/>
      </w:r>
      <w:r w:rsidRPr="00AF7918">
        <w:rPr>
          <w:sz w:val="18"/>
          <w:szCs w:val="18"/>
        </w:rPr>
        <w:t xml:space="preserve"> </w:t>
      </w:r>
      <w:r w:rsidRPr="00AF7918">
        <w:rPr>
          <w:sz w:val="18"/>
          <w:szCs w:val="18"/>
        </w:rPr>
        <w:t>ESS § 134 lõige 1</w:t>
      </w:r>
    </w:p>
  </w:footnote>
  <w:footnote w:id="261">
    <w:p w14:paraId="364027E9" w14:textId="77777777" w:rsidR="00215CA5" w:rsidRPr="00AF7918" w:rsidRDefault="00215CA5" w:rsidP="00215CA5">
      <w:pPr>
        <w:pStyle w:val="Allmrkusetekst"/>
        <w:rPr>
          <w:sz w:val="18"/>
          <w:szCs w:val="18"/>
        </w:rPr>
      </w:pPr>
      <w:r w:rsidRPr="00AF7918">
        <w:rPr>
          <w:rStyle w:val="Allmrkuseviide"/>
          <w:sz w:val="18"/>
          <w:szCs w:val="18"/>
        </w:rPr>
        <w:footnoteRef/>
      </w:r>
      <w:r w:rsidRPr="00AF7918">
        <w:rPr>
          <w:sz w:val="18"/>
          <w:szCs w:val="18"/>
        </w:rPr>
        <w:t xml:space="preserve"> </w:t>
      </w:r>
      <w:r w:rsidRPr="00AF7918">
        <w:rPr>
          <w:sz w:val="18"/>
          <w:szCs w:val="18"/>
        </w:rPr>
        <w:t>ESS § 134 lõige 2</w:t>
      </w:r>
    </w:p>
  </w:footnote>
  <w:footnote w:id="262">
    <w:p w14:paraId="5647F40E" w14:textId="77777777" w:rsidR="00215CA5" w:rsidRPr="00AF7918" w:rsidRDefault="00215CA5" w:rsidP="00215CA5">
      <w:pPr>
        <w:pStyle w:val="Allmrkusetekst"/>
        <w:rPr>
          <w:sz w:val="18"/>
          <w:szCs w:val="18"/>
        </w:rPr>
      </w:pPr>
      <w:r w:rsidRPr="00AF7918">
        <w:rPr>
          <w:rStyle w:val="Allmrkuseviide"/>
          <w:sz w:val="18"/>
          <w:szCs w:val="18"/>
        </w:rPr>
        <w:footnoteRef/>
      </w:r>
      <w:r w:rsidRPr="00AF7918">
        <w:rPr>
          <w:rStyle w:val="Allmrkuseviide"/>
          <w:sz w:val="18"/>
          <w:szCs w:val="18"/>
        </w:rPr>
        <w:t xml:space="preserve"> </w:t>
      </w:r>
      <w:r w:rsidRPr="00AF7918">
        <w:rPr>
          <w:sz w:val="18"/>
          <w:szCs w:val="18"/>
        </w:rPr>
        <w:t>ESS § 50 lõige 4</w:t>
      </w:r>
    </w:p>
  </w:footnote>
  <w:footnote w:id="263">
    <w:p w14:paraId="216A91D5" w14:textId="77777777" w:rsidR="00215CA5" w:rsidRDefault="00215CA5" w:rsidP="00215CA5">
      <w:pPr>
        <w:pStyle w:val="Allmrkusetekst"/>
      </w:pPr>
      <w:r w:rsidRPr="00AF7918">
        <w:rPr>
          <w:rStyle w:val="Allmrkuseviide"/>
          <w:sz w:val="18"/>
          <w:szCs w:val="18"/>
        </w:rPr>
        <w:footnoteRef/>
      </w:r>
      <w:r w:rsidRPr="00AF7918">
        <w:rPr>
          <w:sz w:val="18"/>
          <w:szCs w:val="18"/>
        </w:rPr>
        <w:t xml:space="preserve"> </w:t>
      </w:r>
      <w:r w:rsidRPr="00AF7918">
        <w:rPr>
          <w:sz w:val="18"/>
          <w:szCs w:val="18"/>
        </w:rPr>
        <w:t xml:space="preserve">Euroopa sidekoodeksi preambul p 186, </w:t>
      </w:r>
      <w:hyperlink r:id="rId102" w:history="1">
        <w:r w:rsidRPr="00AF7918">
          <w:rPr>
            <w:rStyle w:val="Hperlink"/>
            <w:sz w:val="18"/>
            <w:szCs w:val="18"/>
          </w:rPr>
          <w:t>https://eur-lex.europa.eu/legal-content/EN-ET/TXT/?from=EN&amp;uri=CELEX%3A32018L1972</w:t>
        </w:r>
      </w:hyperlink>
    </w:p>
  </w:footnote>
  <w:footnote w:id="264">
    <w:p w14:paraId="10695C91" w14:textId="77777777" w:rsidR="00215CA5" w:rsidRPr="00AF7918" w:rsidRDefault="00215CA5" w:rsidP="00215CA5">
      <w:pPr>
        <w:pStyle w:val="Allmrkusetekst"/>
        <w:rPr>
          <w:sz w:val="18"/>
          <w:szCs w:val="18"/>
        </w:rPr>
      </w:pPr>
      <w:r w:rsidRPr="00AF7918">
        <w:rPr>
          <w:rStyle w:val="Allmrkuseviide"/>
          <w:sz w:val="18"/>
          <w:szCs w:val="18"/>
        </w:rPr>
        <w:footnoteRef/>
      </w:r>
      <w:r w:rsidRPr="00AF7918">
        <w:rPr>
          <w:sz w:val="18"/>
          <w:szCs w:val="18"/>
        </w:rPr>
        <w:t xml:space="preserve"> </w:t>
      </w:r>
      <w:r w:rsidRPr="00AF7918">
        <w:rPr>
          <w:sz w:val="18"/>
          <w:szCs w:val="18"/>
        </w:rPr>
        <w:t>ESS § 50 lõige 1 punkt 7</w:t>
      </w:r>
    </w:p>
  </w:footnote>
  <w:footnote w:id="265">
    <w:p w14:paraId="3510E564" w14:textId="77777777" w:rsidR="00215CA5" w:rsidRPr="00AF7918" w:rsidRDefault="00215CA5" w:rsidP="00215CA5">
      <w:pPr>
        <w:pStyle w:val="Allmrkusetekst"/>
        <w:rPr>
          <w:sz w:val="18"/>
          <w:szCs w:val="18"/>
        </w:rPr>
      </w:pPr>
      <w:r w:rsidRPr="00AF7918">
        <w:rPr>
          <w:rStyle w:val="Allmrkuseviide"/>
          <w:sz w:val="18"/>
          <w:szCs w:val="18"/>
        </w:rPr>
        <w:footnoteRef/>
      </w:r>
      <w:r w:rsidRPr="00AF7918">
        <w:rPr>
          <w:sz w:val="18"/>
          <w:szCs w:val="18"/>
        </w:rPr>
        <w:t xml:space="preserve"> </w:t>
      </w:r>
      <w:r w:rsidRPr="00AF7918">
        <w:rPr>
          <w:sz w:val="18"/>
          <w:szCs w:val="18"/>
        </w:rPr>
        <w:t>ESS § 52 lõige 1</w:t>
      </w:r>
    </w:p>
  </w:footnote>
  <w:footnote w:id="266">
    <w:p w14:paraId="643D0870" w14:textId="77777777" w:rsidR="00215CA5" w:rsidRPr="00AF7918" w:rsidRDefault="00215CA5" w:rsidP="00215CA5">
      <w:pPr>
        <w:pStyle w:val="Allmrkusetekst"/>
        <w:rPr>
          <w:sz w:val="18"/>
          <w:szCs w:val="18"/>
        </w:rPr>
      </w:pPr>
      <w:r w:rsidRPr="00AF7918">
        <w:rPr>
          <w:rStyle w:val="Allmrkuseviide"/>
          <w:sz w:val="18"/>
          <w:szCs w:val="18"/>
        </w:rPr>
        <w:footnoteRef/>
      </w:r>
      <w:r w:rsidRPr="00AF7918">
        <w:rPr>
          <w:sz w:val="18"/>
          <w:szCs w:val="18"/>
        </w:rPr>
        <w:t xml:space="preserve"> </w:t>
      </w:r>
      <w:r w:rsidRPr="00AF7918">
        <w:rPr>
          <w:sz w:val="18"/>
          <w:szCs w:val="18"/>
        </w:rPr>
        <w:t>ESS § 52 lõige 2</w:t>
      </w:r>
    </w:p>
  </w:footnote>
  <w:footnote w:id="267">
    <w:p w14:paraId="1479AC19" w14:textId="77777777" w:rsidR="00215CA5" w:rsidRPr="000D640B" w:rsidRDefault="00215CA5" w:rsidP="00215CA5">
      <w:pPr>
        <w:rPr>
          <w:sz w:val="18"/>
          <w:szCs w:val="18"/>
          <w:lang w:val="fr-FR"/>
        </w:rPr>
      </w:pPr>
      <w:r w:rsidRPr="00AF7918">
        <w:rPr>
          <w:rStyle w:val="Allmrkuseviide"/>
          <w:sz w:val="18"/>
          <w:szCs w:val="18"/>
        </w:rPr>
        <w:footnoteRef/>
      </w:r>
      <w:r w:rsidRPr="000D640B">
        <w:rPr>
          <w:sz w:val="18"/>
          <w:szCs w:val="18"/>
          <w:lang w:val="fr-FR"/>
        </w:rPr>
        <w:t xml:space="preserve"> </w:t>
      </w:r>
      <w:r w:rsidRPr="000D640B">
        <w:rPr>
          <w:sz w:val="18"/>
          <w:szCs w:val="18"/>
          <w:lang w:val="fr-FR"/>
        </w:rPr>
        <w:t>ESS § 46 lõige 2</w:t>
      </w:r>
    </w:p>
  </w:footnote>
  <w:footnote w:id="268">
    <w:p w14:paraId="1ACBF4C8" w14:textId="77777777" w:rsidR="00215CA5" w:rsidRDefault="00215CA5" w:rsidP="00215CA5">
      <w:pPr>
        <w:pStyle w:val="Allmrkusetekst"/>
      </w:pPr>
      <w:r>
        <w:rPr>
          <w:rStyle w:val="Allmrkuseviide"/>
        </w:rPr>
        <w:footnoteRef/>
      </w:r>
      <w:r>
        <w:t xml:space="preserve"> </w:t>
      </w:r>
      <w:r>
        <w:t xml:space="preserve">ˇViide allikale: </w:t>
      </w:r>
      <w:hyperlink r:id="rId103" w:history="1">
        <w:r w:rsidRPr="00117D5A">
          <w:rPr>
            <w:rStyle w:val="Hperlink"/>
          </w:rPr>
          <w:t>https://eur-lex.europa.eu/eli/reco/2024/539</w:t>
        </w:r>
      </w:hyperlink>
      <w:r>
        <w:t xml:space="preserve">  </w:t>
      </w:r>
    </w:p>
  </w:footnote>
  <w:footnote w:id="269">
    <w:p w14:paraId="1D7A4AE4" w14:textId="77777777" w:rsidR="00215CA5" w:rsidRDefault="00215CA5" w:rsidP="00215CA5">
      <w:pPr>
        <w:pStyle w:val="Allmrkusetekst"/>
      </w:pPr>
      <w:r>
        <w:rPr>
          <w:rStyle w:val="Allmrkuseviide"/>
        </w:rPr>
        <w:footnoteRef/>
      </w:r>
      <w:r>
        <w:t xml:space="preserve"> </w:t>
      </w:r>
      <w:r>
        <w:t xml:space="preserve">COMMISSION STAFF WORKING DOCUMENT EXPLANATORY NOTE </w:t>
      </w:r>
      <w:proofErr w:type="spellStart"/>
      <w:r>
        <w:t>Accompanying</w:t>
      </w:r>
      <w:proofErr w:type="spellEnd"/>
      <w:r>
        <w:t xml:space="preserve"> </w:t>
      </w:r>
      <w:proofErr w:type="spellStart"/>
      <w:r>
        <w:t>the</w:t>
      </w:r>
      <w:proofErr w:type="spellEnd"/>
      <w:r>
        <w:t xml:space="preserve"> </w:t>
      </w:r>
      <w:proofErr w:type="spellStart"/>
      <w:r>
        <w:t>document</w:t>
      </w:r>
      <w:proofErr w:type="spellEnd"/>
      <w:r>
        <w:t xml:space="preserve"> </w:t>
      </w:r>
      <w:proofErr w:type="spellStart"/>
      <w:r>
        <w:t>Commission</w:t>
      </w:r>
      <w:proofErr w:type="spellEnd"/>
      <w:r>
        <w:t xml:space="preserve"> </w:t>
      </w:r>
      <w:proofErr w:type="spellStart"/>
      <w:r>
        <w:t>Recommendation</w:t>
      </w:r>
      <w:proofErr w:type="spellEnd"/>
      <w:r>
        <w:t xml:space="preserve"> On </w:t>
      </w:r>
      <w:proofErr w:type="spellStart"/>
      <w:r>
        <w:t>the</w:t>
      </w:r>
      <w:proofErr w:type="spellEnd"/>
      <w:r>
        <w:t xml:space="preserve"> </w:t>
      </w:r>
      <w:proofErr w:type="spellStart"/>
      <w:r>
        <w:t>regulatory</w:t>
      </w:r>
      <w:proofErr w:type="spellEnd"/>
      <w:r>
        <w:t xml:space="preserve"> </w:t>
      </w:r>
      <w:proofErr w:type="spellStart"/>
      <w:r>
        <w:t>promotion</w:t>
      </w:r>
      <w:proofErr w:type="spellEnd"/>
      <w:r>
        <w:t xml:space="preserve"> of </w:t>
      </w:r>
      <w:proofErr w:type="spellStart"/>
      <w:r>
        <w:t>Gigabit</w:t>
      </w:r>
      <w:proofErr w:type="spellEnd"/>
      <w:r>
        <w:t xml:space="preserve"> </w:t>
      </w:r>
      <w:proofErr w:type="spellStart"/>
      <w:r>
        <w:t>connectivity</w:t>
      </w:r>
      <w:proofErr w:type="spellEnd"/>
      <w:r>
        <w:t xml:space="preserve">, vt </w:t>
      </w:r>
      <w:hyperlink r:id="rId104" w:history="1">
        <w:r w:rsidRPr="00117D5A">
          <w:rPr>
            <w:rStyle w:val="Hperlink"/>
          </w:rPr>
          <w:t>https://ec.europa.eu/newsroom/dae/redirection/document/93964</w:t>
        </w:r>
      </w:hyperlink>
      <w:r>
        <w:t xml:space="preserve"> </w:t>
      </w:r>
    </w:p>
  </w:footnote>
  <w:footnote w:id="270">
    <w:p w14:paraId="7797C313" w14:textId="77777777" w:rsidR="00215CA5" w:rsidRPr="00AF7918" w:rsidRDefault="00215CA5" w:rsidP="00215CA5">
      <w:pPr>
        <w:pStyle w:val="Allmrkusetekst"/>
        <w:rPr>
          <w:sz w:val="18"/>
          <w:szCs w:val="18"/>
        </w:rPr>
      </w:pPr>
      <w:r w:rsidRPr="00AF7918">
        <w:rPr>
          <w:rStyle w:val="Allmrkuseviide"/>
          <w:sz w:val="18"/>
          <w:szCs w:val="18"/>
        </w:rPr>
        <w:footnoteRef/>
      </w:r>
      <w:r w:rsidRPr="00AF7918">
        <w:rPr>
          <w:sz w:val="18"/>
          <w:szCs w:val="18"/>
        </w:rPr>
        <w:t xml:space="preserve"> </w:t>
      </w:r>
      <w:r w:rsidRPr="00AF7918">
        <w:rPr>
          <w:sz w:val="18"/>
          <w:szCs w:val="18"/>
        </w:rPr>
        <w:t>„</w:t>
      </w:r>
      <w:r w:rsidRPr="001B46E3">
        <w:rPr>
          <w:i/>
          <w:iCs/>
          <w:sz w:val="18"/>
          <w:szCs w:val="18"/>
        </w:rPr>
        <w:t>REVISED BEREC COMMON POSITION ON BEST PRACTICE IN REMEDIES ON THE MARKET FOR WHOLESALE BROADBAND ACCESS (INCLUDING BITSTREAM ACCESS) IMPOSED AS A CONSEQUENCE OF A POSITION OF SIGNIFICANT MARKET POWER IN THE RELEVANT MARKET</w:t>
      </w:r>
      <w:r w:rsidRPr="00AF7918">
        <w:rPr>
          <w:sz w:val="18"/>
          <w:szCs w:val="18"/>
        </w:rPr>
        <w:t xml:space="preserve">, viide allikale: </w:t>
      </w:r>
      <w:r w:rsidRPr="00A919B7">
        <w:rPr>
          <w:sz w:val="18"/>
          <w:szCs w:val="18"/>
        </w:rPr>
        <w:t xml:space="preserve">Viide allikale: </w:t>
      </w:r>
      <w:hyperlink r:id="rId105" w:history="1">
        <w:r w:rsidRPr="00156F01">
          <w:rPr>
            <w:rStyle w:val="Hperlink"/>
            <w:sz w:val="18"/>
            <w:szCs w:val="18"/>
          </w:rPr>
          <w:t>https://www.berec.europa.eu/en/document-categories/berec/regulatory-best-practices/common-approachespositions/revised-berec-common-position-on-best-practice-in-remedies-on-the-market-for-wholesale-broadband-access-including-bitstream-access-imposed-as-a-consequence-of-a-position-of</w:t>
        </w:r>
      </w:hyperlink>
      <w:r>
        <w:rPr>
          <w:sz w:val="18"/>
          <w:szCs w:val="18"/>
        </w:rPr>
        <w:t xml:space="preserve"> </w:t>
      </w:r>
    </w:p>
  </w:footnote>
  <w:footnote w:id="271">
    <w:p w14:paraId="14239D3A" w14:textId="77777777" w:rsidR="00215CA5" w:rsidRDefault="00215CA5" w:rsidP="00215CA5">
      <w:pPr>
        <w:pStyle w:val="Allmrkusetekst"/>
      </w:pPr>
      <w:r w:rsidRPr="00AF7918">
        <w:rPr>
          <w:rStyle w:val="Allmrkuseviide"/>
          <w:sz w:val="18"/>
          <w:szCs w:val="18"/>
        </w:rPr>
        <w:footnoteRef/>
      </w:r>
      <w:r w:rsidRPr="00AF7918">
        <w:rPr>
          <w:sz w:val="18"/>
          <w:szCs w:val="18"/>
        </w:rPr>
        <w:t xml:space="preserve"> </w:t>
      </w:r>
      <w:r w:rsidRPr="00AF7918">
        <w:rPr>
          <w:sz w:val="18"/>
          <w:szCs w:val="18"/>
        </w:rPr>
        <w:t xml:space="preserve">Viide allikale: </w:t>
      </w:r>
      <w:hyperlink r:id="rId106" w:history="1">
        <w:r w:rsidRPr="00AF7918">
          <w:rPr>
            <w:rStyle w:val="Hperlink"/>
            <w:sz w:val="18"/>
            <w:szCs w:val="18"/>
          </w:rPr>
          <w:t>EUR-Lex - 32005H0698 - ET - EUR-Lex (europa.eu)</w:t>
        </w:r>
      </w:hyperlink>
      <w:r>
        <w:t xml:space="preserve"> </w:t>
      </w:r>
    </w:p>
  </w:footnote>
  <w:footnote w:id="272">
    <w:p w14:paraId="35536E25" w14:textId="77777777" w:rsidR="00215CA5" w:rsidRPr="00AF7918" w:rsidRDefault="00215CA5" w:rsidP="00215CA5">
      <w:pPr>
        <w:pStyle w:val="Allmrkusetekst"/>
        <w:rPr>
          <w:sz w:val="18"/>
          <w:szCs w:val="18"/>
        </w:rPr>
      </w:pPr>
      <w:r w:rsidRPr="00AF7918">
        <w:rPr>
          <w:rStyle w:val="Allmrkuseviide"/>
          <w:sz w:val="18"/>
          <w:szCs w:val="18"/>
        </w:rPr>
        <w:footnoteRef/>
      </w:r>
      <w:r w:rsidRPr="00AF7918">
        <w:rPr>
          <w:sz w:val="18"/>
          <w:szCs w:val="18"/>
        </w:rPr>
        <w:t xml:space="preserve"> </w:t>
      </w:r>
      <w:r w:rsidRPr="00AF7918">
        <w:rPr>
          <w:sz w:val="18"/>
          <w:szCs w:val="18"/>
        </w:rPr>
        <w:t xml:space="preserve">Euroopa sidekoodeksi preambul p 192, </w:t>
      </w:r>
      <w:hyperlink r:id="rId107" w:history="1">
        <w:r w:rsidRPr="00AF7918">
          <w:rPr>
            <w:rStyle w:val="Hperlink"/>
            <w:sz w:val="18"/>
            <w:szCs w:val="18"/>
          </w:rPr>
          <w:t>https://eur-lex.europa.eu/legal-content/EN-ET/TXT/?from=EN&amp;uri=CELEX%3A32018L1972</w:t>
        </w:r>
      </w:hyperlink>
      <w:r w:rsidRPr="00AF7918">
        <w:rPr>
          <w:sz w:val="18"/>
          <w:szCs w:val="18"/>
        </w:rPr>
        <w:t xml:space="preserve"> </w:t>
      </w:r>
    </w:p>
  </w:footnote>
  <w:footnote w:id="273">
    <w:p w14:paraId="3AD3CEC1" w14:textId="77777777" w:rsidR="00F03958" w:rsidRPr="00F61F8C" w:rsidRDefault="00F03958" w:rsidP="00F03958">
      <w:pPr>
        <w:pStyle w:val="Allmrkusetekst"/>
      </w:pPr>
      <w:r w:rsidRPr="003E68CB">
        <w:rPr>
          <w:rStyle w:val="Allmrkuseviide"/>
        </w:rPr>
        <w:footnoteRef/>
      </w:r>
      <w:r w:rsidRPr="00F61F8C">
        <w:t xml:space="preserve"> </w:t>
      </w:r>
      <w:hyperlink r:id="rId108" w:history="1">
        <w:r w:rsidRPr="00AE26F7">
          <w:rPr>
            <w:rStyle w:val="Hperlink"/>
            <w:sz w:val="18"/>
            <w:szCs w:val="18"/>
          </w:rPr>
          <w:t>https://www.berec.europa.eu/en/document-categories/berec/regulatory-best-practices/common-approachespositions/revised-berec-common-position-on-best-practice-in-remedies-on-the-market-for-wholesale-broadband-access-including-bitstream-access-imposed-as-a-consequence-of-a-position-o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0C972" w14:textId="77777777" w:rsidR="004270BD" w:rsidRPr="00630453" w:rsidRDefault="004270BD" w:rsidP="004270BD">
    <w:pPr>
      <w:widowControl w:val="0"/>
      <w:autoSpaceDE w:val="0"/>
      <w:autoSpaceDN w:val="0"/>
      <w:adjustRightInd w:val="0"/>
      <w:spacing w:before="120" w:after="120"/>
      <w:ind w:left="6372"/>
      <w:jc w:val="right"/>
      <w:rPr>
        <w:rFonts w:cs="Times New Roman"/>
        <w:i/>
        <w:sz w:val="20"/>
        <w:szCs w:val="20"/>
        <w:lang w:eastAsia="et-EE"/>
      </w:rPr>
    </w:pPr>
    <w:bookmarkStart w:id="1422" w:name="_Hlk118463132"/>
    <w:bookmarkEnd w:id="1422"/>
    <w:r w:rsidRPr="00630453">
      <w:rPr>
        <w:rFonts w:cs="Times New Roman"/>
        <w:i/>
        <w:sz w:val="20"/>
        <w:szCs w:val="20"/>
        <w:lang w:eastAsia="et-EE"/>
      </w:rPr>
      <w:t>VÄLJAVÕTE</w:t>
    </w:r>
  </w:p>
  <w:p w14:paraId="257CEF76" w14:textId="77777777" w:rsidR="004270BD" w:rsidRPr="005C7AA4" w:rsidRDefault="004270BD" w:rsidP="004270BD">
    <w:pPr>
      <w:widowControl w:val="0"/>
      <w:autoSpaceDE w:val="0"/>
      <w:autoSpaceDN w:val="0"/>
      <w:adjustRightInd w:val="0"/>
      <w:spacing w:before="120" w:after="120"/>
      <w:ind w:left="2835"/>
      <w:jc w:val="right"/>
      <w:rPr>
        <w:rFonts w:cs="Times New Roman"/>
        <w:i/>
        <w:sz w:val="20"/>
        <w:szCs w:val="20"/>
        <w:lang w:eastAsia="et-EE"/>
      </w:rPr>
    </w:pPr>
    <w:r w:rsidRPr="005C7AA4">
      <w:rPr>
        <w:rFonts w:cs="Times New Roman"/>
        <w:i/>
        <w:sz w:val="20"/>
        <w:szCs w:val="20"/>
        <w:lang w:eastAsia="et-EE"/>
      </w:rPr>
      <w:t>Ärisaladus välja jäetud (tähistatud ...*)</w:t>
    </w:r>
  </w:p>
  <w:p w14:paraId="24EF1268" w14:textId="77777777" w:rsidR="00B47113" w:rsidRDefault="00B47113">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singleLevel"/>
    <w:tmpl w:val="00000006"/>
    <w:name w:val="WW8Num17"/>
    <w:lvl w:ilvl="0">
      <w:start w:val="1"/>
      <w:numFmt w:val="decimal"/>
      <w:pStyle w:val="ListDash"/>
      <w:lvlText w:val="%1)"/>
      <w:lvlJc w:val="left"/>
      <w:pPr>
        <w:tabs>
          <w:tab w:val="num" w:pos="1996"/>
        </w:tabs>
        <w:ind w:left="1996" w:hanging="360"/>
      </w:pPr>
    </w:lvl>
  </w:abstractNum>
  <w:abstractNum w:abstractNumId="1" w15:restartNumberingAfterBreak="0">
    <w:nsid w:val="01E7350D"/>
    <w:multiLevelType w:val="hybridMultilevel"/>
    <w:tmpl w:val="13A29E78"/>
    <w:lvl w:ilvl="0" w:tplc="6D805574">
      <w:start w:val="1"/>
      <w:numFmt w:val="lowerLetter"/>
      <w:lvlText w:val="%1)"/>
      <w:lvlJc w:val="left"/>
      <w:pPr>
        <w:ind w:left="900" w:hanging="360"/>
      </w:pPr>
      <w:rPr>
        <w:rFonts w:hint="default"/>
      </w:rPr>
    </w:lvl>
    <w:lvl w:ilvl="1" w:tplc="C9E627EA">
      <w:start w:val="1"/>
      <w:numFmt w:val="decimal"/>
      <w:lvlText w:val="%2)"/>
      <w:lvlJc w:val="left"/>
      <w:pPr>
        <w:ind w:left="1620" w:hanging="360"/>
      </w:pPr>
      <w:rPr>
        <w:rFonts w:hint="default"/>
      </w:rPr>
    </w:lvl>
    <w:lvl w:ilvl="2" w:tplc="0425001B" w:tentative="1">
      <w:start w:val="1"/>
      <w:numFmt w:val="lowerRoman"/>
      <w:lvlText w:val="%3."/>
      <w:lvlJc w:val="right"/>
      <w:pPr>
        <w:ind w:left="2340" w:hanging="180"/>
      </w:pPr>
    </w:lvl>
    <w:lvl w:ilvl="3" w:tplc="0425000F" w:tentative="1">
      <w:start w:val="1"/>
      <w:numFmt w:val="decimal"/>
      <w:lvlText w:val="%4."/>
      <w:lvlJc w:val="left"/>
      <w:pPr>
        <w:ind w:left="3060" w:hanging="360"/>
      </w:pPr>
    </w:lvl>
    <w:lvl w:ilvl="4" w:tplc="04250019" w:tentative="1">
      <w:start w:val="1"/>
      <w:numFmt w:val="lowerLetter"/>
      <w:lvlText w:val="%5."/>
      <w:lvlJc w:val="left"/>
      <w:pPr>
        <w:ind w:left="3780" w:hanging="360"/>
      </w:pPr>
    </w:lvl>
    <w:lvl w:ilvl="5" w:tplc="0425001B" w:tentative="1">
      <w:start w:val="1"/>
      <w:numFmt w:val="lowerRoman"/>
      <w:lvlText w:val="%6."/>
      <w:lvlJc w:val="right"/>
      <w:pPr>
        <w:ind w:left="4500" w:hanging="180"/>
      </w:pPr>
    </w:lvl>
    <w:lvl w:ilvl="6" w:tplc="0425000F" w:tentative="1">
      <w:start w:val="1"/>
      <w:numFmt w:val="decimal"/>
      <w:lvlText w:val="%7."/>
      <w:lvlJc w:val="left"/>
      <w:pPr>
        <w:ind w:left="5220" w:hanging="360"/>
      </w:pPr>
    </w:lvl>
    <w:lvl w:ilvl="7" w:tplc="04250019" w:tentative="1">
      <w:start w:val="1"/>
      <w:numFmt w:val="lowerLetter"/>
      <w:lvlText w:val="%8."/>
      <w:lvlJc w:val="left"/>
      <w:pPr>
        <w:ind w:left="5940" w:hanging="360"/>
      </w:pPr>
    </w:lvl>
    <w:lvl w:ilvl="8" w:tplc="0425001B" w:tentative="1">
      <w:start w:val="1"/>
      <w:numFmt w:val="lowerRoman"/>
      <w:lvlText w:val="%9."/>
      <w:lvlJc w:val="right"/>
      <w:pPr>
        <w:ind w:left="6660" w:hanging="180"/>
      </w:pPr>
    </w:lvl>
  </w:abstractNum>
  <w:abstractNum w:abstractNumId="2" w15:restartNumberingAfterBreak="0">
    <w:nsid w:val="058F7D48"/>
    <w:multiLevelType w:val="hybridMultilevel"/>
    <w:tmpl w:val="E7BC98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5C5762D"/>
    <w:multiLevelType w:val="multilevel"/>
    <w:tmpl w:val="2B42024E"/>
    <w:lvl w:ilvl="0">
      <w:start w:val="1"/>
      <w:numFmt w:val="decimal"/>
      <w:lvlText w:val="%1."/>
      <w:lvlJc w:val="left"/>
      <w:pPr>
        <w:ind w:left="0" w:firstLine="0"/>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rFonts w:hint="default"/>
        <w:specVanish w:val="0"/>
      </w:rPr>
    </w:lvl>
    <w:lvl w:ilvl="2">
      <w:start w:val="1"/>
      <w:numFmt w:val="decimal"/>
      <w:lvlText w:val="%1.%2.%3"/>
      <w:lvlJc w:val="left"/>
      <w:pPr>
        <w:ind w:left="720" w:hanging="720"/>
      </w:pPr>
      <w:rPr>
        <w:rFonts w:hint="default"/>
      </w:rPr>
    </w:lvl>
    <w:lvl w:ilvl="3">
      <w:start w:val="1"/>
      <w:numFmt w:val="decimal"/>
      <w:lvlText w:val="3.1.%4."/>
      <w:lvlJc w:val="left"/>
      <w:pPr>
        <w:ind w:left="360" w:hanging="36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6AB0FD8"/>
    <w:multiLevelType w:val="multilevel"/>
    <w:tmpl w:val="392A799A"/>
    <w:lvl w:ilvl="0">
      <w:start w:val="1"/>
      <w:numFmt w:val="decimal"/>
      <w:pStyle w:val="Heading19"/>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1.1"/>
      <w:lvlJc w:val="left"/>
      <w:pPr>
        <w:ind w:left="576" w:hanging="576"/>
      </w:pPr>
      <w:rPr>
        <w:rFonts w:hint="default"/>
      </w:rPr>
    </w:lvl>
    <w:lvl w:ilvl="2">
      <w:start w:val="1"/>
      <w:numFmt w:val="decimal"/>
      <w:lvlText w:val="%1.1.%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1.%3.%4.%5"/>
      <w:lvlJc w:val="left"/>
      <w:pPr>
        <w:ind w:left="1008" w:hanging="1008"/>
      </w:pPr>
      <w:rPr>
        <w:rFonts w:hint="default"/>
      </w:rPr>
    </w:lvl>
    <w:lvl w:ilvl="5">
      <w:start w:val="1"/>
      <w:numFmt w:val="decimal"/>
      <w:lvlText w:val="%1.1.%3.%4.%5.%6"/>
      <w:lvlJc w:val="left"/>
      <w:pPr>
        <w:ind w:left="1152" w:hanging="1152"/>
      </w:pPr>
      <w:rPr>
        <w:rFonts w:hint="default"/>
      </w:rPr>
    </w:lvl>
    <w:lvl w:ilvl="6">
      <w:start w:val="1"/>
      <w:numFmt w:val="decimal"/>
      <w:lvlText w:val="%1.1.%3.%4.%5.%6.%7"/>
      <w:lvlJc w:val="left"/>
      <w:pPr>
        <w:ind w:left="1296" w:hanging="1296"/>
      </w:pPr>
      <w:rPr>
        <w:rFonts w:hint="default"/>
      </w:rPr>
    </w:lvl>
    <w:lvl w:ilvl="7">
      <w:start w:val="1"/>
      <w:numFmt w:val="decimal"/>
      <w:lvlText w:val="%1.1.%3.%4.%5.%6.%7.%8"/>
      <w:lvlJc w:val="left"/>
      <w:pPr>
        <w:ind w:left="1440" w:hanging="1440"/>
      </w:pPr>
      <w:rPr>
        <w:rFonts w:hint="default"/>
      </w:rPr>
    </w:lvl>
    <w:lvl w:ilvl="8">
      <w:start w:val="1"/>
      <w:numFmt w:val="decimal"/>
      <w:lvlText w:val="%1.1.%3.%4.%5.%6.%7.%8.%9"/>
      <w:lvlJc w:val="left"/>
      <w:pPr>
        <w:ind w:left="1584" w:hanging="1584"/>
      </w:pPr>
      <w:rPr>
        <w:rFonts w:hint="default"/>
      </w:rPr>
    </w:lvl>
  </w:abstractNum>
  <w:abstractNum w:abstractNumId="5" w15:restartNumberingAfterBreak="0">
    <w:nsid w:val="06BA40B1"/>
    <w:multiLevelType w:val="hybridMultilevel"/>
    <w:tmpl w:val="A6708F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06702E"/>
    <w:multiLevelType w:val="hybridMultilevel"/>
    <w:tmpl w:val="C7C68AC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8D16686"/>
    <w:multiLevelType w:val="hybridMultilevel"/>
    <w:tmpl w:val="E5B6377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8" w15:restartNumberingAfterBreak="0">
    <w:nsid w:val="0ACD1963"/>
    <w:multiLevelType w:val="hybridMultilevel"/>
    <w:tmpl w:val="61AC7C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DD0066F"/>
    <w:multiLevelType w:val="hybridMultilevel"/>
    <w:tmpl w:val="7A18483C"/>
    <w:lvl w:ilvl="0" w:tplc="7688B964">
      <w:start w:val="1"/>
      <w:numFmt w:val="bullet"/>
      <w:lvlText w:val="•"/>
      <w:lvlJc w:val="left"/>
      <w:pPr>
        <w:ind w:left="21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0" w15:restartNumberingAfterBreak="0">
    <w:nsid w:val="0FD2127C"/>
    <w:multiLevelType w:val="multilevel"/>
    <w:tmpl w:val="E9224EE2"/>
    <w:styleLink w:val="Laad1"/>
    <w:lvl w:ilvl="0">
      <w:start w:val="1"/>
      <w:numFmt w:val="decimal"/>
      <w:lvlText w:val="%1."/>
      <w:lvlJc w:val="left"/>
      <w:rPr>
        <w:rFonts w:ascii="Times New Roman" w:hAnsi="Times New Roman"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specVanish w:val="0"/>
      </w:rPr>
    </w:lvl>
    <w:lvl w:ilvl="2">
      <w:start w:val="1"/>
      <w:numFmt w:val="decimal"/>
      <w:lvlText w:val="%1.%2.%3"/>
      <w:lvlJc w:val="left"/>
      <w:pPr>
        <w:ind w:left="720" w:hanging="720"/>
      </w:pPr>
      <w:rPr>
        <w:rFonts w:hint="default"/>
      </w:rPr>
    </w:lvl>
    <w:lvl w:ilvl="3">
      <w:start w:val="1"/>
      <w:numFmt w:val="decimal"/>
      <w:lvlText w:val="3.1.%4."/>
      <w:lvlJc w:val="left"/>
      <w:pPr>
        <w:ind w:left="360" w:hanging="360"/>
      </w:pPr>
      <w:rPr>
        <w:rFonts w:ascii="Times New Roman" w:hAnsi="Times New Roman" w:hint="default"/>
        <w:i/>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FFA2995"/>
    <w:multiLevelType w:val="hybridMultilevel"/>
    <w:tmpl w:val="2C0C1D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4E3285"/>
    <w:multiLevelType w:val="multilevel"/>
    <w:tmpl w:val="9A88E5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1B92341"/>
    <w:multiLevelType w:val="hybridMultilevel"/>
    <w:tmpl w:val="62F6D4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2D93ED8"/>
    <w:multiLevelType w:val="hybridMultilevel"/>
    <w:tmpl w:val="39A039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31B270B"/>
    <w:multiLevelType w:val="hybridMultilevel"/>
    <w:tmpl w:val="308E0154"/>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132A5DA4"/>
    <w:multiLevelType w:val="hybridMultilevel"/>
    <w:tmpl w:val="27F2EDFA"/>
    <w:lvl w:ilvl="0" w:tplc="7A98B22E">
      <w:start w:val="1"/>
      <w:numFmt w:val="decimal"/>
      <w:pStyle w:val="Laad4"/>
      <w:lvlText w:val="1.1.10.%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pStyle w:val="Laad4"/>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7" w15:restartNumberingAfterBreak="0">
    <w:nsid w:val="139E3CF4"/>
    <w:multiLevelType w:val="multilevel"/>
    <w:tmpl w:val="4E16F828"/>
    <w:lvl w:ilvl="0">
      <w:start w:val="236"/>
      <w:numFmt w:val="decimal"/>
      <w:lvlText w:val="%1."/>
      <w:lvlJc w:val="left"/>
      <w:pPr>
        <w:ind w:left="786" w:hanging="360"/>
      </w:pPr>
      <w:rPr>
        <w:rFonts w:hint="default"/>
        <w:b w:val="0"/>
        <w:sz w:val="24"/>
        <w:szCs w:val="24"/>
      </w:rPr>
    </w:lvl>
    <w:lvl w:ilvl="1">
      <w:start w:val="2"/>
      <w:numFmt w:val="decimal"/>
      <w:isLgl/>
      <w:lvlText w:val="%1.%2."/>
      <w:lvlJc w:val="left"/>
      <w:pPr>
        <w:ind w:left="-967" w:hanging="450"/>
      </w:pPr>
      <w:rPr>
        <w:rFonts w:hint="default"/>
      </w:rPr>
    </w:lvl>
    <w:lvl w:ilvl="2">
      <w:start w:val="1"/>
      <w:numFmt w:val="decimal"/>
      <w:isLgl/>
      <w:lvlText w:val="%1.%2.%3."/>
      <w:lvlJc w:val="left"/>
      <w:pPr>
        <w:ind w:left="-697" w:hanging="720"/>
      </w:pPr>
      <w:rPr>
        <w:rFonts w:hint="default"/>
      </w:rPr>
    </w:lvl>
    <w:lvl w:ilvl="3">
      <w:start w:val="1"/>
      <w:numFmt w:val="decimal"/>
      <w:isLgl/>
      <w:lvlText w:val="%1.%2.%3.%4."/>
      <w:lvlJc w:val="left"/>
      <w:pPr>
        <w:ind w:left="-697" w:hanging="720"/>
      </w:pPr>
      <w:rPr>
        <w:rFonts w:hint="default"/>
      </w:rPr>
    </w:lvl>
    <w:lvl w:ilvl="4">
      <w:start w:val="1"/>
      <w:numFmt w:val="decimal"/>
      <w:isLgl/>
      <w:lvlText w:val="%1.%2.%3.%4.%5."/>
      <w:lvlJc w:val="left"/>
      <w:pPr>
        <w:ind w:left="-337" w:hanging="1080"/>
      </w:pPr>
      <w:rPr>
        <w:rFonts w:hint="default"/>
      </w:rPr>
    </w:lvl>
    <w:lvl w:ilvl="5">
      <w:start w:val="1"/>
      <w:numFmt w:val="decimal"/>
      <w:isLgl/>
      <w:lvlText w:val="%1.%2.%3.%4.%5.%6."/>
      <w:lvlJc w:val="left"/>
      <w:pPr>
        <w:ind w:left="-337" w:hanging="1080"/>
      </w:pPr>
      <w:rPr>
        <w:rFonts w:hint="default"/>
      </w:rPr>
    </w:lvl>
    <w:lvl w:ilvl="6">
      <w:start w:val="1"/>
      <w:numFmt w:val="decimal"/>
      <w:isLgl/>
      <w:lvlText w:val="%1.%2.%3.%4.%5.%6.%7."/>
      <w:lvlJc w:val="left"/>
      <w:pPr>
        <w:ind w:left="23" w:hanging="1440"/>
      </w:pPr>
      <w:rPr>
        <w:rFonts w:hint="default"/>
      </w:rPr>
    </w:lvl>
    <w:lvl w:ilvl="7">
      <w:start w:val="1"/>
      <w:numFmt w:val="decimal"/>
      <w:isLgl/>
      <w:lvlText w:val="%1.%2.%3.%4.%5.%6.%7.%8."/>
      <w:lvlJc w:val="left"/>
      <w:pPr>
        <w:ind w:left="23" w:hanging="1440"/>
      </w:pPr>
      <w:rPr>
        <w:rFonts w:hint="default"/>
      </w:rPr>
    </w:lvl>
    <w:lvl w:ilvl="8">
      <w:start w:val="1"/>
      <w:numFmt w:val="decimal"/>
      <w:isLgl/>
      <w:lvlText w:val="%1.%2.%3.%4.%5.%6.%7.%8.%9."/>
      <w:lvlJc w:val="left"/>
      <w:pPr>
        <w:ind w:left="383" w:hanging="1800"/>
      </w:pPr>
      <w:rPr>
        <w:rFonts w:hint="default"/>
      </w:rPr>
    </w:lvl>
  </w:abstractNum>
  <w:abstractNum w:abstractNumId="18" w15:restartNumberingAfterBreak="0">
    <w:nsid w:val="15A057F8"/>
    <w:multiLevelType w:val="hybridMultilevel"/>
    <w:tmpl w:val="1DEA08A0"/>
    <w:lvl w:ilvl="0" w:tplc="7688B964">
      <w:start w:val="1"/>
      <w:numFmt w:val="bullet"/>
      <w:lvlText w:val="•"/>
      <w:lvlJc w:val="left"/>
      <w:pPr>
        <w:ind w:left="21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9" w15:restartNumberingAfterBreak="0">
    <w:nsid w:val="186F1D14"/>
    <w:multiLevelType w:val="multilevel"/>
    <w:tmpl w:val="B164DB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9F157B5"/>
    <w:multiLevelType w:val="multilevel"/>
    <w:tmpl w:val="84C63C94"/>
    <w:numStyleLink w:val="Laad5"/>
  </w:abstractNum>
  <w:abstractNum w:abstractNumId="21" w15:restartNumberingAfterBreak="0">
    <w:nsid w:val="1BF54904"/>
    <w:multiLevelType w:val="multilevel"/>
    <w:tmpl w:val="E9224EE2"/>
    <w:numStyleLink w:val="Laad1"/>
  </w:abstractNum>
  <w:abstractNum w:abstractNumId="22" w15:restartNumberingAfterBreak="0">
    <w:nsid w:val="1DC25744"/>
    <w:multiLevelType w:val="multilevel"/>
    <w:tmpl w:val="3E886BA6"/>
    <w:lvl w:ilvl="0">
      <w:start w:val="1"/>
      <w:numFmt w:val="decimal"/>
      <w:lvlText w:val="%1"/>
      <w:lvlJc w:val="left"/>
      <w:pPr>
        <w:ind w:left="432" w:hanging="432"/>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pStyle w:val="Pealkiri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0FB6308"/>
    <w:multiLevelType w:val="hybridMultilevel"/>
    <w:tmpl w:val="DAEAD088"/>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4" w15:restartNumberingAfterBreak="0">
    <w:nsid w:val="217C5425"/>
    <w:multiLevelType w:val="hybridMultilevel"/>
    <w:tmpl w:val="87762800"/>
    <w:lvl w:ilvl="0" w:tplc="04250011">
      <w:start w:val="1"/>
      <w:numFmt w:val="decimal"/>
      <w:lvlText w:val="%1)"/>
      <w:lvlJc w:val="left"/>
      <w:pPr>
        <w:ind w:left="1069" w:hanging="360"/>
      </w:pPr>
      <w:rPr>
        <w:rFonts w:hint="default"/>
      </w:rPr>
    </w:lvl>
    <w:lvl w:ilvl="1" w:tplc="04250019" w:tentative="1">
      <w:start w:val="1"/>
      <w:numFmt w:val="lowerLetter"/>
      <w:lvlText w:val="%2."/>
      <w:lvlJc w:val="left"/>
      <w:pPr>
        <w:ind w:left="1789" w:hanging="360"/>
      </w:pPr>
    </w:lvl>
    <w:lvl w:ilvl="2" w:tplc="0425001B" w:tentative="1">
      <w:start w:val="1"/>
      <w:numFmt w:val="lowerRoman"/>
      <w:lvlText w:val="%3."/>
      <w:lvlJc w:val="right"/>
      <w:pPr>
        <w:ind w:left="2509" w:hanging="180"/>
      </w:pPr>
    </w:lvl>
    <w:lvl w:ilvl="3" w:tplc="0425000F" w:tentative="1">
      <w:start w:val="1"/>
      <w:numFmt w:val="decimal"/>
      <w:lvlText w:val="%4."/>
      <w:lvlJc w:val="left"/>
      <w:pPr>
        <w:ind w:left="3229" w:hanging="360"/>
      </w:pPr>
    </w:lvl>
    <w:lvl w:ilvl="4" w:tplc="04250019" w:tentative="1">
      <w:start w:val="1"/>
      <w:numFmt w:val="lowerLetter"/>
      <w:lvlText w:val="%5."/>
      <w:lvlJc w:val="left"/>
      <w:pPr>
        <w:ind w:left="3949" w:hanging="360"/>
      </w:pPr>
    </w:lvl>
    <w:lvl w:ilvl="5" w:tplc="0425001B" w:tentative="1">
      <w:start w:val="1"/>
      <w:numFmt w:val="lowerRoman"/>
      <w:lvlText w:val="%6."/>
      <w:lvlJc w:val="right"/>
      <w:pPr>
        <w:ind w:left="4669" w:hanging="180"/>
      </w:pPr>
    </w:lvl>
    <w:lvl w:ilvl="6" w:tplc="0425000F" w:tentative="1">
      <w:start w:val="1"/>
      <w:numFmt w:val="decimal"/>
      <w:lvlText w:val="%7."/>
      <w:lvlJc w:val="left"/>
      <w:pPr>
        <w:ind w:left="5389" w:hanging="360"/>
      </w:pPr>
    </w:lvl>
    <w:lvl w:ilvl="7" w:tplc="04250019" w:tentative="1">
      <w:start w:val="1"/>
      <w:numFmt w:val="lowerLetter"/>
      <w:lvlText w:val="%8."/>
      <w:lvlJc w:val="left"/>
      <w:pPr>
        <w:ind w:left="6109" w:hanging="360"/>
      </w:pPr>
    </w:lvl>
    <w:lvl w:ilvl="8" w:tplc="0425001B" w:tentative="1">
      <w:start w:val="1"/>
      <w:numFmt w:val="lowerRoman"/>
      <w:lvlText w:val="%9."/>
      <w:lvlJc w:val="right"/>
      <w:pPr>
        <w:ind w:left="6829" w:hanging="180"/>
      </w:pPr>
    </w:lvl>
  </w:abstractNum>
  <w:abstractNum w:abstractNumId="25" w15:restartNumberingAfterBreak="0">
    <w:nsid w:val="226B1580"/>
    <w:multiLevelType w:val="multilevel"/>
    <w:tmpl w:val="E9224EE2"/>
    <w:lvl w:ilvl="0">
      <w:start w:val="1"/>
      <w:numFmt w:val="decimal"/>
      <w:lvlText w:val="%1."/>
      <w:lvlJc w:val="left"/>
      <w:rPr>
        <w:rFonts w:ascii="Times New Roman" w:hAnsi="Times New Roman"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specVanish w:val="0"/>
      </w:rPr>
    </w:lvl>
    <w:lvl w:ilvl="2">
      <w:start w:val="1"/>
      <w:numFmt w:val="decimal"/>
      <w:lvlText w:val="%1.%2.%3"/>
      <w:lvlJc w:val="left"/>
      <w:pPr>
        <w:ind w:left="720" w:hanging="720"/>
      </w:pPr>
      <w:rPr>
        <w:rFonts w:hint="default"/>
      </w:rPr>
    </w:lvl>
    <w:lvl w:ilvl="3">
      <w:start w:val="1"/>
      <w:numFmt w:val="decimal"/>
      <w:lvlText w:val="3.1.%4."/>
      <w:lvlJc w:val="left"/>
      <w:pPr>
        <w:ind w:left="360" w:hanging="360"/>
      </w:pPr>
      <w:rPr>
        <w:rFonts w:ascii="Times New Roman" w:hAnsi="Times New Roman" w:hint="default"/>
        <w:i/>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231A49E8"/>
    <w:multiLevelType w:val="hybridMultilevel"/>
    <w:tmpl w:val="F7DC73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23C317F2"/>
    <w:multiLevelType w:val="multilevel"/>
    <w:tmpl w:val="B164DB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23DB393D"/>
    <w:multiLevelType w:val="multilevel"/>
    <w:tmpl w:val="D0280B72"/>
    <w:lvl w:ilvl="0">
      <w:start w:val="1"/>
      <w:numFmt w:val="decimal"/>
      <w:lvlText w:val="%1."/>
      <w:lvlJc w:val="left"/>
      <w:pPr>
        <w:ind w:left="0" w:firstLine="0"/>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rFonts w:hint="default"/>
        <w:specVanish w:val="0"/>
      </w:rPr>
    </w:lvl>
    <w:lvl w:ilvl="2">
      <w:start w:val="1"/>
      <w:numFmt w:val="decimal"/>
      <w:lvlText w:val="%1.%2.%3"/>
      <w:lvlJc w:val="left"/>
      <w:pPr>
        <w:ind w:left="720" w:hanging="720"/>
      </w:pPr>
      <w:rPr>
        <w:rFonts w:hint="default"/>
      </w:rPr>
    </w:lvl>
    <w:lvl w:ilvl="3">
      <w:start w:val="1"/>
      <w:numFmt w:val="decimal"/>
      <w:lvlText w:val="3.1.%4."/>
      <w:lvlJc w:val="left"/>
      <w:pPr>
        <w:ind w:left="360" w:hanging="36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252117D5"/>
    <w:multiLevelType w:val="hybridMultilevel"/>
    <w:tmpl w:val="B088F878"/>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30" w15:restartNumberingAfterBreak="0">
    <w:nsid w:val="253468FB"/>
    <w:multiLevelType w:val="multilevel"/>
    <w:tmpl w:val="17E03D44"/>
    <w:lvl w:ilvl="0">
      <w:start w:val="1"/>
      <w:numFmt w:val="decimal"/>
      <w:lvlText w:val="%1"/>
      <w:lvlJc w:val="left"/>
      <w:pPr>
        <w:ind w:left="432" w:hanging="432"/>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lvlText w:val="3.1.1.1.1"/>
      <w:lvlJc w:val="left"/>
      <w:pPr>
        <w:ind w:left="1434"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25E62AC4"/>
    <w:multiLevelType w:val="hybridMultilevel"/>
    <w:tmpl w:val="A13276BE"/>
    <w:lvl w:ilvl="0" w:tplc="C8760AB2">
      <w:start w:val="1"/>
      <w:numFmt w:val="decimal"/>
      <w:lvlText w:val="%1)"/>
      <w:lvlJc w:val="left"/>
      <w:pPr>
        <w:ind w:left="1145" w:hanging="360"/>
      </w:pPr>
      <w:rPr>
        <w:rFonts w:hint="default"/>
      </w:rPr>
    </w:lvl>
    <w:lvl w:ilvl="1" w:tplc="04250019" w:tentative="1">
      <w:start w:val="1"/>
      <w:numFmt w:val="lowerLetter"/>
      <w:lvlText w:val="%2."/>
      <w:lvlJc w:val="left"/>
      <w:pPr>
        <w:ind w:left="1865" w:hanging="360"/>
      </w:pPr>
    </w:lvl>
    <w:lvl w:ilvl="2" w:tplc="0425001B" w:tentative="1">
      <w:start w:val="1"/>
      <w:numFmt w:val="lowerRoman"/>
      <w:lvlText w:val="%3."/>
      <w:lvlJc w:val="right"/>
      <w:pPr>
        <w:ind w:left="2585" w:hanging="180"/>
      </w:pPr>
    </w:lvl>
    <w:lvl w:ilvl="3" w:tplc="0425000F" w:tentative="1">
      <w:start w:val="1"/>
      <w:numFmt w:val="decimal"/>
      <w:lvlText w:val="%4."/>
      <w:lvlJc w:val="left"/>
      <w:pPr>
        <w:ind w:left="3305" w:hanging="360"/>
      </w:pPr>
    </w:lvl>
    <w:lvl w:ilvl="4" w:tplc="04250019" w:tentative="1">
      <w:start w:val="1"/>
      <w:numFmt w:val="lowerLetter"/>
      <w:lvlText w:val="%5."/>
      <w:lvlJc w:val="left"/>
      <w:pPr>
        <w:ind w:left="4025" w:hanging="360"/>
      </w:pPr>
    </w:lvl>
    <w:lvl w:ilvl="5" w:tplc="0425001B" w:tentative="1">
      <w:start w:val="1"/>
      <w:numFmt w:val="lowerRoman"/>
      <w:lvlText w:val="%6."/>
      <w:lvlJc w:val="right"/>
      <w:pPr>
        <w:ind w:left="4745" w:hanging="180"/>
      </w:pPr>
    </w:lvl>
    <w:lvl w:ilvl="6" w:tplc="0425000F" w:tentative="1">
      <w:start w:val="1"/>
      <w:numFmt w:val="decimal"/>
      <w:lvlText w:val="%7."/>
      <w:lvlJc w:val="left"/>
      <w:pPr>
        <w:ind w:left="5465" w:hanging="360"/>
      </w:pPr>
    </w:lvl>
    <w:lvl w:ilvl="7" w:tplc="04250019" w:tentative="1">
      <w:start w:val="1"/>
      <w:numFmt w:val="lowerLetter"/>
      <w:lvlText w:val="%8."/>
      <w:lvlJc w:val="left"/>
      <w:pPr>
        <w:ind w:left="6185" w:hanging="360"/>
      </w:pPr>
    </w:lvl>
    <w:lvl w:ilvl="8" w:tplc="0425001B" w:tentative="1">
      <w:start w:val="1"/>
      <w:numFmt w:val="lowerRoman"/>
      <w:lvlText w:val="%9."/>
      <w:lvlJc w:val="right"/>
      <w:pPr>
        <w:ind w:left="6905" w:hanging="180"/>
      </w:pPr>
    </w:lvl>
  </w:abstractNum>
  <w:abstractNum w:abstractNumId="32" w15:restartNumberingAfterBreak="0">
    <w:nsid w:val="26037BE2"/>
    <w:multiLevelType w:val="hybridMultilevel"/>
    <w:tmpl w:val="88C2EE6A"/>
    <w:lvl w:ilvl="0" w:tplc="04250011">
      <w:start w:val="1"/>
      <w:numFmt w:val="decimal"/>
      <w:lvlText w:val="%1)"/>
      <w:lvlJc w:val="left"/>
      <w:pPr>
        <w:ind w:left="1080" w:hanging="360"/>
      </w:pPr>
      <w:rPr>
        <w:rFonts w:hint="default"/>
      </w:rPr>
    </w:lvl>
    <w:lvl w:ilvl="1" w:tplc="04250019">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3" w15:restartNumberingAfterBreak="0">
    <w:nsid w:val="2670431F"/>
    <w:multiLevelType w:val="hybridMultilevel"/>
    <w:tmpl w:val="A26225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28E6290F"/>
    <w:multiLevelType w:val="hybridMultilevel"/>
    <w:tmpl w:val="9C829F82"/>
    <w:lvl w:ilvl="0" w:tplc="4A1C8368">
      <w:start w:val="1"/>
      <w:numFmt w:val="decimal"/>
      <w:lvlText w:val="%1)"/>
      <w:lvlJc w:val="left"/>
      <w:pPr>
        <w:ind w:left="1440" w:hanging="72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5" w15:restartNumberingAfterBreak="0">
    <w:nsid w:val="2B1A39E8"/>
    <w:multiLevelType w:val="multilevel"/>
    <w:tmpl w:val="D5104674"/>
    <w:lvl w:ilvl="0">
      <w:start w:val="1"/>
      <w:numFmt w:val="decimal"/>
      <w:lvlText w:val="%1."/>
      <w:lvlJc w:val="left"/>
      <w:pPr>
        <w:tabs>
          <w:tab w:val="num" w:pos="720"/>
        </w:tabs>
        <w:ind w:left="720" w:hanging="360"/>
      </w:pPr>
      <w:rPr>
        <w:rFonts w:hint="default"/>
      </w:rPr>
    </w:lvl>
    <w:lvl w:ilvl="1">
      <w:start w:val="1"/>
      <w:numFmt w:val="decimal"/>
      <w:pStyle w:val="2Pealkiri"/>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2D096B34"/>
    <w:multiLevelType w:val="hybridMultilevel"/>
    <w:tmpl w:val="DD4C59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2D490EEA"/>
    <w:multiLevelType w:val="multilevel"/>
    <w:tmpl w:val="10E69668"/>
    <w:numStyleLink w:val="Laad3"/>
  </w:abstractNum>
  <w:abstractNum w:abstractNumId="38" w15:restartNumberingAfterBreak="0">
    <w:nsid w:val="2FCC6282"/>
    <w:multiLevelType w:val="multilevel"/>
    <w:tmpl w:val="D21E4F56"/>
    <w:lvl w:ilvl="0">
      <w:start w:val="1"/>
      <w:numFmt w:val="decimal"/>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1.1"/>
      <w:lvlJc w:val="left"/>
      <w:pPr>
        <w:ind w:left="576" w:hanging="576"/>
      </w:pPr>
      <w:rPr>
        <w:rFonts w:hint="default"/>
      </w:rPr>
    </w:lvl>
    <w:lvl w:ilvl="2">
      <w:start w:val="1"/>
      <w:numFmt w:val="decimal"/>
      <w:lvlText w:val="%1.1.%3"/>
      <w:lvlJc w:val="left"/>
      <w:pPr>
        <w:ind w:left="720" w:hanging="720"/>
      </w:pPr>
      <w:rPr>
        <w:rFonts w:hint="default"/>
      </w:rPr>
    </w:lvl>
    <w:lvl w:ilvl="3">
      <w:start w:val="1"/>
      <w:numFmt w:val="decimal"/>
      <w:lvlText w:val="%1.1.%3.%4"/>
      <w:lvlJc w:val="left"/>
      <w:pPr>
        <w:ind w:left="864" w:hanging="864"/>
      </w:pPr>
      <w:rPr>
        <w:rFonts w:hint="default"/>
      </w:rPr>
    </w:lvl>
    <w:lvl w:ilvl="4">
      <w:start w:val="1"/>
      <w:numFmt w:val="decimal"/>
      <w:lvlText w:val="%1.1.%3.%4.%5"/>
      <w:lvlJc w:val="left"/>
      <w:pPr>
        <w:ind w:left="1008" w:hanging="1008"/>
      </w:pPr>
      <w:rPr>
        <w:rFonts w:hint="default"/>
      </w:rPr>
    </w:lvl>
    <w:lvl w:ilvl="5">
      <w:start w:val="1"/>
      <w:numFmt w:val="decimal"/>
      <w:lvlText w:val="%1.1.%3.%4.%5.%6"/>
      <w:lvlJc w:val="left"/>
      <w:pPr>
        <w:ind w:left="1152" w:hanging="1152"/>
      </w:pPr>
      <w:rPr>
        <w:rFonts w:hint="default"/>
      </w:rPr>
    </w:lvl>
    <w:lvl w:ilvl="6">
      <w:start w:val="1"/>
      <w:numFmt w:val="decimal"/>
      <w:lvlText w:val="%1.1.%3.%4.%5.%6.%7"/>
      <w:lvlJc w:val="left"/>
      <w:pPr>
        <w:ind w:left="1296" w:hanging="1296"/>
      </w:pPr>
      <w:rPr>
        <w:rFonts w:hint="default"/>
      </w:rPr>
    </w:lvl>
    <w:lvl w:ilvl="7">
      <w:start w:val="1"/>
      <w:numFmt w:val="decimal"/>
      <w:lvlText w:val="%1.1.%3.%4.%5.%6.%7.%8"/>
      <w:lvlJc w:val="left"/>
      <w:pPr>
        <w:ind w:left="1440" w:hanging="1440"/>
      </w:pPr>
      <w:rPr>
        <w:rFonts w:hint="default"/>
      </w:rPr>
    </w:lvl>
    <w:lvl w:ilvl="8">
      <w:start w:val="1"/>
      <w:numFmt w:val="decimal"/>
      <w:lvlText w:val="%1.1.%3.%4.%5.%6.%7.%8.%9"/>
      <w:lvlJc w:val="left"/>
      <w:pPr>
        <w:ind w:left="1584" w:hanging="1584"/>
      </w:pPr>
      <w:rPr>
        <w:rFonts w:hint="default"/>
      </w:rPr>
    </w:lvl>
  </w:abstractNum>
  <w:abstractNum w:abstractNumId="39" w15:restartNumberingAfterBreak="0">
    <w:nsid w:val="31A827F4"/>
    <w:multiLevelType w:val="hybridMultilevel"/>
    <w:tmpl w:val="CBE0DE0C"/>
    <w:lvl w:ilvl="0" w:tplc="8BEA3286">
      <w:start w:val="1"/>
      <w:numFmt w:val="decimal"/>
      <w:lvlText w:val="%1)"/>
      <w:lvlJc w:val="left"/>
      <w:pPr>
        <w:ind w:left="4058" w:hanging="360"/>
      </w:pPr>
      <w:rPr>
        <w:rFonts w:hint="default"/>
      </w:rPr>
    </w:lvl>
    <w:lvl w:ilvl="1" w:tplc="04250019" w:tentative="1">
      <w:start w:val="1"/>
      <w:numFmt w:val="lowerLetter"/>
      <w:lvlText w:val="%2."/>
      <w:lvlJc w:val="left"/>
      <w:pPr>
        <w:ind w:left="4778" w:hanging="360"/>
      </w:pPr>
    </w:lvl>
    <w:lvl w:ilvl="2" w:tplc="0425001B" w:tentative="1">
      <w:start w:val="1"/>
      <w:numFmt w:val="lowerRoman"/>
      <w:lvlText w:val="%3."/>
      <w:lvlJc w:val="right"/>
      <w:pPr>
        <w:ind w:left="5498" w:hanging="180"/>
      </w:pPr>
    </w:lvl>
    <w:lvl w:ilvl="3" w:tplc="0425000F" w:tentative="1">
      <w:start w:val="1"/>
      <w:numFmt w:val="decimal"/>
      <w:lvlText w:val="%4."/>
      <w:lvlJc w:val="left"/>
      <w:pPr>
        <w:ind w:left="6218" w:hanging="360"/>
      </w:pPr>
    </w:lvl>
    <w:lvl w:ilvl="4" w:tplc="04250019" w:tentative="1">
      <w:start w:val="1"/>
      <w:numFmt w:val="lowerLetter"/>
      <w:lvlText w:val="%5."/>
      <w:lvlJc w:val="left"/>
      <w:pPr>
        <w:ind w:left="6938" w:hanging="360"/>
      </w:pPr>
    </w:lvl>
    <w:lvl w:ilvl="5" w:tplc="0425001B" w:tentative="1">
      <w:start w:val="1"/>
      <w:numFmt w:val="lowerRoman"/>
      <w:lvlText w:val="%6."/>
      <w:lvlJc w:val="right"/>
      <w:pPr>
        <w:ind w:left="7658" w:hanging="180"/>
      </w:pPr>
    </w:lvl>
    <w:lvl w:ilvl="6" w:tplc="0425000F" w:tentative="1">
      <w:start w:val="1"/>
      <w:numFmt w:val="decimal"/>
      <w:lvlText w:val="%7."/>
      <w:lvlJc w:val="left"/>
      <w:pPr>
        <w:ind w:left="8378" w:hanging="360"/>
      </w:pPr>
    </w:lvl>
    <w:lvl w:ilvl="7" w:tplc="04250019" w:tentative="1">
      <w:start w:val="1"/>
      <w:numFmt w:val="lowerLetter"/>
      <w:lvlText w:val="%8."/>
      <w:lvlJc w:val="left"/>
      <w:pPr>
        <w:ind w:left="9098" w:hanging="360"/>
      </w:pPr>
    </w:lvl>
    <w:lvl w:ilvl="8" w:tplc="0425001B" w:tentative="1">
      <w:start w:val="1"/>
      <w:numFmt w:val="lowerRoman"/>
      <w:lvlText w:val="%9."/>
      <w:lvlJc w:val="right"/>
      <w:pPr>
        <w:ind w:left="9818" w:hanging="180"/>
      </w:pPr>
    </w:lvl>
  </w:abstractNum>
  <w:abstractNum w:abstractNumId="40" w15:restartNumberingAfterBreak="0">
    <w:nsid w:val="320A55CA"/>
    <w:multiLevelType w:val="hybridMultilevel"/>
    <w:tmpl w:val="5E66D5DC"/>
    <w:lvl w:ilvl="0" w:tplc="7688B964">
      <w:start w:val="1"/>
      <w:numFmt w:val="bullet"/>
      <w:lvlText w:val="•"/>
      <w:lvlJc w:val="left"/>
      <w:pPr>
        <w:ind w:left="21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41" w15:restartNumberingAfterBreak="0">
    <w:nsid w:val="32FD51A4"/>
    <w:multiLevelType w:val="multilevel"/>
    <w:tmpl w:val="EE7461CA"/>
    <w:lvl w:ilvl="0">
      <w:start w:val="1"/>
      <w:numFmt w:val="decimal"/>
      <w:pStyle w:val="Pealkiri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3BC603C"/>
    <w:multiLevelType w:val="hybridMultilevel"/>
    <w:tmpl w:val="1864047A"/>
    <w:lvl w:ilvl="0" w:tplc="04250011">
      <w:start w:val="1"/>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43" w15:restartNumberingAfterBreak="0">
    <w:nsid w:val="360D57F1"/>
    <w:multiLevelType w:val="hybridMultilevel"/>
    <w:tmpl w:val="F474C604"/>
    <w:lvl w:ilvl="0" w:tplc="04250001">
      <w:start w:val="1"/>
      <w:numFmt w:val="bullet"/>
      <w:lvlText w:val=""/>
      <w:lvlJc w:val="left"/>
      <w:pPr>
        <w:ind w:left="12240" w:hanging="360"/>
      </w:pPr>
      <w:rPr>
        <w:rFonts w:ascii="Symbol" w:hAnsi="Symbol" w:hint="default"/>
      </w:rPr>
    </w:lvl>
    <w:lvl w:ilvl="1" w:tplc="04250003" w:tentative="1">
      <w:start w:val="1"/>
      <w:numFmt w:val="bullet"/>
      <w:lvlText w:val="o"/>
      <w:lvlJc w:val="left"/>
      <w:pPr>
        <w:ind w:left="12960" w:hanging="360"/>
      </w:pPr>
      <w:rPr>
        <w:rFonts w:ascii="Courier New" w:hAnsi="Courier New" w:cs="Courier New" w:hint="default"/>
      </w:rPr>
    </w:lvl>
    <w:lvl w:ilvl="2" w:tplc="04250005" w:tentative="1">
      <w:start w:val="1"/>
      <w:numFmt w:val="bullet"/>
      <w:lvlText w:val=""/>
      <w:lvlJc w:val="left"/>
      <w:pPr>
        <w:ind w:left="13680" w:hanging="360"/>
      </w:pPr>
      <w:rPr>
        <w:rFonts w:ascii="Wingdings" w:hAnsi="Wingdings" w:hint="default"/>
      </w:rPr>
    </w:lvl>
    <w:lvl w:ilvl="3" w:tplc="04250001" w:tentative="1">
      <w:start w:val="1"/>
      <w:numFmt w:val="bullet"/>
      <w:lvlText w:val=""/>
      <w:lvlJc w:val="left"/>
      <w:pPr>
        <w:ind w:left="14400" w:hanging="360"/>
      </w:pPr>
      <w:rPr>
        <w:rFonts w:ascii="Symbol" w:hAnsi="Symbol" w:hint="default"/>
      </w:rPr>
    </w:lvl>
    <w:lvl w:ilvl="4" w:tplc="04250003" w:tentative="1">
      <w:start w:val="1"/>
      <w:numFmt w:val="bullet"/>
      <w:lvlText w:val="o"/>
      <w:lvlJc w:val="left"/>
      <w:pPr>
        <w:ind w:left="15120" w:hanging="360"/>
      </w:pPr>
      <w:rPr>
        <w:rFonts w:ascii="Courier New" w:hAnsi="Courier New" w:cs="Courier New" w:hint="default"/>
      </w:rPr>
    </w:lvl>
    <w:lvl w:ilvl="5" w:tplc="04250005" w:tentative="1">
      <w:start w:val="1"/>
      <w:numFmt w:val="bullet"/>
      <w:lvlText w:val=""/>
      <w:lvlJc w:val="left"/>
      <w:pPr>
        <w:ind w:left="15840" w:hanging="360"/>
      </w:pPr>
      <w:rPr>
        <w:rFonts w:ascii="Wingdings" w:hAnsi="Wingdings" w:hint="default"/>
      </w:rPr>
    </w:lvl>
    <w:lvl w:ilvl="6" w:tplc="04250001" w:tentative="1">
      <w:start w:val="1"/>
      <w:numFmt w:val="bullet"/>
      <w:lvlText w:val=""/>
      <w:lvlJc w:val="left"/>
      <w:pPr>
        <w:ind w:left="16560" w:hanging="360"/>
      </w:pPr>
      <w:rPr>
        <w:rFonts w:ascii="Symbol" w:hAnsi="Symbol" w:hint="default"/>
      </w:rPr>
    </w:lvl>
    <w:lvl w:ilvl="7" w:tplc="04250003" w:tentative="1">
      <w:start w:val="1"/>
      <w:numFmt w:val="bullet"/>
      <w:lvlText w:val="o"/>
      <w:lvlJc w:val="left"/>
      <w:pPr>
        <w:ind w:left="17280" w:hanging="360"/>
      </w:pPr>
      <w:rPr>
        <w:rFonts w:ascii="Courier New" w:hAnsi="Courier New" w:cs="Courier New" w:hint="default"/>
      </w:rPr>
    </w:lvl>
    <w:lvl w:ilvl="8" w:tplc="04250005" w:tentative="1">
      <w:start w:val="1"/>
      <w:numFmt w:val="bullet"/>
      <w:lvlText w:val=""/>
      <w:lvlJc w:val="left"/>
      <w:pPr>
        <w:ind w:left="18000" w:hanging="360"/>
      </w:pPr>
      <w:rPr>
        <w:rFonts w:ascii="Wingdings" w:hAnsi="Wingdings" w:hint="default"/>
      </w:rPr>
    </w:lvl>
  </w:abstractNum>
  <w:abstractNum w:abstractNumId="44" w15:restartNumberingAfterBreak="0">
    <w:nsid w:val="37DD6116"/>
    <w:multiLevelType w:val="hybridMultilevel"/>
    <w:tmpl w:val="2C0C1D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970459F"/>
    <w:multiLevelType w:val="multilevel"/>
    <w:tmpl w:val="F912DFA8"/>
    <w:lvl w:ilvl="0">
      <w:start w:val="1"/>
      <w:numFmt w:val="decimal"/>
      <w:lvlText w:val="%1"/>
      <w:lvlJc w:val="left"/>
      <w:pPr>
        <w:ind w:left="432" w:hanging="432"/>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39C877D0"/>
    <w:multiLevelType w:val="multilevel"/>
    <w:tmpl w:val="D340DA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B806EAE"/>
    <w:multiLevelType w:val="hybridMultilevel"/>
    <w:tmpl w:val="D94CE41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3BE3338F"/>
    <w:multiLevelType w:val="hybridMultilevel"/>
    <w:tmpl w:val="76C840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9" w15:restartNumberingAfterBreak="0">
    <w:nsid w:val="3C6A6840"/>
    <w:multiLevelType w:val="multilevel"/>
    <w:tmpl w:val="10E69668"/>
    <w:styleLink w:val="Laad3"/>
    <w:lvl w:ilvl="0">
      <w:start w:val="1"/>
      <w:numFmt w:val="decimal"/>
      <w:lvlText w:val="%1"/>
      <w:lvlJc w:val="left"/>
      <w:pPr>
        <w:ind w:left="432" w:hanging="432"/>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specVanish w:val="0"/>
      </w:rPr>
    </w:lvl>
    <w:lvl w:ilvl="2">
      <w:start w:val="1"/>
      <w:numFmt w:val="decimal"/>
      <w:pStyle w:val="Pealk3"/>
      <w:lvlText w:val="%1.%2.%3"/>
      <w:lvlJc w:val="left"/>
      <w:pPr>
        <w:ind w:left="720" w:hanging="720"/>
      </w:pPr>
      <w:rPr>
        <w:rFonts w:hint="default"/>
      </w:rPr>
    </w:lvl>
    <w:lvl w:ilvl="3">
      <w:start w:val="1"/>
      <w:numFmt w:val="decimal"/>
      <w:lvlText w:val="%1.%2.%3.%4"/>
      <w:lvlJc w:val="left"/>
      <w:pPr>
        <w:ind w:left="864" w:hanging="864"/>
      </w:p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3D982A46"/>
    <w:multiLevelType w:val="hybridMultilevel"/>
    <w:tmpl w:val="C94E5B14"/>
    <w:lvl w:ilvl="0" w:tplc="04250001">
      <w:numFmt w:val="bullet"/>
      <w:lvlText w:val=""/>
      <w:lvlJc w:val="left"/>
      <w:pPr>
        <w:ind w:left="502" w:hanging="360"/>
      </w:pPr>
      <w:rPr>
        <w:rFonts w:ascii="Symbol" w:eastAsia="Times New Roman" w:hAnsi="Symbol" w:cs="Times New Roman" w:hint="default"/>
      </w:rPr>
    </w:lvl>
    <w:lvl w:ilvl="1" w:tplc="04250003" w:tentative="1">
      <w:start w:val="1"/>
      <w:numFmt w:val="bullet"/>
      <w:lvlText w:val="o"/>
      <w:lvlJc w:val="left"/>
      <w:pPr>
        <w:ind w:left="2225" w:hanging="360"/>
      </w:pPr>
      <w:rPr>
        <w:rFonts w:ascii="Courier New" w:hAnsi="Courier New" w:cs="Courier New" w:hint="default"/>
      </w:rPr>
    </w:lvl>
    <w:lvl w:ilvl="2" w:tplc="04250005" w:tentative="1">
      <w:start w:val="1"/>
      <w:numFmt w:val="bullet"/>
      <w:lvlText w:val=""/>
      <w:lvlJc w:val="left"/>
      <w:pPr>
        <w:ind w:left="2945" w:hanging="360"/>
      </w:pPr>
      <w:rPr>
        <w:rFonts w:ascii="Wingdings" w:hAnsi="Wingdings" w:hint="default"/>
      </w:rPr>
    </w:lvl>
    <w:lvl w:ilvl="3" w:tplc="04250001" w:tentative="1">
      <w:start w:val="1"/>
      <w:numFmt w:val="bullet"/>
      <w:lvlText w:val=""/>
      <w:lvlJc w:val="left"/>
      <w:pPr>
        <w:ind w:left="3665" w:hanging="360"/>
      </w:pPr>
      <w:rPr>
        <w:rFonts w:ascii="Symbol" w:hAnsi="Symbol" w:hint="default"/>
      </w:rPr>
    </w:lvl>
    <w:lvl w:ilvl="4" w:tplc="04250003" w:tentative="1">
      <w:start w:val="1"/>
      <w:numFmt w:val="bullet"/>
      <w:lvlText w:val="o"/>
      <w:lvlJc w:val="left"/>
      <w:pPr>
        <w:ind w:left="4385" w:hanging="360"/>
      </w:pPr>
      <w:rPr>
        <w:rFonts w:ascii="Courier New" w:hAnsi="Courier New" w:cs="Courier New" w:hint="default"/>
      </w:rPr>
    </w:lvl>
    <w:lvl w:ilvl="5" w:tplc="04250005" w:tentative="1">
      <w:start w:val="1"/>
      <w:numFmt w:val="bullet"/>
      <w:lvlText w:val=""/>
      <w:lvlJc w:val="left"/>
      <w:pPr>
        <w:ind w:left="5105" w:hanging="360"/>
      </w:pPr>
      <w:rPr>
        <w:rFonts w:ascii="Wingdings" w:hAnsi="Wingdings" w:hint="default"/>
      </w:rPr>
    </w:lvl>
    <w:lvl w:ilvl="6" w:tplc="04250001" w:tentative="1">
      <w:start w:val="1"/>
      <w:numFmt w:val="bullet"/>
      <w:lvlText w:val=""/>
      <w:lvlJc w:val="left"/>
      <w:pPr>
        <w:ind w:left="5825" w:hanging="360"/>
      </w:pPr>
      <w:rPr>
        <w:rFonts w:ascii="Symbol" w:hAnsi="Symbol" w:hint="default"/>
      </w:rPr>
    </w:lvl>
    <w:lvl w:ilvl="7" w:tplc="04250003" w:tentative="1">
      <w:start w:val="1"/>
      <w:numFmt w:val="bullet"/>
      <w:lvlText w:val="o"/>
      <w:lvlJc w:val="left"/>
      <w:pPr>
        <w:ind w:left="6545" w:hanging="360"/>
      </w:pPr>
      <w:rPr>
        <w:rFonts w:ascii="Courier New" w:hAnsi="Courier New" w:cs="Courier New" w:hint="default"/>
      </w:rPr>
    </w:lvl>
    <w:lvl w:ilvl="8" w:tplc="04250005" w:tentative="1">
      <w:start w:val="1"/>
      <w:numFmt w:val="bullet"/>
      <w:lvlText w:val=""/>
      <w:lvlJc w:val="left"/>
      <w:pPr>
        <w:ind w:left="7265" w:hanging="360"/>
      </w:pPr>
      <w:rPr>
        <w:rFonts w:ascii="Wingdings" w:hAnsi="Wingdings" w:hint="default"/>
      </w:rPr>
    </w:lvl>
  </w:abstractNum>
  <w:abstractNum w:abstractNumId="51" w15:restartNumberingAfterBreak="0">
    <w:nsid w:val="3F596CC9"/>
    <w:multiLevelType w:val="multilevel"/>
    <w:tmpl w:val="90664280"/>
    <w:lvl w:ilvl="0">
      <w:start w:val="1"/>
      <w:numFmt w:val="decimal"/>
      <w:pStyle w:val="Pealkiri13"/>
      <w:lvlText w:val="%1"/>
      <w:lvlJc w:val="left"/>
      <w:pPr>
        <w:ind w:left="432" w:hanging="432"/>
      </w:pPr>
    </w:lvl>
    <w:lvl w:ilvl="1">
      <w:start w:val="1"/>
      <w:numFmt w:val="decimal"/>
      <w:pStyle w:val="Pealkiri23"/>
      <w:lvlText w:val="%1.%2"/>
      <w:lvlJc w:val="left"/>
      <w:pPr>
        <w:ind w:left="576" w:hanging="576"/>
      </w:pPr>
    </w:lvl>
    <w:lvl w:ilvl="2">
      <w:start w:val="1"/>
      <w:numFmt w:val="decimal"/>
      <w:pStyle w:val="Pealkiri32"/>
      <w:lvlText w:val="%1.%2.%3"/>
      <w:lvlJc w:val="left"/>
      <w:pPr>
        <w:ind w:left="720" w:hanging="720"/>
      </w:pPr>
    </w:lvl>
    <w:lvl w:ilvl="3">
      <w:start w:val="1"/>
      <w:numFmt w:val="decimal"/>
      <w:pStyle w:val="Pealkiri43"/>
      <w:lvlText w:val="%1.%2.%3.%4"/>
      <w:lvlJc w:val="left"/>
      <w:pPr>
        <w:ind w:left="864" w:hanging="864"/>
      </w:pPr>
    </w:lvl>
    <w:lvl w:ilvl="4">
      <w:start w:val="1"/>
      <w:numFmt w:val="decimal"/>
      <w:pStyle w:val="Pealkiri53"/>
      <w:lvlText w:val="%1.%2.%3.%4.%5"/>
      <w:lvlJc w:val="left"/>
      <w:pPr>
        <w:ind w:left="1008" w:hanging="1008"/>
      </w:pPr>
    </w:lvl>
    <w:lvl w:ilvl="5">
      <w:start w:val="1"/>
      <w:numFmt w:val="decimal"/>
      <w:pStyle w:val="Pealkiri63"/>
      <w:lvlText w:val="%1.%2.%3.%4.%5.%6"/>
      <w:lvlJc w:val="left"/>
      <w:pPr>
        <w:ind w:left="1152" w:hanging="1152"/>
      </w:pPr>
    </w:lvl>
    <w:lvl w:ilvl="6">
      <w:start w:val="1"/>
      <w:numFmt w:val="decimal"/>
      <w:pStyle w:val="Pealkiri73"/>
      <w:lvlText w:val="%1.%2.%3.%4.%5.%6.%7"/>
      <w:lvlJc w:val="left"/>
      <w:pPr>
        <w:ind w:left="1296" w:hanging="1296"/>
      </w:pPr>
    </w:lvl>
    <w:lvl w:ilvl="7">
      <w:start w:val="1"/>
      <w:numFmt w:val="decimal"/>
      <w:pStyle w:val="Pealkiri83"/>
      <w:lvlText w:val="%1.%2.%3.%4.%5.%6.%7.%8"/>
      <w:lvlJc w:val="left"/>
      <w:pPr>
        <w:ind w:left="1440" w:hanging="1440"/>
      </w:pPr>
    </w:lvl>
    <w:lvl w:ilvl="8">
      <w:start w:val="1"/>
      <w:numFmt w:val="decimal"/>
      <w:pStyle w:val="Pealkiri93"/>
      <w:lvlText w:val="%1.%2.%3.%4.%5.%6.%7.%8.%9"/>
      <w:lvlJc w:val="left"/>
      <w:pPr>
        <w:ind w:left="1584" w:hanging="1584"/>
      </w:pPr>
    </w:lvl>
  </w:abstractNum>
  <w:abstractNum w:abstractNumId="52" w15:restartNumberingAfterBreak="0">
    <w:nsid w:val="3F845BAD"/>
    <w:multiLevelType w:val="hybridMultilevel"/>
    <w:tmpl w:val="6D7A5944"/>
    <w:lvl w:ilvl="0" w:tplc="0426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3" w15:restartNumberingAfterBreak="0">
    <w:nsid w:val="40CA3A96"/>
    <w:multiLevelType w:val="multilevel"/>
    <w:tmpl w:val="E73CA29E"/>
    <w:lvl w:ilvl="0">
      <w:start w:val="1"/>
      <w:numFmt w:val="decimal"/>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1.1"/>
      <w:lvlJc w:val="left"/>
      <w:pPr>
        <w:ind w:left="576" w:hanging="576"/>
      </w:pPr>
      <w:rPr>
        <w:rFonts w:hint="default"/>
      </w:rPr>
    </w:lvl>
    <w:lvl w:ilvl="2">
      <w:start w:val="1"/>
      <w:numFmt w:val="decimal"/>
      <w:lvlText w:val="%1.1.%3"/>
      <w:lvlJc w:val="left"/>
      <w:pPr>
        <w:ind w:left="720" w:hanging="720"/>
      </w:pPr>
      <w:rPr>
        <w:rFonts w:hint="default"/>
      </w:rPr>
    </w:lvl>
    <w:lvl w:ilvl="3">
      <w:start w:val="1"/>
      <w:numFmt w:val="decimal"/>
      <w:lvlText w:val="%1.1.6.%4"/>
      <w:lvlJc w:val="left"/>
      <w:pPr>
        <w:ind w:left="864" w:hanging="864"/>
      </w:pPr>
      <w:rPr>
        <w:rFonts w:hint="default"/>
      </w:rPr>
    </w:lvl>
    <w:lvl w:ilvl="4">
      <w:start w:val="1"/>
      <w:numFmt w:val="decimal"/>
      <w:lvlText w:val="%1.1.%3.%4.%5"/>
      <w:lvlJc w:val="left"/>
      <w:pPr>
        <w:ind w:left="1008" w:hanging="1008"/>
      </w:pPr>
      <w:rPr>
        <w:rFonts w:hint="default"/>
      </w:rPr>
    </w:lvl>
    <w:lvl w:ilvl="5">
      <w:start w:val="1"/>
      <w:numFmt w:val="decimal"/>
      <w:lvlText w:val="%1.1.%3.%4.%5.%6"/>
      <w:lvlJc w:val="left"/>
      <w:pPr>
        <w:ind w:left="1152" w:hanging="1152"/>
      </w:pPr>
      <w:rPr>
        <w:rFonts w:hint="default"/>
      </w:rPr>
    </w:lvl>
    <w:lvl w:ilvl="6">
      <w:start w:val="1"/>
      <w:numFmt w:val="decimal"/>
      <w:lvlText w:val="%1.1.%3.%4.%5.%6.%7"/>
      <w:lvlJc w:val="left"/>
      <w:pPr>
        <w:ind w:left="1296" w:hanging="1296"/>
      </w:pPr>
      <w:rPr>
        <w:rFonts w:hint="default"/>
      </w:rPr>
    </w:lvl>
    <w:lvl w:ilvl="7">
      <w:start w:val="1"/>
      <w:numFmt w:val="decimal"/>
      <w:lvlText w:val="%1.1.%3.%4.%5.%6.%7.%8"/>
      <w:lvlJc w:val="left"/>
      <w:pPr>
        <w:ind w:left="1440" w:hanging="1440"/>
      </w:pPr>
      <w:rPr>
        <w:rFonts w:hint="default"/>
      </w:rPr>
    </w:lvl>
    <w:lvl w:ilvl="8">
      <w:start w:val="1"/>
      <w:numFmt w:val="decimal"/>
      <w:lvlText w:val="%1.1.%3.%4.%5.%6.%7.%8.%9"/>
      <w:lvlJc w:val="left"/>
      <w:pPr>
        <w:ind w:left="1584" w:hanging="1584"/>
      </w:pPr>
      <w:rPr>
        <w:rFonts w:hint="default"/>
      </w:rPr>
    </w:lvl>
  </w:abstractNum>
  <w:abstractNum w:abstractNumId="54" w15:restartNumberingAfterBreak="0">
    <w:nsid w:val="40F94565"/>
    <w:multiLevelType w:val="multilevel"/>
    <w:tmpl w:val="75D4E7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4165099B"/>
    <w:multiLevelType w:val="hybridMultilevel"/>
    <w:tmpl w:val="6D6C46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6" w15:restartNumberingAfterBreak="0">
    <w:nsid w:val="42ED4777"/>
    <w:multiLevelType w:val="hybridMultilevel"/>
    <w:tmpl w:val="AA0890EC"/>
    <w:lvl w:ilvl="0" w:tplc="0426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7" w15:restartNumberingAfterBreak="0">
    <w:nsid w:val="43AF6400"/>
    <w:multiLevelType w:val="hybridMultilevel"/>
    <w:tmpl w:val="35F0909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8" w15:restartNumberingAfterBreak="0">
    <w:nsid w:val="446647CB"/>
    <w:multiLevelType w:val="multilevel"/>
    <w:tmpl w:val="D80CBC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4583027E"/>
    <w:multiLevelType w:val="hybridMultilevel"/>
    <w:tmpl w:val="9A4E399A"/>
    <w:lvl w:ilvl="0" w:tplc="0426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0" w15:restartNumberingAfterBreak="0">
    <w:nsid w:val="45866AC1"/>
    <w:multiLevelType w:val="hybridMultilevel"/>
    <w:tmpl w:val="8FC4EAC2"/>
    <w:lvl w:ilvl="0" w:tplc="0426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1" w15:restartNumberingAfterBreak="0">
    <w:nsid w:val="472E7930"/>
    <w:multiLevelType w:val="hybridMultilevel"/>
    <w:tmpl w:val="1A245B6A"/>
    <w:lvl w:ilvl="0" w:tplc="FFFFFFFF">
      <w:start w:val="1"/>
      <w:numFmt w:val="decimal"/>
      <w:lvlText w:val="%1)"/>
      <w:lvlJc w:val="left"/>
      <w:pPr>
        <w:tabs>
          <w:tab w:val="num" w:pos="1070"/>
        </w:tabs>
        <w:ind w:left="1070" w:hanging="360"/>
      </w:pPr>
      <w:rPr>
        <w:rFonts w:hint="default"/>
      </w:rPr>
    </w:lvl>
    <w:lvl w:ilvl="1" w:tplc="FFFFFFFF" w:tentative="1">
      <w:start w:val="1"/>
      <w:numFmt w:val="bullet"/>
      <w:lvlText w:val="o"/>
      <w:lvlJc w:val="left"/>
      <w:pPr>
        <w:tabs>
          <w:tab w:val="num" w:pos="1790"/>
        </w:tabs>
        <w:ind w:left="1790" w:hanging="360"/>
      </w:pPr>
      <w:rPr>
        <w:rFonts w:ascii="Courier New" w:hAnsi="Courier New" w:cs="Courier New" w:hint="default"/>
      </w:rPr>
    </w:lvl>
    <w:lvl w:ilvl="2" w:tplc="FFFFFFFF" w:tentative="1">
      <w:start w:val="1"/>
      <w:numFmt w:val="bullet"/>
      <w:lvlText w:val=""/>
      <w:lvlJc w:val="left"/>
      <w:pPr>
        <w:tabs>
          <w:tab w:val="num" w:pos="2510"/>
        </w:tabs>
        <w:ind w:left="2510" w:hanging="360"/>
      </w:pPr>
      <w:rPr>
        <w:rFonts w:ascii="Wingdings" w:hAnsi="Wingdings" w:hint="default"/>
      </w:rPr>
    </w:lvl>
    <w:lvl w:ilvl="3" w:tplc="FFFFFFFF" w:tentative="1">
      <w:start w:val="1"/>
      <w:numFmt w:val="bullet"/>
      <w:lvlText w:val=""/>
      <w:lvlJc w:val="left"/>
      <w:pPr>
        <w:tabs>
          <w:tab w:val="num" w:pos="3230"/>
        </w:tabs>
        <w:ind w:left="3230" w:hanging="360"/>
      </w:pPr>
      <w:rPr>
        <w:rFonts w:ascii="Symbol" w:hAnsi="Symbol" w:hint="default"/>
      </w:rPr>
    </w:lvl>
    <w:lvl w:ilvl="4" w:tplc="FFFFFFFF" w:tentative="1">
      <w:start w:val="1"/>
      <w:numFmt w:val="bullet"/>
      <w:lvlText w:val="o"/>
      <w:lvlJc w:val="left"/>
      <w:pPr>
        <w:tabs>
          <w:tab w:val="num" w:pos="3950"/>
        </w:tabs>
        <w:ind w:left="3950" w:hanging="360"/>
      </w:pPr>
      <w:rPr>
        <w:rFonts w:ascii="Courier New" w:hAnsi="Courier New" w:cs="Courier New" w:hint="default"/>
      </w:rPr>
    </w:lvl>
    <w:lvl w:ilvl="5" w:tplc="FFFFFFFF" w:tentative="1">
      <w:start w:val="1"/>
      <w:numFmt w:val="bullet"/>
      <w:lvlText w:val=""/>
      <w:lvlJc w:val="left"/>
      <w:pPr>
        <w:tabs>
          <w:tab w:val="num" w:pos="4670"/>
        </w:tabs>
        <w:ind w:left="4670" w:hanging="360"/>
      </w:pPr>
      <w:rPr>
        <w:rFonts w:ascii="Wingdings" w:hAnsi="Wingdings" w:hint="default"/>
      </w:rPr>
    </w:lvl>
    <w:lvl w:ilvl="6" w:tplc="FFFFFFFF" w:tentative="1">
      <w:start w:val="1"/>
      <w:numFmt w:val="bullet"/>
      <w:lvlText w:val=""/>
      <w:lvlJc w:val="left"/>
      <w:pPr>
        <w:tabs>
          <w:tab w:val="num" w:pos="5390"/>
        </w:tabs>
        <w:ind w:left="5390" w:hanging="360"/>
      </w:pPr>
      <w:rPr>
        <w:rFonts w:ascii="Symbol" w:hAnsi="Symbol" w:hint="default"/>
      </w:rPr>
    </w:lvl>
    <w:lvl w:ilvl="7" w:tplc="FFFFFFFF" w:tentative="1">
      <w:start w:val="1"/>
      <w:numFmt w:val="bullet"/>
      <w:lvlText w:val="o"/>
      <w:lvlJc w:val="left"/>
      <w:pPr>
        <w:tabs>
          <w:tab w:val="num" w:pos="6110"/>
        </w:tabs>
        <w:ind w:left="6110" w:hanging="360"/>
      </w:pPr>
      <w:rPr>
        <w:rFonts w:ascii="Courier New" w:hAnsi="Courier New" w:cs="Courier New" w:hint="default"/>
      </w:rPr>
    </w:lvl>
    <w:lvl w:ilvl="8" w:tplc="FFFFFFFF" w:tentative="1">
      <w:start w:val="1"/>
      <w:numFmt w:val="bullet"/>
      <w:lvlText w:val=""/>
      <w:lvlJc w:val="left"/>
      <w:pPr>
        <w:tabs>
          <w:tab w:val="num" w:pos="6830"/>
        </w:tabs>
        <w:ind w:left="6830" w:hanging="360"/>
      </w:pPr>
      <w:rPr>
        <w:rFonts w:ascii="Wingdings" w:hAnsi="Wingdings" w:hint="default"/>
      </w:rPr>
    </w:lvl>
  </w:abstractNum>
  <w:abstractNum w:abstractNumId="62" w15:restartNumberingAfterBreak="0">
    <w:nsid w:val="49515A6E"/>
    <w:multiLevelType w:val="hybridMultilevel"/>
    <w:tmpl w:val="E3EA23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15:restartNumberingAfterBreak="0">
    <w:nsid w:val="4AF67D15"/>
    <w:multiLevelType w:val="hybridMultilevel"/>
    <w:tmpl w:val="3D2052FA"/>
    <w:lvl w:ilvl="0" w:tplc="92881224">
      <w:start w:val="1"/>
      <w:numFmt w:val="decimal"/>
      <w:lvlText w:val="%1)"/>
      <w:lvlJc w:val="left"/>
      <w:pPr>
        <w:ind w:left="1145" w:hanging="360"/>
      </w:pPr>
      <w:rPr>
        <w:rFonts w:hint="default"/>
      </w:rPr>
    </w:lvl>
    <w:lvl w:ilvl="1" w:tplc="04250019" w:tentative="1">
      <w:start w:val="1"/>
      <w:numFmt w:val="lowerLetter"/>
      <w:lvlText w:val="%2."/>
      <w:lvlJc w:val="left"/>
      <w:pPr>
        <w:ind w:left="1865" w:hanging="360"/>
      </w:pPr>
    </w:lvl>
    <w:lvl w:ilvl="2" w:tplc="0425001B" w:tentative="1">
      <w:start w:val="1"/>
      <w:numFmt w:val="lowerRoman"/>
      <w:lvlText w:val="%3."/>
      <w:lvlJc w:val="right"/>
      <w:pPr>
        <w:ind w:left="2585" w:hanging="180"/>
      </w:pPr>
    </w:lvl>
    <w:lvl w:ilvl="3" w:tplc="0425000F" w:tentative="1">
      <w:start w:val="1"/>
      <w:numFmt w:val="decimal"/>
      <w:lvlText w:val="%4."/>
      <w:lvlJc w:val="left"/>
      <w:pPr>
        <w:ind w:left="3305" w:hanging="360"/>
      </w:pPr>
    </w:lvl>
    <w:lvl w:ilvl="4" w:tplc="04250019" w:tentative="1">
      <w:start w:val="1"/>
      <w:numFmt w:val="lowerLetter"/>
      <w:lvlText w:val="%5."/>
      <w:lvlJc w:val="left"/>
      <w:pPr>
        <w:ind w:left="4025" w:hanging="360"/>
      </w:pPr>
    </w:lvl>
    <w:lvl w:ilvl="5" w:tplc="0425001B" w:tentative="1">
      <w:start w:val="1"/>
      <w:numFmt w:val="lowerRoman"/>
      <w:lvlText w:val="%6."/>
      <w:lvlJc w:val="right"/>
      <w:pPr>
        <w:ind w:left="4745" w:hanging="180"/>
      </w:pPr>
    </w:lvl>
    <w:lvl w:ilvl="6" w:tplc="0425000F" w:tentative="1">
      <w:start w:val="1"/>
      <w:numFmt w:val="decimal"/>
      <w:lvlText w:val="%7."/>
      <w:lvlJc w:val="left"/>
      <w:pPr>
        <w:ind w:left="5465" w:hanging="360"/>
      </w:pPr>
    </w:lvl>
    <w:lvl w:ilvl="7" w:tplc="04250019" w:tentative="1">
      <w:start w:val="1"/>
      <w:numFmt w:val="lowerLetter"/>
      <w:lvlText w:val="%8."/>
      <w:lvlJc w:val="left"/>
      <w:pPr>
        <w:ind w:left="6185" w:hanging="360"/>
      </w:pPr>
    </w:lvl>
    <w:lvl w:ilvl="8" w:tplc="0425001B" w:tentative="1">
      <w:start w:val="1"/>
      <w:numFmt w:val="lowerRoman"/>
      <w:lvlText w:val="%9."/>
      <w:lvlJc w:val="right"/>
      <w:pPr>
        <w:ind w:left="6905" w:hanging="180"/>
      </w:pPr>
    </w:lvl>
  </w:abstractNum>
  <w:abstractNum w:abstractNumId="64" w15:restartNumberingAfterBreak="0">
    <w:nsid w:val="4B152B7B"/>
    <w:multiLevelType w:val="hybridMultilevel"/>
    <w:tmpl w:val="B088F878"/>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65" w15:restartNumberingAfterBreak="0">
    <w:nsid w:val="4B35704B"/>
    <w:multiLevelType w:val="multilevel"/>
    <w:tmpl w:val="4E16F828"/>
    <w:lvl w:ilvl="0">
      <w:start w:val="236"/>
      <w:numFmt w:val="decimal"/>
      <w:lvlText w:val="%1."/>
      <w:lvlJc w:val="left"/>
      <w:pPr>
        <w:ind w:left="1919" w:hanging="360"/>
      </w:pPr>
      <w:rPr>
        <w:rFonts w:hint="default"/>
        <w:b w:val="0"/>
        <w:sz w:val="24"/>
        <w:szCs w:val="24"/>
      </w:rPr>
    </w:lvl>
    <w:lvl w:ilvl="1">
      <w:start w:val="2"/>
      <w:numFmt w:val="decimal"/>
      <w:isLgl/>
      <w:lvlText w:val="%1.%2."/>
      <w:lvlJc w:val="left"/>
      <w:pPr>
        <w:ind w:left="166" w:hanging="45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66" w15:restartNumberingAfterBreak="0">
    <w:nsid w:val="4D172194"/>
    <w:multiLevelType w:val="multilevel"/>
    <w:tmpl w:val="68F87B0E"/>
    <w:lvl w:ilvl="0">
      <w:start w:val="1"/>
      <w:numFmt w:val="bullet"/>
      <w:lvlText w:val=""/>
      <w:lvlJc w:val="left"/>
      <w:pPr>
        <w:ind w:left="644" w:hanging="360"/>
      </w:pPr>
      <w:rPr>
        <w:rFonts w:ascii="Symbol" w:hAnsi="Symbol" w:hint="default"/>
        <w:b w:val="0"/>
        <w:color w:val="auto"/>
        <w:sz w:val="24"/>
        <w:szCs w:val="24"/>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15:restartNumberingAfterBreak="0">
    <w:nsid w:val="4F077C82"/>
    <w:multiLevelType w:val="hybridMultilevel"/>
    <w:tmpl w:val="988CAC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8" w15:restartNumberingAfterBreak="0">
    <w:nsid w:val="4F367EB1"/>
    <w:multiLevelType w:val="hybridMultilevel"/>
    <w:tmpl w:val="64466C92"/>
    <w:lvl w:ilvl="0" w:tplc="08090003">
      <w:start w:val="1"/>
      <w:numFmt w:val="bullet"/>
      <w:lvlText w:val="o"/>
      <w:lvlJc w:val="left"/>
      <w:pPr>
        <w:ind w:left="1440" w:hanging="360"/>
      </w:pPr>
      <w:rPr>
        <w:rFonts w:ascii="Courier New" w:hAnsi="Courier New" w:cs="Courier New"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69" w15:restartNumberingAfterBreak="0">
    <w:nsid w:val="53CB5089"/>
    <w:multiLevelType w:val="hybridMultilevel"/>
    <w:tmpl w:val="F82C3D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54631674"/>
    <w:multiLevelType w:val="hybridMultilevel"/>
    <w:tmpl w:val="88C2EE6A"/>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 w15:restartNumberingAfterBreak="0">
    <w:nsid w:val="54E63A7A"/>
    <w:multiLevelType w:val="hybridMultilevel"/>
    <w:tmpl w:val="1A245B6A"/>
    <w:lvl w:ilvl="0" w:tplc="FFFFFFFF">
      <w:start w:val="1"/>
      <w:numFmt w:val="decimal"/>
      <w:lvlText w:val="%1)"/>
      <w:lvlJc w:val="left"/>
      <w:pPr>
        <w:tabs>
          <w:tab w:val="num" w:pos="1211"/>
        </w:tabs>
        <w:ind w:left="1211" w:hanging="360"/>
      </w:pPr>
      <w:rPr>
        <w:rFonts w:hint="default"/>
      </w:rPr>
    </w:lvl>
    <w:lvl w:ilvl="1" w:tplc="FFFFFFFF" w:tentative="1">
      <w:start w:val="1"/>
      <w:numFmt w:val="bullet"/>
      <w:lvlText w:val="o"/>
      <w:lvlJc w:val="left"/>
      <w:pPr>
        <w:tabs>
          <w:tab w:val="num" w:pos="1931"/>
        </w:tabs>
        <w:ind w:left="1931" w:hanging="360"/>
      </w:pPr>
      <w:rPr>
        <w:rFonts w:ascii="Courier New" w:hAnsi="Courier New" w:cs="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cs="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cs="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72" w15:restartNumberingAfterBreak="0">
    <w:nsid w:val="57A818C6"/>
    <w:multiLevelType w:val="hybridMultilevel"/>
    <w:tmpl w:val="0506FB12"/>
    <w:lvl w:ilvl="0" w:tplc="04260001">
      <w:start w:val="1"/>
      <w:numFmt w:val="bullet"/>
      <w:lvlText w:val=""/>
      <w:lvlJc w:val="left"/>
      <w:pPr>
        <w:ind w:left="720" w:hanging="360"/>
      </w:pPr>
      <w:rPr>
        <w:rFonts w:ascii="Symbol" w:hAnsi="Symbol" w:hint="default"/>
      </w:rPr>
    </w:lvl>
    <w:lvl w:ilvl="1" w:tplc="AF2003D6">
      <w:start w:val="4"/>
      <w:numFmt w:val="bullet"/>
      <w:lvlText w:val="•"/>
      <w:lvlJc w:val="left"/>
      <w:pPr>
        <w:ind w:left="1800" w:hanging="720"/>
      </w:pPr>
      <w:rPr>
        <w:rFonts w:ascii="Times New Roman" w:eastAsiaTheme="minorEastAsia"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599B4ADF"/>
    <w:multiLevelType w:val="hybridMultilevel"/>
    <w:tmpl w:val="2E54A2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4" w15:restartNumberingAfterBreak="0">
    <w:nsid w:val="59AD178B"/>
    <w:multiLevelType w:val="multilevel"/>
    <w:tmpl w:val="89F4C6B0"/>
    <w:lvl w:ilvl="0">
      <w:start w:val="1"/>
      <w:numFmt w:val="decimal"/>
      <w:lvlText w:val="%1"/>
      <w:lvlJc w:val="left"/>
      <w:pPr>
        <w:ind w:left="432" w:hanging="432"/>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specVanish w:val="0"/>
      </w:rPr>
    </w:lvl>
    <w:lvl w:ilvl="2">
      <w:start w:val="1"/>
      <w:numFmt w:val="decimal"/>
      <w:pStyle w:val="Pealkiri3"/>
      <w:lvlText w:val="%1.%2.%3"/>
      <w:lvlJc w:val="left"/>
      <w:pPr>
        <w:ind w:left="720" w:hanging="720"/>
      </w:pPr>
      <w:rPr>
        <w:rFonts w:hint="default"/>
        <w:b w:val="0"/>
        <w:bCs w:val="0"/>
      </w:rPr>
    </w:lvl>
    <w:lvl w:ilvl="3">
      <w:start w:val="1"/>
      <w:numFmt w:val="decimal"/>
      <w:lvlText w:val="%1.%2.%3.%4"/>
      <w:lvlJc w:val="left"/>
      <w:pPr>
        <w:ind w:left="864" w:hanging="864"/>
      </w:p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5A967F03"/>
    <w:multiLevelType w:val="hybridMultilevel"/>
    <w:tmpl w:val="3F3A064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6" w15:restartNumberingAfterBreak="0">
    <w:nsid w:val="5AC15FF0"/>
    <w:multiLevelType w:val="hybridMultilevel"/>
    <w:tmpl w:val="952C60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5AD430A9"/>
    <w:multiLevelType w:val="hybridMultilevel"/>
    <w:tmpl w:val="1A245B6A"/>
    <w:lvl w:ilvl="0" w:tplc="513AA170">
      <w:start w:val="1"/>
      <w:numFmt w:val="decimal"/>
      <w:lvlText w:val="%1)"/>
      <w:lvlJc w:val="left"/>
      <w:pPr>
        <w:tabs>
          <w:tab w:val="num" w:pos="1505"/>
        </w:tabs>
        <w:ind w:left="1505" w:hanging="360"/>
      </w:pPr>
      <w:rPr>
        <w:rFonts w:hint="default"/>
      </w:rPr>
    </w:lvl>
    <w:lvl w:ilvl="1" w:tplc="04250003" w:tentative="1">
      <w:start w:val="1"/>
      <w:numFmt w:val="bullet"/>
      <w:lvlText w:val="o"/>
      <w:lvlJc w:val="left"/>
      <w:pPr>
        <w:tabs>
          <w:tab w:val="num" w:pos="2225"/>
        </w:tabs>
        <w:ind w:left="2225" w:hanging="360"/>
      </w:pPr>
      <w:rPr>
        <w:rFonts w:ascii="Courier New" w:hAnsi="Courier New" w:cs="Courier New" w:hint="default"/>
      </w:rPr>
    </w:lvl>
    <w:lvl w:ilvl="2" w:tplc="04250005" w:tentative="1">
      <w:start w:val="1"/>
      <w:numFmt w:val="bullet"/>
      <w:lvlText w:val=""/>
      <w:lvlJc w:val="left"/>
      <w:pPr>
        <w:tabs>
          <w:tab w:val="num" w:pos="2945"/>
        </w:tabs>
        <w:ind w:left="2945" w:hanging="360"/>
      </w:pPr>
      <w:rPr>
        <w:rFonts w:ascii="Wingdings" w:hAnsi="Wingdings" w:hint="default"/>
      </w:rPr>
    </w:lvl>
    <w:lvl w:ilvl="3" w:tplc="04250001" w:tentative="1">
      <w:start w:val="1"/>
      <w:numFmt w:val="bullet"/>
      <w:lvlText w:val=""/>
      <w:lvlJc w:val="left"/>
      <w:pPr>
        <w:tabs>
          <w:tab w:val="num" w:pos="3665"/>
        </w:tabs>
        <w:ind w:left="3665" w:hanging="360"/>
      </w:pPr>
      <w:rPr>
        <w:rFonts w:ascii="Symbol" w:hAnsi="Symbol" w:hint="default"/>
      </w:rPr>
    </w:lvl>
    <w:lvl w:ilvl="4" w:tplc="04250003" w:tentative="1">
      <w:start w:val="1"/>
      <w:numFmt w:val="bullet"/>
      <w:lvlText w:val="o"/>
      <w:lvlJc w:val="left"/>
      <w:pPr>
        <w:tabs>
          <w:tab w:val="num" w:pos="4385"/>
        </w:tabs>
        <w:ind w:left="4385" w:hanging="360"/>
      </w:pPr>
      <w:rPr>
        <w:rFonts w:ascii="Courier New" w:hAnsi="Courier New" w:cs="Courier New" w:hint="default"/>
      </w:rPr>
    </w:lvl>
    <w:lvl w:ilvl="5" w:tplc="04250005" w:tentative="1">
      <w:start w:val="1"/>
      <w:numFmt w:val="bullet"/>
      <w:lvlText w:val=""/>
      <w:lvlJc w:val="left"/>
      <w:pPr>
        <w:tabs>
          <w:tab w:val="num" w:pos="5105"/>
        </w:tabs>
        <w:ind w:left="5105" w:hanging="360"/>
      </w:pPr>
      <w:rPr>
        <w:rFonts w:ascii="Wingdings" w:hAnsi="Wingdings" w:hint="default"/>
      </w:rPr>
    </w:lvl>
    <w:lvl w:ilvl="6" w:tplc="04250001" w:tentative="1">
      <w:start w:val="1"/>
      <w:numFmt w:val="bullet"/>
      <w:lvlText w:val=""/>
      <w:lvlJc w:val="left"/>
      <w:pPr>
        <w:tabs>
          <w:tab w:val="num" w:pos="5825"/>
        </w:tabs>
        <w:ind w:left="5825" w:hanging="360"/>
      </w:pPr>
      <w:rPr>
        <w:rFonts w:ascii="Symbol" w:hAnsi="Symbol" w:hint="default"/>
      </w:rPr>
    </w:lvl>
    <w:lvl w:ilvl="7" w:tplc="04250003" w:tentative="1">
      <w:start w:val="1"/>
      <w:numFmt w:val="bullet"/>
      <w:lvlText w:val="o"/>
      <w:lvlJc w:val="left"/>
      <w:pPr>
        <w:tabs>
          <w:tab w:val="num" w:pos="6545"/>
        </w:tabs>
        <w:ind w:left="6545" w:hanging="360"/>
      </w:pPr>
      <w:rPr>
        <w:rFonts w:ascii="Courier New" w:hAnsi="Courier New" w:cs="Courier New" w:hint="default"/>
      </w:rPr>
    </w:lvl>
    <w:lvl w:ilvl="8" w:tplc="04250005" w:tentative="1">
      <w:start w:val="1"/>
      <w:numFmt w:val="bullet"/>
      <w:lvlText w:val=""/>
      <w:lvlJc w:val="left"/>
      <w:pPr>
        <w:tabs>
          <w:tab w:val="num" w:pos="7265"/>
        </w:tabs>
        <w:ind w:left="7265" w:hanging="360"/>
      </w:pPr>
      <w:rPr>
        <w:rFonts w:ascii="Wingdings" w:hAnsi="Wingdings" w:hint="default"/>
      </w:rPr>
    </w:lvl>
  </w:abstractNum>
  <w:abstractNum w:abstractNumId="78" w15:restartNumberingAfterBreak="0">
    <w:nsid w:val="5AE14566"/>
    <w:multiLevelType w:val="multilevel"/>
    <w:tmpl w:val="EEE454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15:restartNumberingAfterBreak="0">
    <w:nsid w:val="5BA933A3"/>
    <w:multiLevelType w:val="hybridMultilevel"/>
    <w:tmpl w:val="78D4B7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0" w15:restartNumberingAfterBreak="0">
    <w:nsid w:val="5BC02308"/>
    <w:multiLevelType w:val="multilevel"/>
    <w:tmpl w:val="B164DB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15:restartNumberingAfterBreak="0">
    <w:nsid w:val="5BC85B68"/>
    <w:multiLevelType w:val="hybridMultilevel"/>
    <w:tmpl w:val="B9C41F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2" w15:restartNumberingAfterBreak="0">
    <w:nsid w:val="5C852BC5"/>
    <w:multiLevelType w:val="hybridMultilevel"/>
    <w:tmpl w:val="B27603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3" w15:restartNumberingAfterBreak="0">
    <w:nsid w:val="5D72370C"/>
    <w:multiLevelType w:val="hybridMultilevel"/>
    <w:tmpl w:val="2F8802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4" w15:restartNumberingAfterBreak="0">
    <w:nsid w:val="5EE8242F"/>
    <w:multiLevelType w:val="multilevel"/>
    <w:tmpl w:val="68F87B0E"/>
    <w:lvl w:ilvl="0">
      <w:start w:val="1"/>
      <w:numFmt w:val="bullet"/>
      <w:lvlText w:val=""/>
      <w:lvlJc w:val="left"/>
      <w:pPr>
        <w:ind w:left="644" w:hanging="360"/>
      </w:pPr>
      <w:rPr>
        <w:rFonts w:ascii="Symbol" w:hAnsi="Symbol" w:hint="default"/>
        <w:b w:val="0"/>
        <w:color w:val="auto"/>
        <w:sz w:val="24"/>
        <w:szCs w:val="24"/>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5" w15:restartNumberingAfterBreak="0">
    <w:nsid w:val="5F2B305F"/>
    <w:multiLevelType w:val="multilevel"/>
    <w:tmpl w:val="5FE2C850"/>
    <w:lvl w:ilvl="0">
      <w:start w:val="1"/>
      <w:numFmt w:val="decimal"/>
      <w:lvlText w:val="%1."/>
      <w:lvlJc w:val="left"/>
      <w:pPr>
        <w:ind w:left="0" w:firstLine="0"/>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rFonts w:hint="default"/>
        <w:specVanish w:val="0"/>
      </w:rPr>
    </w:lvl>
    <w:lvl w:ilvl="2">
      <w:start w:val="1"/>
      <w:numFmt w:val="decimal"/>
      <w:lvlText w:val="%1.%2.%3"/>
      <w:lvlJc w:val="left"/>
      <w:pPr>
        <w:ind w:left="720" w:hanging="720"/>
      </w:pPr>
      <w:rPr>
        <w:rFonts w:hint="default"/>
      </w:rPr>
    </w:lvl>
    <w:lvl w:ilvl="3">
      <w:start w:val="1"/>
      <w:numFmt w:val="decimal"/>
      <w:lvlText w:val="3.1.%4."/>
      <w:lvlJc w:val="left"/>
      <w:pPr>
        <w:ind w:left="360" w:hanging="36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6" w15:restartNumberingAfterBreak="0">
    <w:nsid w:val="5FE87FAA"/>
    <w:multiLevelType w:val="hybridMultilevel"/>
    <w:tmpl w:val="C33080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7" w15:restartNumberingAfterBreak="0">
    <w:nsid w:val="607F4021"/>
    <w:multiLevelType w:val="hybridMultilevel"/>
    <w:tmpl w:val="CBE0DE0C"/>
    <w:lvl w:ilvl="0" w:tplc="FFFFFFFF">
      <w:start w:val="1"/>
      <w:numFmt w:val="decimal"/>
      <w:lvlText w:val="%1)"/>
      <w:lvlJc w:val="left"/>
      <w:pPr>
        <w:ind w:left="1505" w:hanging="360"/>
      </w:pPr>
      <w:rPr>
        <w:rFonts w:hint="default"/>
      </w:rPr>
    </w:lvl>
    <w:lvl w:ilvl="1" w:tplc="FFFFFFFF" w:tentative="1">
      <w:start w:val="1"/>
      <w:numFmt w:val="lowerLetter"/>
      <w:lvlText w:val="%2."/>
      <w:lvlJc w:val="left"/>
      <w:pPr>
        <w:ind w:left="2225" w:hanging="360"/>
      </w:pPr>
    </w:lvl>
    <w:lvl w:ilvl="2" w:tplc="FFFFFFFF" w:tentative="1">
      <w:start w:val="1"/>
      <w:numFmt w:val="lowerRoman"/>
      <w:lvlText w:val="%3."/>
      <w:lvlJc w:val="right"/>
      <w:pPr>
        <w:ind w:left="2945" w:hanging="180"/>
      </w:pPr>
    </w:lvl>
    <w:lvl w:ilvl="3" w:tplc="FFFFFFFF" w:tentative="1">
      <w:start w:val="1"/>
      <w:numFmt w:val="decimal"/>
      <w:lvlText w:val="%4."/>
      <w:lvlJc w:val="left"/>
      <w:pPr>
        <w:ind w:left="3665" w:hanging="360"/>
      </w:pPr>
    </w:lvl>
    <w:lvl w:ilvl="4" w:tplc="FFFFFFFF" w:tentative="1">
      <w:start w:val="1"/>
      <w:numFmt w:val="lowerLetter"/>
      <w:lvlText w:val="%5."/>
      <w:lvlJc w:val="left"/>
      <w:pPr>
        <w:ind w:left="4385" w:hanging="360"/>
      </w:pPr>
    </w:lvl>
    <w:lvl w:ilvl="5" w:tplc="FFFFFFFF" w:tentative="1">
      <w:start w:val="1"/>
      <w:numFmt w:val="lowerRoman"/>
      <w:lvlText w:val="%6."/>
      <w:lvlJc w:val="right"/>
      <w:pPr>
        <w:ind w:left="5105" w:hanging="180"/>
      </w:pPr>
    </w:lvl>
    <w:lvl w:ilvl="6" w:tplc="FFFFFFFF" w:tentative="1">
      <w:start w:val="1"/>
      <w:numFmt w:val="decimal"/>
      <w:lvlText w:val="%7."/>
      <w:lvlJc w:val="left"/>
      <w:pPr>
        <w:ind w:left="5825" w:hanging="360"/>
      </w:pPr>
    </w:lvl>
    <w:lvl w:ilvl="7" w:tplc="FFFFFFFF" w:tentative="1">
      <w:start w:val="1"/>
      <w:numFmt w:val="lowerLetter"/>
      <w:lvlText w:val="%8."/>
      <w:lvlJc w:val="left"/>
      <w:pPr>
        <w:ind w:left="6545" w:hanging="360"/>
      </w:pPr>
    </w:lvl>
    <w:lvl w:ilvl="8" w:tplc="FFFFFFFF" w:tentative="1">
      <w:start w:val="1"/>
      <w:numFmt w:val="lowerRoman"/>
      <w:lvlText w:val="%9."/>
      <w:lvlJc w:val="right"/>
      <w:pPr>
        <w:ind w:left="7265" w:hanging="180"/>
      </w:pPr>
    </w:lvl>
  </w:abstractNum>
  <w:abstractNum w:abstractNumId="88" w15:restartNumberingAfterBreak="0">
    <w:nsid w:val="61024981"/>
    <w:multiLevelType w:val="hybridMultilevel"/>
    <w:tmpl w:val="5872A8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9" w15:restartNumberingAfterBreak="0">
    <w:nsid w:val="63417E55"/>
    <w:multiLevelType w:val="multilevel"/>
    <w:tmpl w:val="B164DB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0" w15:restartNumberingAfterBreak="0">
    <w:nsid w:val="63D075B6"/>
    <w:multiLevelType w:val="hybridMultilevel"/>
    <w:tmpl w:val="B088F878"/>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91" w15:restartNumberingAfterBreak="0">
    <w:nsid w:val="657756B4"/>
    <w:multiLevelType w:val="hybridMultilevel"/>
    <w:tmpl w:val="9B0A3C3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2" w15:restartNumberingAfterBreak="0">
    <w:nsid w:val="65C50703"/>
    <w:multiLevelType w:val="multilevel"/>
    <w:tmpl w:val="B164DB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3" w15:restartNumberingAfterBreak="0">
    <w:nsid w:val="66580A3E"/>
    <w:multiLevelType w:val="multilevel"/>
    <w:tmpl w:val="B164DB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4" w15:restartNumberingAfterBreak="0">
    <w:nsid w:val="677C4B2E"/>
    <w:multiLevelType w:val="hybridMultilevel"/>
    <w:tmpl w:val="1A245B6A"/>
    <w:lvl w:ilvl="0" w:tplc="FFFFFFFF">
      <w:start w:val="1"/>
      <w:numFmt w:val="decimal"/>
      <w:lvlText w:val="%1)"/>
      <w:lvlJc w:val="left"/>
      <w:pPr>
        <w:tabs>
          <w:tab w:val="num" w:pos="1145"/>
        </w:tabs>
        <w:ind w:left="1145" w:hanging="360"/>
      </w:pPr>
      <w:rPr>
        <w:rFonts w:hint="default"/>
      </w:rPr>
    </w:lvl>
    <w:lvl w:ilvl="1" w:tplc="FFFFFFFF" w:tentative="1">
      <w:start w:val="1"/>
      <w:numFmt w:val="bullet"/>
      <w:lvlText w:val="o"/>
      <w:lvlJc w:val="left"/>
      <w:pPr>
        <w:tabs>
          <w:tab w:val="num" w:pos="1865"/>
        </w:tabs>
        <w:ind w:left="1865" w:hanging="360"/>
      </w:pPr>
      <w:rPr>
        <w:rFonts w:ascii="Courier New" w:hAnsi="Courier New" w:cs="Courier New" w:hint="default"/>
      </w:rPr>
    </w:lvl>
    <w:lvl w:ilvl="2" w:tplc="FFFFFFFF" w:tentative="1">
      <w:start w:val="1"/>
      <w:numFmt w:val="bullet"/>
      <w:lvlText w:val=""/>
      <w:lvlJc w:val="left"/>
      <w:pPr>
        <w:tabs>
          <w:tab w:val="num" w:pos="2585"/>
        </w:tabs>
        <w:ind w:left="2585" w:hanging="360"/>
      </w:pPr>
      <w:rPr>
        <w:rFonts w:ascii="Wingdings" w:hAnsi="Wingdings" w:hint="default"/>
      </w:rPr>
    </w:lvl>
    <w:lvl w:ilvl="3" w:tplc="FFFFFFFF" w:tentative="1">
      <w:start w:val="1"/>
      <w:numFmt w:val="bullet"/>
      <w:lvlText w:val=""/>
      <w:lvlJc w:val="left"/>
      <w:pPr>
        <w:tabs>
          <w:tab w:val="num" w:pos="3305"/>
        </w:tabs>
        <w:ind w:left="3305" w:hanging="360"/>
      </w:pPr>
      <w:rPr>
        <w:rFonts w:ascii="Symbol" w:hAnsi="Symbol" w:hint="default"/>
      </w:rPr>
    </w:lvl>
    <w:lvl w:ilvl="4" w:tplc="FFFFFFFF" w:tentative="1">
      <w:start w:val="1"/>
      <w:numFmt w:val="bullet"/>
      <w:lvlText w:val="o"/>
      <w:lvlJc w:val="left"/>
      <w:pPr>
        <w:tabs>
          <w:tab w:val="num" w:pos="4025"/>
        </w:tabs>
        <w:ind w:left="4025" w:hanging="360"/>
      </w:pPr>
      <w:rPr>
        <w:rFonts w:ascii="Courier New" w:hAnsi="Courier New" w:cs="Courier New" w:hint="default"/>
      </w:rPr>
    </w:lvl>
    <w:lvl w:ilvl="5" w:tplc="FFFFFFFF" w:tentative="1">
      <w:start w:val="1"/>
      <w:numFmt w:val="bullet"/>
      <w:lvlText w:val=""/>
      <w:lvlJc w:val="left"/>
      <w:pPr>
        <w:tabs>
          <w:tab w:val="num" w:pos="4745"/>
        </w:tabs>
        <w:ind w:left="4745" w:hanging="360"/>
      </w:pPr>
      <w:rPr>
        <w:rFonts w:ascii="Wingdings" w:hAnsi="Wingdings" w:hint="default"/>
      </w:rPr>
    </w:lvl>
    <w:lvl w:ilvl="6" w:tplc="FFFFFFFF" w:tentative="1">
      <w:start w:val="1"/>
      <w:numFmt w:val="bullet"/>
      <w:lvlText w:val=""/>
      <w:lvlJc w:val="left"/>
      <w:pPr>
        <w:tabs>
          <w:tab w:val="num" w:pos="5465"/>
        </w:tabs>
        <w:ind w:left="5465" w:hanging="360"/>
      </w:pPr>
      <w:rPr>
        <w:rFonts w:ascii="Symbol" w:hAnsi="Symbol" w:hint="default"/>
      </w:rPr>
    </w:lvl>
    <w:lvl w:ilvl="7" w:tplc="FFFFFFFF" w:tentative="1">
      <w:start w:val="1"/>
      <w:numFmt w:val="bullet"/>
      <w:lvlText w:val="o"/>
      <w:lvlJc w:val="left"/>
      <w:pPr>
        <w:tabs>
          <w:tab w:val="num" w:pos="6185"/>
        </w:tabs>
        <w:ind w:left="6185" w:hanging="360"/>
      </w:pPr>
      <w:rPr>
        <w:rFonts w:ascii="Courier New" w:hAnsi="Courier New" w:cs="Courier New" w:hint="default"/>
      </w:rPr>
    </w:lvl>
    <w:lvl w:ilvl="8" w:tplc="FFFFFFFF" w:tentative="1">
      <w:start w:val="1"/>
      <w:numFmt w:val="bullet"/>
      <w:lvlText w:val=""/>
      <w:lvlJc w:val="left"/>
      <w:pPr>
        <w:tabs>
          <w:tab w:val="num" w:pos="6905"/>
        </w:tabs>
        <w:ind w:left="6905" w:hanging="360"/>
      </w:pPr>
      <w:rPr>
        <w:rFonts w:ascii="Wingdings" w:hAnsi="Wingdings" w:hint="default"/>
      </w:rPr>
    </w:lvl>
  </w:abstractNum>
  <w:abstractNum w:abstractNumId="95" w15:restartNumberingAfterBreak="0">
    <w:nsid w:val="689F5CB5"/>
    <w:multiLevelType w:val="hybridMultilevel"/>
    <w:tmpl w:val="CC80C3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6" w15:restartNumberingAfterBreak="0">
    <w:nsid w:val="6E504416"/>
    <w:multiLevelType w:val="multilevel"/>
    <w:tmpl w:val="4A447936"/>
    <w:lvl w:ilvl="0">
      <w:start w:val="1"/>
      <w:numFmt w:val="decimal"/>
      <w:lvlText w:val="%1"/>
      <w:lvlJc w:val="left"/>
      <w:pPr>
        <w:ind w:left="432" w:hanging="432"/>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2.2"/>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15:restartNumberingAfterBreak="0">
    <w:nsid w:val="710403FD"/>
    <w:multiLevelType w:val="hybridMultilevel"/>
    <w:tmpl w:val="F6F4837C"/>
    <w:lvl w:ilvl="0" w:tplc="89502CAA">
      <w:start w:val="1"/>
      <w:numFmt w:val="decimal"/>
      <w:lvlText w:val="%1)"/>
      <w:lvlJc w:val="left"/>
      <w:pPr>
        <w:ind w:left="1145" w:hanging="360"/>
      </w:pPr>
      <w:rPr>
        <w:rFonts w:hint="default"/>
      </w:rPr>
    </w:lvl>
    <w:lvl w:ilvl="1" w:tplc="04250019" w:tentative="1">
      <w:start w:val="1"/>
      <w:numFmt w:val="lowerLetter"/>
      <w:lvlText w:val="%2."/>
      <w:lvlJc w:val="left"/>
      <w:pPr>
        <w:ind w:left="1865" w:hanging="360"/>
      </w:pPr>
    </w:lvl>
    <w:lvl w:ilvl="2" w:tplc="0425001B" w:tentative="1">
      <w:start w:val="1"/>
      <w:numFmt w:val="lowerRoman"/>
      <w:lvlText w:val="%3."/>
      <w:lvlJc w:val="right"/>
      <w:pPr>
        <w:ind w:left="2585" w:hanging="180"/>
      </w:pPr>
    </w:lvl>
    <w:lvl w:ilvl="3" w:tplc="0425000F" w:tentative="1">
      <w:start w:val="1"/>
      <w:numFmt w:val="decimal"/>
      <w:lvlText w:val="%4."/>
      <w:lvlJc w:val="left"/>
      <w:pPr>
        <w:ind w:left="3305" w:hanging="360"/>
      </w:pPr>
    </w:lvl>
    <w:lvl w:ilvl="4" w:tplc="04250019" w:tentative="1">
      <w:start w:val="1"/>
      <w:numFmt w:val="lowerLetter"/>
      <w:lvlText w:val="%5."/>
      <w:lvlJc w:val="left"/>
      <w:pPr>
        <w:ind w:left="4025" w:hanging="360"/>
      </w:pPr>
    </w:lvl>
    <w:lvl w:ilvl="5" w:tplc="0425001B" w:tentative="1">
      <w:start w:val="1"/>
      <w:numFmt w:val="lowerRoman"/>
      <w:lvlText w:val="%6."/>
      <w:lvlJc w:val="right"/>
      <w:pPr>
        <w:ind w:left="4745" w:hanging="180"/>
      </w:pPr>
    </w:lvl>
    <w:lvl w:ilvl="6" w:tplc="0425000F" w:tentative="1">
      <w:start w:val="1"/>
      <w:numFmt w:val="decimal"/>
      <w:lvlText w:val="%7."/>
      <w:lvlJc w:val="left"/>
      <w:pPr>
        <w:ind w:left="5465" w:hanging="360"/>
      </w:pPr>
    </w:lvl>
    <w:lvl w:ilvl="7" w:tplc="04250019" w:tentative="1">
      <w:start w:val="1"/>
      <w:numFmt w:val="lowerLetter"/>
      <w:lvlText w:val="%8."/>
      <w:lvlJc w:val="left"/>
      <w:pPr>
        <w:ind w:left="6185" w:hanging="360"/>
      </w:pPr>
    </w:lvl>
    <w:lvl w:ilvl="8" w:tplc="0425001B" w:tentative="1">
      <w:start w:val="1"/>
      <w:numFmt w:val="lowerRoman"/>
      <w:lvlText w:val="%9."/>
      <w:lvlJc w:val="right"/>
      <w:pPr>
        <w:ind w:left="6905" w:hanging="180"/>
      </w:pPr>
    </w:lvl>
  </w:abstractNum>
  <w:abstractNum w:abstractNumId="98" w15:restartNumberingAfterBreak="0">
    <w:nsid w:val="71384B6D"/>
    <w:multiLevelType w:val="hybridMultilevel"/>
    <w:tmpl w:val="31D4024E"/>
    <w:lvl w:ilvl="0" w:tplc="E480A196">
      <w:start w:val="1"/>
      <w:numFmt w:val="decimal"/>
      <w:lvlText w:val="%1)"/>
      <w:lvlJc w:val="left"/>
      <w:pPr>
        <w:ind w:left="927" w:hanging="360"/>
      </w:pPr>
      <w:rPr>
        <w:rFonts w:hint="default"/>
        <w:strike w:val="0"/>
      </w:rPr>
    </w:lvl>
    <w:lvl w:ilvl="1" w:tplc="FFFFFFFF">
      <w:start w:val="1"/>
      <w:numFmt w:val="lowerLetter"/>
      <w:lvlText w:val="%2."/>
      <w:lvlJc w:val="left"/>
      <w:pPr>
        <w:ind w:left="1194" w:hanging="360"/>
      </w:pPr>
    </w:lvl>
    <w:lvl w:ilvl="2" w:tplc="FFFFFFFF" w:tentative="1">
      <w:start w:val="1"/>
      <w:numFmt w:val="lowerRoman"/>
      <w:lvlText w:val="%3."/>
      <w:lvlJc w:val="right"/>
      <w:pPr>
        <w:ind w:left="1914" w:hanging="180"/>
      </w:pPr>
    </w:lvl>
    <w:lvl w:ilvl="3" w:tplc="FFFFFFFF" w:tentative="1">
      <w:start w:val="1"/>
      <w:numFmt w:val="decimal"/>
      <w:lvlText w:val="%4."/>
      <w:lvlJc w:val="left"/>
      <w:pPr>
        <w:ind w:left="2634" w:hanging="360"/>
      </w:pPr>
    </w:lvl>
    <w:lvl w:ilvl="4" w:tplc="FFFFFFFF" w:tentative="1">
      <w:start w:val="1"/>
      <w:numFmt w:val="lowerLetter"/>
      <w:lvlText w:val="%5."/>
      <w:lvlJc w:val="left"/>
      <w:pPr>
        <w:ind w:left="3354" w:hanging="360"/>
      </w:pPr>
    </w:lvl>
    <w:lvl w:ilvl="5" w:tplc="FFFFFFFF" w:tentative="1">
      <w:start w:val="1"/>
      <w:numFmt w:val="lowerRoman"/>
      <w:lvlText w:val="%6."/>
      <w:lvlJc w:val="right"/>
      <w:pPr>
        <w:ind w:left="4074" w:hanging="180"/>
      </w:pPr>
    </w:lvl>
    <w:lvl w:ilvl="6" w:tplc="FFFFFFFF" w:tentative="1">
      <w:start w:val="1"/>
      <w:numFmt w:val="decimal"/>
      <w:lvlText w:val="%7."/>
      <w:lvlJc w:val="left"/>
      <w:pPr>
        <w:ind w:left="4794" w:hanging="360"/>
      </w:pPr>
    </w:lvl>
    <w:lvl w:ilvl="7" w:tplc="FFFFFFFF" w:tentative="1">
      <w:start w:val="1"/>
      <w:numFmt w:val="lowerLetter"/>
      <w:lvlText w:val="%8."/>
      <w:lvlJc w:val="left"/>
      <w:pPr>
        <w:ind w:left="5514" w:hanging="360"/>
      </w:pPr>
    </w:lvl>
    <w:lvl w:ilvl="8" w:tplc="FFFFFFFF" w:tentative="1">
      <w:start w:val="1"/>
      <w:numFmt w:val="lowerRoman"/>
      <w:lvlText w:val="%9."/>
      <w:lvlJc w:val="right"/>
      <w:pPr>
        <w:ind w:left="6234" w:hanging="180"/>
      </w:pPr>
    </w:lvl>
  </w:abstractNum>
  <w:abstractNum w:abstractNumId="99" w15:restartNumberingAfterBreak="0">
    <w:nsid w:val="71482D68"/>
    <w:multiLevelType w:val="multilevel"/>
    <w:tmpl w:val="ADFAC480"/>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ascii="Times New Roman" w:hAnsi="Times New Roman" w:cs="Times New Roman"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0" w15:restartNumberingAfterBreak="0">
    <w:nsid w:val="720037D9"/>
    <w:multiLevelType w:val="multilevel"/>
    <w:tmpl w:val="10E69668"/>
    <w:lvl w:ilvl="0">
      <w:start w:val="1"/>
      <w:numFmt w:val="decimal"/>
      <w:pStyle w:val="Pealkiri11"/>
      <w:lvlText w:val="%1"/>
      <w:lvlJc w:val="left"/>
      <w:pPr>
        <w:ind w:left="432" w:hanging="432"/>
      </w:pPr>
    </w:lvl>
    <w:lvl w:ilvl="1">
      <w:start w:val="1"/>
      <w:numFmt w:val="decimal"/>
      <w:pStyle w:val="Pealkiri21"/>
      <w:lvlText w:val="%1.%2"/>
      <w:lvlJc w:val="left"/>
      <w:pPr>
        <w:ind w:left="576" w:hanging="576"/>
      </w:pPr>
    </w:lvl>
    <w:lvl w:ilvl="2">
      <w:start w:val="1"/>
      <w:numFmt w:val="decimal"/>
      <w:lvlText w:val="%1.%2.%3"/>
      <w:lvlJc w:val="left"/>
      <w:pPr>
        <w:ind w:left="720" w:hanging="720"/>
      </w:pPr>
    </w:lvl>
    <w:lvl w:ilvl="3">
      <w:start w:val="1"/>
      <w:numFmt w:val="decimal"/>
      <w:pStyle w:val="Pealkiri41"/>
      <w:lvlText w:val="%1.%2.%3.%4"/>
      <w:lvlJc w:val="left"/>
      <w:pPr>
        <w:ind w:left="864" w:hanging="864"/>
      </w:pPr>
    </w:lvl>
    <w:lvl w:ilvl="4">
      <w:start w:val="1"/>
      <w:numFmt w:val="decimal"/>
      <w:pStyle w:val="Pealkiri51"/>
      <w:lvlText w:val="%1.%2.%3.%4.%5"/>
      <w:lvlJc w:val="left"/>
      <w:pPr>
        <w:ind w:left="1008" w:hanging="1008"/>
      </w:pPr>
    </w:lvl>
    <w:lvl w:ilvl="5">
      <w:start w:val="1"/>
      <w:numFmt w:val="decimal"/>
      <w:pStyle w:val="Pealkiri61"/>
      <w:lvlText w:val="%1.%2.%3.%4.%5.%6"/>
      <w:lvlJc w:val="left"/>
      <w:pPr>
        <w:ind w:left="1152" w:hanging="1152"/>
      </w:pPr>
    </w:lvl>
    <w:lvl w:ilvl="6">
      <w:start w:val="1"/>
      <w:numFmt w:val="decimal"/>
      <w:pStyle w:val="Pealkiri71"/>
      <w:lvlText w:val="%1.%2.%3.%4.%5.%6.%7"/>
      <w:lvlJc w:val="left"/>
      <w:pPr>
        <w:ind w:left="1296" w:hanging="1296"/>
      </w:pPr>
    </w:lvl>
    <w:lvl w:ilvl="7">
      <w:start w:val="1"/>
      <w:numFmt w:val="decimal"/>
      <w:pStyle w:val="Pealkiri81"/>
      <w:lvlText w:val="%1.%2.%3.%4.%5.%6.%7.%8"/>
      <w:lvlJc w:val="left"/>
      <w:pPr>
        <w:ind w:left="1440" w:hanging="1440"/>
      </w:pPr>
    </w:lvl>
    <w:lvl w:ilvl="8">
      <w:start w:val="1"/>
      <w:numFmt w:val="decimal"/>
      <w:pStyle w:val="Pealkiri91"/>
      <w:lvlText w:val="%1.%2.%3.%4.%5.%6.%7.%8.%9"/>
      <w:lvlJc w:val="left"/>
      <w:pPr>
        <w:ind w:left="1584" w:hanging="1584"/>
      </w:pPr>
    </w:lvl>
  </w:abstractNum>
  <w:abstractNum w:abstractNumId="101" w15:restartNumberingAfterBreak="0">
    <w:nsid w:val="72BB3920"/>
    <w:multiLevelType w:val="multilevel"/>
    <w:tmpl w:val="84C63C94"/>
    <w:numStyleLink w:val="Laad5"/>
  </w:abstractNum>
  <w:abstractNum w:abstractNumId="102" w15:restartNumberingAfterBreak="0">
    <w:nsid w:val="74A062A4"/>
    <w:multiLevelType w:val="multilevel"/>
    <w:tmpl w:val="68F87B0E"/>
    <w:lvl w:ilvl="0">
      <w:start w:val="1"/>
      <w:numFmt w:val="bullet"/>
      <w:lvlText w:val=""/>
      <w:lvlJc w:val="left"/>
      <w:pPr>
        <w:ind w:left="644" w:hanging="360"/>
      </w:pPr>
      <w:rPr>
        <w:rFonts w:ascii="Symbol" w:hAnsi="Symbol" w:hint="default"/>
        <w:b w:val="0"/>
        <w:color w:val="auto"/>
        <w:sz w:val="24"/>
        <w:szCs w:val="24"/>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3" w15:restartNumberingAfterBreak="0">
    <w:nsid w:val="74CD301C"/>
    <w:multiLevelType w:val="multilevel"/>
    <w:tmpl w:val="9A24C3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ascii="Times New Roman" w:hAnsi="Times New Roman" w:cs="Times New Roman"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4" w15:restartNumberingAfterBreak="0">
    <w:nsid w:val="759E7BE1"/>
    <w:multiLevelType w:val="hybridMultilevel"/>
    <w:tmpl w:val="63C28A64"/>
    <w:lvl w:ilvl="0" w:tplc="08090003">
      <w:start w:val="1"/>
      <w:numFmt w:val="bullet"/>
      <w:lvlText w:val="o"/>
      <w:lvlJc w:val="left"/>
      <w:pPr>
        <w:ind w:left="1080" w:hanging="360"/>
      </w:pPr>
      <w:rPr>
        <w:rFonts w:ascii="Courier New" w:hAnsi="Courier New" w:cs="Courier New"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05" w15:restartNumberingAfterBreak="0">
    <w:nsid w:val="75A05A89"/>
    <w:multiLevelType w:val="hybridMultilevel"/>
    <w:tmpl w:val="21923DBE"/>
    <w:lvl w:ilvl="0" w:tplc="0426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6" w15:restartNumberingAfterBreak="0">
    <w:nsid w:val="75C711FA"/>
    <w:multiLevelType w:val="hybridMultilevel"/>
    <w:tmpl w:val="B088F878"/>
    <w:lvl w:ilvl="0" w:tplc="04250011">
      <w:start w:val="1"/>
      <w:numFmt w:val="decimal"/>
      <w:lvlText w:val="%1)"/>
      <w:lvlJc w:val="left"/>
      <w:pPr>
        <w:tabs>
          <w:tab w:val="num" w:pos="1068"/>
        </w:tabs>
        <w:ind w:left="1068" w:hanging="360"/>
      </w:pPr>
      <w:rPr>
        <w:rFonts w:hint="default"/>
      </w:rPr>
    </w:lvl>
    <w:lvl w:ilvl="1" w:tplc="04250019" w:tentative="1">
      <w:start w:val="1"/>
      <w:numFmt w:val="lowerLetter"/>
      <w:lvlText w:val="%2."/>
      <w:lvlJc w:val="left"/>
      <w:pPr>
        <w:tabs>
          <w:tab w:val="num" w:pos="1788"/>
        </w:tabs>
        <w:ind w:left="1788" w:hanging="360"/>
      </w:pPr>
    </w:lvl>
    <w:lvl w:ilvl="2" w:tplc="0425001B" w:tentative="1">
      <w:start w:val="1"/>
      <w:numFmt w:val="lowerRoman"/>
      <w:lvlText w:val="%3."/>
      <w:lvlJc w:val="right"/>
      <w:pPr>
        <w:tabs>
          <w:tab w:val="num" w:pos="2508"/>
        </w:tabs>
        <w:ind w:left="2508" w:hanging="180"/>
      </w:pPr>
    </w:lvl>
    <w:lvl w:ilvl="3" w:tplc="0425000F" w:tentative="1">
      <w:start w:val="1"/>
      <w:numFmt w:val="decimal"/>
      <w:lvlText w:val="%4."/>
      <w:lvlJc w:val="left"/>
      <w:pPr>
        <w:tabs>
          <w:tab w:val="num" w:pos="3228"/>
        </w:tabs>
        <w:ind w:left="3228" w:hanging="360"/>
      </w:pPr>
    </w:lvl>
    <w:lvl w:ilvl="4" w:tplc="04250019" w:tentative="1">
      <w:start w:val="1"/>
      <w:numFmt w:val="lowerLetter"/>
      <w:lvlText w:val="%5."/>
      <w:lvlJc w:val="left"/>
      <w:pPr>
        <w:tabs>
          <w:tab w:val="num" w:pos="3948"/>
        </w:tabs>
        <w:ind w:left="3948" w:hanging="360"/>
      </w:pPr>
    </w:lvl>
    <w:lvl w:ilvl="5" w:tplc="0425001B" w:tentative="1">
      <w:start w:val="1"/>
      <w:numFmt w:val="lowerRoman"/>
      <w:lvlText w:val="%6."/>
      <w:lvlJc w:val="right"/>
      <w:pPr>
        <w:tabs>
          <w:tab w:val="num" w:pos="4668"/>
        </w:tabs>
        <w:ind w:left="4668" w:hanging="180"/>
      </w:pPr>
    </w:lvl>
    <w:lvl w:ilvl="6" w:tplc="0425000F" w:tentative="1">
      <w:start w:val="1"/>
      <w:numFmt w:val="decimal"/>
      <w:lvlText w:val="%7."/>
      <w:lvlJc w:val="left"/>
      <w:pPr>
        <w:tabs>
          <w:tab w:val="num" w:pos="5388"/>
        </w:tabs>
        <w:ind w:left="5388" w:hanging="360"/>
      </w:pPr>
    </w:lvl>
    <w:lvl w:ilvl="7" w:tplc="04250019" w:tentative="1">
      <w:start w:val="1"/>
      <w:numFmt w:val="lowerLetter"/>
      <w:lvlText w:val="%8."/>
      <w:lvlJc w:val="left"/>
      <w:pPr>
        <w:tabs>
          <w:tab w:val="num" w:pos="6108"/>
        </w:tabs>
        <w:ind w:left="6108" w:hanging="360"/>
      </w:pPr>
    </w:lvl>
    <w:lvl w:ilvl="8" w:tplc="0425001B" w:tentative="1">
      <w:start w:val="1"/>
      <w:numFmt w:val="lowerRoman"/>
      <w:lvlText w:val="%9."/>
      <w:lvlJc w:val="right"/>
      <w:pPr>
        <w:tabs>
          <w:tab w:val="num" w:pos="6828"/>
        </w:tabs>
        <w:ind w:left="6828" w:hanging="180"/>
      </w:pPr>
    </w:lvl>
  </w:abstractNum>
  <w:abstractNum w:abstractNumId="107" w15:restartNumberingAfterBreak="0">
    <w:nsid w:val="75E34DD5"/>
    <w:multiLevelType w:val="multilevel"/>
    <w:tmpl w:val="84C63C94"/>
    <w:styleLink w:val="Laad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767367DD"/>
    <w:multiLevelType w:val="multilevel"/>
    <w:tmpl w:val="B164DB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9" w15:restartNumberingAfterBreak="0">
    <w:nsid w:val="7A4C79C3"/>
    <w:multiLevelType w:val="hybridMultilevel"/>
    <w:tmpl w:val="3D2052FA"/>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7B703F38"/>
    <w:multiLevelType w:val="hybridMultilevel"/>
    <w:tmpl w:val="F33007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1" w15:restartNumberingAfterBreak="0">
    <w:nsid w:val="7BD27C7A"/>
    <w:multiLevelType w:val="hybridMultilevel"/>
    <w:tmpl w:val="48FECD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2" w15:restartNumberingAfterBreak="0">
    <w:nsid w:val="7CF930D0"/>
    <w:multiLevelType w:val="hybridMultilevel"/>
    <w:tmpl w:val="AF18D7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3" w15:restartNumberingAfterBreak="0">
    <w:nsid w:val="7D1B59CC"/>
    <w:multiLevelType w:val="hybridMultilevel"/>
    <w:tmpl w:val="BE10F44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4" w15:restartNumberingAfterBreak="0">
    <w:nsid w:val="7D8F2C0D"/>
    <w:multiLevelType w:val="hybridMultilevel"/>
    <w:tmpl w:val="4894AD4A"/>
    <w:lvl w:ilvl="0" w:tplc="0425000F">
      <w:start w:val="2"/>
      <w:numFmt w:val="decimal"/>
      <w:pStyle w:val="Lik"/>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115" w15:restartNumberingAfterBreak="0">
    <w:nsid w:val="7DD64BB3"/>
    <w:multiLevelType w:val="multilevel"/>
    <w:tmpl w:val="332A338A"/>
    <w:lvl w:ilvl="0">
      <w:start w:val="1"/>
      <w:numFmt w:val="decimal"/>
      <w:lvlText w:val="%1"/>
      <w:lvlJc w:val="left"/>
      <w:pPr>
        <w:ind w:left="432" w:hanging="432"/>
      </w:pPr>
      <w:rPr>
        <w:rFonts w:hint="default"/>
      </w:rPr>
    </w:lvl>
    <w:lvl w:ilvl="1">
      <w:start w:val="1"/>
      <w:numFmt w:val="decimal"/>
      <w:pStyle w:val="Pealkiri2"/>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6" w15:restartNumberingAfterBreak="0">
    <w:nsid w:val="7FD43D75"/>
    <w:multiLevelType w:val="hybridMultilevel"/>
    <w:tmpl w:val="D1A406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286043554">
    <w:abstractNumId w:val="114"/>
  </w:num>
  <w:num w:numId="2" w16cid:durableId="692724717">
    <w:abstractNumId w:val="100"/>
  </w:num>
  <w:num w:numId="3" w16cid:durableId="256640781">
    <w:abstractNumId w:val="28"/>
  </w:num>
  <w:num w:numId="4" w16cid:durableId="2120446510">
    <w:abstractNumId w:val="0"/>
  </w:num>
  <w:num w:numId="5" w16cid:durableId="761678913">
    <w:abstractNumId w:val="1"/>
  </w:num>
  <w:num w:numId="6" w16cid:durableId="1412237705">
    <w:abstractNumId w:val="65"/>
  </w:num>
  <w:num w:numId="7" w16cid:durableId="2055813103">
    <w:abstractNumId w:val="77"/>
  </w:num>
  <w:num w:numId="8" w16cid:durableId="853494757">
    <w:abstractNumId w:val="50"/>
  </w:num>
  <w:num w:numId="9" w16cid:durableId="870536751">
    <w:abstractNumId w:val="31"/>
  </w:num>
  <w:num w:numId="10" w16cid:durableId="1859079785">
    <w:abstractNumId w:val="97"/>
  </w:num>
  <w:num w:numId="11" w16cid:durableId="1889878011">
    <w:abstractNumId w:val="44"/>
  </w:num>
  <w:num w:numId="12" w16cid:durableId="891042818">
    <w:abstractNumId w:val="42"/>
  </w:num>
  <w:num w:numId="13" w16cid:durableId="1550728506">
    <w:abstractNumId w:val="91"/>
  </w:num>
  <w:num w:numId="14" w16cid:durableId="339043991">
    <w:abstractNumId w:val="10"/>
  </w:num>
  <w:num w:numId="15" w16cid:durableId="287441729">
    <w:abstractNumId w:val="63"/>
  </w:num>
  <w:num w:numId="16" w16cid:durableId="426001574">
    <w:abstractNumId w:val="29"/>
  </w:num>
  <w:num w:numId="17" w16cid:durableId="1645309980">
    <w:abstractNumId w:val="106"/>
  </w:num>
  <w:num w:numId="18" w16cid:durableId="1084230707">
    <w:abstractNumId w:val="24"/>
  </w:num>
  <w:num w:numId="19" w16cid:durableId="1082482596">
    <w:abstractNumId w:val="17"/>
  </w:num>
  <w:num w:numId="20" w16cid:durableId="293558721">
    <w:abstractNumId w:val="16"/>
  </w:num>
  <w:num w:numId="21" w16cid:durableId="1375496560">
    <w:abstractNumId w:val="35"/>
  </w:num>
  <w:num w:numId="22" w16cid:durableId="1665470151">
    <w:abstractNumId w:val="22"/>
  </w:num>
  <w:num w:numId="23" w16cid:durableId="931547873">
    <w:abstractNumId w:val="49"/>
  </w:num>
  <w:num w:numId="24" w16cid:durableId="630942182">
    <w:abstractNumId w:val="85"/>
  </w:num>
  <w:num w:numId="25" w16cid:durableId="516386167">
    <w:abstractNumId w:val="107"/>
  </w:num>
  <w:num w:numId="26" w16cid:durableId="1147357306">
    <w:abstractNumId w:val="55"/>
  </w:num>
  <w:num w:numId="27" w16cid:durableId="577373196">
    <w:abstractNumId w:val="101"/>
  </w:num>
  <w:num w:numId="28" w16cid:durableId="151289142">
    <w:abstractNumId w:val="7"/>
  </w:num>
  <w:num w:numId="29" w16cid:durableId="1389455448">
    <w:abstractNumId w:val="72"/>
  </w:num>
  <w:num w:numId="30" w16cid:durableId="988443969">
    <w:abstractNumId w:val="8"/>
  </w:num>
  <w:num w:numId="31" w16cid:durableId="588807620">
    <w:abstractNumId w:val="13"/>
  </w:num>
  <w:num w:numId="32" w16cid:durableId="562712963">
    <w:abstractNumId w:val="116"/>
  </w:num>
  <w:num w:numId="33" w16cid:durableId="1170565542">
    <w:abstractNumId w:val="76"/>
  </w:num>
  <w:num w:numId="34" w16cid:durableId="1395273685">
    <w:abstractNumId w:val="69"/>
  </w:num>
  <w:num w:numId="35" w16cid:durableId="1014529305">
    <w:abstractNumId w:val="95"/>
  </w:num>
  <w:num w:numId="36" w16cid:durableId="2026588054">
    <w:abstractNumId w:val="22"/>
    <w:lvlOverride w:ilvl="0">
      <w:lvl w:ilvl="0">
        <w:start w:val="1"/>
        <w:numFmt w:val="decimal"/>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pStyle w:val="Pealkiri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7" w16cid:durableId="1848901865">
    <w:abstractNumId w:val="21"/>
  </w:num>
  <w:num w:numId="38" w16cid:durableId="1511947394">
    <w:abstractNumId w:val="3"/>
    <w:lvlOverride w:ilvl="0">
      <w:lvl w:ilvl="0">
        <w:start w:val="1"/>
        <w:numFmt w:val="decimal"/>
        <w:lvlText w:val="%1."/>
        <w:lvlJc w:val="left"/>
        <w:pPr>
          <w:ind w:left="0" w:firstLine="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4.1"/>
        <w:lvlJc w:val="left"/>
        <w:pPr>
          <w:ind w:left="360" w:hanging="360"/>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9" w16cid:durableId="2048750256">
    <w:abstractNumId w:val="20"/>
  </w:num>
  <w:num w:numId="40" w16cid:durableId="20520669">
    <w:abstractNumId w:val="51"/>
  </w:num>
  <w:num w:numId="41" w16cid:durableId="418336302">
    <w:abstractNumId w:val="4"/>
  </w:num>
  <w:num w:numId="42" w16cid:durableId="822938132">
    <w:abstractNumId w:val="78"/>
  </w:num>
  <w:num w:numId="43" w16cid:durableId="568811741">
    <w:abstractNumId w:val="54"/>
  </w:num>
  <w:num w:numId="44" w16cid:durableId="132722040">
    <w:abstractNumId w:val="66"/>
  </w:num>
  <w:num w:numId="45" w16cid:durableId="31424333">
    <w:abstractNumId w:val="102"/>
  </w:num>
  <w:num w:numId="46" w16cid:durableId="89326319">
    <w:abstractNumId w:val="84"/>
  </w:num>
  <w:num w:numId="47" w16cid:durableId="1828936874">
    <w:abstractNumId w:val="39"/>
  </w:num>
  <w:num w:numId="48" w16cid:durableId="779835030">
    <w:abstractNumId w:val="94"/>
  </w:num>
  <w:num w:numId="49" w16cid:durableId="1882593133">
    <w:abstractNumId w:val="61"/>
  </w:num>
  <w:num w:numId="50" w16cid:durableId="1532692019">
    <w:abstractNumId w:val="71"/>
  </w:num>
  <w:num w:numId="51" w16cid:durableId="216818780">
    <w:abstractNumId w:val="32"/>
  </w:num>
  <w:num w:numId="52" w16cid:durableId="1768382246">
    <w:abstractNumId w:val="70"/>
  </w:num>
  <w:num w:numId="53" w16cid:durableId="2080010487">
    <w:abstractNumId w:val="90"/>
  </w:num>
  <w:num w:numId="54" w16cid:durableId="192304270">
    <w:abstractNumId w:val="98"/>
  </w:num>
  <w:num w:numId="55" w16cid:durableId="525797164">
    <w:abstractNumId w:val="87"/>
  </w:num>
  <w:num w:numId="56" w16cid:durableId="180901891">
    <w:abstractNumId w:val="41"/>
  </w:num>
  <w:num w:numId="57" w16cid:durableId="1529950255">
    <w:abstractNumId w:val="46"/>
  </w:num>
  <w:num w:numId="58" w16cid:durableId="1566799160">
    <w:abstractNumId w:val="58"/>
  </w:num>
  <w:num w:numId="59" w16cid:durableId="1064110649">
    <w:abstractNumId w:val="12"/>
  </w:num>
  <w:num w:numId="60" w16cid:durableId="447046805">
    <w:abstractNumId w:val="92"/>
  </w:num>
  <w:num w:numId="61" w16cid:durableId="823937563">
    <w:abstractNumId w:val="4"/>
  </w:num>
  <w:num w:numId="62" w16cid:durableId="1835997119">
    <w:abstractNumId w:val="38"/>
  </w:num>
  <w:num w:numId="63" w16cid:durableId="1815170895">
    <w:abstractNumId w:val="53"/>
  </w:num>
  <w:num w:numId="64" w16cid:durableId="1220749591">
    <w:abstractNumId w:val="19"/>
  </w:num>
  <w:num w:numId="65" w16cid:durableId="185952175">
    <w:abstractNumId w:val="89"/>
  </w:num>
  <w:num w:numId="66" w16cid:durableId="1726946825">
    <w:abstractNumId w:val="93"/>
  </w:num>
  <w:num w:numId="67" w16cid:durableId="357855414">
    <w:abstractNumId w:val="45"/>
  </w:num>
  <w:num w:numId="68" w16cid:durableId="1572690395">
    <w:abstractNumId w:val="108"/>
  </w:num>
  <w:num w:numId="69" w16cid:durableId="2081712696">
    <w:abstractNumId w:val="27"/>
  </w:num>
  <w:num w:numId="70" w16cid:durableId="179785622">
    <w:abstractNumId w:val="103"/>
  </w:num>
  <w:num w:numId="71" w16cid:durableId="205290159">
    <w:abstractNumId w:val="80"/>
  </w:num>
  <w:num w:numId="72" w16cid:durableId="189613655">
    <w:abstractNumId w:val="43"/>
  </w:num>
  <w:num w:numId="73" w16cid:durableId="1375419982">
    <w:abstractNumId w:val="111"/>
  </w:num>
  <w:num w:numId="74" w16cid:durableId="1312172077">
    <w:abstractNumId w:val="112"/>
  </w:num>
  <w:num w:numId="75" w16cid:durableId="181936093">
    <w:abstractNumId w:val="15"/>
  </w:num>
  <w:num w:numId="76" w16cid:durableId="276373730">
    <w:abstractNumId w:val="59"/>
  </w:num>
  <w:num w:numId="77" w16cid:durableId="1125154675">
    <w:abstractNumId w:val="60"/>
  </w:num>
  <w:num w:numId="78" w16cid:durableId="834153829">
    <w:abstractNumId w:val="56"/>
  </w:num>
  <w:num w:numId="79" w16cid:durableId="259916122">
    <w:abstractNumId w:val="105"/>
  </w:num>
  <w:num w:numId="80" w16cid:durableId="295643103">
    <w:abstractNumId w:val="52"/>
  </w:num>
  <w:num w:numId="81" w16cid:durableId="1320383068">
    <w:abstractNumId w:val="115"/>
  </w:num>
  <w:num w:numId="82" w16cid:durableId="1608463564">
    <w:abstractNumId w:val="37"/>
  </w:num>
  <w:num w:numId="83" w16cid:durableId="1887643375">
    <w:abstractNumId w:val="74"/>
  </w:num>
  <w:num w:numId="84" w16cid:durableId="1345861019">
    <w:abstractNumId w:val="33"/>
  </w:num>
  <w:num w:numId="85" w16cid:durableId="1097753153">
    <w:abstractNumId w:val="36"/>
  </w:num>
  <w:num w:numId="86" w16cid:durableId="557665158">
    <w:abstractNumId w:val="26"/>
  </w:num>
  <w:num w:numId="87" w16cid:durableId="512378767">
    <w:abstractNumId w:val="113"/>
  </w:num>
  <w:num w:numId="88" w16cid:durableId="44835872">
    <w:abstractNumId w:val="18"/>
  </w:num>
  <w:num w:numId="89" w16cid:durableId="530339023">
    <w:abstractNumId w:val="68"/>
  </w:num>
  <w:num w:numId="90" w16cid:durableId="1995714046">
    <w:abstractNumId w:val="40"/>
  </w:num>
  <w:num w:numId="91" w16cid:durableId="1990817858">
    <w:abstractNumId w:val="9"/>
  </w:num>
  <w:num w:numId="92" w16cid:durableId="296497731">
    <w:abstractNumId w:val="104"/>
  </w:num>
  <w:num w:numId="93" w16cid:durableId="1835800646">
    <w:abstractNumId w:val="81"/>
  </w:num>
  <w:num w:numId="94" w16cid:durableId="798956981">
    <w:abstractNumId w:val="82"/>
  </w:num>
  <w:num w:numId="95" w16cid:durableId="306016365">
    <w:abstractNumId w:val="67"/>
  </w:num>
  <w:num w:numId="96" w16cid:durableId="640185887">
    <w:abstractNumId w:val="88"/>
  </w:num>
  <w:num w:numId="97" w16cid:durableId="1771853520">
    <w:abstractNumId w:val="47"/>
  </w:num>
  <w:num w:numId="98" w16cid:durableId="193035977">
    <w:abstractNumId w:val="62"/>
  </w:num>
  <w:num w:numId="99" w16cid:durableId="1043480642">
    <w:abstractNumId w:val="73"/>
  </w:num>
  <w:num w:numId="100" w16cid:durableId="1637292699">
    <w:abstractNumId w:val="79"/>
  </w:num>
  <w:num w:numId="101" w16cid:durableId="244999920">
    <w:abstractNumId w:val="57"/>
  </w:num>
  <w:num w:numId="102" w16cid:durableId="620308601">
    <w:abstractNumId w:val="86"/>
  </w:num>
  <w:num w:numId="103" w16cid:durableId="1741907460">
    <w:abstractNumId w:val="110"/>
  </w:num>
  <w:num w:numId="104" w16cid:durableId="2144299429">
    <w:abstractNumId w:val="48"/>
  </w:num>
  <w:num w:numId="105" w16cid:durableId="799227671">
    <w:abstractNumId w:val="6"/>
  </w:num>
  <w:num w:numId="106" w16cid:durableId="135613673">
    <w:abstractNumId w:val="2"/>
  </w:num>
  <w:num w:numId="107" w16cid:durableId="1112433575">
    <w:abstractNumId w:val="14"/>
  </w:num>
  <w:num w:numId="108" w16cid:durableId="154776469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701930757">
    <w:abstractNumId w:val="74"/>
    <w:lvlOverride w:ilvl="0">
      <w:lvl w:ilvl="0">
        <w:start w:val="1"/>
        <w:numFmt w:val="decimal"/>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lvlText w:val="%1.%2"/>
        <w:lvlJc w:val="left"/>
        <w:pPr>
          <w:ind w:left="576" w:hanging="576"/>
        </w:pPr>
        <w:rPr>
          <w:rFonts w:hint="default"/>
        </w:rPr>
      </w:lvl>
    </w:lvlOverride>
    <w:lvlOverride w:ilvl="2">
      <w:lvl w:ilvl="2">
        <w:start w:val="1"/>
        <w:numFmt w:val="decimal"/>
        <w:lvlRestart w:val="0"/>
        <w:pStyle w:val="Pealkiri3"/>
        <w:lvlText w:val="%1.%2.%3"/>
        <w:lvlJc w:val="left"/>
        <w:pPr>
          <w:ind w:left="720" w:hanging="720"/>
        </w:pPr>
        <w:rPr>
          <w:rFonts w:hint="default"/>
          <w:b w:val="0"/>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10" w16cid:durableId="836850343">
    <w:abstractNumId w:val="23"/>
  </w:num>
  <w:num w:numId="111" w16cid:durableId="1332568511">
    <w:abstractNumId w:val="5"/>
  </w:num>
  <w:num w:numId="112" w16cid:durableId="896743467">
    <w:abstractNumId w:val="115"/>
    <w:lvlOverride w:ilvl="0">
      <w:startOverride w:val="1"/>
      <w:lvl w:ilvl="0">
        <w:start w:val="1"/>
        <w:numFmt w:val="decimal"/>
        <w:lvlText w:val="%1"/>
        <w:lvlJc w:val="left"/>
        <w:pPr>
          <w:ind w:left="432" w:hanging="432"/>
        </w:pPr>
        <w:rPr>
          <w:rFonts w:hint="default"/>
        </w:rPr>
      </w:lvl>
    </w:lvlOverride>
    <w:lvlOverride w:ilvl="1">
      <w:startOverride w:val="1"/>
      <w:lvl w:ilvl="1">
        <w:start w:val="1"/>
        <w:numFmt w:val="decimal"/>
        <w:lvlRestart w:val="0"/>
        <w:pStyle w:val="Pealkiri2"/>
        <w:lvlText w:val="%1.%2"/>
        <w:lvlJc w:val="left"/>
        <w:pPr>
          <w:ind w:left="576" w:hanging="576"/>
        </w:pPr>
        <w:rPr>
          <w:rFonts w:hint="default"/>
        </w:rPr>
      </w:lvl>
    </w:lvlOverride>
    <w:lvlOverride w:ilvl="2">
      <w:startOverride w:val="1"/>
      <w:lvl w:ilvl="2">
        <w:start w:val="1"/>
        <w:numFmt w:val="decimal"/>
        <w:lvlText w:val="%1.%2.%3"/>
        <w:lvlJc w:val="left"/>
        <w:pPr>
          <w:ind w:left="720" w:hanging="720"/>
        </w:pPr>
        <w:rPr>
          <w:rFonts w:hint="default"/>
        </w:rPr>
      </w:lvl>
    </w:lvlOverride>
    <w:lvlOverride w:ilvl="3">
      <w:startOverride w:val="1"/>
      <w:lvl w:ilvl="3">
        <w:start w:val="1"/>
        <w:numFmt w:val="decimal"/>
        <w:lvlText w:val="%1.%2.%3.%4"/>
        <w:lvlJc w:val="left"/>
        <w:pPr>
          <w:ind w:left="864" w:hanging="864"/>
        </w:pPr>
        <w:rPr>
          <w:rFonts w:hint="default"/>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113" w16cid:durableId="965738984">
    <w:abstractNumId w:val="64"/>
  </w:num>
  <w:num w:numId="114" w16cid:durableId="102114666">
    <w:abstractNumId w:val="115"/>
    <w:lvlOverride w:ilvl="0">
      <w:lvl w:ilvl="0">
        <w:start w:val="1"/>
        <w:numFmt w:val="decimal"/>
        <w:lvlText w:val="%1"/>
        <w:lvlJc w:val="left"/>
        <w:pPr>
          <w:ind w:left="432" w:hanging="432"/>
        </w:pPr>
        <w:rPr>
          <w:rFonts w:hint="default"/>
        </w:rPr>
      </w:lvl>
    </w:lvlOverride>
    <w:lvlOverride w:ilvl="1">
      <w:lvl w:ilvl="1">
        <w:start w:val="1"/>
        <w:numFmt w:val="decimal"/>
        <w:lvlRestart w:val="0"/>
        <w:pStyle w:val="Pealkiri2"/>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15" w16cid:durableId="1500730719">
    <w:abstractNumId w:val="30"/>
  </w:num>
  <w:num w:numId="116" w16cid:durableId="254364617">
    <w:abstractNumId w:val="74"/>
    <w:lvlOverride w:ilvl="0">
      <w:lvl w:ilvl="0">
        <w:start w:val="1"/>
        <w:numFmt w:val="decimal"/>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lvlText w:val="%1.%2"/>
        <w:lvlJc w:val="left"/>
        <w:pPr>
          <w:ind w:left="576" w:hanging="576"/>
        </w:pPr>
        <w:rPr>
          <w:rFonts w:hint="default"/>
        </w:rPr>
      </w:lvl>
    </w:lvlOverride>
    <w:lvlOverride w:ilvl="2">
      <w:lvl w:ilvl="2">
        <w:start w:val="1"/>
        <w:numFmt w:val="decimal"/>
        <w:pStyle w:val="Pealkiri3"/>
        <w:lvlText w:val="%1.%2.%3"/>
        <w:lvlJc w:val="left"/>
        <w:pPr>
          <w:ind w:left="720" w:hanging="720"/>
        </w:pPr>
        <w:rPr>
          <w:rFonts w:hint="default"/>
          <w:b w:val="0"/>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17" w16cid:durableId="1669022158">
    <w:abstractNumId w:val="115"/>
    <w:lvlOverride w:ilvl="0">
      <w:lvl w:ilvl="0">
        <w:start w:val="1"/>
        <w:numFmt w:val="decimal"/>
        <w:lvlText w:val="%1"/>
        <w:lvlJc w:val="left"/>
        <w:pPr>
          <w:ind w:left="432" w:hanging="432"/>
        </w:pPr>
        <w:rPr>
          <w:rFonts w:hint="default"/>
        </w:rPr>
      </w:lvl>
    </w:lvlOverride>
    <w:lvlOverride w:ilvl="1">
      <w:lvl w:ilvl="1">
        <w:start w:val="1"/>
        <w:numFmt w:val="decimal"/>
        <w:pStyle w:val="Pealkiri2"/>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18" w16cid:durableId="648555149">
    <w:abstractNumId w:val="96"/>
  </w:num>
  <w:num w:numId="119" w16cid:durableId="602568911">
    <w:abstractNumId w:val="115"/>
    <w:lvlOverride w:ilvl="0">
      <w:lvl w:ilvl="0">
        <w:start w:val="8"/>
        <w:numFmt w:val="decimal"/>
        <w:lvlText w:val="%1"/>
        <w:lvlJc w:val="left"/>
        <w:pPr>
          <w:ind w:left="432" w:hanging="432"/>
        </w:pPr>
        <w:rPr>
          <w:rFonts w:hint="default"/>
        </w:rPr>
      </w:lvl>
    </w:lvlOverride>
    <w:lvlOverride w:ilvl="1">
      <w:lvl w:ilvl="1">
        <w:start w:val="9"/>
        <w:numFmt w:val="decimal"/>
        <w:lvlRestart w:val="0"/>
        <w:pStyle w:val="Pealkiri2"/>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20" w16cid:durableId="363674981">
    <w:abstractNumId w:val="115"/>
    <w:lvlOverride w:ilvl="0">
      <w:lvl w:ilvl="0">
        <w:start w:val="8"/>
        <w:numFmt w:val="decimal"/>
        <w:lvlText w:val="%1"/>
        <w:lvlJc w:val="left"/>
        <w:pPr>
          <w:ind w:left="432" w:hanging="432"/>
        </w:pPr>
        <w:rPr>
          <w:rFonts w:hint="default"/>
        </w:rPr>
      </w:lvl>
    </w:lvlOverride>
    <w:lvlOverride w:ilvl="1">
      <w:lvl w:ilvl="1">
        <w:start w:val="9"/>
        <w:numFmt w:val="decimal"/>
        <w:lvlRestart w:val="0"/>
        <w:pStyle w:val="Pealkiri2"/>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21" w16cid:durableId="324405552">
    <w:abstractNumId w:val="115"/>
    <w:lvlOverride w:ilvl="0">
      <w:lvl w:ilvl="0">
        <w:start w:val="1"/>
        <w:numFmt w:val="decimal"/>
        <w:lvlText w:val="%1"/>
        <w:lvlJc w:val="left"/>
        <w:pPr>
          <w:ind w:left="432" w:hanging="432"/>
        </w:pPr>
        <w:rPr>
          <w:rFonts w:hint="default"/>
        </w:rPr>
      </w:lvl>
    </w:lvlOverride>
    <w:lvlOverride w:ilvl="1">
      <w:lvl w:ilvl="1">
        <w:start w:val="1"/>
        <w:numFmt w:val="decimal"/>
        <w:lvlRestart w:val="0"/>
        <w:pStyle w:val="Pealkiri2"/>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22" w16cid:durableId="681250296">
    <w:abstractNumId w:val="99"/>
  </w:num>
  <w:num w:numId="123" w16cid:durableId="1589659916">
    <w:abstractNumId w:val="115"/>
  </w:num>
  <w:num w:numId="124" w16cid:durableId="1309094908">
    <w:abstractNumId w:val="74"/>
    <w:lvlOverride w:ilvl="0">
      <w:lvl w:ilvl="0">
        <w:start w:val="1"/>
        <w:numFmt w:val="decimal"/>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lvlText w:val="%1.%2"/>
        <w:lvlJc w:val="left"/>
        <w:pPr>
          <w:ind w:left="576" w:hanging="576"/>
        </w:pPr>
        <w:rPr>
          <w:rFonts w:hint="default"/>
        </w:rPr>
      </w:lvl>
    </w:lvlOverride>
    <w:lvlOverride w:ilvl="2">
      <w:lvl w:ilvl="2">
        <w:start w:val="1"/>
        <w:numFmt w:val="decimal"/>
        <w:lvlRestart w:val="0"/>
        <w:pStyle w:val="Pealkiri3"/>
        <w:lvlText w:val="%1.%2.%3"/>
        <w:lvlJc w:val="left"/>
        <w:pPr>
          <w:ind w:left="720" w:hanging="720"/>
        </w:pPr>
        <w:rPr>
          <w:rFonts w:hint="default"/>
          <w:b w:val="0"/>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25" w16cid:durableId="2106922725">
    <w:abstractNumId w:val="74"/>
    <w:lvlOverride w:ilvl="0">
      <w:startOverride w:val="1"/>
      <w:lvl w:ilvl="0">
        <w:start w:val="1"/>
        <w:numFmt w:val="decimal"/>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startOverride w:val="1"/>
      <w:lvl w:ilvl="1">
        <w:start w:val="1"/>
        <w:numFmt w:val="decimal"/>
        <w:lvlText w:val="%1.%2"/>
        <w:lvlJc w:val="left"/>
        <w:pPr>
          <w:ind w:left="576" w:hanging="576"/>
        </w:pPr>
        <w:rPr>
          <w:rFonts w:hint="default"/>
        </w:rPr>
      </w:lvl>
    </w:lvlOverride>
    <w:lvlOverride w:ilvl="2">
      <w:startOverride w:val="1"/>
      <w:lvl w:ilvl="2">
        <w:start w:val="1"/>
        <w:numFmt w:val="decimal"/>
        <w:lvlRestart w:val="0"/>
        <w:pStyle w:val="Pealkiri3"/>
        <w:lvlText w:val="%1.%2.%3"/>
        <w:lvlJc w:val="left"/>
        <w:pPr>
          <w:ind w:left="720" w:hanging="720"/>
        </w:pPr>
        <w:rPr>
          <w:rFonts w:hint="default"/>
          <w:b w:val="0"/>
          <w:bCs w:val="0"/>
        </w:rPr>
      </w:lvl>
    </w:lvlOverride>
    <w:lvlOverride w:ilvl="3">
      <w:startOverride w:val="1"/>
      <w:lvl w:ilvl="3">
        <w:start w:val="1"/>
        <w:numFmt w:val="decimal"/>
        <w:lvlText w:val="%1.%2.%3.%4"/>
        <w:lvlJc w:val="left"/>
        <w:pPr>
          <w:ind w:left="864" w:hanging="864"/>
        </w:pPr>
        <w:rPr>
          <w:rFonts w:hint="default"/>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126" w16cid:durableId="151265279">
    <w:abstractNumId w:val="22"/>
    <w:lvlOverride w:ilvl="0">
      <w:lvl w:ilvl="0">
        <w:start w:val="1"/>
        <w:numFmt w:val="decimal"/>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pStyle w:val="Pealkiri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27" w16cid:durableId="998659480">
    <w:abstractNumId w:val="22"/>
    <w:lvlOverride w:ilvl="0">
      <w:lvl w:ilvl="0">
        <w:start w:val="1"/>
        <w:numFmt w:val="decimal"/>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pStyle w:val="Pealkiri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28" w16cid:durableId="562566594">
    <w:abstractNumId w:val="83"/>
  </w:num>
  <w:num w:numId="129" w16cid:durableId="844133821">
    <w:abstractNumId w:val="75"/>
  </w:num>
  <w:num w:numId="130" w16cid:durableId="822427745">
    <w:abstractNumId w:val="74"/>
  </w:num>
  <w:num w:numId="131" w16cid:durableId="2038113151">
    <w:abstractNumId w:val="25"/>
  </w:num>
  <w:num w:numId="132" w16cid:durableId="2053730217">
    <w:abstractNumId w:val="109"/>
  </w:num>
  <w:num w:numId="133" w16cid:durableId="2007979782">
    <w:abstractNumId w:val="11"/>
  </w:num>
  <w:num w:numId="134" w16cid:durableId="93138036">
    <w:abstractNumId w:val="3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972E3A"/>
    <w:rsid w:val="0000036D"/>
    <w:rsid w:val="0000079D"/>
    <w:rsid w:val="000009EF"/>
    <w:rsid w:val="00000AC2"/>
    <w:rsid w:val="00000ED4"/>
    <w:rsid w:val="000018FB"/>
    <w:rsid w:val="00001AA4"/>
    <w:rsid w:val="000021F9"/>
    <w:rsid w:val="00003926"/>
    <w:rsid w:val="00003F5D"/>
    <w:rsid w:val="00004914"/>
    <w:rsid w:val="00004C27"/>
    <w:rsid w:val="00004EB0"/>
    <w:rsid w:val="000053CC"/>
    <w:rsid w:val="000054B2"/>
    <w:rsid w:val="0000588B"/>
    <w:rsid w:val="00005902"/>
    <w:rsid w:val="000059CE"/>
    <w:rsid w:val="00006115"/>
    <w:rsid w:val="00006286"/>
    <w:rsid w:val="000072E1"/>
    <w:rsid w:val="00007406"/>
    <w:rsid w:val="0000750A"/>
    <w:rsid w:val="000078AA"/>
    <w:rsid w:val="00007DAC"/>
    <w:rsid w:val="00010029"/>
    <w:rsid w:val="0001038B"/>
    <w:rsid w:val="0001046B"/>
    <w:rsid w:val="000106F5"/>
    <w:rsid w:val="00010DDE"/>
    <w:rsid w:val="00010E1A"/>
    <w:rsid w:val="00010F13"/>
    <w:rsid w:val="00011085"/>
    <w:rsid w:val="00011945"/>
    <w:rsid w:val="00011EB3"/>
    <w:rsid w:val="00011F86"/>
    <w:rsid w:val="00012028"/>
    <w:rsid w:val="000124BE"/>
    <w:rsid w:val="000126B2"/>
    <w:rsid w:val="00012B60"/>
    <w:rsid w:val="00012B6B"/>
    <w:rsid w:val="000133EB"/>
    <w:rsid w:val="00013C24"/>
    <w:rsid w:val="00013D6A"/>
    <w:rsid w:val="00013F4A"/>
    <w:rsid w:val="00013F6F"/>
    <w:rsid w:val="00014198"/>
    <w:rsid w:val="000145D6"/>
    <w:rsid w:val="000145EB"/>
    <w:rsid w:val="0001559D"/>
    <w:rsid w:val="000157EC"/>
    <w:rsid w:val="00015E36"/>
    <w:rsid w:val="00016002"/>
    <w:rsid w:val="00017120"/>
    <w:rsid w:val="000172B4"/>
    <w:rsid w:val="000176A6"/>
    <w:rsid w:val="0001772B"/>
    <w:rsid w:val="00017B82"/>
    <w:rsid w:val="000205D4"/>
    <w:rsid w:val="00020DC0"/>
    <w:rsid w:val="00021353"/>
    <w:rsid w:val="000214D5"/>
    <w:rsid w:val="00021CF1"/>
    <w:rsid w:val="0002245C"/>
    <w:rsid w:val="0002253F"/>
    <w:rsid w:val="000225CF"/>
    <w:rsid w:val="00022B24"/>
    <w:rsid w:val="000234DD"/>
    <w:rsid w:val="00023F71"/>
    <w:rsid w:val="000242F9"/>
    <w:rsid w:val="000246DD"/>
    <w:rsid w:val="0002500D"/>
    <w:rsid w:val="00025084"/>
    <w:rsid w:val="000250D0"/>
    <w:rsid w:val="00025630"/>
    <w:rsid w:val="00025A01"/>
    <w:rsid w:val="00025CF9"/>
    <w:rsid w:val="00025EC2"/>
    <w:rsid w:val="00025FD8"/>
    <w:rsid w:val="00026323"/>
    <w:rsid w:val="00026E8A"/>
    <w:rsid w:val="000272B6"/>
    <w:rsid w:val="00027306"/>
    <w:rsid w:val="000276C6"/>
    <w:rsid w:val="00027793"/>
    <w:rsid w:val="000308BF"/>
    <w:rsid w:val="00031E8F"/>
    <w:rsid w:val="000320EF"/>
    <w:rsid w:val="0003227A"/>
    <w:rsid w:val="00032303"/>
    <w:rsid w:val="00032977"/>
    <w:rsid w:val="00032AF6"/>
    <w:rsid w:val="0003306C"/>
    <w:rsid w:val="000334F5"/>
    <w:rsid w:val="0003461A"/>
    <w:rsid w:val="00034838"/>
    <w:rsid w:val="00034860"/>
    <w:rsid w:val="000356F5"/>
    <w:rsid w:val="00035AB9"/>
    <w:rsid w:val="00035E6C"/>
    <w:rsid w:val="0003643E"/>
    <w:rsid w:val="0003691F"/>
    <w:rsid w:val="00036C33"/>
    <w:rsid w:val="000372C7"/>
    <w:rsid w:val="00037585"/>
    <w:rsid w:val="00037A57"/>
    <w:rsid w:val="00037BA0"/>
    <w:rsid w:val="00040614"/>
    <w:rsid w:val="00040D05"/>
    <w:rsid w:val="00040DBE"/>
    <w:rsid w:val="00040F19"/>
    <w:rsid w:val="00041118"/>
    <w:rsid w:val="00041255"/>
    <w:rsid w:val="00041763"/>
    <w:rsid w:val="00041865"/>
    <w:rsid w:val="00041B89"/>
    <w:rsid w:val="0004234F"/>
    <w:rsid w:val="0004309B"/>
    <w:rsid w:val="0004328D"/>
    <w:rsid w:val="00043747"/>
    <w:rsid w:val="000437CA"/>
    <w:rsid w:val="00043C16"/>
    <w:rsid w:val="00044526"/>
    <w:rsid w:val="000446B5"/>
    <w:rsid w:val="00044A33"/>
    <w:rsid w:val="00044ADD"/>
    <w:rsid w:val="0004565B"/>
    <w:rsid w:val="000457AF"/>
    <w:rsid w:val="00045E37"/>
    <w:rsid w:val="00045FAC"/>
    <w:rsid w:val="00046563"/>
    <w:rsid w:val="000465AA"/>
    <w:rsid w:val="00046DAE"/>
    <w:rsid w:val="000474D0"/>
    <w:rsid w:val="000477D4"/>
    <w:rsid w:val="00047C77"/>
    <w:rsid w:val="00050104"/>
    <w:rsid w:val="00050153"/>
    <w:rsid w:val="000503EE"/>
    <w:rsid w:val="00050923"/>
    <w:rsid w:val="000509E3"/>
    <w:rsid w:val="00052200"/>
    <w:rsid w:val="00052643"/>
    <w:rsid w:val="00052D19"/>
    <w:rsid w:val="00052FC3"/>
    <w:rsid w:val="00053093"/>
    <w:rsid w:val="0005341E"/>
    <w:rsid w:val="0005344E"/>
    <w:rsid w:val="00053500"/>
    <w:rsid w:val="00053AF2"/>
    <w:rsid w:val="00053AF5"/>
    <w:rsid w:val="000546B8"/>
    <w:rsid w:val="0005489D"/>
    <w:rsid w:val="00054957"/>
    <w:rsid w:val="00054D09"/>
    <w:rsid w:val="000552F8"/>
    <w:rsid w:val="0005539C"/>
    <w:rsid w:val="00055713"/>
    <w:rsid w:val="00055781"/>
    <w:rsid w:val="00056A3C"/>
    <w:rsid w:val="00056E68"/>
    <w:rsid w:val="000572AB"/>
    <w:rsid w:val="0005799C"/>
    <w:rsid w:val="00057E60"/>
    <w:rsid w:val="00057F43"/>
    <w:rsid w:val="000606DF"/>
    <w:rsid w:val="000618D9"/>
    <w:rsid w:val="00062019"/>
    <w:rsid w:val="000620D5"/>
    <w:rsid w:val="0006276F"/>
    <w:rsid w:val="000628C6"/>
    <w:rsid w:val="00062A72"/>
    <w:rsid w:val="00062EB5"/>
    <w:rsid w:val="00062F0A"/>
    <w:rsid w:val="00063BCE"/>
    <w:rsid w:val="00063CFC"/>
    <w:rsid w:val="00063FA7"/>
    <w:rsid w:val="00064344"/>
    <w:rsid w:val="000644A0"/>
    <w:rsid w:val="00064FEA"/>
    <w:rsid w:val="000650DC"/>
    <w:rsid w:val="00065441"/>
    <w:rsid w:val="00065AEA"/>
    <w:rsid w:val="00065B06"/>
    <w:rsid w:val="00065C06"/>
    <w:rsid w:val="00065C72"/>
    <w:rsid w:val="00065C9E"/>
    <w:rsid w:val="00065EBA"/>
    <w:rsid w:val="00065FE5"/>
    <w:rsid w:val="00066C10"/>
    <w:rsid w:val="000674E2"/>
    <w:rsid w:val="00067502"/>
    <w:rsid w:val="00067ACF"/>
    <w:rsid w:val="00070040"/>
    <w:rsid w:val="00070184"/>
    <w:rsid w:val="00070437"/>
    <w:rsid w:val="00070DC6"/>
    <w:rsid w:val="00071022"/>
    <w:rsid w:val="0007135D"/>
    <w:rsid w:val="00071925"/>
    <w:rsid w:val="000720CC"/>
    <w:rsid w:val="00072682"/>
    <w:rsid w:val="00072DC8"/>
    <w:rsid w:val="00072F0F"/>
    <w:rsid w:val="0007303C"/>
    <w:rsid w:val="000730D9"/>
    <w:rsid w:val="0007347A"/>
    <w:rsid w:val="0007466A"/>
    <w:rsid w:val="00074A13"/>
    <w:rsid w:val="00074D90"/>
    <w:rsid w:val="00074E61"/>
    <w:rsid w:val="0007510C"/>
    <w:rsid w:val="000751DC"/>
    <w:rsid w:val="000756B3"/>
    <w:rsid w:val="00075AA0"/>
    <w:rsid w:val="0007603F"/>
    <w:rsid w:val="00076495"/>
    <w:rsid w:val="00076744"/>
    <w:rsid w:val="000769CA"/>
    <w:rsid w:val="00076C84"/>
    <w:rsid w:val="00077517"/>
    <w:rsid w:val="00077600"/>
    <w:rsid w:val="000776AE"/>
    <w:rsid w:val="00077A2F"/>
    <w:rsid w:val="00077B44"/>
    <w:rsid w:val="00077D14"/>
    <w:rsid w:val="00080286"/>
    <w:rsid w:val="00080779"/>
    <w:rsid w:val="00080896"/>
    <w:rsid w:val="00080E0A"/>
    <w:rsid w:val="00081034"/>
    <w:rsid w:val="000812CB"/>
    <w:rsid w:val="000812F6"/>
    <w:rsid w:val="00081B1E"/>
    <w:rsid w:val="0008224A"/>
    <w:rsid w:val="000826CA"/>
    <w:rsid w:val="00082855"/>
    <w:rsid w:val="000829B3"/>
    <w:rsid w:val="00083109"/>
    <w:rsid w:val="00083377"/>
    <w:rsid w:val="0008366A"/>
    <w:rsid w:val="00083A73"/>
    <w:rsid w:val="00083AF4"/>
    <w:rsid w:val="00083ED9"/>
    <w:rsid w:val="0008482D"/>
    <w:rsid w:val="00084DF7"/>
    <w:rsid w:val="00084FB6"/>
    <w:rsid w:val="00085BAD"/>
    <w:rsid w:val="00086D30"/>
    <w:rsid w:val="000873CD"/>
    <w:rsid w:val="000902EA"/>
    <w:rsid w:val="00091186"/>
    <w:rsid w:val="000911D6"/>
    <w:rsid w:val="000913C7"/>
    <w:rsid w:val="00091420"/>
    <w:rsid w:val="0009284C"/>
    <w:rsid w:val="00092915"/>
    <w:rsid w:val="00092951"/>
    <w:rsid w:val="00092FBA"/>
    <w:rsid w:val="00093565"/>
    <w:rsid w:val="00093816"/>
    <w:rsid w:val="00093FE8"/>
    <w:rsid w:val="00094641"/>
    <w:rsid w:val="00094A2C"/>
    <w:rsid w:val="00094FE1"/>
    <w:rsid w:val="00095616"/>
    <w:rsid w:val="00095A9B"/>
    <w:rsid w:val="00095BC2"/>
    <w:rsid w:val="00095FD0"/>
    <w:rsid w:val="0009615E"/>
    <w:rsid w:val="000963C9"/>
    <w:rsid w:val="0009651F"/>
    <w:rsid w:val="00096810"/>
    <w:rsid w:val="000978F0"/>
    <w:rsid w:val="00097BE7"/>
    <w:rsid w:val="00097E03"/>
    <w:rsid w:val="00097ED8"/>
    <w:rsid w:val="000A092E"/>
    <w:rsid w:val="000A0BC1"/>
    <w:rsid w:val="000A11CB"/>
    <w:rsid w:val="000A17AB"/>
    <w:rsid w:val="000A1B82"/>
    <w:rsid w:val="000A1C52"/>
    <w:rsid w:val="000A2266"/>
    <w:rsid w:val="000A28A9"/>
    <w:rsid w:val="000A28B4"/>
    <w:rsid w:val="000A2AED"/>
    <w:rsid w:val="000A2B5E"/>
    <w:rsid w:val="000A2E86"/>
    <w:rsid w:val="000A3491"/>
    <w:rsid w:val="000A351F"/>
    <w:rsid w:val="000A382C"/>
    <w:rsid w:val="000A3998"/>
    <w:rsid w:val="000A3DCE"/>
    <w:rsid w:val="000A4443"/>
    <w:rsid w:val="000A4A6B"/>
    <w:rsid w:val="000A4BB5"/>
    <w:rsid w:val="000A554B"/>
    <w:rsid w:val="000A58F1"/>
    <w:rsid w:val="000A626D"/>
    <w:rsid w:val="000A62D1"/>
    <w:rsid w:val="000A6B37"/>
    <w:rsid w:val="000A7125"/>
    <w:rsid w:val="000A75E8"/>
    <w:rsid w:val="000A78FB"/>
    <w:rsid w:val="000A7B3A"/>
    <w:rsid w:val="000B028E"/>
    <w:rsid w:val="000B0343"/>
    <w:rsid w:val="000B0654"/>
    <w:rsid w:val="000B128B"/>
    <w:rsid w:val="000B13AE"/>
    <w:rsid w:val="000B1938"/>
    <w:rsid w:val="000B1966"/>
    <w:rsid w:val="000B1D20"/>
    <w:rsid w:val="000B201C"/>
    <w:rsid w:val="000B3131"/>
    <w:rsid w:val="000B355E"/>
    <w:rsid w:val="000B38DF"/>
    <w:rsid w:val="000B3A63"/>
    <w:rsid w:val="000B3A91"/>
    <w:rsid w:val="000B400F"/>
    <w:rsid w:val="000B43DC"/>
    <w:rsid w:val="000B44B4"/>
    <w:rsid w:val="000B44C7"/>
    <w:rsid w:val="000B4557"/>
    <w:rsid w:val="000B4574"/>
    <w:rsid w:val="000B4825"/>
    <w:rsid w:val="000B5198"/>
    <w:rsid w:val="000B52A7"/>
    <w:rsid w:val="000B5647"/>
    <w:rsid w:val="000B60E2"/>
    <w:rsid w:val="000B6309"/>
    <w:rsid w:val="000B6380"/>
    <w:rsid w:val="000B65E1"/>
    <w:rsid w:val="000B66B8"/>
    <w:rsid w:val="000B68F0"/>
    <w:rsid w:val="000B6A0A"/>
    <w:rsid w:val="000B6C67"/>
    <w:rsid w:val="000B6F07"/>
    <w:rsid w:val="000B73BC"/>
    <w:rsid w:val="000B79A0"/>
    <w:rsid w:val="000B7BC5"/>
    <w:rsid w:val="000B7E0B"/>
    <w:rsid w:val="000C0573"/>
    <w:rsid w:val="000C092C"/>
    <w:rsid w:val="000C0BE8"/>
    <w:rsid w:val="000C0E41"/>
    <w:rsid w:val="000C136E"/>
    <w:rsid w:val="000C1B58"/>
    <w:rsid w:val="000C1D8B"/>
    <w:rsid w:val="000C2004"/>
    <w:rsid w:val="000C23AE"/>
    <w:rsid w:val="000C2449"/>
    <w:rsid w:val="000C24E4"/>
    <w:rsid w:val="000C26CF"/>
    <w:rsid w:val="000C2BAA"/>
    <w:rsid w:val="000C39AE"/>
    <w:rsid w:val="000C3D28"/>
    <w:rsid w:val="000C4190"/>
    <w:rsid w:val="000C4285"/>
    <w:rsid w:val="000C42CD"/>
    <w:rsid w:val="000C478A"/>
    <w:rsid w:val="000C4DF0"/>
    <w:rsid w:val="000C57B5"/>
    <w:rsid w:val="000C5EC3"/>
    <w:rsid w:val="000C6125"/>
    <w:rsid w:val="000C62E3"/>
    <w:rsid w:val="000C644C"/>
    <w:rsid w:val="000C69FC"/>
    <w:rsid w:val="000C6C5D"/>
    <w:rsid w:val="000C7175"/>
    <w:rsid w:val="000C7192"/>
    <w:rsid w:val="000C77D5"/>
    <w:rsid w:val="000C79EE"/>
    <w:rsid w:val="000C7C74"/>
    <w:rsid w:val="000C7EA2"/>
    <w:rsid w:val="000D0E7C"/>
    <w:rsid w:val="000D1146"/>
    <w:rsid w:val="000D1162"/>
    <w:rsid w:val="000D17C0"/>
    <w:rsid w:val="000D1B56"/>
    <w:rsid w:val="000D1C02"/>
    <w:rsid w:val="000D222E"/>
    <w:rsid w:val="000D2609"/>
    <w:rsid w:val="000D2670"/>
    <w:rsid w:val="000D2EDD"/>
    <w:rsid w:val="000D34AE"/>
    <w:rsid w:val="000D3E8E"/>
    <w:rsid w:val="000D4384"/>
    <w:rsid w:val="000D47F3"/>
    <w:rsid w:val="000D4E2A"/>
    <w:rsid w:val="000D54BF"/>
    <w:rsid w:val="000D5575"/>
    <w:rsid w:val="000D5794"/>
    <w:rsid w:val="000D5BF2"/>
    <w:rsid w:val="000D60C8"/>
    <w:rsid w:val="000D6A00"/>
    <w:rsid w:val="000D6D1B"/>
    <w:rsid w:val="000D6F78"/>
    <w:rsid w:val="000D7AF5"/>
    <w:rsid w:val="000E0135"/>
    <w:rsid w:val="000E043D"/>
    <w:rsid w:val="000E09C4"/>
    <w:rsid w:val="000E0E90"/>
    <w:rsid w:val="000E0F9F"/>
    <w:rsid w:val="000E23CF"/>
    <w:rsid w:val="000E256A"/>
    <w:rsid w:val="000E2E26"/>
    <w:rsid w:val="000E322B"/>
    <w:rsid w:val="000E396D"/>
    <w:rsid w:val="000E3D1D"/>
    <w:rsid w:val="000E4583"/>
    <w:rsid w:val="000E4627"/>
    <w:rsid w:val="000E49EF"/>
    <w:rsid w:val="000E4B93"/>
    <w:rsid w:val="000E4D08"/>
    <w:rsid w:val="000E514C"/>
    <w:rsid w:val="000E54E3"/>
    <w:rsid w:val="000E5B15"/>
    <w:rsid w:val="000E5E04"/>
    <w:rsid w:val="000E62CE"/>
    <w:rsid w:val="000E697C"/>
    <w:rsid w:val="000E6AA0"/>
    <w:rsid w:val="000E6B3A"/>
    <w:rsid w:val="000E6B80"/>
    <w:rsid w:val="000E6C87"/>
    <w:rsid w:val="000E70D4"/>
    <w:rsid w:val="000E7998"/>
    <w:rsid w:val="000E7FF3"/>
    <w:rsid w:val="000F01A7"/>
    <w:rsid w:val="000F041E"/>
    <w:rsid w:val="000F0771"/>
    <w:rsid w:val="000F091B"/>
    <w:rsid w:val="000F0AA9"/>
    <w:rsid w:val="000F100B"/>
    <w:rsid w:val="000F1125"/>
    <w:rsid w:val="000F17CE"/>
    <w:rsid w:val="000F1E2B"/>
    <w:rsid w:val="000F1EC9"/>
    <w:rsid w:val="000F2653"/>
    <w:rsid w:val="000F2A1D"/>
    <w:rsid w:val="000F2D65"/>
    <w:rsid w:val="000F2ECB"/>
    <w:rsid w:val="000F2F93"/>
    <w:rsid w:val="000F35A1"/>
    <w:rsid w:val="000F37D0"/>
    <w:rsid w:val="000F38CA"/>
    <w:rsid w:val="000F3CF8"/>
    <w:rsid w:val="000F3EA8"/>
    <w:rsid w:val="000F3F16"/>
    <w:rsid w:val="000F3F2C"/>
    <w:rsid w:val="000F4373"/>
    <w:rsid w:val="000F4A44"/>
    <w:rsid w:val="000F4FF8"/>
    <w:rsid w:val="000F5EB8"/>
    <w:rsid w:val="000F6A9D"/>
    <w:rsid w:val="000F6F43"/>
    <w:rsid w:val="000F7434"/>
    <w:rsid w:val="000F7795"/>
    <w:rsid w:val="000F7F1C"/>
    <w:rsid w:val="0010017A"/>
    <w:rsid w:val="0010136E"/>
    <w:rsid w:val="001017AE"/>
    <w:rsid w:val="00101BB5"/>
    <w:rsid w:val="001020D4"/>
    <w:rsid w:val="00102C3F"/>
    <w:rsid w:val="001042F6"/>
    <w:rsid w:val="001046BC"/>
    <w:rsid w:val="00104806"/>
    <w:rsid w:val="001049FC"/>
    <w:rsid w:val="00104B81"/>
    <w:rsid w:val="00104D34"/>
    <w:rsid w:val="001053F8"/>
    <w:rsid w:val="00105408"/>
    <w:rsid w:val="00105B27"/>
    <w:rsid w:val="001061ED"/>
    <w:rsid w:val="00106688"/>
    <w:rsid w:val="00106A38"/>
    <w:rsid w:val="00106B7D"/>
    <w:rsid w:val="00106CF8"/>
    <w:rsid w:val="001071AA"/>
    <w:rsid w:val="001071B1"/>
    <w:rsid w:val="00107983"/>
    <w:rsid w:val="00110027"/>
    <w:rsid w:val="0011014B"/>
    <w:rsid w:val="00110A3B"/>
    <w:rsid w:val="00110D3A"/>
    <w:rsid w:val="001111C7"/>
    <w:rsid w:val="0011132F"/>
    <w:rsid w:val="00111D8C"/>
    <w:rsid w:val="0011280A"/>
    <w:rsid w:val="00113510"/>
    <w:rsid w:val="001144CE"/>
    <w:rsid w:val="001145EF"/>
    <w:rsid w:val="00114AF1"/>
    <w:rsid w:val="00114CBC"/>
    <w:rsid w:val="00114F1E"/>
    <w:rsid w:val="00115184"/>
    <w:rsid w:val="00115481"/>
    <w:rsid w:val="001155C7"/>
    <w:rsid w:val="00115825"/>
    <w:rsid w:val="00115E68"/>
    <w:rsid w:val="001161A8"/>
    <w:rsid w:val="00116D8D"/>
    <w:rsid w:val="00117095"/>
    <w:rsid w:val="0011760B"/>
    <w:rsid w:val="00117AC3"/>
    <w:rsid w:val="00120052"/>
    <w:rsid w:val="0012062C"/>
    <w:rsid w:val="00120887"/>
    <w:rsid w:val="001208F8"/>
    <w:rsid w:val="00120F54"/>
    <w:rsid w:val="0012180A"/>
    <w:rsid w:val="00122EB9"/>
    <w:rsid w:val="00123731"/>
    <w:rsid w:val="00123874"/>
    <w:rsid w:val="00123D5F"/>
    <w:rsid w:val="001244BD"/>
    <w:rsid w:val="00124B6F"/>
    <w:rsid w:val="00124EF1"/>
    <w:rsid w:val="001250D9"/>
    <w:rsid w:val="001251D3"/>
    <w:rsid w:val="00125C4C"/>
    <w:rsid w:val="0012660B"/>
    <w:rsid w:val="0012663D"/>
    <w:rsid w:val="001269D5"/>
    <w:rsid w:val="00126B17"/>
    <w:rsid w:val="00126C7C"/>
    <w:rsid w:val="001273D1"/>
    <w:rsid w:val="00127916"/>
    <w:rsid w:val="001279B2"/>
    <w:rsid w:val="001279E5"/>
    <w:rsid w:val="00127EFC"/>
    <w:rsid w:val="00130E0E"/>
    <w:rsid w:val="00132247"/>
    <w:rsid w:val="00132808"/>
    <w:rsid w:val="0013280A"/>
    <w:rsid w:val="00132844"/>
    <w:rsid w:val="00132973"/>
    <w:rsid w:val="00132A48"/>
    <w:rsid w:val="00133A01"/>
    <w:rsid w:val="00133DDC"/>
    <w:rsid w:val="001340A3"/>
    <w:rsid w:val="001340B6"/>
    <w:rsid w:val="0013441D"/>
    <w:rsid w:val="00134544"/>
    <w:rsid w:val="001348A2"/>
    <w:rsid w:val="0013498D"/>
    <w:rsid w:val="00135234"/>
    <w:rsid w:val="001352F2"/>
    <w:rsid w:val="00135EB1"/>
    <w:rsid w:val="00136692"/>
    <w:rsid w:val="00136A3D"/>
    <w:rsid w:val="00136FFD"/>
    <w:rsid w:val="0013738F"/>
    <w:rsid w:val="00137AE8"/>
    <w:rsid w:val="00137C3E"/>
    <w:rsid w:val="00137F15"/>
    <w:rsid w:val="00140662"/>
    <w:rsid w:val="001407E8"/>
    <w:rsid w:val="00141530"/>
    <w:rsid w:val="00141909"/>
    <w:rsid w:val="0014195D"/>
    <w:rsid w:val="00142075"/>
    <w:rsid w:val="001425F5"/>
    <w:rsid w:val="00143023"/>
    <w:rsid w:val="001433D6"/>
    <w:rsid w:val="00143E8C"/>
    <w:rsid w:val="00143FA1"/>
    <w:rsid w:val="0014414E"/>
    <w:rsid w:val="00144B3D"/>
    <w:rsid w:val="00144B45"/>
    <w:rsid w:val="00144C5C"/>
    <w:rsid w:val="0014542D"/>
    <w:rsid w:val="00145768"/>
    <w:rsid w:val="00145882"/>
    <w:rsid w:val="00145896"/>
    <w:rsid w:val="00145D95"/>
    <w:rsid w:val="001461BC"/>
    <w:rsid w:val="00146200"/>
    <w:rsid w:val="001467F3"/>
    <w:rsid w:val="001468D7"/>
    <w:rsid w:val="00150039"/>
    <w:rsid w:val="001500A9"/>
    <w:rsid w:val="001502A8"/>
    <w:rsid w:val="00150802"/>
    <w:rsid w:val="0015088B"/>
    <w:rsid w:val="00150A45"/>
    <w:rsid w:val="00150F55"/>
    <w:rsid w:val="0015123E"/>
    <w:rsid w:val="00151493"/>
    <w:rsid w:val="00151625"/>
    <w:rsid w:val="001518F3"/>
    <w:rsid w:val="00151908"/>
    <w:rsid w:val="00151B32"/>
    <w:rsid w:val="00151B6B"/>
    <w:rsid w:val="001521DF"/>
    <w:rsid w:val="0015272E"/>
    <w:rsid w:val="00152782"/>
    <w:rsid w:val="00152BE2"/>
    <w:rsid w:val="00153099"/>
    <w:rsid w:val="0015349C"/>
    <w:rsid w:val="00153B62"/>
    <w:rsid w:val="001540C2"/>
    <w:rsid w:val="001541FD"/>
    <w:rsid w:val="001543DF"/>
    <w:rsid w:val="001548A8"/>
    <w:rsid w:val="00155619"/>
    <w:rsid w:val="00155B28"/>
    <w:rsid w:val="00155E64"/>
    <w:rsid w:val="001560A5"/>
    <w:rsid w:val="00156111"/>
    <w:rsid w:val="0015626D"/>
    <w:rsid w:val="00156409"/>
    <w:rsid w:val="00156B3E"/>
    <w:rsid w:val="0015701B"/>
    <w:rsid w:val="001570FD"/>
    <w:rsid w:val="001572DB"/>
    <w:rsid w:val="00157571"/>
    <w:rsid w:val="00157618"/>
    <w:rsid w:val="00157BC8"/>
    <w:rsid w:val="00157E40"/>
    <w:rsid w:val="00157FDA"/>
    <w:rsid w:val="00160274"/>
    <w:rsid w:val="00160312"/>
    <w:rsid w:val="0016050F"/>
    <w:rsid w:val="00160607"/>
    <w:rsid w:val="00160864"/>
    <w:rsid w:val="001613E6"/>
    <w:rsid w:val="00161522"/>
    <w:rsid w:val="0016204E"/>
    <w:rsid w:val="00162486"/>
    <w:rsid w:val="00163030"/>
    <w:rsid w:val="00163A62"/>
    <w:rsid w:val="00163FF3"/>
    <w:rsid w:val="0016406D"/>
    <w:rsid w:val="00164B68"/>
    <w:rsid w:val="00165244"/>
    <w:rsid w:val="001654CA"/>
    <w:rsid w:val="00165A3F"/>
    <w:rsid w:val="00165A49"/>
    <w:rsid w:val="00167A57"/>
    <w:rsid w:val="00170078"/>
    <w:rsid w:val="0017012A"/>
    <w:rsid w:val="001704D1"/>
    <w:rsid w:val="00170828"/>
    <w:rsid w:val="00170916"/>
    <w:rsid w:val="00170AF0"/>
    <w:rsid w:val="0017147B"/>
    <w:rsid w:val="001714AE"/>
    <w:rsid w:val="00171844"/>
    <w:rsid w:val="00171B61"/>
    <w:rsid w:val="001726C4"/>
    <w:rsid w:val="001728CF"/>
    <w:rsid w:val="001729D0"/>
    <w:rsid w:val="00172B1F"/>
    <w:rsid w:val="001732ED"/>
    <w:rsid w:val="00173510"/>
    <w:rsid w:val="00173646"/>
    <w:rsid w:val="0017374F"/>
    <w:rsid w:val="00173A26"/>
    <w:rsid w:val="00173A78"/>
    <w:rsid w:val="00173ACF"/>
    <w:rsid w:val="00173D88"/>
    <w:rsid w:val="00174B34"/>
    <w:rsid w:val="00174CB7"/>
    <w:rsid w:val="00174EA5"/>
    <w:rsid w:val="00175A26"/>
    <w:rsid w:val="00175AA9"/>
    <w:rsid w:val="00175F02"/>
    <w:rsid w:val="0017606A"/>
    <w:rsid w:val="001762A9"/>
    <w:rsid w:val="001764C4"/>
    <w:rsid w:val="00176A12"/>
    <w:rsid w:val="001777B6"/>
    <w:rsid w:val="001777E8"/>
    <w:rsid w:val="00177896"/>
    <w:rsid w:val="00177E4B"/>
    <w:rsid w:val="00177E50"/>
    <w:rsid w:val="00177E51"/>
    <w:rsid w:val="00180A02"/>
    <w:rsid w:val="00180EBC"/>
    <w:rsid w:val="00180FA5"/>
    <w:rsid w:val="0018114A"/>
    <w:rsid w:val="001811D8"/>
    <w:rsid w:val="001813B7"/>
    <w:rsid w:val="001818CB"/>
    <w:rsid w:val="00181905"/>
    <w:rsid w:val="00181AD9"/>
    <w:rsid w:val="00181DDD"/>
    <w:rsid w:val="00181FB3"/>
    <w:rsid w:val="00182521"/>
    <w:rsid w:val="00183BEB"/>
    <w:rsid w:val="00183C1B"/>
    <w:rsid w:val="00183C25"/>
    <w:rsid w:val="00183CE4"/>
    <w:rsid w:val="00184696"/>
    <w:rsid w:val="00184A1B"/>
    <w:rsid w:val="00184D9A"/>
    <w:rsid w:val="001853CC"/>
    <w:rsid w:val="0018546D"/>
    <w:rsid w:val="001859B2"/>
    <w:rsid w:val="00185B46"/>
    <w:rsid w:val="00185BAC"/>
    <w:rsid w:val="00186976"/>
    <w:rsid w:val="00186A70"/>
    <w:rsid w:val="00186F2F"/>
    <w:rsid w:val="00187521"/>
    <w:rsid w:val="001878A8"/>
    <w:rsid w:val="00187A30"/>
    <w:rsid w:val="00187B3D"/>
    <w:rsid w:val="00190306"/>
    <w:rsid w:val="001903DF"/>
    <w:rsid w:val="00190B52"/>
    <w:rsid w:val="00190DAA"/>
    <w:rsid w:val="00190F79"/>
    <w:rsid w:val="00191104"/>
    <w:rsid w:val="00191140"/>
    <w:rsid w:val="001915F8"/>
    <w:rsid w:val="00191717"/>
    <w:rsid w:val="001918B2"/>
    <w:rsid w:val="00191906"/>
    <w:rsid w:val="00191D79"/>
    <w:rsid w:val="0019304C"/>
    <w:rsid w:val="0019308B"/>
    <w:rsid w:val="00193255"/>
    <w:rsid w:val="00193B09"/>
    <w:rsid w:val="00193DBF"/>
    <w:rsid w:val="001940D6"/>
    <w:rsid w:val="00194148"/>
    <w:rsid w:val="001949F9"/>
    <w:rsid w:val="00195A50"/>
    <w:rsid w:val="00195BFB"/>
    <w:rsid w:val="0019613E"/>
    <w:rsid w:val="0019642D"/>
    <w:rsid w:val="00196DB7"/>
    <w:rsid w:val="0019768D"/>
    <w:rsid w:val="001978BE"/>
    <w:rsid w:val="00197974"/>
    <w:rsid w:val="00197E37"/>
    <w:rsid w:val="00197FA3"/>
    <w:rsid w:val="001A00FA"/>
    <w:rsid w:val="001A018D"/>
    <w:rsid w:val="001A0212"/>
    <w:rsid w:val="001A098E"/>
    <w:rsid w:val="001A147B"/>
    <w:rsid w:val="001A166C"/>
    <w:rsid w:val="001A1A14"/>
    <w:rsid w:val="001A1A44"/>
    <w:rsid w:val="001A1D9F"/>
    <w:rsid w:val="001A1EFA"/>
    <w:rsid w:val="001A24B5"/>
    <w:rsid w:val="001A2587"/>
    <w:rsid w:val="001A2754"/>
    <w:rsid w:val="001A28B6"/>
    <w:rsid w:val="001A29CE"/>
    <w:rsid w:val="001A2DF9"/>
    <w:rsid w:val="001A2E18"/>
    <w:rsid w:val="001A33E1"/>
    <w:rsid w:val="001A3E07"/>
    <w:rsid w:val="001A3E68"/>
    <w:rsid w:val="001A3EBB"/>
    <w:rsid w:val="001A3FE6"/>
    <w:rsid w:val="001A4846"/>
    <w:rsid w:val="001A5713"/>
    <w:rsid w:val="001A5BA0"/>
    <w:rsid w:val="001A6554"/>
    <w:rsid w:val="001A6636"/>
    <w:rsid w:val="001A6C37"/>
    <w:rsid w:val="001A6E99"/>
    <w:rsid w:val="001A7231"/>
    <w:rsid w:val="001A7289"/>
    <w:rsid w:val="001A7FB2"/>
    <w:rsid w:val="001B016A"/>
    <w:rsid w:val="001B0C5E"/>
    <w:rsid w:val="001B0DB3"/>
    <w:rsid w:val="001B18A1"/>
    <w:rsid w:val="001B19B7"/>
    <w:rsid w:val="001B2496"/>
    <w:rsid w:val="001B261B"/>
    <w:rsid w:val="001B3174"/>
    <w:rsid w:val="001B3375"/>
    <w:rsid w:val="001B35E0"/>
    <w:rsid w:val="001B3790"/>
    <w:rsid w:val="001B3BA7"/>
    <w:rsid w:val="001B3D31"/>
    <w:rsid w:val="001B3D59"/>
    <w:rsid w:val="001B410F"/>
    <w:rsid w:val="001B4582"/>
    <w:rsid w:val="001B477C"/>
    <w:rsid w:val="001B4800"/>
    <w:rsid w:val="001B4A4E"/>
    <w:rsid w:val="001B515A"/>
    <w:rsid w:val="001B52D3"/>
    <w:rsid w:val="001B5800"/>
    <w:rsid w:val="001B5CDC"/>
    <w:rsid w:val="001B5D1B"/>
    <w:rsid w:val="001B604B"/>
    <w:rsid w:val="001B6204"/>
    <w:rsid w:val="001B6246"/>
    <w:rsid w:val="001B6778"/>
    <w:rsid w:val="001B69EE"/>
    <w:rsid w:val="001B6A29"/>
    <w:rsid w:val="001B6ED7"/>
    <w:rsid w:val="001B70B2"/>
    <w:rsid w:val="001B7271"/>
    <w:rsid w:val="001B729F"/>
    <w:rsid w:val="001B74FE"/>
    <w:rsid w:val="001B75F0"/>
    <w:rsid w:val="001B7912"/>
    <w:rsid w:val="001B7DD4"/>
    <w:rsid w:val="001B7EC2"/>
    <w:rsid w:val="001C045A"/>
    <w:rsid w:val="001C079E"/>
    <w:rsid w:val="001C097C"/>
    <w:rsid w:val="001C0D73"/>
    <w:rsid w:val="001C10BC"/>
    <w:rsid w:val="001C15D2"/>
    <w:rsid w:val="001C1AF3"/>
    <w:rsid w:val="001C1CA3"/>
    <w:rsid w:val="001C1DAB"/>
    <w:rsid w:val="001C2316"/>
    <w:rsid w:val="001C2AD4"/>
    <w:rsid w:val="001C3192"/>
    <w:rsid w:val="001C33AC"/>
    <w:rsid w:val="001C34BD"/>
    <w:rsid w:val="001C385D"/>
    <w:rsid w:val="001C398B"/>
    <w:rsid w:val="001C3A46"/>
    <w:rsid w:val="001C3A98"/>
    <w:rsid w:val="001C3BB0"/>
    <w:rsid w:val="001C3CE5"/>
    <w:rsid w:val="001C3D01"/>
    <w:rsid w:val="001C420D"/>
    <w:rsid w:val="001C4466"/>
    <w:rsid w:val="001C4568"/>
    <w:rsid w:val="001C459B"/>
    <w:rsid w:val="001C4C4C"/>
    <w:rsid w:val="001C4CFF"/>
    <w:rsid w:val="001C50C3"/>
    <w:rsid w:val="001C5362"/>
    <w:rsid w:val="001C5530"/>
    <w:rsid w:val="001C55B5"/>
    <w:rsid w:val="001C58F0"/>
    <w:rsid w:val="001C5941"/>
    <w:rsid w:val="001C6134"/>
    <w:rsid w:val="001C6767"/>
    <w:rsid w:val="001C6A99"/>
    <w:rsid w:val="001C6D08"/>
    <w:rsid w:val="001C70CB"/>
    <w:rsid w:val="001C716A"/>
    <w:rsid w:val="001C71E9"/>
    <w:rsid w:val="001C7488"/>
    <w:rsid w:val="001C7B17"/>
    <w:rsid w:val="001D0588"/>
    <w:rsid w:val="001D0F1A"/>
    <w:rsid w:val="001D121D"/>
    <w:rsid w:val="001D2238"/>
    <w:rsid w:val="001D229B"/>
    <w:rsid w:val="001D28E0"/>
    <w:rsid w:val="001D2CA2"/>
    <w:rsid w:val="001D3600"/>
    <w:rsid w:val="001D3C26"/>
    <w:rsid w:val="001D3CC1"/>
    <w:rsid w:val="001D3DB9"/>
    <w:rsid w:val="001D412C"/>
    <w:rsid w:val="001D44D7"/>
    <w:rsid w:val="001D52AB"/>
    <w:rsid w:val="001D549B"/>
    <w:rsid w:val="001D606C"/>
    <w:rsid w:val="001D62DB"/>
    <w:rsid w:val="001D67DE"/>
    <w:rsid w:val="001D69F5"/>
    <w:rsid w:val="001D6CE0"/>
    <w:rsid w:val="001D6D68"/>
    <w:rsid w:val="001D7234"/>
    <w:rsid w:val="001D7498"/>
    <w:rsid w:val="001D7BCA"/>
    <w:rsid w:val="001D7C4D"/>
    <w:rsid w:val="001E0F4F"/>
    <w:rsid w:val="001E16ED"/>
    <w:rsid w:val="001E22CA"/>
    <w:rsid w:val="001E249F"/>
    <w:rsid w:val="001E2649"/>
    <w:rsid w:val="001E30A9"/>
    <w:rsid w:val="001E30F8"/>
    <w:rsid w:val="001E3466"/>
    <w:rsid w:val="001E3599"/>
    <w:rsid w:val="001E3A21"/>
    <w:rsid w:val="001E3D8D"/>
    <w:rsid w:val="001E3DD8"/>
    <w:rsid w:val="001E426D"/>
    <w:rsid w:val="001E4334"/>
    <w:rsid w:val="001E43C9"/>
    <w:rsid w:val="001E4886"/>
    <w:rsid w:val="001E492F"/>
    <w:rsid w:val="001E5193"/>
    <w:rsid w:val="001E54AD"/>
    <w:rsid w:val="001E5555"/>
    <w:rsid w:val="001E5620"/>
    <w:rsid w:val="001E5CCD"/>
    <w:rsid w:val="001E6F63"/>
    <w:rsid w:val="001E7472"/>
    <w:rsid w:val="001E762D"/>
    <w:rsid w:val="001E7ABB"/>
    <w:rsid w:val="001E7CFA"/>
    <w:rsid w:val="001E7D03"/>
    <w:rsid w:val="001F01D6"/>
    <w:rsid w:val="001F01F3"/>
    <w:rsid w:val="001F03E2"/>
    <w:rsid w:val="001F0701"/>
    <w:rsid w:val="001F0F90"/>
    <w:rsid w:val="001F183D"/>
    <w:rsid w:val="001F185E"/>
    <w:rsid w:val="001F1BCA"/>
    <w:rsid w:val="001F1E8D"/>
    <w:rsid w:val="001F21F1"/>
    <w:rsid w:val="001F23DC"/>
    <w:rsid w:val="001F24CB"/>
    <w:rsid w:val="001F2E0E"/>
    <w:rsid w:val="001F2E84"/>
    <w:rsid w:val="001F2FF4"/>
    <w:rsid w:val="001F3175"/>
    <w:rsid w:val="001F3353"/>
    <w:rsid w:val="001F33F6"/>
    <w:rsid w:val="001F34BF"/>
    <w:rsid w:val="001F37BD"/>
    <w:rsid w:val="001F3AEB"/>
    <w:rsid w:val="001F3FD2"/>
    <w:rsid w:val="001F44AA"/>
    <w:rsid w:val="001F46CC"/>
    <w:rsid w:val="001F4913"/>
    <w:rsid w:val="001F4987"/>
    <w:rsid w:val="001F4CDB"/>
    <w:rsid w:val="001F4D4E"/>
    <w:rsid w:val="001F5332"/>
    <w:rsid w:val="001F5617"/>
    <w:rsid w:val="001F56AC"/>
    <w:rsid w:val="001F579E"/>
    <w:rsid w:val="001F5AA7"/>
    <w:rsid w:val="001F5D6A"/>
    <w:rsid w:val="001F6A22"/>
    <w:rsid w:val="001F6C66"/>
    <w:rsid w:val="001F6D05"/>
    <w:rsid w:val="001F7118"/>
    <w:rsid w:val="001F7927"/>
    <w:rsid w:val="001F7B81"/>
    <w:rsid w:val="001F7D6F"/>
    <w:rsid w:val="002001E1"/>
    <w:rsid w:val="00200841"/>
    <w:rsid w:val="00200A65"/>
    <w:rsid w:val="002011D2"/>
    <w:rsid w:val="002011FE"/>
    <w:rsid w:val="00201AA2"/>
    <w:rsid w:val="00201D1E"/>
    <w:rsid w:val="00201FCC"/>
    <w:rsid w:val="00202199"/>
    <w:rsid w:val="00202449"/>
    <w:rsid w:val="0020261B"/>
    <w:rsid w:val="00203009"/>
    <w:rsid w:val="00203152"/>
    <w:rsid w:val="00203A00"/>
    <w:rsid w:val="00203F04"/>
    <w:rsid w:val="002042D5"/>
    <w:rsid w:val="00204ACC"/>
    <w:rsid w:val="00204C05"/>
    <w:rsid w:val="00204F12"/>
    <w:rsid w:val="0020557B"/>
    <w:rsid w:val="002057B7"/>
    <w:rsid w:val="0020595F"/>
    <w:rsid w:val="00205FEB"/>
    <w:rsid w:val="00206136"/>
    <w:rsid w:val="00206180"/>
    <w:rsid w:val="0020684C"/>
    <w:rsid w:val="00206D8E"/>
    <w:rsid w:val="00206E5C"/>
    <w:rsid w:val="00207652"/>
    <w:rsid w:val="00207832"/>
    <w:rsid w:val="00207ED7"/>
    <w:rsid w:val="00210607"/>
    <w:rsid w:val="0021084C"/>
    <w:rsid w:val="00210DA1"/>
    <w:rsid w:val="002114D9"/>
    <w:rsid w:val="00211686"/>
    <w:rsid w:val="0021171F"/>
    <w:rsid w:val="002119B6"/>
    <w:rsid w:val="002124AE"/>
    <w:rsid w:val="0021255B"/>
    <w:rsid w:val="00212BF6"/>
    <w:rsid w:val="0021385E"/>
    <w:rsid w:val="00213D07"/>
    <w:rsid w:val="00213DB4"/>
    <w:rsid w:val="0021436A"/>
    <w:rsid w:val="0021467C"/>
    <w:rsid w:val="00214A51"/>
    <w:rsid w:val="00214CDA"/>
    <w:rsid w:val="00214E3D"/>
    <w:rsid w:val="002153E1"/>
    <w:rsid w:val="00215B1F"/>
    <w:rsid w:val="00215CA5"/>
    <w:rsid w:val="0021647C"/>
    <w:rsid w:val="00216571"/>
    <w:rsid w:val="00216576"/>
    <w:rsid w:val="00216773"/>
    <w:rsid w:val="002169A4"/>
    <w:rsid w:val="00216C33"/>
    <w:rsid w:val="00216EBB"/>
    <w:rsid w:val="0021716C"/>
    <w:rsid w:val="00217BCC"/>
    <w:rsid w:val="00217F19"/>
    <w:rsid w:val="002200AB"/>
    <w:rsid w:val="0022058E"/>
    <w:rsid w:val="00220A46"/>
    <w:rsid w:val="00220DA2"/>
    <w:rsid w:val="00221ABE"/>
    <w:rsid w:val="00222401"/>
    <w:rsid w:val="00222644"/>
    <w:rsid w:val="00222864"/>
    <w:rsid w:val="0022333B"/>
    <w:rsid w:val="00223368"/>
    <w:rsid w:val="00223BFB"/>
    <w:rsid w:val="002243A5"/>
    <w:rsid w:val="00224869"/>
    <w:rsid w:val="00224885"/>
    <w:rsid w:val="0022514F"/>
    <w:rsid w:val="002252B8"/>
    <w:rsid w:val="002252F2"/>
    <w:rsid w:val="0022555C"/>
    <w:rsid w:val="00225974"/>
    <w:rsid w:val="00225ECA"/>
    <w:rsid w:val="00225F35"/>
    <w:rsid w:val="00225FE3"/>
    <w:rsid w:val="002265A0"/>
    <w:rsid w:val="00226B85"/>
    <w:rsid w:val="00226ED7"/>
    <w:rsid w:val="00226F0C"/>
    <w:rsid w:val="00226F4F"/>
    <w:rsid w:val="00226FDF"/>
    <w:rsid w:val="002271A7"/>
    <w:rsid w:val="002277E6"/>
    <w:rsid w:val="002278D6"/>
    <w:rsid w:val="00227C43"/>
    <w:rsid w:val="00227EE8"/>
    <w:rsid w:val="00227F8D"/>
    <w:rsid w:val="002301DD"/>
    <w:rsid w:val="00230415"/>
    <w:rsid w:val="00230BDC"/>
    <w:rsid w:val="002323B9"/>
    <w:rsid w:val="002324A9"/>
    <w:rsid w:val="00232F39"/>
    <w:rsid w:val="002336F0"/>
    <w:rsid w:val="00233F65"/>
    <w:rsid w:val="0023402E"/>
    <w:rsid w:val="00234498"/>
    <w:rsid w:val="00234895"/>
    <w:rsid w:val="0023489B"/>
    <w:rsid w:val="002348C6"/>
    <w:rsid w:val="00234949"/>
    <w:rsid w:val="002359A9"/>
    <w:rsid w:val="0023648B"/>
    <w:rsid w:val="0023693C"/>
    <w:rsid w:val="00236D38"/>
    <w:rsid w:val="00236F83"/>
    <w:rsid w:val="00237149"/>
    <w:rsid w:val="002371C0"/>
    <w:rsid w:val="00237B51"/>
    <w:rsid w:val="00237CCE"/>
    <w:rsid w:val="0024070E"/>
    <w:rsid w:val="002408DC"/>
    <w:rsid w:val="002412B4"/>
    <w:rsid w:val="0024131E"/>
    <w:rsid w:val="002415AD"/>
    <w:rsid w:val="002415EB"/>
    <w:rsid w:val="002417F4"/>
    <w:rsid w:val="002418CC"/>
    <w:rsid w:val="002419C3"/>
    <w:rsid w:val="00241FF3"/>
    <w:rsid w:val="00242266"/>
    <w:rsid w:val="00242C32"/>
    <w:rsid w:val="00243695"/>
    <w:rsid w:val="002438EB"/>
    <w:rsid w:val="002442EB"/>
    <w:rsid w:val="0024497A"/>
    <w:rsid w:val="002449BE"/>
    <w:rsid w:val="00244D5F"/>
    <w:rsid w:val="00244E6F"/>
    <w:rsid w:val="00245036"/>
    <w:rsid w:val="00245083"/>
    <w:rsid w:val="00245252"/>
    <w:rsid w:val="002457EA"/>
    <w:rsid w:val="00245817"/>
    <w:rsid w:val="00245B44"/>
    <w:rsid w:val="00245CAA"/>
    <w:rsid w:val="00245F7B"/>
    <w:rsid w:val="00246CD6"/>
    <w:rsid w:val="00246FC0"/>
    <w:rsid w:val="00247038"/>
    <w:rsid w:val="00247D84"/>
    <w:rsid w:val="00250765"/>
    <w:rsid w:val="00250ABD"/>
    <w:rsid w:val="00250B09"/>
    <w:rsid w:val="00250E63"/>
    <w:rsid w:val="00251A12"/>
    <w:rsid w:val="00251E6E"/>
    <w:rsid w:val="00251E80"/>
    <w:rsid w:val="00252401"/>
    <w:rsid w:val="002528D6"/>
    <w:rsid w:val="00252B97"/>
    <w:rsid w:val="00253470"/>
    <w:rsid w:val="0025370B"/>
    <w:rsid w:val="00253BEB"/>
    <w:rsid w:val="002558B0"/>
    <w:rsid w:val="00255D14"/>
    <w:rsid w:val="002561C5"/>
    <w:rsid w:val="00256485"/>
    <w:rsid w:val="00256491"/>
    <w:rsid w:val="002566A1"/>
    <w:rsid w:val="002566F9"/>
    <w:rsid w:val="002571C3"/>
    <w:rsid w:val="00257481"/>
    <w:rsid w:val="00257B78"/>
    <w:rsid w:val="00257EBA"/>
    <w:rsid w:val="00260323"/>
    <w:rsid w:val="002604DA"/>
    <w:rsid w:val="00260AAE"/>
    <w:rsid w:val="0026103A"/>
    <w:rsid w:val="0026111A"/>
    <w:rsid w:val="00261280"/>
    <w:rsid w:val="0026163A"/>
    <w:rsid w:val="00261A58"/>
    <w:rsid w:val="00261A9B"/>
    <w:rsid w:val="00261B04"/>
    <w:rsid w:val="00261E26"/>
    <w:rsid w:val="00261E7B"/>
    <w:rsid w:val="00261F68"/>
    <w:rsid w:val="0026229A"/>
    <w:rsid w:val="00262302"/>
    <w:rsid w:val="00262977"/>
    <w:rsid w:val="00262D89"/>
    <w:rsid w:val="00262DDC"/>
    <w:rsid w:val="00263186"/>
    <w:rsid w:val="002631D3"/>
    <w:rsid w:val="00263285"/>
    <w:rsid w:val="00263761"/>
    <w:rsid w:val="00263CA5"/>
    <w:rsid w:val="00263E03"/>
    <w:rsid w:val="00263F4A"/>
    <w:rsid w:val="002640C9"/>
    <w:rsid w:val="002643EC"/>
    <w:rsid w:val="00264570"/>
    <w:rsid w:val="00264746"/>
    <w:rsid w:val="002652ED"/>
    <w:rsid w:val="0026563B"/>
    <w:rsid w:val="00265719"/>
    <w:rsid w:val="00266105"/>
    <w:rsid w:val="002669CE"/>
    <w:rsid w:val="00266A40"/>
    <w:rsid w:val="00266C8D"/>
    <w:rsid w:val="00266ECD"/>
    <w:rsid w:val="0026747F"/>
    <w:rsid w:val="0026791C"/>
    <w:rsid w:val="00267B01"/>
    <w:rsid w:val="00270355"/>
    <w:rsid w:val="002704ED"/>
    <w:rsid w:val="00270A9F"/>
    <w:rsid w:val="00271664"/>
    <w:rsid w:val="00271948"/>
    <w:rsid w:val="00271A89"/>
    <w:rsid w:val="002722D6"/>
    <w:rsid w:val="00272656"/>
    <w:rsid w:val="002726FC"/>
    <w:rsid w:val="00272B9D"/>
    <w:rsid w:val="00272BF7"/>
    <w:rsid w:val="00272C18"/>
    <w:rsid w:val="00272FFD"/>
    <w:rsid w:val="002730D3"/>
    <w:rsid w:val="00273205"/>
    <w:rsid w:val="00273423"/>
    <w:rsid w:val="002734CA"/>
    <w:rsid w:val="002734DD"/>
    <w:rsid w:val="0027375C"/>
    <w:rsid w:val="00273BF7"/>
    <w:rsid w:val="00274524"/>
    <w:rsid w:val="00274601"/>
    <w:rsid w:val="00274A65"/>
    <w:rsid w:val="002754CA"/>
    <w:rsid w:val="002754E1"/>
    <w:rsid w:val="0027555E"/>
    <w:rsid w:val="002756C6"/>
    <w:rsid w:val="00275814"/>
    <w:rsid w:val="002759F6"/>
    <w:rsid w:val="00275C9B"/>
    <w:rsid w:val="00275DBA"/>
    <w:rsid w:val="00276189"/>
    <w:rsid w:val="00276397"/>
    <w:rsid w:val="00276717"/>
    <w:rsid w:val="00276761"/>
    <w:rsid w:val="002768E9"/>
    <w:rsid w:val="00276B9C"/>
    <w:rsid w:val="00276C12"/>
    <w:rsid w:val="00276D57"/>
    <w:rsid w:val="00277074"/>
    <w:rsid w:val="00277C83"/>
    <w:rsid w:val="00277E93"/>
    <w:rsid w:val="00277FD3"/>
    <w:rsid w:val="00280379"/>
    <w:rsid w:val="00280996"/>
    <w:rsid w:val="002809D1"/>
    <w:rsid w:val="00281769"/>
    <w:rsid w:val="002819A7"/>
    <w:rsid w:val="00281AF7"/>
    <w:rsid w:val="00281BBC"/>
    <w:rsid w:val="002820C1"/>
    <w:rsid w:val="002827EB"/>
    <w:rsid w:val="002835E0"/>
    <w:rsid w:val="002837CC"/>
    <w:rsid w:val="00283F30"/>
    <w:rsid w:val="002845E9"/>
    <w:rsid w:val="00284CF4"/>
    <w:rsid w:val="00284F00"/>
    <w:rsid w:val="0028546E"/>
    <w:rsid w:val="00285ED2"/>
    <w:rsid w:val="002861AF"/>
    <w:rsid w:val="002862A3"/>
    <w:rsid w:val="002867D3"/>
    <w:rsid w:val="00286D20"/>
    <w:rsid w:val="00287884"/>
    <w:rsid w:val="002878F3"/>
    <w:rsid w:val="00287C81"/>
    <w:rsid w:val="002902A8"/>
    <w:rsid w:val="00290478"/>
    <w:rsid w:val="00290AB0"/>
    <w:rsid w:val="00290BBC"/>
    <w:rsid w:val="00290EE1"/>
    <w:rsid w:val="00290F81"/>
    <w:rsid w:val="002912DB"/>
    <w:rsid w:val="00291368"/>
    <w:rsid w:val="00291E5E"/>
    <w:rsid w:val="00292296"/>
    <w:rsid w:val="00292321"/>
    <w:rsid w:val="0029272B"/>
    <w:rsid w:val="00292899"/>
    <w:rsid w:val="002928C4"/>
    <w:rsid w:val="00292E0F"/>
    <w:rsid w:val="002938A1"/>
    <w:rsid w:val="002943CD"/>
    <w:rsid w:val="00294E76"/>
    <w:rsid w:val="00294FEA"/>
    <w:rsid w:val="002950BC"/>
    <w:rsid w:val="0029544A"/>
    <w:rsid w:val="00295467"/>
    <w:rsid w:val="00295506"/>
    <w:rsid w:val="0029579C"/>
    <w:rsid w:val="00295C65"/>
    <w:rsid w:val="00296334"/>
    <w:rsid w:val="0029648E"/>
    <w:rsid w:val="00296A8A"/>
    <w:rsid w:val="00296E3E"/>
    <w:rsid w:val="00296E84"/>
    <w:rsid w:val="002A0182"/>
    <w:rsid w:val="002A038F"/>
    <w:rsid w:val="002A05CA"/>
    <w:rsid w:val="002A0DF4"/>
    <w:rsid w:val="002A103D"/>
    <w:rsid w:val="002A1263"/>
    <w:rsid w:val="002A1362"/>
    <w:rsid w:val="002A1662"/>
    <w:rsid w:val="002A2444"/>
    <w:rsid w:val="002A2B90"/>
    <w:rsid w:val="002A3369"/>
    <w:rsid w:val="002A3376"/>
    <w:rsid w:val="002A34DD"/>
    <w:rsid w:val="002A3831"/>
    <w:rsid w:val="002A4099"/>
    <w:rsid w:val="002A422C"/>
    <w:rsid w:val="002A4765"/>
    <w:rsid w:val="002A5420"/>
    <w:rsid w:val="002A5DE8"/>
    <w:rsid w:val="002A5E01"/>
    <w:rsid w:val="002A6F2E"/>
    <w:rsid w:val="002A7329"/>
    <w:rsid w:val="002A75B1"/>
    <w:rsid w:val="002A79E3"/>
    <w:rsid w:val="002B0443"/>
    <w:rsid w:val="002B096E"/>
    <w:rsid w:val="002B0A56"/>
    <w:rsid w:val="002B0E49"/>
    <w:rsid w:val="002B1380"/>
    <w:rsid w:val="002B1441"/>
    <w:rsid w:val="002B1AA3"/>
    <w:rsid w:val="002B1D19"/>
    <w:rsid w:val="002B1D2E"/>
    <w:rsid w:val="002B24FD"/>
    <w:rsid w:val="002B2BA4"/>
    <w:rsid w:val="002B2CC6"/>
    <w:rsid w:val="002B3241"/>
    <w:rsid w:val="002B33EB"/>
    <w:rsid w:val="002B3BD2"/>
    <w:rsid w:val="002B3F49"/>
    <w:rsid w:val="002B4089"/>
    <w:rsid w:val="002B4507"/>
    <w:rsid w:val="002B4CF3"/>
    <w:rsid w:val="002B55E2"/>
    <w:rsid w:val="002B58C6"/>
    <w:rsid w:val="002B59A7"/>
    <w:rsid w:val="002B5ADF"/>
    <w:rsid w:val="002B60AB"/>
    <w:rsid w:val="002B6890"/>
    <w:rsid w:val="002B6BDD"/>
    <w:rsid w:val="002B6FAF"/>
    <w:rsid w:val="002B7224"/>
    <w:rsid w:val="002B7850"/>
    <w:rsid w:val="002B79AC"/>
    <w:rsid w:val="002C046F"/>
    <w:rsid w:val="002C0931"/>
    <w:rsid w:val="002C15C0"/>
    <w:rsid w:val="002C1737"/>
    <w:rsid w:val="002C1B30"/>
    <w:rsid w:val="002C1C97"/>
    <w:rsid w:val="002C2020"/>
    <w:rsid w:val="002C20B3"/>
    <w:rsid w:val="002C2322"/>
    <w:rsid w:val="002C28A0"/>
    <w:rsid w:val="002C39BE"/>
    <w:rsid w:val="002C3C60"/>
    <w:rsid w:val="002C3D01"/>
    <w:rsid w:val="002C3FB5"/>
    <w:rsid w:val="002C404A"/>
    <w:rsid w:val="002C41B9"/>
    <w:rsid w:val="002C43D9"/>
    <w:rsid w:val="002C4A76"/>
    <w:rsid w:val="002C4BC1"/>
    <w:rsid w:val="002C4CBD"/>
    <w:rsid w:val="002C50AF"/>
    <w:rsid w:val="002C5B69"/>
    <w:rsid w:val="002C60F1"/>
    <w:rsid w:val="002C6799"/>
    <w:rsid w:val="002C6869"/>
    <w:rsid w:val="002C6C31"/>
    <w:rsid w:val="002C712B"/>
    <w:rsid w:val="002C7272"/>
    <w:rsid w:val="002C79CA"/>
    <w:rsid w:val="002D0736"/>
    <w:rsid w:val="002D0AE9"/>
    <w:rsid w:val="002D0B76"/>
    <w:rsid w:val="002D10CD"/>
    <w:rsid w:val="002D15C7"/>
    <w:rsid w:val="002D1C45"/>
    <w:rsid w:val="002D2117"/>
    <w:rsid w:val="002D29AF"/>
    <w:rsid w:val="002D2AAE"/>
    <w:rsid w:val="002D2AF5"/>
    <w:rsid w:val="002D2C5A"/>
    <w:rsid w:val="002D309B"/>
    <w:rsid w:val="002D340A"/>
    <w:rsid w:val="002D3495"/>
    <w:rsid w:val="002D371D"/>
    <w:rsid w:val="002D3D29"/>
    <w:rsid w:val="002D4167"/>
    <w:rsid w:val="002D4196"/>
    <w:rsid w:val="002D42A0"/>
    <w:rsid w:val="002D461D"/>
    <w:rsid w:val="002D4E86"/>
    <w:rsid w:val="002D4EC0"/>
    <w:rsid w:val="002D4F8F"/>
    <w:rsid w:val="002D58F7"/>
    <w:rsid w:val="002D5DC1"/>
    <w:rsid w:val="002D60BC"/>
    <w:rsid w:val="002D6269"/>
    <w:rsid w:val="002D63CD"/>
    <w:rsid w:val="002D69C5"/>
    <w:rsid w:val="002D69F7"/>
    <w:rsid w:val="002D7248"/>
    <w:rsid w:val="002D77A3"/>
    <w:rsid w:val="002D7C13"/>
    <w:rsid w:val="002D7E91"/>
    <w:rsid w:val="002D7F16"/>
    <w:rsid w:val="002E03F6"/>
    <w:rsid w:val="002E0468"/>
    <w:rsid w:val="002E0662"/>
    <w:rsid w:val="002E0D07"/>
    <w:rsid w:val="002E0E4F"/>
    <w:rsid w:val="002E1200"/>
    <w:rsid w:val="002E12A1"/>
    <w:rsid w:val="002E1795"/>
    <w:rsid w:val="002E17CD"/>
    <w:rsid w:val="002E1A77"/>
    <w:rsid w:val="002E1BD7"/>
    <w:rsid w:val="002E2331"/>
    <w:rsid w:val="002E251B"/>
    <w:rsid w:val="002E2BDE"/>
    <w:rsid w:val="002E2FBE"/>
    <w:rsid w:val="002E2FCC"/>
    <w:rsid w:val="002E30B8"/>
    <w:rsid w:val="002E3127"/>
    <w:rsid w:val="002E4B2E"/>
    <w:rsid w:val="002E4C46"/>
    <w:rsid w:val="002E4D0B"/>
    <w:rsid w:val="002E4DD9"/>
    <w:rsid w:val="002E539D"/>
    <w:rsid w:val="002E570C"/>
    <w:rsid w:val="002E653B"/>
    <w:rsid w:val="002E6A9C"/>
    <w:rsid w:val="002E7306"/>
    <w:rsid w:val="002E787D"/>
    <w:rsid w:val="002E7B11"/>
    <w:rsid w:val="002F06E0"/>
    <w:rsid w:val="002F0B6C"/>
    <w:rsid w:val="002F18E7"/>
    <w:rsid w:val="002F1A54"/>
    <w:rsid w:val="002F20D3"/>
    <w:rsid w:val="002F20E4"/>
    <w:rsid w:val="002F2150"/>
    <w:rsid w:val="002F2216"/>
    <w:rsid w:val="002F2482"/>
    <w:rsid w:val="002F28BB"/>
    <w:rsid w:val="002F2A91"/>
    <w:rsid w:val="002F2B43"/>
    <w:rsid w:val="002F2E9D"/>
    <w:rsid w:val="002F38C2"/>
    <w:rsid w:val="002F3BED"/>
    <w:rsid w:val="002F3FF6"/>
    <w:rsid w:val="002F46A4"/>
    <w:rsid w:val="002F5414"/>
    <w:rsid w:val="002F5B23"/>
    <w:rsid w:val="002F5BD0"/>
    <w:rsid w:val="002F5EA3"/>
    <w:rsid w:val="002F6432"/>
    <w:rsid w:val="002F64F0"/>
    <w:rsid w:val="002F6C6F"/>
    <w:rsid w:val="002F7000"/>
    <w:rsid w:val="002F7ECE"/>
    <w:rsid w:val="00300A60"/>
    <w:rsid w:val="00300CB3"/>
    <w:rsid w:val="00300D54"/>
    <w:rsid w:val="00300D85"/>
    <w:rsid w:val="0030130E"/>
    <w:rsid w:val="003017D2"/>
    <w:rsid w:val="00301BED"/>
    <w:rsid w:val="0030217B"/>
    <w:rsid w:val="0030261C"/>
    <w:rsid w:val="0030284B"/>
    <w:rsid w:val="003031F4"/>
    <w:rsid w:val="00303234"/>
    <w:rsid w:val="003034F7"/>
    <w:rsid w:val="00303572"/>
    <w:rsid w:val="0030389A"/>
    <w:rsid w:val="00303B6B"/>
    <w:rsid w:val="003040B8"/>
    <w:rsid w:val="00304531"/>
    <w:rsid w:val="003046E5"/>
    <w:rsid w:val="00304878"/>
    <w:rsid w:val="00304938"/>
    <w:rsid w:val="00304DE5"/>
    <w:rsid w:val="003053DA"/>
    <w:rsid w:val="003056D2"/>
    <w:rsid w:val="003056E7"/>
    <w:rsid w:val="00305D79"/>
    <w:rsid w:val="00305D91"/>
    <w:rsid w:val="00305EEE"/>
    <w:rsid w:val="003061AF"/>
    <w:rsid w:val="00306590"/>
    <w:rsid w:val="00306656"/>
    <w:rsid w:val="0030677C"/>
    <w:rsid w:val="0030698C"/>
    <w:rsid w:val="00306C9A"/>
    <w:rsid w:val="00306F9B"/>
    <w:rsid w:val="00307108"/>
    <w:rsid w:val="0030720E"/>
    <w:rsid w:val="0030734B"/>
    <w:rsid w:val="00307559"/>
    <w:rsid w:val="00307692"/>
    <w:rsid w:val="00307AA6"/>
    <w:rsid w:val="00307D53"/>
    <w:rsid w:val="00310495"/>
    <w:rsid w:val="00310A8E"/>
    <w:rsid w:val="00310AB2"/>
    <w:rsid w:val="00310FE8"/>
    <w:rsid w:val="003113BF"/>
    <w:rsid w:val="00311F01"/>
    <w:rsid w:val="00312102"/>
    <w:rsid w:val="00312738"/>
    <w:rsid w:val="003128E7"/>
    <w:rsid w:val="00314B5C"/>
    <w:rsid w:val="00314CBD"/>
    <w:rsid w:val="0031556A"/>
    <w:rsid w:val="003157A5"/>
    <w:rsid w:val="00315C88"/>
    <w:rsid w:val="00315F32"/>
    <w:rsid w:val="003164F3"/>
    <w:rsid w:val="00316E20"/>
    <w:rsid w:val="00317384"/>
    <w:rsid w:val="00317701"/>
    <w:rsid w:val="00317B6D"/>
    <w:rsid w:val="003204A8"/>
    <w:rsid w:val="00320E1D"/>
    <w:rsid w:val="00321110"/>
    <w:rsid w:val="00321212"/>
    <w:rsid w:val="003215EB"/>
    <w:rsid w:val="00321692"/>
    <w:rsid w:val="00321A70"/>
    <w:rsid w:val="00321BE9"/>
    <w:rsid w:val="00321C6B"/>
    <w:rsid w:val="00321E23"/>
    <w:rsid w:val="003224A9"/>
    <w:rsid w:val="003225B0"/>
    <w:rsid w:val="00322651"/>
    <w:rsid w:val="00322945"/>
    <w:rsid w:val="00322BCC"/>
    <w:rsid w:val="003232A1"/>
    <w:rsid w:val="003237DB"/>
    <w:rsid w:val="003238B4"/>
    <w:rsid w:val="003238F3"/>
    <w:rsid w:val="00323D43"/>
    <w:rsid w:val="00323E5B"/>
    <w:rsid w:val="00323EC0"/>
    <w:rsid w:val="00324357"/>
    <w:rsid w:val="00324426"/>
    <w:rsid w:val="0032453B"/>
    <w:rsid w:val="00324688"/>
    <w:rsid w:val="00324A53"/>
    <w:rsid w:val="00324AF4"/>
    <w:rsid w:val="00324E27"/>
    <w:rsid w:val="003251B1"/>
    <w:rsid w:val="00325239"/>
    <w:rsid w:val="003254CE"/>
    <w:rsid w:val="00325508"/>
    <w:rsid w:val="003257B9"/>
    <w:rsid w:val="003257FD"/>
    <w:rsid w:val="003259B0"/>
    <w:rsid w:val="00325FA8"/>
    <w:rsid w:val="003260C7"/>
    <w:rsid w:val="00326234"/>
    <w:rsid w:val="0032685C"/>
    <w:rsid w:val="0032704D"/>
    <w:rsid w:val="00327321"/>
    <w:rsid w:val="003275D3"/>
    <w:rsid w:val="00327750"/>
    <w:rsid w:val="00327A1C"/>
    <w:rsid w:val="00327AD4"/>
    <w:rsid w:val="0032E484"/>
    <w:rsid w:val="00330984"/>
    <w:rsid w:val="00330AFA"/>
    <w:rsid w:val="00330E3B"/>
    <w:rsid w:val="003315AD"/>
    <w:rsid w:val="003315CC"/>
    <w:rsid w:val="003317E1"/>
    <w:rsid w:val="00332763"/>
    <w:rsid w:val="0033292D"/>
    <w:rsid w:val="00332F14"/>
    <w:rsid w:val="0033321D"/>
    <w:rsid w:val="00333660"/>
    <w:rsid w:val="003340F0"/>
    <w:rsid w:val="0033421E"/>
    <w:rsid w:val="0033487A"/>
    <w:rsid w:val="00334EDB"/>
    <w:rsid w:val="00335256"/>
    <w:rsid w:val="00336216"/>
    <w:rsid w:val="00336394"/>
    <w:rsid w:val="00336424"/>
    <w:rsid w:val="00336455"/>
    <w:rsid w:val="00336554"/>
    <w:rsid w:val="0033658B"/>
    <w:rsid w:val="003367FA"/>
    <w:rsid w:val="00336A37"/>
    <w:rsid w:val="00336C55"/>
    <w:rsid w:val="00336F00"/>
    <w:rsid w:val="00337032"/>
    <w:rsid w:val="00337665"/>
    <w:rsid w:val="003404CB"/>
    <w:rsid w:val="00340624"/>
    <w:rsid w:val="00340650"/>
    <w:rsid w:val="00340A6F"/>
    <w:rsid w:val="00340FB0"/>
    <w:rsid w:val="00341702"/>
    <w:rsid w:val="003419B0"/>
    <w:rsid w:val="00341DD5"/>
    <w:rsid w:val="00341FED"/>
    <w:rsid w:val="00342100"/>
    <w:rsid w:val="003425E5"/>
    <w:rsid w:val="003429DB"/>
    <w:rsid w:val="00344313"/>
    <w:rsid w:val="0034440B"/>
    <w:rsid w:val="00344836"/>
    <w:rsid w:val="003448D2"/>
    <w:rsid w:val="003449B6"/>
    <w:rsid w:val="00344B0F"/>
    <w:rsid w:val="00345338"/>
    <w:rsid w:val="003453C8"/>
    <w:rsid w:val="003455B4"/>
    <w:rsid w:val="00345EE0"/>
    <w:rsid w:val="00346214"/>
    <w:rsid w:val="00346A0F"/>
    <w:rsid w:val="00346D5D"/>
    <w:rsid w:val="0034728D"/>
    <w:rsid w:val="003472F2"/>
    <w:rsid w:val="0034734A"/>
    <w:rsid w:val="0034738C"/>
    <w:rsid w:val="003477AD"/>
    <w:rsid w:val="0035006E"/>
    <w:rsid w:val="003502A6"/>
    <w:rsid w:val="003509B8"/>
    <w:rsid w:val="00350B98"/>
    <w:rsid w:val="00350E56"/>
    <w:rsid w:val="00350EB2"/>
    <w:rsid w:val="0035108C"/>
    <w:rsid w:val="00351306"/>
    <w:rsid w:val="003514CA"/>
    <w:rsid w:val="00351C6E"/>
    <w:rsid w:val="00351FBB"/>
    <w:rsid w:val="0035229A"/>
    <w:rsid w:val="0035272E"/>
    <w:rsid w:val="00352F69"/>
    <w:rsid w:val="00352F8E"/>
    <w:rsid w:val="00353372"/>
    <w:rsid w:val="003535B0"/>
    <w:rsid w:val="00354A65"/>
    <w:rsid w:val="00354D75"/>
    <w:rsid w:val="00355061"/>
    <w:rsid w:val="0035520B"/>
    <w:rsid w:val="00355230"/>
    <w:rsid w:val="003552ED"/>
    <w:rsid w:val="003553B3"/>
    <w:rsid w:val="00355AAD"/>
    <w:rsid w:val="00355FB2"/>
    <w:rsid w:val="0035608F"/>
    <w:rsid w:val="003560CC"/>
    <w:rsid w:val="0035672A"/>
    <w:rsid w:val="00356AB3"/>
    <w:rsid w:val="00357295"/>
    <w:rsid w:val="003578A3"/>
    <w:rsid w:val="00357951"/>
    <w:rsid w:val="00357A6F"/>
    <w:rsid w:val="00357C45"/>
    <w:rsid w:val="00357EA7"/>
    <w:rsid w:val="00360292"/>
    <w:rsid w:val="003606D4"/>
    <w:rsid w:val="003607C0"/>
    <w:rsid w:val="00360E3F"/>
    <w:rsid w:val="003612FD"/>
    <w:rsid w:val="00361396"/>
    <w:rsid w:val="0036186F"/>
    <w:rsid w:val="003618A9"/>
    <w:rsid w:val="00361B52"/>
    <w:rsid w:val="00361CFA"/>
    <w:rsid w:val="00361DFE"/>
    <w:rsid w:val="00362293"/>
    <w:rsid w:val="00362402"/>
    <w:rsid w:val="0036249C"/>
    <w:rsid w:val="003625C1"/>
    <w:rsid w:val="0036263B"/>
    <w:rsid w:val="003626E7"/>
    <w:rsid w:val="00362B59"/>
    <w:rsid w:val="0036302F"/>
    <w:rsid w:val="00363708"/>
    <w:rsid w:val="003637DB"/>
    <w:rsid w:val="003637DE"/>
    <w:rsid w:val="00363A3A"/>
    <w:rsid w:val="00363E16"/>
    <w:rsid w:val="0036434D"/>
    <w:rsid w:val="003644B7"/>
    <w:rsid w:val="00364599"/>
    <w:rsid w:val="003648C2"/>
    <w:rsid w:val="00364A1C"/>
    <w:rsid w:val="0036524D"/>
    <w:rsid w:val="00365404"/>
    <w:rsid w:val="00365661"/>
    <w:rsid w:val="0036639E"/>
    <w:rsid w:val="003669D4"/>
    <w:rsid w:val="00366A41"/>
    <w:rsid w:val="003674ED"/>
    <w:rsid w:val="003675B5"/>
    <w:rsid w:val="00367FCC"/>
    <w:rsid w:val="0037169A"/>
    <w:rsid w:val="00371806"/>
    <w:rsid w:val="00371A54"/>
    <w:rsid w:val="003721B1"/>
    <w:rsid w:val="00372394"/>
    <w:rsid w:val="003726F3"/>
    <w:rsid w:val="00372D43"/>
    <w:rsid w:val="00373522"/>
    <w:rsid w:val="00373614"/>
    <w:rsid w:val="0037392F"/>
    <w:rsid w:val="00373962"/>
    <w:rsid w:val="003744A8"/>
    <w:rsid w:val="00374648"/>
    <w:rsid w:val="00374955"/>
    <w:rsid w:val="00374C67"/>
    <w:rsid w:val="0037577C"/>
    <w:rsid w:val="00375977"/>
    <w:rsid w:val="003761DD"/>
    <w:rsid w:val="00376A85"/>
    <w:rsid w:val="00376C57"/>
    <w:rsid w:val="00377780"/>
    <w:rsid w:val="00380516"/>
    <w:rsid w:val="00380661"/>
    <w:rsid w:val="00380811"/>
    <w:rsid w:val="00381361"/>
    <w:rsid w:val="003816CE"/>
    <w:rsid w:val="0038190C"/>
    <w:rsid w:val="00381C60"/>
    <w:rsid w:val="00381F2B"/>
    <w:rsid w:val="0038213F"/>
    <w:rsid w:val="0038230F"/>
    <w:rsid w:val="00382E41"/>
    <w:rsid w:val="00383ACF"/>
    <w:rsid w:val="00383E41"/>
    <w:rsid w:val="00384776"/>
    <w:rsid w:val="0038479E"/>
    <w:rsid w:val="00384B45"/>
    <w:rsid w:val="0038502C"/>
    <w:rsid w:val="003851AA"/>
    <w:rsid w:val="00385608"/>
    <w:rsid w:val="003867C7"/>
    <w:rsid w:val="00386BEA"/>
    <w:rsid w:val="003871D4"/>
    <w:rsid w:val="0038750D"/>
    <w:rsid w:val="00387659"/>
    <w:rsid w:val="0039024C"/>
    <w:rsid w:val="0039025F"/>
    <w:rsid w:val="003904CB"/>
    <w:rsid w:val="003907B6"/>
    <w:rsid w:val="00391621"/>
    <w:rsid w:val="00391693"/>
    <w:rsid w:val="0039196A"/>
    <w:rsid w:val="0039266A"/>
    <w:rsid w:val="003929D0"/>
    <w:rsid w:val="00393034"/>
    <w:rsid w:val="00393541"/>
    <w:rsid w:val="0039367F"/>
    <w:rsid w:val="003939A7"/>
    <w:rsid w:val="00393C01"/>
    <w:rsid w:val="00394152"/>
    <w:rsid w:val="00394763"/>
    <w:rsid w:val="00394B1F"/>
    <w:rsid w:val="00394B73"/>
    <w:rsid w:val="00394F47"/>
    <w:rsid w:val="003950B7"/>
    <w:rsid w:val="00395901"/>
    <w:rsid w:val="003960CE"/>
    <w:rsid w:val="00396380"/>
    <w:rsid w:val="003965F1"/>
    <w:rsid w:val="00397231"/>
    <w:rsid w:val="00397CA7"/>
    <w:rsid w:val="00397D54"/>
    <w:rsid w:val="00397D56"/>
    <w:rsid w:val="00397ECA"/>
    <w:rsid w:val="003A04A0"/>
    <w:rsid w:val="003A079B"/>
    <w:rsid w:val="003A0B4A"/>
    <w:rsid w:val="003A13A6"/>
    <w:rsid w:val="003A140A"/>
    <w:rsid w:val="003A1411"/>
    <w:rsid w:val="003A1A10"/>
    <w:rsid w:val="003A1C14"/>
    <w:rsid w:val="003A2D74"/>
    <w:rsid w:val="003A3B6D"/>
    <w:rsid w:val="003A3EE9"/>
    <w:rsid w:val="003A4A54"/>
    <w:rsid w:val="003A4DA2"/>
    <w:rsid w:val="003A51E3"/>
    <w:rsid w:val="003A69CF"/>
    <w:rsid w:val="003A6AB0"/>
    <w:rsid w:val="003A6C01"/>
    <w:rsid w:val="003A7384"/>
    <w:rsid w:val="003A7A7C"/>
    <w:rsid w:val="003A7A9A"/>
    <w:rsid w:val="003B0269"/>
    <w:rsid w:val="003B0354"/>
    <w:rsid w:val="003B0818"/>
    <w:rsid w:val="003B1264"/>
    <w:rsid w:val="003B17F8"/>
    <w:rsid w:val="003B1A14"/>
    <w:rsid w:val="003B1A73"/>
    <w:rsid w:val="003B1DC5"/>
    <w:rsid w:val="003B2770"/>
    <w:rsid w:val="003B2E8B"/>
    <w:rsid w:val="003B3451"/>
    <w:rsid w:val="003B3BC0"/>
    <w:rsid w:val="003B45FE"/>
    <w:rsid w:val="003B5E14"/>
    <w:rsid w:val="003B69D1"/>
    <w:rsid w:val="003B6E55"/>
    <w:rsid w:val="003B7841"/>
    <w:rsid w:val="003B7B58"/>
    <w:rsid w:val="003B7BC4"/>
    <w:rsid w:val="003C0082"/>
    <w:rsid w:val="003C023D"/>
    <w:rsid w:val="003C076C"/>
    <w:rsid w:val="003C1D1D"/>
    <w:rsid w:val="003C1D27"/>
    <w:rsid w:val="003C1E49"/>
    <w:rsid w:val="003C261A"/>
    <w:rsid w:val="003C2AAA"/>
    <w:rsid w:val="003C2E64"/>
    <w:rsid w:val="003C31C8"/>
    <w:rsid w:val="003C336B"/>
    <w:rsid w:val="003C3596"/>
    <w:rsid w:val="003C3A14"/>
    <w:rsid w:val="003C3A53"/>
    <w:rsid w:val="003C44D0"/>
    <w:rsid w:val="003C487A"/>
    <w:rsid w:val="003C4D20"/>
    <w:rsid w:val="003C4F3B"/>
    <w:rsid w:val="003C5344"/>
    <w:rsid w:val="003C656F"/>
    <w:rsid w:val="003C6D97"/>
    <w:rsid w:val="003C6FD7"/>
    <w:rsid w:val="003C7262"/>
    <w:rsid w:val="003C758C"/>
    <w:rsid w:val="003C7A52"/>
    <w:rsid w:val="003C7CC7"/>
    <w:rsid w:val="003C7D3F"/>
    <w:rsid w:val="003C7E4C"/>
    <w:rsid w:val="003D00D4"/>
    <w:rsid w:val="003D0268"/>
    <w:rsid w:val="003D038B"/>
    <w:rsid w:val="003D0416"/>
    <w:rsid w:val="003D0EBF"/>
    <w:rsid w:val="003D1179"/>
    <w:rsid w:val="003D13A2"/>
    <w:rsid w:val="003D13C0"/>
    <w:rsid w:val="003D1733"/>
    <w:rsid w:val="003D1EA9"/>
    <w:rsid w:val="003D1FF8"/>
    <w:rsid w:val="003D20B8"/>
    <w:rsid w:val="003D21A3"/>
    <w:rsid w:val="003D2948"/>
    <w:rsid w:val="003D2F41"/>
    <w:rsid w:val="003D3257"/>
    <w:rsid w:val="003D34B9"/>
    <w:rsid w:val="003D3C0D"/>
    <w:rsid w:val="003D3C5E"/>
    <w:rsid w:val="003D3EBD"/>
    <w:rsid w:val="003D3F8F"/>
    <w:rsid w:val="003D4491"/>
    <w:rsid w:val="003D45DA"/>
    <w:rsid w:val="003D4D38"/>
    <w:rsid w:val="003D5052"/>
    <w:rsid w:val="003D553A"/>
    <w:rsid w:val="003D630C"/>
    <w:rsid w:val="003D635E"/>
    <w:rsid w:val="003D68E8"/>
    <w:rsid w:val="003D759A"/>
    <w:rsid w:val="003E081C"/>
    <w:rsid w:val="003E185C"/>
    <w:rsid w:val="003E33F9"/>
    <w:rsid w:val="003E35D4"/>
    <w:rsid w:val="003E3967"/>
    <w:rsid w:val="003E3A0F"/>
    <w:rsid w:val="003E3B40"/>
    <w:rsid w:val="003E3BDF"/>
    <w:rsid w:val="003E3D7B"/>
    <w:rsid w:val="003E41CF"/>
    <w:rsid w:val="003E4B2F"/>
    <w:rsid w:val="003E4FD5"/>
    <w:rsid w:val="003E4FDA"/>
    <w:rsid w:val="003E55E9"/>
    <w:rsid w:val="003E5F33"/>
    <w:rsid w:val="003E68B6"/>
    <w:rsid w:val="003E6BC9"/>
    <w:rsid w:val="003E7959"/>
    <w:rsid w:val="003F024B"/>
    <w:rsid w:val="003F0E35"/>
    <w:rsid w:val="003F0E6B"/>
    <w:rsid w:val="003F128C"/>
    <w:rsid w:val="003F1813"/>
    <w:rsid w:val="003F1996"/>
    <w:rsid w:val="003F19CC"/>
    <w:rsid w:val="003F245A"/>
    <w:rsid w:val="003F2556"/>
    <w:rsid w:val="003F25B3"/>
    <w:rsid w:val="003F2D3D"/>
    <w:rsid w:val="003F31DD"/>
    <w:rsid w:val="003F3711"/>
    <w:rsid w:val="003F39A8"/>
    <w:rsid w:val="003F3C49"/>
    <w:rsid w:val="003F4350"/>
    <w:rsid w:val="003F4A59"/>
    <w:rsid w:val="003F4C17"/>
    <w:rsid w:val="003F4F89"/>
    <w:rsid w:val="003F5054"/>
    <w:rsid w:val="003F53B4"/>
    <w:rsid w:val="003F597B"/>
    <w:rsid w:val="003F62E9"/>
    <w:rsid w:val="003F66B4"/>
    <w:rsid w:val="003F71DC"/>
    <w:rsid w:val="003F73D5"/>
    <w:rsid w:val="003F743D"/>
    <w:rsid w:val="003F750D"/>
    <w:rsid w:val="003F7642"/>
    <w:rsid w:val="003F769C"/>
    <w:rsid w:val="003F78DE"/>
    <w:rsid w:val="003F7C73"/>
    <w:rsid w:val="004002E6"/>
    <w:rsid w:val="00400330"/>
    <w:rsid w:val="0040039D"/>
    <w:rsid w:val="004006B4"/>
    <w:rsid w:val="0040070B"/>
    <w:rsid w:val="0040093F"/>
    <w:rsid w:val="00400D08"/>
    <w:rsid w:val="0040118D"/>
    <w:rsid w:val="004023AC"/>
    <w:rsid w:val="004023F0"/>
    <w:rsid w:val="004028DB"/>
    <w:rsid w:val="00403119"/>
    <w:rsid w:val="00403478"/>
    <w:rsid w:val="00403591"/>
    <w:rsid w:val="004035E5"/>
    <w:rsid w:val="004035EB"/>
    <w:rsid w:val="00403A74"/>
    <w:rsid w:val="0040478C"/>
    <w:rsid w:val="004047CE"/>
    <w:rsid w:val="00404BD1"/>
    <w:rsid w:val="00404E1B"/>
    <w:rsid w:val="00405DF4"/>
    <w:rsid w:val="00406548"/>
    <w:rsid w:val="00406577"/>
    <w:rsid w:val="00407326"/>
    <w:rsid w:val="004079A6"/>
    <w:rsid w:val="00407AFE"/>
    <w:rsid w:val="00410063"/>
    <w:rsid w:val="0041013F"/>
    <w:rsid w:val="00410251"/>
    <w:rsid w:val="0041026E"/>
    <w:rsid w:val="0041059D"/>
    <w:rsid w:val="0041088F"/>
    <w:rsid w:val="00410C3F"/>
    <w:rsid w:val="00410D2D"/>
    <w:rsid w:val="00410D74"/>
    <w:rsid w:val="0041112A"/>
    <w:rsid w:val="004118BD"/>
    <w:rsid w:val="00412460"/>
    <w:rsid w:val="0041298C"/>
    <w:rsid w:val="00412B0F"/>
    <w:rsid w:val="00413551"/>
    <w:rsid w:val="00413573"/>
    <w:rsid w:val="004135BF"/>
    <w:rsid w:val="004138FC"/>
    <w:rsid w:val="00413A99"/>
    <w:rsid w:val="00413C22"/>
    <w:rsid w:val="0041427F"/>
    <w:rsid w:val="00414AC0"/>
    <w:rsid w:val="00414C61"/>
    <w:rsid w:val="00415098"/>
    <w:rsid w:val="00415394"/>
    <w:rsid w:val="004157DB"/>
    <w:rsid w:val="00415922"/>
    <w:rsid w:val="00415DF3"/>
    <w:rsid w:val="00415FB0"/>
    <w:rsid w:val="004167C6"/>
    <w:rsid w:val="004167EA"/>
    <w:rsid w:val="00417040"/>
    <w:rsid w:val="004170F7"/>
    <w:rsid w:val="004175E1"/>
    <w:rsid w:val="00417799"/>
    <w:rsid w:val="00417AD7"/>
    <w:rsid w:val="00417E34"/>
    <w:rsid w:val="00417EAE"/>
    <w:rsid w:val="00420240"/>
    <w:rsid w:val="004203B8"/>
    <w:rsid w:val="0042079B"/>
    <w:rsid w:val="00421A3A"/>
    <w:rsid w:val="00421D4A"/>
    <w:rsid w:val="00421E4E"/>
    <w:rsid w:val="00421E75"/>
    <w:rsid w:val="0042209E"/>
    <w:rsid w:val="00422301"/>
    <w:rsid w:val="00422470"/>
    <w:rsid w:val="004224D5"/>
    <w:rsid w:val="00422838"/>
    <w:rsid w:val="00422CF1"/>
    <w:rsid w:val="00423E91"/>
    <w:rsid w:val="0042415C"/>
    <w:rsid w:val="004242FA"/>
    <w:rsid w:val="00424A44"/>
    <w:rsid w:val="00424DDE"/>
    <w:rsid w:val="00424F7B"/>
    <w:rsid w:val="00425439"/>
    <w:rsid w:val="004255D4"/>
    <w:rsid w:val="004259C8"/>
    <w:rsid w:val="00425A82"/>
    <w:rsid w:val="00426183"/>
    <w:rsid w:val="004270BD"/>
    <w:rsid w:val="00427202"/>
    <w:rsid w:val="00427330"/>
    <w:rsid w:val="00427690"/>
    <w:rsid w:val="004278A9"/>
    <w:rsid w:val="00430967"/>
    <w:rsid w:val="00430CE4"/>
    <w:rsid w:val="00431247"/>
    <w:rsid w:val="004313CD"/>
    <w:rsid w:val="00431DEA"/>
    <w:rsid w:val="00432479"/>
    <w:rsid w:val="00432791"/>
    <w:rsid w:val="00432941"/>
    <w:rsid w:val="00432D6C"/>
    <w:rsid w:val="0043330C"/>
    <w:rsid w:val="004339D1"/>
    <w:rsid w:val="00433E84"/>
    <w:rsid w:val="00433F51"/>
    <w:rsid w:val="004340F0"/>
    <w:rsid w:val="004341AD"/>
    <w:rsid w:val="00434610"/>
    <w:rsid w:val="0043490C"/>
    <w:rsid w:val="00434FA2"/>
    <w:rsid w:val="00435524"/>
    <w:rsid w:val="00435855"/>
    <w:rsid w:val="00435A92"/>
    <w:rsid w:val="00435BB1"/>
    <w:rsid w:val="00435C95"/>
    <w:rsid w:val="0043616F"/>
    <w:rsid w:val="00436284"/>
    <w:rsid w:val="004365DE"/>
    <w:rsid w:val="00436601"/>
    <w:rsid w:val="00436699"/>
    <w:rsid w:val="00436BA6"/>
    <w:rsid w:val="00436FAB"/>
    <w:rsid w:val="00437311"/>
    <w:rsid w:val="00437EF9"/>
    <w:rsid w:val="00440296"/>
    <w:rsid w:val="004403CD"/>
    <w:rsid w:val="00440426"/>
    <w:rsid w:val="00440E9E"/>
    <w:rsid w:val="00440F41"/>
    <w:rsid w:val="00441727"/>
    <w:rsid w:val="00441915"/>
    <w:rsid w:val="00441AA6"/>
    <w:rsid w:val="00441BEA"/>
    <w:rsid w:val="00441F05"/>
    <w:rsid w:val="00441FA8"/>
    <w:rsid w:val="0044235E"/>
    <w:rsid w:val="004426C1"/>
    <w:rsid w:val="00443618"/>
    <w:rsid w:val="0044381B"/>
    <w:rsid w:val="00443948"/>
    <w:rsid w:val="00443B22"/>
    <w:rsid w:val="00444234"/>
    <w:rsid w:val="00444262"/>
    <w:rsid w:val="00444667"/>
    <w:rsid w:val="00445258"/>
    <w:rsid w:val="00445400"/>
    <w:rsid w:val="0044545D"/>
    <w:rsid w:val="0044547E"/>
    <w:rsid w:val="0044588C"/>
    <w:rsid w:val="00445B43"/>
    <w:rsid w:val="00445B62"/>
    <w:rsid w:val="004464E7"/>
    <w:rsid w:val="00446560"/>
    <w:rsid w:val="0044694B"/>
    <w:rsid w:val="00446BDC"/>
    <w:rsid w:val="00446C09"/>
    <w:rsid w:val="00446C7A"/>
    <w:rsid w:val="00446E10"/>
    <w:rsid w:val="0044708A"/>
    <w:rsid w:val="00447526"/>
    <w:rsid w:val="00447656"/>
    <w:rsid w:val="00447A55"/>
    <w:rsid w:val="00447E81"/>
    <w:rsid w:val="00447E97"/>
    <w:rsid w:val="0045015E"/>
    <w:rsid w:val="004502D2"/>
    <w:rsid w:val="00450352"/>
    <w:rsid w:val="004506A4"/>
    <w:rsid w:val="004509A8"/>
    <w:rsid w:val="004509C3"/>
    <w:rsid w:val="0045107F"/>
    <w:rsid w:val="004511F5"/>
    <w:rsid w:val="00452069"/>
    <w:rsid w:val="0045209D"/>
    <w:rsid w:val="004522F6"/>
    <w:rsid w:val="004523CC"/>
    <w:rsid w:val="00452A35"/>
    <w:rsid w:val="00452E63"/>
    <w:rsid w:val="004534D3"/>
    <w:rsid w:val="004541A8"/>
    <w:rsid w:val="00454777"/>
    <w:rsid w:val="00454B55"/>
    <w:rsid w:val="00454ED7"/>
    <w:rsid w:val="0045590B"/>
    <w:rsid w:val="004561CE"/>
    <w:rsid w:val="004562BE"/>
    <w:rsid w:val="00456F3B"/>
    <w:rsid w:val="00457206"/>
    <w:rsid w:val="00457266"/>
    <w:rsid w:val="00457543"/>
    <w:rsid w:val="004602F6"/>
    <w:rsid w:val="00460CC8"/>
    <w:rsid w:val="004610AF"/>
    <w:rsid w:val="004611C7"/>
    <w:rsid w:val="004614F7"/>
    <w:rsid w:val="00461924"/>
    <w:rsid w:val="00461A3C"/>
    <w:rsid w:val="00461D99"/>
    <w:rsid w:val="004624D7"/>
    <w:rsid w:val="004625DD"/>
    <w:rsid w:val="00462602"/>
    <w:rsid w:val="00462792"/>
    <w:rsid w:val="00463313"/>
    <w:rsid w:val="00463464"/>
    <w:rsid w:val="0046371B"/>
    <w:rsid w:val="00463A83"/>
    <w:rsid w:val="00463ED2"/>
    <w:rsid w:val="00464149"/>
    <w:rsid w:val="004642D7"/>
    <w:rsid w:val="00464305"/>
    <w:rsid w:val="004643D8"/>
    <w:rsid w:val="00464947"/>
    <w:rsid w:val="0046545B"/>
    <w:rsid w:val="0046564A"/>
    <w:rsid w:val="004658AF"/>
    <w:rsid w:val="0046704E"/>
    <w:rsid w:val="0046734D"/>
    <w:rsid w:val="004675B3"/>
    <w:rsid w:val="0046790D"/>
    <w:rsid w:val="0047071A"/>
    <w:rsid w:val="00470A62"/>
    <w:rsid w:val="0047127B"/>
    <w:rsid w:val="004712E8"/>
    <w:rsid w:val="00471668"/>
    <w:rsid w:val="00471714"/>
    <w:rsid w:val="00472023"/>
    <w:rsid w:val="00472185"/>
    <w:rsid w:val="004729F9"/>
    <w:rsid w:val="00472A9A"/>
    <w:rsid w:val="00472AB4"/>
    <w:rsid w:val="00472E31"/>
    <w:rsid w:val="004736EC"/>
    <w:rsid w:val="00473B12"/>
    <w:rsid w:val="00473BE1"/>
    <w:rsid w:val="004742F2"/>
    <w:rsid w:val="004745C5"/>
    <w:rsid w:val="00474663"/>
    <w:rsid w:val="00474769"/>
    <w:rsid w:val="00474AE1"/>
    <w:rsid w:val="00474BD2"/>
    <w:rsid w:val="004750AA"/>
    <w:rsid w:val="00475102"/>
    <w:rsid w:val="004756DD"/>
    <w:rsid w:val="00475B92"/>
    <w:rsid w:val="00475C53"/>
    <w:rsid w:val="00476291"/>
    <w:rsid w:val="004764F5"/>
    <w:rsid w:val="0047651F"/>
    <w:rsid w:val="00476BE9"/>
    <w:rsid w:val="004772B5"/>
    <w:rsid w:val="004773E0"/>
    <w:rsid w:val="004779A1"/>
    <w:rsid w:val="00477EC2"/>
    <w:rsid w:val="00480027"/>
    <w:rsid w:val="004802BB"/>
    <w:rsid w:val="00480375"/>
    <w:rsid w:val="00480632"/>
    <w:rsid w:val="004806CA"/>
    <w:rsid w:val="0048099D"/>
    <w:rsid w:val="004813A6"/>
    <w:rsid w:val="004814A0"/>
    <w:rsid w:val="0048186F"/>
    <w:rsid w:val="00481941"/>
    <w:rsid w:val="00481A80"/>
    <w:rsid w:val="00481CE4"/>
    <w:rsid w:val="004823B0"/>
    <w:rsid w:val="0048391C"/>
    <w:rsid w:val="004841BF"/>
    <w:rsid w:val="0048454E"/>
    <w:rsid w:val="004846D3"/>
    <w:rsid w:val="00484C6E"/>
    <w:rsid w:val="00484FA7"/>
    <w:rsid w:val="00485804"/>
    <w:rsid w:val="00485AB5"/>
    <w:rsid w:val="00486E23"/>
    <w:rsid w:val="00486F7B"/>
    <w:rsid w:val="00487824"/>
    <w:rsid w:val="00487986"/>
    <w:rsid w:val="00487C3D"/>
    <w:rsid w:val="004906AA"/>
    <w:rsid w:val="004909EC"/>
    <w:rsid w:val="00490F03"/>
    <w:rsid w:val="0049116B"/>
    <w:rsid w:val="004911A4"/>
    <w:rsid w:val="0049197A"/>
    <w:rsid w:val="00492041"/>
    <w:rsid w:val="00492055"/>
    <w:rsid w:val="00492637"/>
    <w:rsid w:val="00492D43"/>
    <w:rsid w:val="00492DA1"/>
    <w:rsid w:val="00492E01"/>
    <w:rsid w:val="004933FE"/>
    <w:rsid w:val="00493794"/>
    <w:rsid w:val="00493EBB"/>
    <w:rsid w:val="00493EE8"/>
    <w:rsid w:val="004941AC"/>
    <w:rsid w:val="0049461A"/>
    <w:rsid w:val="004948C8"/>
    <w:rsid w:val="00494A13"/>
    <w:rsid w:val="00495C5B"/>
    <w:rsid w:val="00496050"/>
    <w:rsid w:val="0049629E"/>
    <w:rsid w:val="0049660A"/>
    <w:rsid w:val="00496A4E"/>
    <w:rsid w:val="00496E0A"/>
    <w:rsid w:val="004970E8"/>
    <w:rsid w:val="0049749F"/>
    <w:rsid w:val="00497FA1"/>
    <w:rsid w:val="004A0113"/>
    <w:rsid w:val="004A0746"/>
    <w:rsid w:val="004A0C05"/>
    <w:rsid w:val="004A1496"/>
    <w:rsid w:val="004A1898"/>
    <w:rsid w:val="004A1C68"/>
    <w:rsid w:val="004A1CF3"/>
    <w:rsid w:val="004A1E40"/>
    <w:rsid w:val="004A1FF7"/>
    <w:rsid w:val="004A2094"/>
    <w:rsid w:val="004A20B5"/>
    <w:rsid w:val="004A2244"/>
    <w:rsid w:val="004A22B7"/>
    <w:rsid w:val="004A2CF4"/>
    <w:rsid w:val="004A3448"/>
    <w:rsid w:val="004A3E52"/>
    <w:rsid w:val="004A3E7D"/>
    <w:rsid w:val="004A407F"/>
    <w:rsid w:val="004A449B"/>
    <w:rsid w:val="004A47AC"/>
    <w:rsid w:val="004A4FDD"/>
    <w:rsid w:val="004A518B"/>
    <w:rsid w:val="004A54A9"/>
    <w:rsid w:val="004A570E"/>
    <w:rsid w:val="004A6216"/>
    <w:rsid w:val="004A6AB7"/>
    <w:rsid w:val="004A6E91"/>
    <w:rsid w:val="004A777D"/>
    <w:rsid w:val="004A7785"/>
    <w:rsid w:val="004A77A9"/>
    <w:rsid w:val="004A79DD"/>
    <w:rsid w:val="004A7FD9"/>
    <w:rsid w:val="004B005D"/>
    <w:rsid w:val="004B0724"/>
    <w:rsid w:val="004B086C"/>
    <w:rsid w:val="004B0983"/>
    <w:rsid w:val="004B0DCA"/>
    <w:rsid w:val="004B0F1C"/>
    <w:rsid w:val="004B0FD8"/>
    <w:rsid w:val="004B10D3"/>
    <w:rsid w:val="004B12D6"/>
    <w:rsid w:val="004B16BC"/>
    <w:rsid w:val="004B1819"/>
    <w:rsid w:val="004B1DFC"/>
    <w:rsid w:val="004B2A15"/>
    <w:rsid w:val="004B2CCD"/>
    <w:rsid w:val="004B3148"/>
    <w:rsid w:val="004B3570"/>
    <w:rsid w:val="004B4328"/>
    <w:rsid w:val="004B43E7"/>
    <w:rsid w:val="004B43F3"/>
    <w:rsid w:val="004B449F"/>
    <w:rsid w:val="004B47A4"/>
    <w:rsid w:val="004B4824"/>
    <w:rsid w:val="004B494D"/>
    <w:rsid w:val="004B58F0"/>
    <w:rsid w:val="004B5DC6"/>
    <w:rsid w:val="004B637E"/>
    <w:rsid w:val="004B64C8"/>
    <w:rsid w:val="004B6596"/>
    <w:rsid w:val="004B6769"/>
    <w:rsid w:val="004B6809"/>
    <w:rsid w:val="004B77C1"/>
    <w:rsid w:val="004B77CD"/>
    <w:rsid w:val="004B785E"/>
    <w:rsid w:val="004B79EC"/>
    <w:rsid w:val="004C0875"/>
    <w:rsid w:val="004C0962"/>
    <w:rsid w:val="004C0A2A"/>
    <w:rsid w:val="004C0F05"/>
    <w:rsid w:val="004C1BBB"/>
    <w:rsid w:val="004C1FC0"/>
    <w:rsid w:val="004C2373"/>
    <w:rsid w:val="004C2779"/>
    <w:rsid w:val="004C27C6"/>
    <w:rsid w:val="004C2A7B"/>
    <w:rsid w:val="004C35E5"/>
    <w:rsid w:val="004C4266"/>
    <w:rsid w:val="004C465B"/>
    <w:rsid w:val="004C4F2A"/>
    <w:rsid w:val="004C51E6"/>
    <w:rsid w:val="004C54F2"/>
    <w:rsid w:val="004C5B08"/>
    <w:rsid w:val="004C63C3"/>
    <w:rsid w:val="004C63D9"/>
    <w:rsid w:val="004C64A6"/>
    <w:rsid w:val="004C64F4"/>
    <w:rsid w:val="004C6BC6"/>
    <w:rsid w:val="004C6BF2"/>
    <w:rsid w:val="004C6E2D"/>
    <w:rsid w:val="004C776F"/>
    <w:rsid w:val="004C792A"/>
    <w:rsid w:val="004C7FF2"/>
    <w:rsid w:val="004D03C6"/>
    <w:rsid w:val="004D04AA"/>
    <w:rsid w:val="004D04B0"/>
    <w:rsid w:val="004D0825"/>
    <w:rsid w:val="004D0CF2"/>
    <w:rsid w:val="004D1407"/>
    <w:rsid w:val="004D1CAA"/>
    <w:rsid w:val="004D215F"/>
    <w:rsid w:val="004D217E"/>
    <w:rsid w:val="004D2183"/>
    <w:rsid w:val="004D21C1"/>
    <w:rsid w:val="004D294A"/>
    <w:rsid w:val="004D30A4"/>
    <w:rsid w:val="004D35C5"/>
    <w:rsid w:val="004D37DE"/>
    <w:rsid w:val="004D3F0B"/>
    <w:rsid w:val="004D4619"/>
    <w:rsid w:val="004D4766"/>
    <w:rsid w:val="004D49E0"/>
    <w:rsid w:val="004D4C7C"/>
    <w:rsid w:val="004D4DCF"/>
    <w:rsid w:val="004D4EB2"/>
    <w:rsid w:val="004D5087"/>
    <w:rsid w:val="004D5128"/>
    <w:rsid w:val="004D5645"/>
    <w:rsid w:val="004D5766"/>
    <w:rsid w:val="004D579B"/>
    <w:rsid w:val="004D57A8"/>
    <w:rsid w:val="004D5C95"/>
    <w:rsid w:val="004D6530"/>
    <w:rsid w:val="004D799F"/>
    <w:rsid w:val="004D7A88"/>
    <w:rsid w:val="004D7BD4"/>
    <w:rsid w:val="004D7EBB"/>
    <w:rsid w:val="004E020F"/>
    <w:rsid w:val="004E04D2"/>
    <w:rsid w:val="004E07DD"/>
    <w:rsid w:val="004E083E"/>
    <w:rsid w:val="004E0E9B"/>
    <w:rsid w:val="004E0FAD"/>
    <w:rsid w:val="004E11EA"/>
    <w:rsid w:val="004E1A6E"/>
    <w:rsid w:val="004E1BAC"/>
    <w:rsid w:val="004E1F85"/>
    <w:rsid w:val="004E2095"/>
    <w:rsid w:val="004E2931"/>
    <w:rsid w:val="004E2A37"/>
    <w:rsid w:val="004E2C66"/>
    <w:rsid w:val="004E38E7"/>
    <w:rsid w:val="004E3EB1"/>
    <w:rsid w:val="004E44E8"/>
    <w:rsid w:val="004E452D"/>
    <w:rsid w:val="004E4607"/>
    <w:rsid w:val="004E4CBA"/>
    <w:rsid w:val="004E4F94"/>
    <w:rsid w:val="004E50BD"/>
    <w:rsid w:val="004E5151"/>
    <w:rsid w:val="004E5D0B"/>
    <w:rsid w:val="004E73BD"/>
    <w:rsid w:val="004E7736"/>
    <w:rsid w:val="004F032E"/>
    <w:rsid w:val="004F05CE"/>
    <w:rsid w:val="004F0711"/>
    <w:rsid w:val="004F12E8"/>
    <w:rsid w:val="004F14FF"/>
    <w:rsid w:val="004F18E6"/>
    <w:rsid w:val="004F1D90"/>
    <w:rsid w:val="004F230C"/>
    <w:rsid w:val="004F2545"/>
    <w:rsid w:val="004F2BB4"/>
    <w:rsid w:val="004F350D"/>
    <w:rsid w:val="004F38F5"/>
    <w:rsid w:val="004F3EA9"/>
    <w:rsid w:val="004F415D"/>
    <w:rsid w:val="004F42E7"/>
    <w:rsid w:val="004F447B"/>
    <w:rsid w:val="004F4D3D"/>
    <w:rsid w:val="004F4D75"/>
    <w:rsid w:val="004F4E3A"/>
    <w:rsid w:val="004F5096"/>
    <w:rsid w:val="004F5AD2"/>
    <w:rsid w:val="004F602F"/>
    <w:rsid w:val="004F609F"/>
    <w:rsid w:val="004F6243"/>
    <w:rsid w:val="004F6454"/>
    <w:rsid w:val="004F665E"/>
    <w:rsid w:val="004F680D"/>
    <w:rsid w:val="004F6899"/>
    <w:rsid w:val="004F6A46"/>
    <w:rsid w:val="004F6DFA"/>
    <w:rsid w:val="004F7043"/>
    <w:rsid w:val="004F7395"/>
    <w:rsid w:val="004F7524"/>
    <w:rsid w:val="004F76E2"/>
    <w:rsid w:val="004F7E03"/>
    <w:rsid w:val="0050070C"/>
    <w:rsid w:val="005008DC"/>
    <w:rsid w:val="005010FC"/>
    <w:rsid w:val="005011FB"/>
    <w:rsid w:val="005011FE"/>
    <w:rsid w:val="00501963"/>
    <w:rsid w:val="00501CC7"/>
    <w:rsid w:val="00501D28"/>
    <w:rsid w:val="00501E4C"/>
    <w:rsid w:val="005021F4"/>
    <w:rsid w:val="005028A6"/>
    <w:rsid w:val="00502EED"/>
    <w:rsid w:val="005031AF"/>
    <w:rsid w:val="005033C5"/>
    <w:rsid w:val="00503910"/>
    <w:rsid w:val="00503D56"/>
    <w:rsid w:val="00503E36"/>
    <w:rsid w:val="0050436D"/>
    <w:rsid w:val="00504BB8"/>
    <w:rsid w:val="00505CD5"/>
    <w:rsid w:val="00505FBE"/>
    <w:rsid w:val="005069E1"/>
    <w:rsid w:val="005077E2"/>
    <w:rsid w:val="005078FE"/>
    <w:rsid w:val="00507F85"/>
    <w:rsid w:val="00510004"/>
    <w:rsid w:val="00510E21"/>
    <w:rsid w:val="00510F67"/>
    <w:rsid w:val="00510FEE"/>
    <w:rsid w:val="0051156A"/>
    <w:rsid w:val="00511A13"/>
    <w:rsid w:val="005120A2"/>
    <w:rsid w:val="00512159"/>
    <w:rsid w:val="00512446"/>
    <w:rsid w:val="00512685"/>
    <w:rsid w:val="0051271B"/>
    <w:rsid w:val="0051280B"/>
    <w:rsid w:val="00512816"/>
    <w:rsid w:val="005128D8"/>
    <w:rsid w:val="00512DED"/>
    <w:rsid w:val="005131CA"/>
    <w:rsid w:val="005134CE"/>
    <w:rsid w:val="005134E5"/>
    <w:rsid w:val="00513A5E"/>
    <w:rsid w:val="00513DA7"/>
    <w:rsid w:val="00513EF2"/>
    <w:rsid w:val="005144FC"/>
    <w:rsid w:val="00514787"/>
    <w:rsid w:val="00514C74"/>
    <w:rsid w:val="00514D20"/>
    <w:rsid w:val="005154B9"/>
    <w:rsid w:val="00515A89"/>
    <w:rsid w:val="00516130"/>
    <w:rsid w:val="00517216"/>
    <w:rsid w:val="00517444"/>
    <w:rsid w:val="005178FB"/>
    <w:rsid w:val="00517E7C"/>
    <w:rsid w:val="005203EE"/>
    <w:rsid w:val="005209FD"/>
    <w:rsid w:val="00520F76"/>
    <w:rsid w:val="005210A5"/>
    <w:rsid w:val="0052177B"/>
    <w:rsid w:val="00521A67"/>
    <w:rsid w:val="00521AA9"/>
    <w:rsid w:val="00521EF2"/>
    <w:rsid w:val="005220C0"/>
    <w:rsid w:val="00522691"/>
    <w:rsid w:val="00522C6B"/>
    <w:rsid w:val="00522FF8"/>
    <w:rsid w:val="00524A98"/>
    <w:rsid w:val="00524DF7"/>
    <w:rsid w:val="005253E9"/>
    <w:rsid w:val="005256D4"/>
    <w:rsid w:val="0052591C"/>
    <w:rsid w:val="00525A9D"/>
    <w:rsid w:val="00525ED6"/>
    <w:rsid w:val="00525FD2"/>
    <w:rsid w:val="00526723"/>
    <w:rsid w:val="00526909"/>
    <w:rsid w:val="00526CC0"/>
    <w:rsid w:val="005271BD"/>
    <w:rsid w:val="005273CB"/>
    <w:rsid w:val="0052763C"/>
    <w:rsid w:val="00527EB9"/>
    <w:rsid w:val="00527F6D"/>
    <w:rsid w:val="00527FEC"/>
    <w:rsid w:val="00530054"/>
    <w:rsid w:val="00530147"/>
    <w:rsid w:val="005303CA"/>
    <w:rsid w:val="0053058A"/>
    <w:rsid w:val="00530808"/>
    <w:rsid w:val="00531197"/>
    <w:rsid w:val="00531264"/>
    <w:rsid w:val="005315DB"/>
    <w:rsid w:val="005318FF"/>
    <w:rsid w:val="00531926"/>
    <w:rsid w:val="0053199F"/>
    <w:rsid w:val="00531AF2"/>
    <w:rsid w:val="00531BC0"/>
    <w:rsid w:val="00531EB7"/>
    <w:rsid w:val="00531EBD"/>
    <w:rsid w:val="0053217E"/>
    <w:rsid w:val="00532579"/>
    <w:rsid w:val="00532FD2"/>
    <w:rsid w:val="0053334B"/>
    <w:rsid w:val="0053351B"/>
    <w:rsid w:val="00533C4B"/>
    <w:rsid w:val="005341B2"/>
    <w:rsid w:val="00534888"/>
    <w:rsid w:val="00534C25"/>
    <w:rsid w:val="00534F31"/>
    <w:rsid w:val="0053547F"/>
    <w:rsid w:val="00535DA7"/>
    <w:rsid w:val="005362A3"/>
    <w:rsid w:val="0053681E"/>
    <w:rsid w:val="00536A51"/>
    <w:rsid w:val="00536B94"/>
    <w:rsid w:val="00536E8E"/>
    <w:rsid w:val="005372E4"/>
    <w:rsid w:val="005375F0"/>
    <w:rsid w:val="00537689"/>
    <w:rsid w:val="00537932"/>
    <w:rsid w:val="00537C56"/>
    <w:rsid w:val="00537CE7"/>
    <w:rsid w:val="00537EC9"/>
    <w:rsid w:val="00540841"/>
    <w:rsid w:val="00540914"/>
    <w:rsid w:val="00540C1B"/>
    <w:rsid w:val="00540DD7"/>
    <w:rsid w:val="005411A2"/>
    <w:rsid w:val="00541B81"/>
    <w:rsid w:val="00541D34"/>
    <w:rsid w:val="00542018"/>
    <w:rsid w:val="005426EF"/>
    <w:rsid w:val="00543005"/>
    <w:rsid w:val="00543393"/>
    <w:rsid w:val="00543B70"/>
    <w:rsid w:val="00543D50"/>
    <w:rsid w:val="00543E14"/>
    <w:rsid w:val="00544195"/>
    <w:rsid w:val="005443AB"/>
    <w:rsid w:val="00544463"/>
    <w:rsid w:val="00544ACB"/>
    <w:rsid w:val="00544C1B"/>
    <w:rsid w:val="00544F8A"/>
    <w:rsid w:val="005458A6"/>
    <w:rsid w:val="00545DD5"/>
    <w:rsid w:val="00546489"/>
    <w:rsid w:val="00546A8E"/>
    <w:rsid w:val="00546C48"/>
    <w:rsid w:val="00546FDE"/>
    <w:rsid w:val="005478EE"/>
    <w:rsid w:val="00547DBD"/>
    <w:rsid w:val="00550581"/>
    <w:rsid w:val="00550A14"/>
    <w:rsid w:val="00550AED"/>
    <w:rsid w:val="00551FBB"/>
    <w:rsid w:val="00552A1B"/>
    <w:rsid w:val="00552E41"/>
    <w:rsid w:val="0055402F"/>
    <w:rsid w:val="0055408C"/>
    <w:rsid w:val="00554F99"/>
    <w:rsid w:val="0055619C"/>
    <w:rsid w:val="0055667E"/>
    <w:rsid w:val="00557312"/>
    <w:rsid w:val="005573F3"/>
    <w:rsid w:val="0055772B"/>
    <w:rsid w:val="00557B2E"/>
    <w:rsid w:val="005601B3"/>
    <w:rsid w:val="005603A6"/>
    <w:rsid w:val="0056056A"/>
    <w:rsid w:val="00561420"/>
    <w:rsid w:val="005614C7"/>
    <w:rsid w:val="00561A3B"/>
    <w:rsid w:val="00561C68"/>
    <w:rsid w:val="005623E2"/>
    <w:rsid w:val="0056243B"/>
    <w:rsid w:val="00562628"/>
    <w:rsid w:val="00562668"/>
    <w:rsid w:val="00562A22"/>
    <w:rsid w:val="00562DFF"/>
    <w:rsid w:val="00563492"/>
    <w:rsid w:val="0056374B"/>
    <w:rsid w:val="00563AA4"/>
    <w:rsid w:val="00564142"/>
    <w:rsid w:val="005643D5"/>
    <w:rsid w:val="00564A0C"/>
    <w:rsid w:val="00564A90"/>
    <w:rsid w:val="00564AA9"/>
    <w:rsid w:val="00564B64"/>
    <w:rsid w:val="00564D3D"/>
    <w:rsid w:val="005650DB"/>
    <w:rsid w:val="00565337"/>
    <w:rsid w:val="00565974"/>
    <w:rsid w:val="00565CAD"/>
    <w:rsid w:val="00566BCB"/>
    <w:rsid w:val="00566C04"/>
    <w:rsid w:val="00567814"/>
    <w:rsid w:val="0056783A"/>
    <w:rsid w:val="00567A8B"/>
    <w:rsid w:val="005705CF"/>
    <w:rsid w:val="00570C64"/>
    <w:rsid w:val="005718CB"/>
    <w:rsid w:val="00571AD1"/>
    <w:rsid w:val="00571CEA"/>
    <w:rsid w:val="005723C9"/>
    <w:rsid w:val="00572C53"/>
    <w:rsid w:val="00572D8D"/>
    <w:rsid w:val="0057306A"/>
    <w:rsid w:val="00573168"/>
    <w:rsid w:val="00573919"/>
    <w:rsid w:val="00574006"/>
    <w:rsid w:val="005740D2"/>
    <w:rsid w:val="0057437B"/>
    <w:rsid w:val="005746DB"/>
    <w:rsid w:val="005747A4"/>
    <w:rsid w:val="00574990"/>
    <w:rsid w:val="00574EAB"/>
    <w:rsid w:val="005754DE"/>
    <w:rsid w:val="00575676"/>
    <w:rsid w:val="00575952"/>
    <w:rsid w:val="005759B7"/>
    <w:rsid w:val="005759D4"/>
    <w:rsid w:val="00575C41"/>
    <w:rsid w:val="00575F44"/>
    <w:rsid w:val="0057604C"/>
    <w:rsid w:val="00576A95"/>
    <w:rsid w:val="005772BA"/>
    <w:rsid w:val="00577534"/>
    <w:rsid w:val="0057773F"/>
    <w:rsid w:val="0057779A"/>
    <w:rsid w:val="00577845"/>
    <w:rsid w:val="0057789D"/>
    <w:rsid w:val="00577D84"/>
    <w:rsid w:val="00577DC0"/>
    <w:rsid w:val="005801E3"/>
    <w:rsid w:val="00580448"/>
    <w:rsid w:val="005805E6"/>
    <w:rsid w:val="005810FA"/>
    <w:rsid w:val="00581153"/>
    <w:rsid w:val="00581878"/>
    <w:rsid w:val="00581CB5"/>
    <w:rsid w:val="00581D36"/>
    <w:rsid w:val="00581D49"/>
    <w:rsid w:val="00581DCE"/>
    <w:rsid w:val="005822A4"/>
    <w:rsid w:val="0058285C"/>
    <w:rsid w:val="00582D94"/>
    <w:rsid w:val="00582F64"/>
    <w:rsid w:val="005830F1"/>
    <w:rsid w:val="005831C8"/>
    <w:rsid w:val="00583392"/>
    <w:rsid w:val="0058376D"/>
    <w:rsid w:val="00583AB9"/>
    <w:rsid w:val="00583F71"/>
    <w:rsid w:val="005841E8"/>
    <w:rsid w:val="00584767"/>
    <w:rsid w:val="00584BC3"/>
    <w:rsid w:val="00584C2A"/>
    <w:rsid w:val="00585DB9"/>
    <w:rsid w:val="00585F9C"/>
    <w:rsid w:val="0058679E"/>
    <w:rsid w:val="00586867"/>
    <w:rsid w:val="00586A1C"/>
    <w:rsid w:val="00586AE7"/>
    <w:rsid w:val="00586BD2"/>
    <w:rsid w:val="0058719B"/>
    <w:rsid w:val="0058780E"/>
    <w:rsid w:val="005878E1"/>
    <w:rsid w:val="0058790F"/>
    <w:rsid w:val="00587962"/>
    <w:rsid w:val="00587F3B"/>
    <w:rsid w:val="00590147"/>
    <w:rsid w:val="00590268"/>
    <w:rsid w:val="0059041C"/>
    <w:rsid w:val="005907FB"/>
    <w:rsid w:val="0059090C"/>
    <w:rsid w:val="00590923"/>
    <w:rsid w:val="00590C2F"/>
    <w:rsid w:val="00590F08"/>
    <w:rsid w:val="00591738"/>
    <w:rsid w:val="00591CB1"/>
    <w:rsid w:val="00592007"/>
    <w:rsid w:val="0059250D"/>
    <w:rsid w:val="00592B3F"/>
    <w:rsid w:val="0059340C"/>
    <w:rsid w:val="00593916"/>
    <w:rsid w:val="00593A8D"/>
    <w:rsid w:val="00593CB8"/>
    <w:rsid w:val="00593D43"/>
    <w:rsid w:val="00593ECF"/>
    <w:rsid w:val="0059418B"/>
    <w:rsid w:val="00595095"/>
    <w:rsid w:val="005950A6"/>
    <w:rsid w:val="0059519E"/>
    <w:rsid w:val="005951C0"/>
    <w:rsid w:val="0059562A"/>
    <w:rsid w:val="00595768"/>
    <w:rsid w:val="0059586D"/>
    <w:rsid w:val="00595EAC"/>
    <w:rsid w:val="005962FB"/>
    <w:rsid w:val="005963B5"/>
    <w:rsid w:val="00596D9D"/>
    <w:rsid w:val="005978D3"/>
    <w:rsid w:val="00597CBA"/>
    <w:rsid w:val="00597FB4"/>
    <w:rsid w:val="005A066E"/>
    <w:rsid w:val="005A07FA"/>
    <w:rsid w:val="005A0A02"/>
    <w:rsid w:val="005A0EAC"/>
    <w:rsid w:val="005A14DF"/>
    <w:rsid w:val="005A1A6E"/>
    <w:rsid w:val="005A1BC2"/>
    <w:rsid w:val="005A2132"/>
    <w:rsid w:val="005A2221"/>
    <w:rsid w:val="005A226D"/>
    <w:rsid w:val="005A241A"/>
    <w:rsid w:val="005A2B65"/>
    <w:rsid w:val="005A3050"/>
    <w:rsid w:val="005A3220"/>
    <w:rsid w:val="005A3901"/>
    <w:rsid w:val="005A3A46"/>
    <w:rsid w:val="005A4006"/>
    <w:rsid w:val="005A4333"/>
    <w:rsid w:val="005A49D5"/>
    <w:rsid w:val="005A4D8D"/>
    <w:rsid w:val="005A4FEE"/>
    <w:rsid w:val="005A5442"/>
    <w:rsid w:val="005A54D1"/>
    <w:rsid w:val="005A5598"/>
    <w:rsid w:val="005A56AE"/>
    <w:rsid w:val="005A5FB0"/>
    <w:rsid w:val="005A61BF"/>
    <w:rsid w:val="005A6A3F"/>
    <w:rsid w:val="005A6FA0"/>
    <w:rsid w:val="005A708B"/>
    <w:rsid w:val="005A74EE"/>
    <w:rsid w:val="005A76EE"/>
    <w:rsid w:val="005A7886"/>
    <w:rsid w:val="005A7A57"/>
    <w:rsid w:val="005B0A35"/>
    <w:rsid w:val="005B0BC4"/>
    <w:rsid w:val="005B0CE1"/>
    <w:rsid w:val="005B0CE9"/>
    <w:rsid w:val="005B0DF0"/>
    <w:rsid w:val="005B1A65"/>
    <w:rsid w:val="005B1EA2"/>
    <w:rsid w:val="005B1ED1"/>
    <w:rsid w:val="005B20D1"/>
    <w:rsid w:val="005B22C8"/>
    <w:rsid w:val="005B23F7"/>
    <w:rsid w:val="005B2A60"/>
    <w:rsid w:val="005B37B6"/>
    <w:rsid w:val="005B3A8D"/>
    <w:rsid w:val="005B4183"/>
    <w:rsid w:val="005B43C4"/>
    <w:rsid w:val="005B464B"/>
    <w:rsid w:val="005B4679"/>
    <w:rsid w:val="005B48C8"/>
    <w:rsid w:val="005B4EB2"/>
    <w:rsid w:val="005B4F3B"/>
    <w:rsid w:val="005B538D"/>
    <w:rsid w:val="005B557B"/>
    <w:rsid w:val="005B5C8E"/>
    <w:rsid w:val="005B5CB7"/>
    <w:rsid w:val="005B61B4"/>
    <w:rsid w:val="005B63BF"/>
    <w:rsid w:val="005B68F1"/>
    <w:rsid w:val="005B69DB"/>
    <w:rsid w:val="005B6A02"/>
    <w:rsid w:val="005B6DD8"/>
    <w:rsid w:val="005B7227"/>
    <w:rsid w:val="005B7613"/>
    <w:rsid w:val="005B7658"/>
    <w:rsid w:val="005B7724"/>
    <w:rsid w:val="005B7A85"/>
    <w:rsid w:val="005C02C6"/>
    <w:rsid w:val="005C0356"/>
    <w:rsid w:val="005C03A0"/>
    <w:rsid w:val="005C03AB"/>
    <w:rsid w:val="005C0A47"/>
    <w:rsid w:val="005C0A8B"/>
    <w:rsid w:val="005C0CC8"/>
    <w:rsid w:val="005C122E"/>
    <w:rsid w:val="005C155D"/>
    <w:rsid w:val="005C175A"/>
    <w:rsid w:val="005C17F8"/>
    <w:rsid w:val="005C2349"/>
    <w:rsid w:val="005C247F"/>
    <w:rsid w:val="005C274F"/>
    <w:rsid w:val="005C27A7"/>
    <w:rsid w:val="005C291B"/>
    <w:rsid w:val="005C3095"/>
    <w:rsid w:val="005C34E0"/>
    <w:rsid w:val="005C363E"/>
    <w:rsid w:val="005C36B7"/>
    <w:rsid w:val="005C3930"/>
    <w:rsid w:val="005C3B92"/>
    <w:rsid w:val="005C3DB5"/>
    <w:rsid w:val="005C3F25"/>
    <w:rsid w:val="005C4E5C"/>
    <w:rsid w:val="005C50FE"/>
    <w:rsid w:val="005C54AA"/>
    <w:rsid w:val="005C57BF"/>
    <w:rsid w:val="005C59E4"/>
    <w:rsid w:val="005C5B13"/>
    <w:rsid w:val="005C5B32"/>
    <w:rsid w:val="005C5C85"/>
    <w:rsid w:val="005C5DF2"/>
    <w:rsid w:val="005C5FCB"/>
    <w:rsid w:val="005C64E2"/>
    <w:rsid w:val="005C664C"/>
    <w:rsid w:val="005C6D61"/>
    <w:rsid w:val="005C7A08"/>
    <w:rsid w:val="005D02CF"/>
    <w:rsid w:val="005D050E"/>
    <w:rsid w:val="005D0E2F"/>
    <w:rsid w:val="005D11D0"/>
    <w:rsid w:val="005D1257"/>
    <w:rsid w:val="005D266E"/>
    <w:rsid w:val="005D276D"/>
    <w:rsid w:val="005D2DF6"/>
    <w:rsid w:val="005D30D1"/>
    <w:rsid w:val="005D336B"/>
    <w:rsid w:val="005D341F"/>
    <w:rsid w:val="005D3CE9"/>
    <w:rsid w:val="005D3E97"/>
    <w:rsid w:val="005D46A7"/>
    <w:rsid w:val="005D4811"/>
    <w:rsid w:val="005D489E"/>
    <w:rsid w:val="005D498A"/>
    <w:rsid w:val="005D508E"/>
    <w:rsid w:val="005D58F0"/>
    <w:rsid w:val="005D5D61"/>
    <w:rsid w:val="005D5E7D"/>
    <w:rsid w:val="005D616F"/>
    <w:rsid w:val="005D66F1"/>
    <w:rsid w:val="005D6804"/>
    <w:rsid w:val="005D6841"/>
    <w:rsid w:val="005D68BC"/>
    <w:rsid w:val="005D6B1F"/>
    <w:rsid w:val="005D6E3C"/>
    <w:rsid w:val="005D7542"/>
    <w:rsid w:val="005D7C28"/>
    <w:rsid w:val="005E03B9"/>
    <w:rsid w:val="005E0527"/>
    <w:rsid w:val="005E0C74"/>
    <w:rsid w:val="005E16B5"/>
    <w:rsid w:val="005E18A6"/>
    <w:rsid w:val="005E1A1D"/>
    <w:rsid w:val="005E1E94"/>
    <w:rsid w:val="005E2447"/>
    <w:rsid w:val="005E257C"/>
    <w:rsid w:val="005E2747"/>
    <w:rsid w:val="005E3145"/>
    <w:rsid w:val="005E3891"/>
    <w:rsid w:val="005E3B03"/>
    <w:rsid w:val="005E3EF1"/>
    <w:rsid w:val="005E44D5"/>
    <w:rsid w:val="005E4576"/>
    <w:rsid w:val="005E4DE1"/>
    <w:rsid w:val="005E54B0"/>
    <w:rsid w:val="005E5977"/>
    <w:rsid w:val="005E5A0E"/>
    <w:rsid w:val="005E5E5A"/>
    <w:rsid w:val="005E614B"/>
    <w:rsid w:val="005E62A8"/>
    <w:rsid w:val="005E6E2B"/>
    <w:rsid w:val="005E798D"/>
    <w:rsid w:val="005E7B3B"/>
    <w:rsid w:val="005E7CBB"/>
    <w:rsid w:val="005E7D6D"/>
    <w:rsid w:val="005E7F2A"/>
    <w:rsid w:val="005F0058"/>
    <w:rsid w:val="005F0072"/>
    <w:rsid w:val="005F0434"/>
    <w:rsid w:val="005F0AFF"/>
    <w:rsid w:val="005F217A"/>
    <w:rsid w:val="005F222A"/>
    <w:rsid w:val="005F245D"/>
    <w:rsid w:val="005F2E4C"/>
    <w:rsid w:val="005F32A2"/>
    <w:rsid w:val="005F3657"/>
    <w:rsid w:val="005F3D68"/>
    <w:rsid w:val="005F3E0C"/>
    <w:rsid w:val="005F42C9"/>
    <w:rsid w:val="005F48BA"/>
    <w:rsid w:val="005F4B1E"/>
    <w:rsid w:val="005F5300"/>
    <w:rsid w:val="005F57AA"/>
    <w:rsid w:val="005F590B"/>
    <w:rsid w:val="005F5B50"/>
    <w:rsid w:val="005F5C8D"/>
    <w:rsid w:val="005F5D3D"/>
    <w:rsid w:val="005F60C0"/>
    <w:rsid w:val="005F61AB"/>
    <w:rsid w:val="005F6220"/>
    <w:rsid w:val="005F625F"/>
    <w:rsid w:val="005F62CC"/>
    <w:rsid w:val="005F6342"/>
    <w:rsid w:val="005F65DD"/>
    <w:rsid w:val="005F6D96"/>
    <w:rsid w:val="005F6F1A"/>
    <w:rsid w:val="005F7109"/>
    <w:rsid w:val="005F7850"/>
    <w:rsid w:val="005F7CE0"/>
    <w:rsid w:val="006001AF"/>
    <w:rsid w:val="0060058A"/>
    <w:rsid w:val="00600E45"/>
    <w:rsid w:val="00601020"/>
    <w:rsid w:val="006023AC"/>
    <w:rsid w:val="00602495"/>
    <w:rsid w:val="00602A0E"/>
    <w:rsid w:val="00602FDB"/>
    <w:rsid w:val="0060351F"/>
    <w:rsid w:val="006036B2"/>
    <w:rsid w:val="00603871"/>
    <w:rsid w:val="00604DB0"/>
    <w:rsid w:val="00605349"/>
    <w:rsid w:val="00605389"/>
    <w:rsid w:val="00605586"/>
    <w:rsid w:val="00605892"/>
    <w:rsid w:val="0060591C"/>
    <w:rsid w:val="00605BA1"/>
    <w:rsid w:val="00605E08"/>
    <w:rsid w:val="00606629"/>
    <w:rsid w:val="0060686C"/>
    <w:rsid w:val="006069C5"/>
    <w:rsid w:val="00606FDF"/>
    <w:rsid w:val="006102B1"/>
    <w:rsid w:val="0061030C"/>
    <w:rsid w:val="00610F17"/>
    <w:rsid w:val="00610FFA"/>
    <w:rsid w:val="0061124C"/>
    <w:rsid w:val="006116E9"/>
    <w:rsid w:val="006120C1"/>
    <w:rsid w:val="00612114"/>
    <w:rsid w:val="00612A1E"/>
    <w:rsid w:val="00612F69"/>
    <w:rsid w:val="00612F73"/>
    <w:rsid w:val="0061333E"/>
    <w:rsid w:val="006135F2"/>
    <w:rsid w:val="00613DC6"/>
    <w:rsid w:val="006145CA"/>
    <w:rsid w:val="006147CD"/>
    <w:rsid w:val="00614A58"/>
    <w:rsid w:val="00614D2D"/>
    <w:rsid w:val="00615005"/>
    <w:rsid w:val="006150B5"/>
    <w:rsid w:val="006152CD"/>
    <w:rsid w:val="006159AA"/>
    <w:rsid w:val="00615BE4"/>
    <w:rsid w:val="00616755"/>
    <w:rsid w:val="00616A8B"/>
    <w:rsid w:val="00616B1F"/>
    <w:rsid w:val="00616F8D"/>
    <w:rsid w:val="00617180"/>
    <w:rsid w:val="006173A2"/>
    <w:rsid w:val="006176BB"/>
    <w:rsid w:val="00617722"/>
    <w:rsid w:val="00617D22"/>
    <w:rsid w:val="0062048B"/>
    <w:rsid w:val="00620517"/>
    <w:rsid w:val="0062058D"/>
    <w:rsid w:val="00620C6E"/>
    <w:rsid w:val="00620CF5"/>
    <w:rsid w:val="00621014"/>
    <w:rsid w:val="00621339"/>
    <w:rsid w:val="0062155F"/>
    <w:rsid w:val="00621857"/>
    <w:rsid w:val="00621C29"/>
    <w:rsid w:val="00622087"/>
    <w:rsid w:val="006220D7"/>
    <w:rsid w:val="00622294"/>
    <w:rsid w:val="0062272D"/>
    <w:rsid w:val="00622A63"/>
    <w:rsid w:val="00622BCA"/>
    <w:rsid w:val="006235A5"/>
    <w:rsid w:val="0062361D"/>
    <w:rsid w:val="00623D89"/>
    <w:rsid w:val="00623F70"/>
    <w:rsid w:val="006252E4"/>
    <w:rsid w:val="0062562C"/>
    <w:rsid w:val="00625A9A"/>
    <w:rsid w:val="00625CC5"/>
    <w:rsid w:val="0062638D"/>
    <w:rsid w:val="00626687"/>
    <w:rsid w:val="00626A50"/>
    <w:rsid w:val="00626D18"/>
    <w:rsid w:val="0062715D"/>
    <w:rsid w:val="00627293"/>
    <w:rsid w:val="006276CD"/>
    <w:rsid w:val="00627DAC"/>
    <w:rsid w:val="00627DDE"/>
    <w:rsid w:val="006307B4"/>
    <w:rsid w:val="00630916"/>
    <w:rsid w:val="00630A1F"/>
    <w:rsid w:val="00630AF2"/>
    <w:rsid w:val="00630EA9"/>
    <w:rsid w:val="006315C7"/>
    <w:rsid w:val="006319C5"/>
    <w:rsid w:val="00632496"/>
    <w:rsid w:val="00632E63"/>
    <w:rsid w:val="00633BB3"/>
    <w:rsid w:val="00633C56"/>
    <w:rsid w:val="006341A9"/>
    <w:rsid w:val="0063430D"/>
    <w:rsid w:val="006345F7"/>
    <w:rsid w:val="00634737"/>
    <w:rsid w:val="00634EB1"/>
    <w:rsid w:val="00635204"/>
    <w:rsid w:val="00635AB6"/>
    <w:rsid w:val="00635D54"/>
    <w:rsid w:val="00635DD6"/>
    <w:rsid w:val="00635E10"/>
    <w:rsid w:val="00635FFF"/>
    <w:rsid w:val="00636B0C"/>
    <w:rsid w:val="00636E8B"/>
    <w:rsid w:val="00637127"/>
    <w:rsid w:val="006376EF"/>
    <w:rsid w:val="0063785C"/>
    <w:rsid w:val="00637911"/>
    <w:rsid w:val="006379B0"/>
    <w:rsid w:val="006403AD"/>
    <w:rsid w:val="00641046"/>
    <w:rsid w:val="0064188D"/>
    <w:rsid w:val="006427EB"/>
    <w:rsid w:val="00642E0D"/>
    <w:rsid w:val="00643E3B"/>
    <w:rsid w:val="00643FAD"/>
    <w:rsid w:val="0064509E"/>
    <w:rsid w:val="006450DD"/>
    <w:rsid w:val="00645455"/>
    <w:rsid w:val="00645BC6"/>
    <w:rsid w:val="006467ED"/>
    <w:rsid w:val="00646F46"/>
    <w:rsid w:val="0064709D"/>
    <w:rsid w:val="00647872"/>
    <w:rsid w:val="00647BA3"/>
    <w:rsid w:val="00647EF9"/>
    <w:rsid w:val="006505ED"/>
    <w:rsid w:val="00650A67"/>
    <w:rsid w:val="00650D18"/>
    <w:rsid w:val="00650E69"/>
    <w:rsid w:val="006510B5"/>
    <w:rsid w:val="006516A0"/>
    <w:rsid w:val="00651939"/>
    <w:rsid w:val="00651B5B"/>
    <w:rsid w:val="00651B6B"/>
    <w:rsid w:val="00651FFB"/>
    <w:rsid w:val="006521BA"/>
    <w:rsid w:val="006521D2"/>
    <w:rsid w:val="0065227C"/>
    <w:rsid w:val="006522E4"/>
    <w:rsid w:val="0065281A"/>
    <w:rsid w:val="0065283E"/>
    <w:rsid w:val="00652933"/>
    <w:rsid w:val="00652D9B"/>
    <w:rsid w:val="00652EAC"/>
    <w:rsid w:val="0065320C"/>
    <w:rsid w:val="00653298"/>
    <w:rsid w:val="006538D3"/>
    <w:rsid w:val="00654702"/>
    <w:rsid w:val="00654BC4"/>
    <w:rsid w:val="00655969"/>
    <w:rsid w:val="00655DA9"/>
    <w:rsid w:val="0065642F"/>
    <w:rsid w:val="00656B96"/>
    <w:rsid w:val="0065713A"/>
    <w:rsid w:val="006572FC"/>
    <w:rsid w:val="0065767E"/>
    <w:rsid w:val="00657808"/>
    <w:rsid w:val="006579BF"/>
    <w:rsid w:val="006579C1"/>
    <w:rsid w:val="00657D24"/>
    <w:rsid w:val="00657E54"/>
    <w:rsid w:val="006600B8"/>
    <w:rsid w:val="00660E42"/>
    <w:rsid w:val="00660E5C"/>
    <w:rsid w:val="00661046"/>
    <w:rsid w:val="006610F5"/>
    <w:rsid w:val="006616CD"/>
    <w:rsid w:val="00661A56"/>
    <w:rsid w:val="00661AD1"/>
    <w:rsid w:val="00661DF8"/>
    <w:rsid w:val="0066214F"/>
    <w:rsid w:val="00662727"/>
    <w:rsid w:val="006627C3"/>
    <w:rsid w:val="00662A6A"/>
    <w:rsid w:val="00663186"/>
    <w:rsid w:val="006636AE"/>
    <w:rsid w:val="006643AB"/>
    <w:rsid w:val="00665406"/>
    <w:rsid w:val="0066553B"/>
    <w:rsid w:val="00665B89"/>
    <w:rsid w:val="006668FA"/>
    <w:rsid w:val="0066691A"/>
    <w:rsid w:val="00666F0C"/>
    <w:rsid w:val="0066754E"/>
    <w:rsid w:val="00667632"/>
    <w:rsid w:val="006677EA"/>
    <w:rsid w:val="00667AA1"/>
    <w:rsid w:val="00667B12"/>
    <w:rsid w:val="006700DB"/>
    <w:rsid w:val="00670235"/>
    <w:rsid w:val="006703C0"/>
    <w:rsid w:val="0067072B"/>
    <w:rsid w:val="00670804"/>
    <w:rsid w:val="00671246"/>
    <w:rsid w:val="00671462"/>
    <w:rsid w:val="006715DB"/>
    <w:rsid w:val="00671969"/>
    <w:rsid w:val="00671AA9"/>
    <w:rsid w:val="00671B15"/>
    <w:rsid w:val="00671DD9"/>
    <w:rsid w:val="006720CE"/>
    <w:rsid w:val="00672348"/>
    <w:rsid w:val="00672BEA"/>
    <w:rsid w:val="00672C04"/>
    <w:rsid w:val="00672C72"/>
    <w:rsid w:val="00672C97"/>
    <w:rsid w:val="00672D29"/>
    <w:rsid w:val="00672ED5"/>
    <w:rsid w:val="00672FAF"/>
    <w:rsid w:val="0067356B"/>
    <w:rsid w:val="00673CA4"/>
    <w:rsid w:val="00673D24"/>
    <w:rsid w:val="00674728"/>
    <w:rsid w:val="0067484E"/>
    <w:rsid w:val="0067490B"/>
    <w:rsid w:val="00674AFC"/>
    <w:rsid w:val="00674CEA"/>
    <w:rsid w:val="0067546A"/>
    <w:rsid w:val="006754DD"/>
    <w:rsid w:val="006763DC"/>
    <w:rsid w:val="0067676A"/>
    <w:rsid w:val="00676F5A"/>
    <w:rsid w:val="006778C6"/>
    <w:rsid w:val="006779D8"/>
    <w:rsid w:val="00677C3A"/>
    <w:rsid w:val="00677DBD"/>
    <w:rsid w:val="00680121"/>
    <w:rsid w:val="006801DB"/>
    <w:rsid w:val="006804DC"/>
    <w:rsid w:val="00680676"/>
    <w:rsid w:val="006806A3"/>
    <w:rsid w:val="006808BC"/>
    <w:rsid w:val="0068122A"/>
    <w:rsid w:val="00681467"/>
    <w:rsid w:val="00681903"/>
    <w:rsid w:val="0068298C"/>
    <w:rsid w:val="006829A0"/>
    <w:rsid w:val="00682AE1"/>
    <w:rsid w:val="00682B9E"/>
    <w:rsid w:val="00682D37"/>
    <w:rsid w:val="00682D76"/>
    <w:rsid w:val="00683187"/>
    <w:rsid w:val="00683DD9"/>
    <w:rsid w:val="00683E23"/>
    <w:rsid w:val="00683EAE"/>
    <w:rsid w:val="0068439C"/>
    <w:rsid w:val="0068500A"/>
    <w:rsid w:val="0068558F"/>
    <w:rsid w:val="006856ED"/>
    <w:rsid w:val="00685792"/>
    <w:rsid w:val="00685BC3"/>
    <w:rsid w:val="00685C2D"/>
    <w:rsid w:val="00685C45"/>
    <w:rsid w:val="00686263"/>
    <w:rsid w:val="00687C8A"/>
    <w:rsid w:val="006905C1"/>
    <w:rsid w:val="00690AAA"/>
    <w:rsid w:val="00690DA1"/>
    <w:rsid w:val="00691AC8"/>
    <w:rsid w:val="00691E7E"/>
    <w:rsid w:val="006921FB"/>
    <w:rsid w:val="006922C0"/>
    <w:rsid w:val="006923F3"/>
    <w:rsid w:val="00692B09"/>
    <w:rsid w:val="00692B8F"/>
    <w:rsid w:val="00692D74"/>
    <w:rsid w:val="006932E7"/>
    <w:rsid w:val="006935D7"/>
    <w:rsid w:val="00693AB6"/>
    <w:rsid w:val="00693E68"/>
    <w:rsid w:val="006940AF"/>
    <w:rsid w:val="00694D62"/>
    <w:rsid w:val="00694F8A"/>
    <w:rsid w:val="006953E9"/>
    <w:rsid w:val="006953FD"/>
    <w:rsid w:val="00696FB8"/>
    <w:rsid w:val="006976D3"/>
    <w:rsid w:val="006A0432"/>
    <w:rsid w:val="006A0487"/>
    <w:rsid w:val="006A08E7"/>
    <w:rsid w:val="006A120F"/>
    <w:rsid w:val="006A12C1"/>
    <w:rsid w:val="006A18AD"/>
    <w:rsid w:val="006A1E14"/>
    <w:rsid w:val="006A1E4E"/>
    <w:rsid w:val="006A2108"/>
    <w:rsid w:val="006A2977"/>
    <w:rsid w:val="006A2DCD"/>
    <w:rsid w:val="006A30FC"/>
    <w:rsid w:val="006A31B8"/>
    <w:rsid w:val="006A33A5"/>
    <w:rsid w:val="006A3A31"/>
    <w:rsid w:val="006A3A54"/>
    <w:rsid w:val="006A3A83"/>
    <w:rsid w:val="006A42EF"/>
    <w:rsid w:val="006A44C2"/>
    <w:rsid w:val="006A4812"/>
    <w:rsid w:val="006A4B45"/>
    <w:rsid w:val="006A4D1A"/>
    <w:rsid w:val="006A4F10"/>
    <w:rsid w:val="006A51F7"/>
    <w:rsid w:val="006A5F09"/>
    <w:rsid w:val="006A6391"/>
    <w:rsid w:val="006A63B9"/>
    <w:rsid w:val="006A6751"/>
    <w:rsid w:val="006A7644"/>
    <w:rsid w:val="006A78B1"/>
    <w:rsid w:val="006B02E3"/>
    <w:rsid w:val="006B0336"/>
    <w:rsid w:val="006B068A"/>
    <w:rsid w:val="006B06CF"/>
    <w:rsid w:val="006B1088"/>
    <w:rsid w:val="006B1262"/>
    <w:rsid w:val="006B1358"/>
    <w:rsid w:val="006B166D"/>
    <w:rsid w:val="006B17AE"/>
    <w:rsid w:val="006B181C"/>
    <w:rsid w:val="006B1D14"/>
    <w:rsid w:val="006B1EE3"/>
    <w:rsid w:val="006B1FD8"/>
    <w:rsid w:val="006B2386"/>
    <w:rsid w:val="006B25CB"/>
    <w:rsid w:val="006B298C"/>
    <w:rsid w:val="006B306F"/>
    <w:rsid w:val="006B3769"/>
    <w:rsid w:val="006B390F"/>
    <w:rsid w:val="006B4022"/>
    <w:rsid w:val="006B4147"/>
    <w:rsid w:val="006B4377"/>
    <w:rsid w:val="006B4B70"/>
    <w:rsid w:val="006B4EFD"/>
    <w:rsid w:val="006B562E"/>
    <w:rsid w:val="006B57F3"/>
    <w:rsid w:val="006B5C70"/>
    <w:rsid w:val="006B5F41"/>
    <w:rsid w:val="006B63CB"/>
    <w:rsid w:val="006B6F9E"/>
    <w:rsid w:val="006B7CA8"/>
    <w:rsid w:val="006C04D4"/>
    <w:rsid w:val="006C069A"/>
    <w:rsid w:val="006C147D"/>
    <w:rsid w:val="006C195C"/>
    <w:rsid w:val="006C2663"/>
    <w:rsid w:val="006C2686"/>
    <w:rsid w:val="006C2D43"/>
    <w:rsid w:val="006C32C6"/>
    <w:rsid w:val="006C39CD"/>
    <w:rsid w:val="006C4985"/>
    <w:rsid w:val="006C4C54"/>
    <w:rsid w:val="006C5689"/>
    <w:rsid w:val="006C5A01"/>
    <w:rsid w:val="006C5C3E"/>
    <w:rsid w:val="006C5EC9"/>
    <w:rsid w:val="006C6070"/>
    <w:rsid w:val="006C6688"/>
    <w:rsid w:val="006C67DA"/>
    <w:rsid w:val="006C788E"/>
    <w:rsid w:val="006C7A20"/>
    <w:rsid w:val="006C7D4A"/>
    <w:rsid w:val="006D090D"/>
    <w:rsid w:val="006D0BA1"/>
    <w:rsid w:val="006D0D02"/>
    <w:rsid w:val="006D0EA5"/>
    <w:rsid w:val="006D1CE8"/>
    <w:rsid w:val="006D1F94"/>
    <w:rsid w:val="006D2227"/>
    <w:rsid w:val="006D2ACB"/>
    <w:rsid w:val="006D3948"/>
    <w:rsid w:val="006D3A9F"/>
    <w:rsid w:val="006D3BD2"/>
    <w:rsid w:val="006D3C75"/>
    <w:rsid w:val="006D420C"/>
    <w:rsid w:val="006D425F"/>
    <w:rsid w:val="006D47CD"/>
    <w:rsid w:val="006D4B56"/>
    <w:rsid w:val="006D52DF"/>
    <w:rsid w:val="006D5CE3"/>
    <w:rsid w:val="006D65A5"/>
    <w:rsid w:val="006D7279"/>
    <w:rsid w:val="006D7297"/>
    <w:rsid w:val="006D79A9"/>
    <w:rsid w:val="006D7F26"/>
    <w:rsid w:val="006E04FA"/>
    <w:rsid w:val="006E0C0C"/>
    <w:rsid w:val="006E11BA"/>
    <w:rsid w:val="006E19D1"/>
    <w:rsid w:val="006E1CD8"/>
    <w:rsid w:val="006E1FCD"/>
    <w:rsid w:val="006E207C"/>
    <w:rsid w:val="006E214A"/>
    <w:rsid w:val="006E2890"/>
    <w:rsid w:val="006E2901"/>
    <w:rsid w:val="006E317E"/>
    <w:rsid w:val="006E328D"/>
    <w:rsid w:val="006E33E0"/>
    <w:rsid w:val="006E3639"/>
    <w:rsid w:val="006E36D1"/>
    <w:rsid w:val="006E514C"/>
    <w:rsid w:val="006E531D"/>
    <w:rsid w:val="006E5578"/>
    <w:rsid w:val="006E61D6"/>
    <w:rsid w:val="006E633E"/>
    <w:rsid w:val="006E6387"/>
    <w:rsid w:val="006E6EA2"/>
    <w:rsid w:val="006E6F8A"/>
    <w:rsid w:val="006E73D0"/>
    <w:rsid w:val="006F0565"/>
    <w:rsid w:val="006F06EB"/>
    <w:rsid w:val="006F0A08"/>
    <w:rsid w:val="006F0A7C"/>
    <w:rsid w:val="006F0AB1"/>
    <w:rsid w:val="006F0FCC"/>
    <w:rsid w:val="006F1888"/>
    <w:rsid w:val="006F1CCD"/>
    <w:rsid w:val="006F2F9E"/>
    <w:rsid w:val="006F3085"/>
    <w:rsid w:val="006F358B"/>
    <w:rsid w:val="006F3784"/>
    <w:rsid w:val="006F3AA1"/>
    <w:rsid w:val="006F4258"/>
    <w:rsid w:val="006F42A4"/>
    <w:rsid w:val="006F430D"/>
    <w:rsid w:val="006F435E"/>
    <w:rsid w:val="006F450E"/>
    <w:rsid w:val="006F467B"/>
    <w:rsid w:val="006F47CE"/>
    <w:rsid w:val="006F5411"/>
    <w:rsid w:val="006F5D49"/>
    <w:rsid w:val="006F5DDE"/>
    <w:rsid w:val="006F671D"/>
    <w:rsid w:val="006F7AD4"/>
    <w:rsid w:val="006F7F94"/>
    <w:rsid w:val="00700899"/>
    <w:rsid w:val="00700E5A"/>
    <w:rsid w:val="00700F4A"/>
    <w:rsid w:val="00702032"/>
    <w:rsid w:val="007024A2"/>
    <w:rsid w:val="0070268F"/>
    <w:rsid w:val="00702878"/>
    <w:rsid w:val="00702A67"/>
    <w:rsid w:val="00702ADF"/>
    <w:rsid w:val="00702B5E"/>
    <w:rsid w:val="007034EC"/>
    <w:rsid w:val="00703C68"/>
    <w:rsid w:val="007051DE"/>
    <w:rsid w:val="00705F88"/>
    <w:rsid w:val="00706274"/>
    <w:rsid w:val="007064BB"/>
    <w:rsid w:val="007067E8"/>
    <w:rsid w:val="00706C18"/>
    <w:rsid w:val="007074DE"/>
    <w:rsid w:val="00707E90"/>
    <w:rsid w:val="00710359"/>
    <w:rsid w:val="00710508"/>
    <w:rsid w:val="00710CD8"/>
    <w:rsid w:val="0071134A"/>
    <w:rsid w:val="007116E1"/>
    <w:rsid w:val="007117A3"/>
    <w:rsid w:val="0071181A"/>
    <w:rsid w:val="00711CE7"/>
    <w:rsid w:val="007123A3"/>
    <w:rsid w:val="0071317E"/>
    <w:rsid w:val="00713287"/>
    <w:rsid w:val="00713619"/>
    <w:rsid w:val="00713F7F"/>
    <w:rsid w:val="007142A9"/>
    <w:rsid w:val="0071443C"/>
    <w:rsid w:val="0071476B"/>
    <w:rsid w:val="00714773"/>
    <w:rsid w:val="00714A92"/>
    <w:rsid w:val="00714C97"/>
    <w:rsid w:val="00714DC7"/>
    <w:rsid w:val="0071511D"/>
    <w:rsid w:val="0071545B"/>
    <w:rsid w:val="00716071"/>
    <w:rsid w:val="0071607B"/>
    <w:rsid w:val="00716315"/>
    <w:rsid w:val="00716C0E"/>
    <w:rsid w:val="00716F5F"/>
    <w:rsid w:val="00717029"/>
    <w:rsid w:val="007170EB"/>
    <w:rsid w:val="00717472"/>
    <w:rsid w:val="00720316"/>
    <w:rsid w:val="0072068B"/>
    <w:rsid w:val="007206E6"/>
    <w:rsid w:val="0072071F"/>
    <w:rsid w:val="0072088B"/>
    <w:rsid w:val="00720919"/>
    <w:rsid w:val="00720A98"/>
    <w:rsid w:val="00720DAF"/>
    <w:rsid w:val="00720E34"/>
    <w:rsid w:val="0072190D"/>
    <w:rsid w:val="00721EF9"/>
    <w:rsid w:val="00721F91"/>
    <w:rsid w:val="007221A7"/>
    <w:rsid w:val="0072228B"/>
    <w:rsid w:val="0072235F"/>
    <w:rsid w:val="0072257D"/>
    <w:rsid w:val="007232FE"/>
    <w:rsid w:val="00723425"/>
    <w:rsid w:val="00723586"/>
    <w:rsid w:val="00723743"/>
    <w:rsid w:val="00723AEB"/>
    <w:rsid w:val="007241DB"/>
    <w:rsid w:val="00724A35"/>
    <w:rsid w:val="00724CD3"/>
    <w:rsid w:val="00724D17"/>
    <w:rsid w:val="007250B2"/>
    <w:rsid w:val="00725220"/>
    <w:rsid w:val="00725B66"/>
    <w:rsid w:val="0072623A"/>
    <w:rsid w:val="00726373"/>
    <w:rsid w:val="007263F9"/>
    <w:rsid w:val="00726E89"/>
    <w:rsid w:val="0072719C"/>
    <w:rsid w:val="007271DA"/>
    <w:rsid w:val="00727F37"/>
    <w:rsid w:val="007300D3"/>
    <w:rsid w:val="00730CCF"/>
    <w:rsid w:val="007310AA"/>
    <w:rsid w:val="00731BD2"/>
    <w:rsid w:val="00731EF1"/>
    <w:rsid w:val="00731F00"/>
    <w:rsid w:val="00732A82"/>
    <w:rsid w:val="007333D1"/>
    <w:rsid w:val="007341F0"/>
    <w:rsid w:val="00734435"/>
    <w:rsid w:val="00734806"/>
    <w:rsid w:val="00734FE7"/>
    <w:rsid w:val="007350A5"/>
    <w:rsid w:val="007351F8"/>
    <w:rsid w:val="00735347"/>
    <w:rsid w:val="007358DE"/>
    <w:rsid w:val="00735A68"/>
    <w:rsid w:val="00736251"/>
    <w:rsid w:val="00736F31"/>
    <w:rsid w:val="0073704F"/>
    <w:rsid w:val="0073708D"/>
    <w:rsid w:val="00737424"/>
    <w:rsid w:val="00737876"/>
    <w:rsid w:val="00737D46"/>
    <w:rsid w:val="007407F5"/>
    <w:rsid w:val="00740B76"/>
    <w:rsid w:val="00740F36"/>
    <w:rsid w:val="00741005"/>
    <w:rsid w:val="007415FF"/>
    <w:rsid w:val="00741862"/>
    <w:rsid w:val="00741AA3"/>
    <w:rsid w:val="00741CEA"/>
    <w:rsid w:val="00742352"/>
    <w:rsid w:val="00742925"/>
    <w:rsid w:val="00742EE9"/>
    <w:rsid w:val="00742FA3"/>
    <w:rsid w:val="00742FC9"/>
    <w:rsid w:val="007430DE"/>
    <w:rsid w:val="007431B5"/>
    <w:rsid w:val="007431E8"/>
    <w:rsid w:val="00743240"/>
    <w:rsid w:val="0074388D"/>
    <w:rsid w:val="007442A8"/>
    <w:rsid w:val="00744480"/>
    <w:rsid w:val="007455A3"/>
    <w:rsid w:val="0074561F"/>
    <w:rsid w:val="00745680"/>
    <w:rsid w:val="00745E69"/>
    <w:rsid w:val="0074619B"/>
    <w:rsid w:val="0074754E"/>
    <w:rsid w:val="0074770E"/>
    <w:rsid w:val="00747B32"/>
    <w:rsid w:val="00747E54"/>
    <w:rsid w:val="00747F26"/>
    <w:rsid w:val="0075044D"/>
    <w:rsid w:val="00750737"/>
    <w:rsid w:val="00750889"/>
    <w:rsid w:val="00750909"/>
    <w:rsid w:val="00751606"/>
    <w:rsid w:val="00751F7C"/>
    <w:rsid w:val="00752431"/>
    <w:rsid w:val="00752483"/>
    <w:rsid w:val="00752918"/>
    <w:rsid w:val="007529A3"/>
    <w:rsid w:val="00752D66"/>
    <w:rsid w:val="007533C2"/>
    <w:rsid w:val="00753CD8"/>
    <w:rsid w:val="00753D01"/>
    <w:rsid w:val="0075425A"/>
    <w:rsid w:val="00754BF4"/>
    <w:rsid w:val="007557D3"/>
    <w:rsid w:val="00756496"/>
    <w:rsid w:val="0075684F"/>
    <w:rsid w:val="00756C44"/>
    <w:rsid w:val="00756D5F"/>
    <w:rsid w:val="007570BC"/>
    <w:rsid w:val="007574DC"/>
    <w:rsid w:val="00757A02"/>
    <w:rsid w:val="00757BD4"/>
    <w:rsid w:val="007600C9"/>
    <w:rsid w:val="007600EF"/>
    <w:rsid w:val="00760254"/>
    <w:rsid w:val="0076054C"/>
    <w:rsid w:val="00760611"/>
    <w:rsid w:val="007607A4"/>
    <w:rsid w:val="00760C7F"/>
    <w:rsid w:val="00760D1D"/>
    <w:rsid w:val="00760DB6"/>
    <w:rsid w:val="00760E12"/>
    <w:rsid w:val="007617A9"/>
    <w:rsid w:val="00761C88"/>
    <w:rsid w:val="00762262"/>
    <w:rsid w:val="00762552"/>
    <w:rsid w:val="00762F58"/>
    <w:rsid w:val="0076353C"/>
    <w:rsid w:val="0076353F"/>
    <w:rsid w:val="00763E44"/>
    <w:rsid w:val="00763F54"/>
    <w:rsid w:val="00764926"/>
    <w:rsid w:val="00764DAD"/>
    <w:rsid w:val="0076542C"/>
    <w:rsid w:val="007654B3"/>
    <w:rsid w:val="00765C49"/>
    <w:rsid w:val="00766244"/>
    <w:rsid w:val="00766591"/>
    <w:rsid w:val="007666C0"/>
    <w:rsid w:val="0076693A"/>
    <w:rsid w:val="007672F1"/>
    <w:rsid w:val="00767EC0"/>
    <w:rsid w:val="00770536"/>
    <w:rsid w:val="007705D8"/>
    <w:rsid w:val="007709A8"/>
    <w:rsid w:val="00770A1F"/>
    <w:rsid w:val="00770BB4"/>
    <w:rsid w:val="00770C42"/>
    <w:rsid w:val="00770FE0"/>
    <w:rsid w:val="00771042"/>
    <w:rsid w:val="007713C5"/>
    <w:rsid w:val="007714E1"/>
    <w:rsid w:val="0077179F"/>
    <w:rsid w:val="007719FB"/>
    <w:rsid w:val="007720E2"/>
    <w:rsid w:val="007728F7"/>
    <w:rsid w:val="00772D38"/>
    <w:rsid w:val="00773183"/>
    <w:rsid w:val="00773219"/>
    <w:rsid w:val="00773DBC"/>
    <w:rsid w:val="00774114"/>
    <w:rsid w:val="0077530F"/>
    <w:rsid w:val="00775340"/>
    <w:rsid w:val="007753AF"/>
    <w:rsid w:val="007755BC"/>
    <w:rsid w:val="0077566C"/>
    <w:rsid w:val="007759E9"/>
    <w:rsid w:val="007759EA"/>
    <w:rsid w:val="00775AA7"/>
    <w:rsid w:val="007761CF"/>
    <w:rsid w:val="007762CB"/>
    <w:rsid w:val="00776594"/>
    <w:rsid w:val="0077681C"/>
    <w:rsid w:val="00776854"/>
    <w:rsid w:val="007769C5"/>
    <w:rsid w:val="00776A4D"/>
    <w:rsid w:val="00776B2D"/>
    <w:rsid w:val="00776D67"/>
    <w:rsid w:val="0077723E"/>
    <w:rsid w:val="00780B03"/>
    <w:rsid w:val="00781008"/>
    <w:rsid w:val="007810BA"/>
    <w:rsid w:val="007810E3"/>
    <w:rsid w:val="0078182F"/>
    <w:rsid w:val="00781BC4"/>
    <w:rsid w:val="00781EBF"/>
    <w:rsid w:val="0078209A"/>
    <w:rsid w:val="007822B1"/>
    <w:rsid w:val="00782828"/>
    <w:rsid w:val="00782A9E"/>
    <w:rsid w:val="0078320A"/>
    <w:rsid w:val="00783499"/>
    <w:rsid w:val="00783658"/>
    <w:rsid w:val="00783E35"/>
    <w:rsid w:val="0078443E"/>
    <w:rsid w:val="007851E0"/>
    <w:rsid w:val="00785F38"/>
    <w:rsid w:val="007861B2"/>
    <w:rsid w:val="00786239"/>
    <w:rsid w:val="007866DC"/>
    <w:rsid w:val="00786E5A"/>
    <w:rsid w:val="007871B6"/>
    <w:rsid w:val="00787B61"/>
    <w:rsid w:val="00790076"/>
    <w:rsid w:val="0079023C"/>
    <w:rsid w:val="007905E0"/>
    <w:rsid w:val="007909B5"/>
    <w:rsid w:val="00790CBB"/>
    <w:rsid w:val="00791041"/>
    <w:rsid w:val="00791073"/>
    <w:rsid w:val="00791165"/>
    <w:rsid w:val="007919CD"/>
    <w:rsid w:val="00791A23"/>
    <w:rsid w:val="00791A64"/>
    <w:rsid w:val="00791C29"/>
    <w:rsid w:val="00791CFC"/>
    <w:rsid w:val="00792825"/>
    <w:rsid w:val="00792CF4"/>
    <w:rsid w:val="007931F6"/>
    <w:rsid w:val="00793379"/>
    <w:rsid w:val="00793E72"/>
    <w:rsid w:val="007945AA"/>
    <w:rsid w:val="00794728"/>
    <w:rsid w:val="00794858"/>
    <w:rsid w:val="007948E1"/>
    <w:rsid w:val="00794DED"/>
    <w:rsid w:val="00795349"/>
    <w:rsid w:val="0079573E"/>
    <w:rsid w:val="00795A89"/>
    <w:rsid w:val="00795BE3"/>
    <w:rsid w:val="00796094"/>
    <w:rsid w:val="00796606"/>
    <w:rsid w:val="00796FA6"/>
    <w:rsid w:val="00797225"/>
    <w:rsid w:val="00797259"/>
    <w:rsid w:val="0079776E"/>
    <w:rsid w:val="007978B7"/>
    <w:rsid w:val="00797C2A"/>
    <w:rsid w:val="00797DBE"/>
    <w:rsid w:val="00797F84"/>
    <w:rsid w:val="007A0452"/>
    <w:rsid w:val="007A053F"/>
    <w:rsid w:val="007A0B34"/>
    <w:rsid w:val="007A12A7"/>
    <w:rsid w:val="007A1AAE"/>
    <w:rsid w:val="007A1CCF"/>
    <w:rsid w:val="007A1D54"/>
    <w:rsid w:val="007A1DCB"/>
    <w:rsid w:val="007A1EAA"/>
    <w:rsid w:val="007A273C"/>
    <w:rsid w:val="007A275B"/>
    <w:rsid w:val="007A2AF8"/>
    <w:rsid w:val="007A3A78"/>
    <w:rsid w:val="007A4090"/>
    <w:rsid w:val="007A4451"/>
    <w:rsid w:val="007A5094"/>
    <w:rsid w:val="007A54DF"/>
    <w:rsid w:val="007A554C"/>
    <w:rsid w:val="007A55CF"/>
    <w:rsid w:val="007A567F"/>
    <w:rsid w:val="007A572A"/>
    <w:rsid w:val="007A5D15"/>
    <w:rsid w:val="007A5E74"/>
    <w:rsid w:val="007A61CE"/>
    <w:rsid w:val="007A66E1"/>
    <w:rsid w:val="007A69C4"/>
    <w:rsid w:val="007A6DD4"/>
    <w:rsid w:val="007A7129"/>
    <w:rsid w:val="007A73EC"/>
    <w:rsid w:val="007A76A4"/>
    <w:rsid w:val="007B005B"/>
    <w:rsid w:val="007B08C3"/>
    <w:rsid w:val="007B151C"/>
    <w:rsid w:val="007B1A12"/>
    <w:rsid w:val="007B1C02"/>
    <w:rsid w:val="007B1E56"/>
    <w:rsid w:val="007B1F1F"/>
    <w:rsid w:val="007B26EE"/>
    <w:rsid w:val="007B28DB"/>
    <w:rsid w:val="007B3152"/>
    <w:rsid w:val="007B358B"/>
    <w:rsid w:val="007B3728"/>
    <w:rsid w:val="007B3842"/>
    <w:rsid w:val="007B3A32"/>
    <w:rsid w:val="007B3BA9"/>
    <w:rsid w:val="007B3E40"/>
    <w:rsid w:val="007B40D3"/>
    <w:rsid w:val="007B490B"/>
    <w:rsid w:val="007B4B6F"/>
    <w:rsid w:val="007B4DC7"/>
    <w:rsid w:val="007B5638"/>
    <w:rsid w:val="007B5732"/>
    <w:rsid w:val="007B5FDD"/>
    <w:rsid w:val="007B678B"/>
    <w:rsid w:val="007B68DF"/>
    <w:rsid w:val="007B699A"/>
    <w:rsid w:val="007B6EDF"/>
    <w:rsid w:val="007B6EFE"/>
    <w:rsid w:val="007B7839"/>
    <w:rsid w:val="007B7D46"/>
    <w:rsid w:val="007C0127"/>
    <w:rsid w:val="007C01D1"/>
    <w:rsid w:val="007C04B5"/>
    <w:rsid w:val="007C08AF"/>
    <w:rsid w:val="007C09DA"/>
    <w:rsid w:val="007C1122"/>
    <w:rsid w:val="007C15D4"/>
    <w:rsid w:val="007C17EE"/>
    <w:rsid w:val="007C1881"/>
    <w:rsid w:val="007C18E9"/>
    <w:rsid w:val="007C1A00"/>
    <w:rsid w:val="007C1D9B"/>
    <w:rsid w:val="007C202B"/>
    <w:rsid w:val="007C2822"/>
    <w:rsid w:val="007C2984"/>
    <w:rsid w:val="007C2C22"/>
    <w:rsid w:val="007C3072"/>
    <w:rsid w:val="007C3612"/>
    <w:rsid w:val="007C3861"/>
    <w:rsid w:val="007C4234"/>
    <w:rsid w:val="007C435A"/>
    <w:rsid w:val="007C436B"/>
    <w:rsid w:val="007C4570"/>
    <w:rsid w:val="007C4777"/>
    <w:rsid w:val="007C4B0B"/>
    <w:rsid w:val="007C4C11"/>
    <w:rsid w:val="007C5453"/>
    <w:rsid w:val="007C576C"/>
    <w:rsid w:val="007C5ADD"/>
    <w:rsid w:val="007C5C92"/>
    <w:rsid w:val="007C60B5"/>
    <w:rsid w:val="007C6418"/>
    <w:rsid w:val="007C6551"/>
    <w:rsid w:val="007C6861"/>
    <w:rsid w:val="007C6C9B"/>
    <w:rsid w:val="007C6CB7"/>
    <w:rsid w:val="007C77B2"/>
    <w:rsid w:val="007C788E"/>
    <w:rsid w:val="007C7961"/>
    <w:rsid w:val="007C7BA8"/>
    <w:rsid w:val="007C7F84"/>
    <w:rsid w:val="007D0150"/>
    <w:rsid w:val="007D0291"/>
    <w:rsid w:val="007D17ED"/>
    <w:rsid w:val="007D1DB4"/>
    <w:rsid w:val="007D1E2C"/>
    <w:rsid w:val="007D2126"/>
    <w:rsid w:val="007D2675"/>
    <w:rsid w:val="007D2BCB"/>
    <w:rsid w:val="007D30BA"/>
    <w:rsid w:val="007D32A2"/>
    <w:rsid w:val="007D3CDF"/>
    <w:rsid w:val="007D3FD3"/>
    <w:rsid w:val="007D402E"/>
    <w:rsid w:val="007D49D6"/>
    <w:rsid w:val="007D4E16"/>
    <w:rsid w:val="007D5335"/>
    <w:rsid w:val="007D5D85"/>
    <w:rsid w:val="007D6379"/>
    <w:rsid w:val="007D66DC"/>
    <w:rsid w:val="007D6739"/>
    <w:rsid w:val="007D6CDF"/>
    <w:rsid w:val="007D6EA9"/>
    <w:rsid w:val="007D7A51"/>
    <w:rsid w:val="007D7FCB"/>
    <w:rsid w:val="007E0125"/>
    <w:rsid w:val="007E02A0"/>
    <w:rsid w:val="007E0994"/>
    <w:rsid w:val="007E0A6E"/>
    <w:rsid w:val="007E0DF2"/>
    <w:rsid w:val="007E1746"/>
    <w:rsid w:val="007E17CA"/>
    <w:rsid w:val="007E17CF"/>
    <w:rsid w:val="007E221C"/>
    <w:rsid w:val="007E273A"/>
    <w:rsid w:val="007E27E8"/>
    <w:rsid w:val="007E2C04"/>
    <w:rsid w:val="007E2DC0"/>
    <w:rsid w:val="007E2ECA"/>
    <w:rsid w:val="007E3043"/>
    <w:rsid w:val="007E318F"/>
    <w:rsid w:val="007E3761"/>
    <w:rsid w:val="007E3894"/>
    <w:rsid w:val="007E3F0B"/>
    <w:rsid w:val="007E40FF"/>
    <w:rsid w:val="007E49E8"/>
    <w:rsid w:val="007E4FF1"/>
    <w:rsid w:val="007E5253"/>
    <w:rsid w:val="007E56A3"/>
    <w:rsid w:val="007E5D63"/>
    <w:rsid w:val="007E609D"/>
    <w:rsid w:val="007E69DC"/>
    <w:rsid w:val="007E6ABA"/>
    <w:rsid w:val="007E6B9C"/>
    <w:rsid w:val="007E6C65"/>
    <w:rsid w:val="007E7277"/>
    <w:rsid w:val="007E7335"/>
    <w:rsid w:val="007E7A1F"/>
    <w:rsid w:val="007E7CAB"/>
    <w:rsid w:val="007F02B4"/>
    <w:rsid w:val="007F055D"/>
    <w:rsid w:val="007F082C"/>
    <w:rsid w:val="007F0B2F"/>
    <w:rsid w:val="007F0C2A"/>
    <w:rsid w:val="007F0DC5"/>
    <w:rsid w:val="007F0FE9"/>
    <w:rsid w:val="007F1089"/>
    <w:rsid w:val="007F174E"/>
    <w:rsid w:val="007F18A3"/>
    <w:rsid w:val="007F1A31"/>
    <w:rsid w:val="007F1CFD"/>
    <w:rsid w:val="007F1F3C"/>
    <w:rsid w:val="007F317A"/>
    <w:rsid w:val="007F32B3"/>
    <w:rsid w:val="007F3447"/>
    <w:rsid w:val="007F34C6"/>
    <w:rsid w:val="007F3A68"/>
    <w:rsid w:val="007F4BEA"/>
    <w:rsid w:val="007F4D8F"/>
    <w:rsid w:val="007F558F"/>
    <w:rsid w:val="007F55D6"/>
    <w:rsid w:val="007F5861"/>
    <w:rsid w:val="007F5CCB"/>
    <w:rsid w:val="007F5D6C"/>
    <w:rsid w:val="007F5F83"/>
    <w:rsid w:val="007F63C3"/>
    <w:rsid w:val="007F66F5"/>
    <w:rsid w:val="007F683A"/>
    <w:rsid w:val="007F6E0A"/>
    <w:rsid w:val="007F6E1A"/>
    <w:rsid w:val="007F70DA"/>
    <w:rsid w:val="007F7A07"/>
    <w:rsid w:val="007F7D0F"/>
    <w:rsid w:val="007F7F54"/>
    <w:rsid w:val="00800018"/>
    <w:rsid w:val="00800073"/>
    <w:rsid w:val="00800781"/>
    <w:rsid w:val="00800FBB"/>
    <w:rsid w:val="00801417"/>
    <w:rsid w:val="008014AB"/>
    <w:rsid w:val="00801848"/>
    <w:rsid w:val="00801F01"/>
    <w:rsid w:val="0080218E"/>
    <w:rsid w:val="0080230F"/>
    <w:rsid w:val="00802AC6"/>
    <w:rsid w:val="00802B18"/>
    <w:rsid w:val="00803375"/>
    <w:rsid w:val="008033DA"/>
    <w:rsid w:val="0080350F"/>
    <w:rsid w:val="0080372A"/>
    <w:rsid w:val="0080399C"/>
    <w:rsid w:val="00803F51"/>
    <w:rsid w:val="00804A5A"/>
    <w:rsid w:val="00804A62"/>
    <w:rsid w:val="00804CC5"/>
    <w:rsid w:val="00804FAD"/>
    <w:rsid w:val="00805185"/>
    <w:rsid w:val="008051C3"/>
    <w:rsid w:val="00805BE6"/>
    <w:rsid w:val="008065EF"/>
    <w:rsid w:val="00806B77"/>
    <w:rsid w:val="00806D36"/>
    <w:rsid w:val="008077FF"/>
    <w:rsid w:val="00810A3C"/>
    <w:rsid w:val="00810AF2"/>
    <w:rsid w:val="00810DB2"/>
    <w:rsid w:val="008111B2"/>
    <w:rsid w:val="00811694"/>
    <w:rsid w:val="00811D51"/>
    <w:rsid w:val="00811D7E"/>
    <w:rsid w:val="00812B0F"/>
    <w:rsid w:val="008137A2"/>
    <w:rsid w:val="00813880"/>
    <w:rsid w:val="00813E3C"/>
    <w:rsid w:val="00814038"/>
    <w:rsid w:val="008141C6"/>
    <w:rsid w:val="008143D0"/>
    <w:rsid w:val="00814653"/>
    <w:rsid w:val="00814D7C"/>
    <w:rsid w:val="00814F91"/>
    <w:rsid w:val="00815132"/>
    <w:rsid w:val="00815AA9"/>
    <w:rsid w:val="00815C57"/>
    <w:rsid w:val="00816127"/>
    <w:rsid w:val="008162C0"/>
    <w:rsid w:val="00816348"/>
    <w:rsid w:val="00816357"/>
    <w:rsid w:val="008167A0"/>
    <w:rsid w:val="00816C93"/>
    <w:rsid w:val="0081735C"/>
    <w:rsid w:val="00817469"/>
    <w:rsid w:val="00817BAA"/>
    <w:rsid w:val="00817BAC"/>
    <w:rsid w:val="00817C9F"/>
    <w:rsid w:val="00820CD0"/>
    <w:rsid w:val="00820CEC"/>
    <w:rsid w:val="00821258"/>
    <w:rsid w:val="0082156B"/>
    <w:rsid w:val="00821EFF"/>
    <w:rsid w:val="0082203F"/>
    <w:rsid w:val="00822041"/>
    <w:rsid w:val="008220BF"/>
    <w:rsid w:val="00822A1F"/>
    <w:rsid w:val="00822E20"/>
    <w:rsid w:val="008231EE"/>
    <w:rsid w:val="008235EE"/>
    <w:rsid w:val="00823A4D"/>
    <w:rsid w:val="00823EAB"/>
    <w:rsid w:val="0082415E"/>
    <w:rsid w:val="008248D5"/>
    <w:rsid w:val="00824DF5"/>
    <w:rsid w:val="00825C18"/>
    <w:rsid w:val="00825CD4"/>
    <w:rsid w:val="0082629F"/>
    <w:rsid w:val="00826582"/>
    <w:rsid w:val="00826650"/>
    <w:rsid w:val="0082692D"/>
    <w:rsid w:val="00826A94"/>
    <w:rsid w:val="008275B1"/>
    <w:rsid w:val="00827AE1"/>
    <w:rsid w:val="00827B6A"/>
    <w:rsid w:val="00827E5A"/>
    <w:rsid w:val="00830D87"/>
    <w:rsid w:val="00830EE9"/>
    <w:rsid w:val="00831153"/>
    <w:rsid w:val="008315F5"/>
    <w:rsid w:val="00831D08"/>
    <w:rsid w:val="00831D3B"/>
    <w:rsid w:val="00831D7F"/>
    <w:rsid w:val="008323D4"/>
    <w:rsid w:val="008323DC"/>
    <w:rsid w:val="00832A3F"/>
    <w:rsid w:val="00833ECF"/>
    <w:rsid w:val="00834AEA"/>
    <w:rsid w:val="00834CC9"/>
    <w:rsid w:val="00834D5D"/>
    <w:rsid w:val="008351F9"/>
    <w:rsid w:val="0083608E"/>
    <w:rsid w:val="00836AFA"/>
    <w:rsid w:val="00836FAE"/>
    <w:rsid w:val="0083750D"/>
    <w:rsid w:val="00837775"/>
    <w:rsid w:val="00837818"/>
    <w:rsid w:val="00837859"/>
    <w:rsid w:val="00837B2A"/>
    <w:rsid w:val="00837FDD"/>
    <w:rsid w:val="008410AE"/>
    <w:rsid w:val="008412A5"/>
    <w:rsid w:val="0084142A"/>
    <w:rsid w:val="00841469"/>
    <w:rsid w:val="00841786"/>
    <w:rsid w:val="00841900"/>
    <w:rsid w:val="00842907"/>
    <w:rsid w:val="0084318B"/>
    <w:rsid w:val="0084322B"/>
    <w:rsid w:val="00843276"/>
    <w:rsid w:val="00843319"/>
    <w:rsid w:val="00843BAB"/>
    <w:rsid w:val="00843E7F"/>
    <w:rsid w:val="008446BD"/>
    <w:rsid w:val="0084522A"/>
    <w:rsid w:val="00845732"/>
    <w:rsid w:val="00845994"/>
    <w:rsid w:val="00845CC6"/>
    <w:rsid w:val="00845EFD"/>
    <w:rsid w:val="00846870"/>
    <w:rsid w:val="00846BB4"/>
    <w:rsid w:val="00846C4C"/>
    <w:rsid w:val="00846CBD"/>
    <w:rsid w:val="00847083"/>
    <w:rsid w:val="00847234"/>
    <w:rsid w:val="0084765D"/>
    <w:rsid w:val="00847AD6"/>
    <w:rsid w:val="00847B49"/>
    <w:rsid w:val="00847D24"/>
    <w:rsid w:val="0085023F"/>
    <w:rsid w:val="00850358"/>
    <w:rsid w:val="00850849"/>
    <w:rsid w:val="00850B0B"/>
    <w:rsid w:val="00850C42"/>
    <w:rsid w:val="0085186A"/>
    <w:rsid w:val="00851892"/>
    <w:rsid w:val="00851E8A"/>
    <w:rsid w:val="00852005"/>
    <w:rsid w:val="00852151"/>
    <w:rsid w:val="0085220B"/>
    <w:rsid w:val="0085248C"/>
    <w:rsid w:val="008524C8"/>
    <w:rsid w:val="00852554"/>
    <w:rsid w:val="00852C8D"/>
    <w:rsid w:val="00852DAA"/>
    <w:rsid w:val="0085357D"/>
    <w:rsid w:val="008545E0"/>
    <w:rsid w:val="00854ECD"/>
    <w:rsid w:val="008550C0"/>
    <w:rsid w:val="0085548A"/>
    <w:rsid w:val="00855830"/>
    <w:rsid w:val="00855E58"/>
    <w:rsid w:val="008560C4"/>
    <w:rsid w:val="008565B2"/>
    <w:rsid w:val="00856668"/>
    <w:rsid w:val="008566B5"/>
    <w:rsid w:val="00856957"/>
    <w:rsid w:val="00856A81"/>
    <w:rsid w:val="008575E8"/>
    <w:rsid w:val="008577CC"/>
    <w:rsid w:val="0086000E"/>
    <w:rsid w:val="0086053D"/>
    <w:rsid w:val="0086071C"/>
    <w:rsid w:val="00860883"/>
    <w:rsid w:val="00860885"/>
    <w:rsid w:val="008609D4"/>
    <w:rsid w:val="00860AE5"/>
    <w:rsid w:val="00860EC6"/>
    <w:rsid w:val="00861261"/>
    <w:rsid w:val="008613E0"/>
    <w:rsid w:val="008614E8"/>
    <w:rsid w:val="00861A33"/>
    <w:rsid w:val="0086261A"/>
    <w:rsid w:val="008628BA"/>
    <w:rsid w:val="00862E74"/>
    <w:rsid w:val="0086317F"/>
    <w:rsid w:val="008631C1"/>
    <w:rsid w:val="0086336C"/>
    <w:rsid w:val="008638A7"/>
    <w:rsid w:val="00863DB9"/>
    <w:rsid w:val="00864056"/>
    <w:rsid w:val="008640F3"/>
    <w:rsid w:val="008644EE"/>
    <w:rsid w:val="008645D7"/>
    <w:rsid w:val="008658DB"/>
    <w:rsid w:val="00865905"/>
    <w:rsid w:val="00865A6F"/>
    <w:rsid w:val="00865AD5"/>
    <w:rsid w:val="00866254"/>
    <w:rsid w:val="00866E25"/>
    <w:rsid w:val="00866EBA"/>
    <w:rsid w:val="00866FA5"/>
    <w:rsid w:val="008670F6"/>
    <w:rsid w:val="0086768D"/>
    <w:rsid w:val="00867A01"/>
    <w:rsid w:val="00867DC1"/>
    <w:rsid w:val="00867E81"/>
    <w:rsid w:val="00867F67"/>
    <w:rsid w:val="00870382"/>
    <w:rsid w:val="00870BE7"/>
    <w:rsid w:val="00870D8F"/>
    <w:rsid w:val="00870EFC"/>
    <w:rsid w:val="0087157B"/>
    <w:rsid w:val="008715F5"/>
    <w:rsid w:val="00872018"/>
    <w:rsid w:val="00872035"/>
    <w:rsid w:val="008720E1"/>
    <w:rsid w:val="00872254"/>
    <w:rsid w:val="00872257"/>
    <w:rsid w:val="008723FC"/>
    <w:rsid w:val="00872415"/>
    <w:rsid w:val="00872EBF"/>
    <w:rsid w:val="0087302D"/>
    <w:rsid w:val="00873965"/>
    <w:rsid w:val="00873D94"/>
    <w:rsid w:val="00873F25"/>
    <w:rsid w:val="00874027"/>
    <w:rsid w:val="00874A96"/>
    <w:rsid w:val="00874E40"/>
    <w:rsid w:val="008756AC"/>
    <w:rsid w:val="00875AB0"/>
    <w:rsid w:val="00876145"/>
    <w:rsid w:val="008770C3"/>
    <w:rsid w:val="008774BB"/>
    <w:rsid w:val="00877664"/>
    <w:rsid w:val="008779D5"/>
    <w:rsid w:val="00877BF2"/>
    <w:rsid w:val="00877BF5"/>
    <w:rsid w:val="00877D0E"/>
    <w:rsid w:val="00877F14"/>
    <w:rsid w:val="00880A2A"/>
    <w:rsid w:val="00881209"/>
    <w:rsid w:val="008816A3"/>
    <w:rsid w:val="00881B84"/>
    <w:rsid w:val="0088244B"/>
    <w:rsid w:val="00882496"/>
    <w:rsid w:val="0088256B"/>
    <w:rsid w:val="008828DE"/>
    <w:rsid w:val="00882C47"/>
    <w:rsid w:val="00882EBA"/>
    <w:rsid w:val="00883049"/>
    <w:rsid w:val="00883135"/>
    <w:rsid w:val="00883301"/>
    <w:rsid w:val="0088354A"/>
    <w:rsid w:val="00883566"/>
    <w:rsid w:val="00883847"/>
    <w:rsid w:val="008839D8"/>
    <w:rsid w:val="00883AD7"/>
    <w:rsid w:val="00883BC9"/>
    <w:rsid w:val="00884296"/>
    <w:rsid w:val="0088442E"/>
    <w:rsid w:val="00884664"/>
    <w:rsid w:val="0088506A"/>
    <w:rsid w:val="00885407"/>
    <w:rsid w:val="0088556B"/>
    <w:rsid w:val="0088585A"/>
    <w:rsid w:val="0088614B"/>
    <w:rsid w:val="00886234"/>
    <w:rsid w:val="0088672D"/>
    <w:rsid w:val="00886817"/>
    <w:rsid w:val="00886E07"/>
    <w:rsid w:val="0088706B"/>
    <w:rsid w:val="0088720E"/>
    <w:rsid w:val="0088721D"/>
    <w:rsid w:val="0088788E"/>
    <w:rsid w:val="0088793C"/>
    <w:rsid w:val="00890038"/>
    <w:rsid w:val="00890A47"/>
    <w:rsid w:val="008914F3"/>
    <w:rsid w:val="00891564"/>
    <w:rsid w:val="00891756"/>
    <w:rsid w:val="008922B6"/>
    <w:rsid w:val="00892900"/>
    <w:rsid w:val="0089295A"/>
    <w:rsid w:val="0089319B"/>
    <w:rsid w:val="008931B3"/>
    <w:rsid w:val="00893238"/>
    <w:rsid w:val="00893313"/>
    <w:rsid w:val="0089341E"/>
    <w:rsid w:val="00893A17"/>
    <w:rsid w:val="00893B8B"/>
    <w:rsid w:val="0089400E"/>
    <w:rsid w:val="00894205"/>
    <w:rsid w:val="008947B1"/>
    <w:rsid w:val="008947EA"/>
    <w:rsid w:val="0089492D"/>
    <w:rsid w:val="008949A3"/>
    <w:rsid w:val="00895089"/>
    <w:rsid w:val="0089572C"/>
    <w:rsid w:val="00895978"/>
    <w:rsid w:val="00895C15"/>
    <w:rsid w:val="00895E3F"/>
    <w:rsid w:val="00896051"/>
    <w:rsid w:val="008967DE"/>
    <w:rsid w:val="00896B76"/>
    <w:rsid w:val="00896EB0"/>
    <w:rsid w:val="008975B7"/>
    <w:rsid w:val="00897E71"/>
    <w:rsid w:val="00897F0B"/>
    <w:rsid w:val="008A012C"/>
    <w:rsid w:val="008A085A"/>
    <w:rsid w:val="008A1004"/>
    <w:rsid w:val="008A1309"/>
    <w:rsid w:val="008A141D"/>
    <w:rsid w:val="008A17FC"/>
    <w:rsid w:val="008A198D"/>
    <w:rsid w:val="008A2391"/>
    <w:rsid w:val="008A25D9"/>
    <w:rsid w:val="008A27DF"/>
    <w:rsid w:val="008A3245"/>
    <w:rsid w:val="008A3643"/>
    <w:rsid w:val="008A368A"/>
    <w:rsid w:val="008A39B4"/>
    <w:rsid w:val="008A3E99"/>
    <w:rsid w:val="008A41BB"/>
    <w:rsid w:val="008A46BE"/>
    <w:rsid w:val="008A48CB"/>
    <w:rsid w:val="008A4DCE"/>
    <w:rsid w:val="008A5CFB"/>
    <w:rsid w:val="008A5D71"/>
    <w:rsid w:val="008A5F1A"/>
    <w:rsid w:val="008A687F"/>
    <w:rsid w:val="008A79AE"/>
    <w:rsid w:val="008B006F"/>
    <w:rsid w:val="008B0404"/>
    <w:rsid w:val="008B0502"/>
    <w:rsid w:val="008B0B55"/>
    <w:rsid w:val="008B0D6E"/>
    <w:rsid w:val="008B15E6"/>
    <w:rsid w:val="008B17BD"/>
    <w:rsid w:val="008B18CE"/>
    <w:rsid w:val="008B1A68"/>
    <w:rsid w:val="008B20A8"/>
    <w:rsid w:val="008B2918"/>
    <w:rsid w:val="008B29AE"/>
    <w:rsid w:val="008B2A3E"/>
    <w:rsid w:val="008B2B09"/>
    <w:rsid w:val="008B2B78"/>
    <w:rsid w:val="008B2BE4"/>
    <w:rsid w:val="008B33EA"/>
    <w:rsid w:val="008B39E9"/>
    <w:rsid w:val="008B3B9A"/>
    <w:rsid w:val="008B3E9C"/>
    <w:rsid w:val="008B4492"/>
    <w:rsid w:val="008B4779"/>
    <w:rsid w:val="008B50AD"/>
    <w:rsid w:val="008B50CB"/>
    <w:rsid w:val="008B5EED"/>
    <w:rsid w:val="008B6598"/>
    <w:rsid w:val="008B6B06"/>
    <w:rsid w:val="008B71B9"/>
    <w:rsid w:val="008B7297"/>
    <w:rsid w:val="008B75C1"/>
    <w:rsid w:val="008B7BAB"/>
    <w:rsid w:val="008B7C09"/>
    <w:rsid w:val="008B7E11"/>
    <w:rsid w:val="008B7E69"/>
    <w:rsid w:val="008C02B3"/>
    <w:rsid w:val="008C061E"/>
    <w:rsid w:val="008C071D"/>
    <w:rsid w:val="008C07B7"/>
    <w:rsid w:val="008C0997"/>
    <w:rsid w:val="008C0AF8"/>
    <w:rsid w:val="008C0FC8"/>
    <w:rsid w:val="008C1268"/>
    <w:rsid w:val="008C12C9"/>
    <w:rsid w:val="008C159A"/>
    <w:rsid w:val="008C17E8"/>
    <w:rsid w:val="008C18C8"/>
    <w:rsid w:val="008C1929"/>
    <w:rsid w:val="008C1A77"/>
    <w:rsid w:val="008C203F"/>
    <w:rsid w:val="008C2077"/>
    <w:rsid w:val="008C23A2"/>
    <w:rsid w:val="008C280E"/>
    <w:rsid w:val="008C28D2"/>
    <w:rsid w:val="008C2E1D"/>
    <w:rsid w:val="008C2E85"/>
    <w:rsid w:val="008C3494"/>
    <w:rsid w:val="008C3594"/>
    <w:rsid w:val="008C35D7"/>
    <w:rsid w:val="008C3D20"/>
    <w:rsid w:val="008C40AD"/>
    <w:rsid w:val="008C4260"/>
    <w:rsid w:val="008C5091"/>
    <w:rsid w:val="008C5720"/>
    <w:rsid w:val="008C5D0D"/>
    <w:rsid w:val="008C6901"/>
    <w:rsid w:val="008C6F1C"/>
    <w:rsid w:val="008D0713"/>
    <w:rsid w:val="008D092D"/>
    <w:rsid w:val="008D0CCB"/>
    <w:rsid w:val="008D0CFC"/>
    <w:rsid w:val="008D1367"/>
    <w:rsid w:val="008D13B1"/>
    <w:rsid w:val="008D17E1"/>
    <w:rsid w:val="008D1895"/>
    <w:rsid w:val="008D19C1"/>
    <w:rsid w:val="008D2190"/>
    <w:rsid w:val="008D222C"/>
    <w:rsid w:val="008D22E1"/>
    <w:rsid w:val="008D2350"/>
    <w:rsid w:val="008D2387"/>
    <w:rsid w:val="008D24FE"/>
    <w:rsid w:val="008D2636"/>
    <w:rsid w:val="008D31B9"/>
    <w:rsid w:val="008D4243"/>
    <w:rsid w:val="008D43D2"/>
    <w:rsid w:val="008D4AEF"/>
    <w:rsid w:val="008D4CBD"/>
    <w:rsid w:val="008D4F42"/>
    <w:rsid w:val="008D530E"/>
    <w:rsid w:val="008D549A"/>
    <w:rsid w:val="008D5C50"/>
    <w:rsid w:val="008D607F"/>
    <w:rsid w:val="008D629F"/>
    <w:rsid w:val="008D632F"/>
    <w:rsid w:val="008D659A"/>
    <w:rsid w:val="008D6613"/>
    <w:rsid w:val="008D6C00"/>
    <w:rsid w:val="008D6D74"/>
    <w:rsid w:val="008D7714"/>
    <w:rsid w:val="008D7970"/>
    <w:rsid w:val="008D7E63"/>
    <w:rsid w:val="008E04D9"/>
    <w:rsid w:val="008E0996"/>
    <w:rsid w:val="008E09CE"/>
    <w:rsid w:val="008E20C3"/>
    <w:rsid w:val="008E21BA"/>
    <w:rsid w:val="008E2606"/>
    <w:rsid w:val="008E2B50"/>
    <w:rsid w:val="008E3909"/>
    <w:rsid w:val="008E3964"/>
    <w:rsid w:val="008E3D4F"/>
    <w:rsid w:val="008E3D6F"/>
    <w:rsid w:val="008E3ED5"/>
    <w:rsid w:val="008E3FAC"/>
    <w:rsid w:val="008E4B5C"/>
    <w:rsid w:val="008E5856"/>
    <w:rsid w:val="008E5937"/>
    <w:rsid w:val="008E5979"/>
    <w:rsid w:val="008E59D4"/>
    <w:rsid w:val="008E5A13"/>
    <w:rsid w:val="008E60C8"/>
    <w:rsid w:val="008E676F"/>
    <w:rsid w:val="008E687E"/>
    <w:rsid w:val="008E6993"/>
    <w:rsid w:val="008E727F"/>
    <w:rsid w:val="008E7791"/>
    <w:rsid w:val="008E784B"/>
    <w:rsid w:val="008E79CA"/>
    <w:rsid w:val="008E7C5A"/>
    <w:rsid w:val="008F00A7"/>
    <w:rsid w:val="008F1648"/>
    <w:rsid w:val="008F25D7"/>
    <w:rsid w:val="008F2CEA"/>
    <w:rsid w:val="008F2FDB"/>
    <w:rsid w:val="008F322F"/>
    <w:rsid w:val="008F3B7C"/>
    <w:rsid w:val="008F3F78"/>
    <w:rsid w:val="008F41A7"/>
    <w:rsid w:val="008F432B"/>
    <w:rsid w:val="008F4DD9"/>
    <w:rsid w:val="008F4F68"/>
    <w:rsid w:val="008F4FD6"/>
    <w:rsid w:val="008F5CF2"/>
    <w:rsid w:val="008F65DA"/>
    <w:rsid w:val="008F6970"/>
    <w:rsid w:val="008F699A"/>
    <w:rsid w:val="008F69E4"/>
    <w:rsid w:val="008F6CC1"/>
    <w:rsid w:val="008F6D9D"/>
    <w:rsid w:val="008F7062"/>
    <w:rsid w:val="008F7514"/>
    <w:rsid w:val="008F7AEB"/>
    <w:rsid w:val="008F7F42"/>
    <w:rsid w:val="0090023F"/>
    <w:rsid w:val="00900482"/>
    <w:rsid w:val="0090080F"/>
    <w:rsid w:val="009008DE"/>
    <w:rsid w:val="009011C3"/>
    <w:rsid w:val="0090127F"/>
    <w:rsid w:val="009016A2"/>
    <w:rsid w:val="0090188A"/>
    <w:rsid w:val="00901C0F"/>
    <w:rsid w:val="00901D66"/>
    <w:rsid w:val="00901ECD"/>
    <w:rsid w:val="00902948"/>
    <w:rsid w:val="009036DB"/>
    <w:rsid w:val="00903DA9"/>
    <w:rsid w:val="00904694"/>
    <w:rsid w:val="00904721"/>
    <w:rsid w:val="00904782"/>
    <w:rsid w:val="00904DDF"/>
    <w:rsid w:val="00905197"/>
    <w:rsid w:val="00905467"/>
    <w:rsid w:val="0090592F"/>
    <w:rsid w:val="00905AD8"/>
    <w:rsid w:val="0090621A"/>
    <w:rsid w:val="0090657A"/>
    <w:rsid w:val="0090663A"/>
    <w:rsid w:val="00906CED"/>
    <w:rsid w:val="00907349"/>
    <w:rsid w:val="00907686"/>
    <w:rsid w:val="00907BDB"/>
    <w:rsid w:val="0091021A"/>
    <w:rsid w:val="00910414"/>
    <w:rsid w:val="009108F7"/>
    <w:rsid w:val="00910FBB"/>
    <w:rsid w:val="009118F5"/>
    <w:rsid w:val="009118FD"/>
    <w:rsid w:val="00911CF8"/>
    <w:rsid w:val="00911F95"/>
    <w:rsid w:val="00912834"/>
    <w:rsid w:val="0091291F"/>
    <w:rsid w:val="0091293D"/>
    <w:rsid w:val="00912E10"/>
    <w:rsid w:val="00912E20"/>
    <w:rsid w:val="0091315F"/>
    <w:rsid w:val="009131F9"/>
    <w:rsid w:val="009132CF"/>
    <w:rsid w:val="00913B6D"/>
    <w:rsid w:val="00913BBF"/>
    <w:rsid w:val="00913F46"/>
    <w:rsid w:val="009141C5"/>
    <w:rsid w:val="009142D8"/>
    <w:rsid w:val="00914B7E"/>
    <w:rsid w:val="00914D78"/>
    <w:rsid w:val="0091505A"/>
    <w:rsid w:val="00915929"/>
    <w:rsid w:val="0091595D"/>
    <w:rsid w:val="00915E2E"/>
    <w:rsid w:val="009161B0"/>
    <w:rsid w:val="00916350"/>
    <w:rsid w:val="009169EB"/>
    <w:rsid w:val="00917093"/>
    <w:rsid w:val="009171C7"/>
    <w:rsid w:val="009171DF"/>
    <w:rsid w:val="00917E40"/>
    <w:rsid w:val="009203FF"/>
    <w:rsid w:val="00920B99"/>
    <w:rsid w:val="00920C26"/>
    <w:rsid w:val="00920DEA"/>
    <w:rsid w:val="0092102A"/>
    <w:rsid w:val="009215FA"/>
    <w:rsid w:val="00921616"/>
    <w:rsid w:val="009226ED"/>
    <w:rsid w:val="00922D40"/>
    <w:rsid w:val="00923206"/>
    <w:rsid w:val="009234AF"/>
    <w:rsid w:val="009239F4"/>
    <w:rsid w:val="00923EAC"/>
    <w:rsid w:val="009241A7"/>
    <w:rsid w:val="00924895"/>
    <w:rsid w:val="009249C8"/>
    <w:rsid w:val="00924BF6"/>
    <w:rsid w:val="00924F6D"/>
    <w:rsid w:val="00925116"/>
    <w:rsid w:val="0092584F"/>
    <w:rsid w:val="0092586E"/>
    <w:rsid w:val="00925E64"/>
    <w:rsid w:val="009264A2"/>
    <w:rsid w:val="00926547"/>
    <w:rsid w:val="00927673"/>
    <w:rsid w:val="0092772F"/>
    <w:rsid w:val="00927819"/>
    <w:rsid w:val="00927E9D"/>
    <w:rsid w:val="0093038C"/>
    <w:rsid w:val="00930DE3"/>
    <w:rsid w:val="00931103"/>
    <w:rsid w:val="009317A4"/>
    <w:rsid w:val="009325EE"/>
    <w:rsid w:val="009326EE"/>
    <w:rsid w:val="00932D9A"/>
    <w:rsid w:val="00933216"/>
    <w:rsid w:val="009337B6"/>
    <w:rsid w:val="00933AD3"/>
    <w:rsid w:val="00933DBD"/>
    <w:rsid w:val="00933EED"/>
    <w:rsid w:val="00934379"/>
    <w:rsid w:val="00934690"/>
    <w:rsid w:val="009347D4"/>
    <w:rsid w:val="00934B52"/>
    <w:rsid w:val="00935445"/>
    <w:rsid w:val="0093546F"/>
    <w:rsid w:val="009365EA"/>
    <w:rsid w:val="0093680A"/>
    <w:rsid w:val="009371E6"/>
    <w:rsid w:val="00937DB8"/>
    <w:rsid w:val="009407CF"/>
    <w:rsid w:val="00940C13"/>
    <w:rsid w:val="009413AD"/>
    <w:rsid w:val="00941638"/>
    <w:rsid w:val="0094259F"/>
    <w:rsid w:val="00942687"/>
    <w:rsid w:val="00942A66"/>
    <w:rsid w:val="00942D78"/>
    <w:rsid w:val="00942E42"/>
    <w:rsid w:val="00943055"/>
    <w:rsid w:val="0094341C"/>
    <w:rsid w:val="00943691"/>
    <w:rsid w:val="00943989"/>
    <w:rsid w:val="00943CF3"/>
    <w:rsid w:val="0094402B"/>
    <w:rsid w:val="00944E65"/>
    <w:rsid w:val="00944F00"/>
    <w:rsid w:val="00945C65"/>
    <w:rsid w:val="00945ED0"/>
    <w:rsid w:val="0094647B"/>
    <w:rsid w:val="009464EB"/>
    <w:rsid w:val="0094709E"/>
    <w:rsid w:val="009477BE"/>
    <w:rsid w:val="00947D06"/>
    <w:rsid w:val="00947E41"/>
    <w:rsid w:val="009504DD"/>
    <w:rsid w:val="00950A27"/>
    <w:rsid w:val="00950A85"/>
    <w:rsid w:val="00950E09"/>
    <w:rsid w:val="0095114D"/>
    <w:rsid w:val="00951BBF"/>
    <w:rsid w:val="00952238"/>
    <w:rsid w:val="009522AF"/>
    <w:rsid w:val="009528E2"/>
    <w:rsid w:val="00952BD9"/>
    <w:rsid w:val="0095323E"/>
    <w:rsid w:val="00953259"/>
    <w:rsid w:val="009538B4"/>
    <w:rsid w:val="0095427B"/>
    <w:rsid w:val="0095428B"/>
    <w:rsid w:val="009546C2"/>
    <w:rsid w:val="00954D7D"/>
    <w:rsid w:val="00954F13"/>
    <w:rsid w:val="00955007"/>
    <w:rsid w:val="00955176"/>
    <w:rsid w:val="00955D74"/>
    <w:rsid w:val="00955DED"/>
    <w:rsid w:val="00955E14"/>
    <w:rsid w:val="00955FC9"/>
    <w:rsid w:val="00956ED8"/>
    <w:rsid w:val="00956FC5"/>
    <w:rsid w:val="00957133"/>
    <w:rsid w:val="0095755F"/>
    <w:rsid w:val="00957782"/>
    <w:rsid w:val="00957C5B"/>
    <w:rsid w:val="00957F37"/>
    <w:rsid w:val="00960283"/>
    <w:rsid w:val="00960366"/>
    <w:rsid w:val="00960841"/>
    <w:rsid w:val="00960966"/>
    <w:rsid w:val="00960B49"/>
    <w:rsid w:val="00960CA6"/>
    <w:rsid w:val="00961176"/>
    <w:rsid w:val="00961197"/>
    <w:rsid w:val="00961702"/>
    <w:rsid w:val="0096196E"/>
    <w:rsid w:val="00961B5B"/>
    <w:rsid w:val="0096201B"/>
    <w:rsid w:val="009620E8"/>
    <w:rsid w:val="00962304"/>
    <w:rsid w:val="00962464"/>
    <w:rsid w:val="0096268B"/>
    <w:rsid w:val="00962739"/>
    <w:rsid w:val="00962DAC"/>
    <w:rsid w:val="00962F8B"/>
    <w:rsid w:val="009630BC"/>
    <w:rsid w:val="009630FB"/>
    <w:rsid w:val="00963CC4"/>
    <w:rsid w:val="009642BF"/>
    <w:rsid w:val="00965714"/>
    <w:rsid w:val="00965723"/>
    <w:rsid w:val="00965E5B"/>
    <w:rsid w:val="0096648B"/>
    <w:rsid w:val="00966A72"/>
    <w:rsid w:val="00966A87"/>
    <w:rsid w:val="00966C6B"/>
    <w:rsid w:val="00967E87"/>
    <w:rsid w:val="009704E5"/>
    <w:rsid w:val="009705F9"/>
    <w:rsid w:val="00970DE1"/>
    <w:rsid w:val="009710B8"/>
    <w:rsid w:val="00971155"/>
    <w:rsid w:val="00971CDF"/>
    <w:rsid w:val="00971DFC"/>
    <w:rsid w:val="0097223B"/>
    <w:rsid w:val="00972393"/>
    <w:rsid w:val="00972675"/>
    <w:rsid w:val="0097273E"/>
    <w:rsid w:val="00972D9E"/>
    <w:rsid w:val="00973146"/>
    <w:rsid w:val="00973376"/>
    <w:rsid w:val="00973697"/>
    <w:rsid w:val="0097372E"/>
    <w:rsid w:val="00973945"/>
    <w:rsid w:val="00973D6C"/>
    <w:rsid w:val="009740AB"/>
    <w:rsid w:val="0097432B"/>
    <w:rsid w:val="009744B3"/>
    <w:rsid w:val="00974614"/>
    <w:rsid w:val="00974BC6"/>
    <w:rsid w:val="009758B4"/>
    <w:rsid w:val="00975BF6"/>
    <w:rsid w:val="00975D17"/>
    <w:rsid w:val="00975F05"/>
    <w:rsid w:val="00976477"/>
    <w:rsid w:val="009765FF"/>
    <w:rsid w:val="00976A41"/>
    <w:rsid w:val="00976CAA"/>
    <w:rsid w:val="00976CD4"/>
    <w:rsid w:val="00977272"/>
    <w:rsid w:val="0097740A"/>
    <w:rsid w:val="009779A7"/>
    <w:rsid w:val="00977D22"/>
    <w:rsid w:val="00977FD6"/>
    <w:rsid w:val="00980114"/>
    <w:rsid w:val="009804D7"/>
    <w:rsid w:val="009805E1"/>
    <w:rsid w:val="00980656"/>
    <w:rsid w:val="00980A91"/>
    <w:rsid w:val="009811E5"/>
    <w:rsid w:val="009812F2"/>
    <w:rsid w:val="00981311"/>
    <w:rsid w:val="00981DB5"/>
    <w:rsid w:val="00981DE6"/>
    <w:rsid w:val="00982662"/>
    <w:rsid w:val="009826FB"/>
    <w:rsid w:val="009829FF"/>
    <w:rsid w:val="00982CE8"/>
    <w:rsid w:val="009838BF"/>
    <w:rsid w:val="0098392E"/>
    <w:rsid w:val="00983C5E"/>
    <w:rsid w:val="0098463E"/>
    <w:rsid w:val="00984A1E"/>
    <w:rsid w:val="00986ADB"/>
    <w:rsid w:val="00987252"/>
    <w:rsid w:val="00987300"/>
    <w:rsid w:val="009873D8"/>
    <w:rsid w:val="00987653"/>
    <w:rsid w:val="00987F53"/>
    <w:rsid w:val="0099106E"/>
    <w:rsid w:val="009916F7"/>
    <w:rsid w:val="00991ABF"/>
    <w:rsid w:val="0099209B"/>
    <w:rsid w:val="009921FA"/>
    <w:rsid w:val="00992332"/>
    <w:rsid w:val="00992F25"/>
    <w:rsid w:val="00993E82"/>
    <w:rsid w:val="009940F2"/>
    <w:rsid w:val="00994671"/>
    <w:rsid w:val="009948AB"/>
    <w:rsid w:val="00994AD6"/>
    <w:rsid w:val="00994C16"/>
    <w:rsid w:val="00994D19"/>
    <w:rsid w:val="00995458"/>
    <w:rsid w:val="00995823"/>
    <w:rsid w:val="00995BB9"/>
    <w:rsid w:val="009961BF"/>
    <w:rsid w:val="00996337"/>
    <w:rsid w:val="0099699B"/>
    <w:rsid w:val="00996D56"/>
    <w:rsid w:val="009972FA"/>
    <w:rsid w:val="00997686"/>
    <w:rsid w:val="0099776A"/>
    <w:rsid w:val="0099776C"/>
    <w:rsid w:val="00997823"/>
    <w:rsid w:val="009A02C0"/>
    <w:rsid w:val="009A0854"/>
    <w:rsid w:val="009A094E"/>
    <w:rsid w:val="009A0EB0"/>
    <w:rsid w:val="009A1179"/>
    <w:rsid w:val="009A1AE4"/>
    <w:rsid w:val="009A2FF7"/>
    <w:rsid w:val="009A3130"/>
    <w:rsid w:val="009A3239"/>
    <w:rsid w:val="009A340D"/>
    <w:rsid w:val="009A3A3E"/>
    <w:rsid w:val="009A3ECA"/>
    <w:rsid w:val="009A4259"/>
    <w:rsid w:val="009A44DE"/>
    <w:rsid w:val="009A4B8B"/>
    <w:rsid w:val="009A4C2D"/>
    <w:rsid w:val="009A4EF9"/>
    <w:rsid w:val="009A4FC0"/>
    <w:rsid w:val="009A5150"/>
    <w:rsid w:val="009A5215"/>
    <w:rsid w:val="009A5232"/>
    <w:rsid w:val="009A5740"/>
    <w:rsid w:val="009A5BD9"/>
    <w:rsid w:val="009A5CF2"/>
    <w:rsid w:val="009A5D7D"/>
    <w:rsid w:val="009A6047"/>
    <w:rsid w:val="009A63B5"/>
    <w:rsid w:val="009A63C6"/>
    <w:rsid w:val="009A6D9D"/>
    <w:rsid w:val="009A6E1E"/>
    <w:rsid w:val="009A71A2"/>
    <w:rsid w:val="009A788F"/>
    <w:rsid w:val="009A7B0A"/>
    <w:rsid w:val="009A7DDF"/>
    <w:rsid w:val="009B016F"/>
    <w:rsid w:val="009B05A6"/>
    <w:rsid w:val="009B068D"/>
    <w:rsid w:val="009B0998"/>
    <w:rsid w:val="009B0FF1"/>
    <w:rsid w:val="009B1A1C"/>
    <w:rsid w:val="009B266A"/>
    <w:rsid w:val="009B2BA7"/>
    <w:rsid w:val="009B3109"/>
    <w:rsid w:val="009B351B"/>
    <w:rsid w:val="009B3667"/>
    <w:rsid w:val="009B3802"/>
    <w:rsid w:val="009B38CC"/>
    <w:rsid w:val="009B3982"/>
    <w:rsid w:val="009B3A41"/>
    <w:rsid w:val="009B3B9E"/>
    <w:rsid w:val="009B3C1F"/>
    <w:rsid w:val="009B4167"/>
    <w:rsid w:val="009B473A"/>
    <w:rsid w:val="009B4DB9"/>
    <w:rsid w:val="009B5200"/>
    <w:rsid w:val="009B580A"/>
    <w:rsid w:val="009B5F5E"/>
    <w:rsid w:val="009B6DD5"/>
    <w:rsid w:val="009B6F9D"/>
    <w:rsid w:val="009B763A"/>
    <w:rsid w:val="009B79D7"/>
    <w:rsid w:val="009B7A23"/>
    <w:rsid w:val="009B7B32"/>
    <w:rsid w:val="009B7C4B"/>
    <w:rsid w:val="009B7F92"/>
    <w:rsid w:val="009B7FB5"/>
    <w:rsid w:val="009C0730"/>
    <w:rsid w:val="009C0F23"/>
    <w:rsid w:val="009C14D0"/>
    <w:rsid w:val="009C198C"/>
    <w:rsid w:val="009C1CCD"/>
    <w:rsid w:val="009C2616"/>
    <w:rsid w:val="009C27B1"/>
    <w:rsid w:val="009C2C25"/>
    <w:rsid w:val="009C2FE2"/>
    <w:rsid w:val="009C3A63"/>
    <w:rsid w:val="009C3B82"/>
    <w:rsid w:val="009C41A8"/>
    <w:rsid w:val="009C466B"/>
    <w:rsid w:val="009C4D98"/>
    <w:rsid w:val="009C4F96"/>
    <w:rsid w:val="009C534D"/>
    <w:rsid w:val="009C537E"/>
    <w:rsid w:val="009C5478"/>
    <w:rsid w:val="009C57F5"/>
    <w:rsid w:val="009C5A8C"/>
    <w:rsid w:val="009C6096"/>
    <w:rsid w:val="009C60DB"/>
    <w:rsid w:val="009C6250"/>
    <w:rsid w:val="009C654A"/>
    <w:rsid w:val="009C6858"/>
    <w:rsid w:val="009C6EF2"/>
    <w:rsid w:val="009C7420"/>
    <w:rsid w:val="009C76A1"/>
    <w:rsid w:val="009C7CB9"/>
    <w:rsid w:val="009C7FA6"/>
    <w:rsid w:val="009D01B1"/>
    <w:rsid w:val="009D02B0"/>
    <w:rsid w:val="009D0F2F"/>
    <w:rsid w:val="009D113C"/>
    <w:rsid w:val="009D2468"/>
    <w:rsid w:val="009D24B6"/>
    <w:rsid w:val="009D2569"/>
    <w:rsid w:val="009D2640"/>
    <w:rsid w:val="009D2988"/>
    <w:rsid w:val="009D31D4"/>
    <w:rsid w:val="009D34AC"/>
    <w:rsid w:val="009D3F5B"/>
    <w:rsid w:val="009D4067"/>
    <w:rsid w:val="009D4231"/>
    <w:rsid w:val="009D47D9"/>
    <w:rsid w:val="009D4848"/>
    <w:rsid w:val="009D4C98"/>
    <w:rsid w:val="009D4D49"/>
    <w:rsid w:val="009D4D50"/>
    <w:rsid w:val="009D59A5"/>
    <w:rsid w:val="009D5C94"/>
    <w:rsid w:val="009D5E9C"/>
    <w:rsid w:val="009D60AA"/>
    <w:rsid w:val="009D60AD"/>
    <w:rsid w:val="009D62C6"/>
    <w:rsid w:val="009D6541"/>
    <w:rsid w:val="009D66F2"/>
    <w:rsid w:val="009D6D99"/>
    <w:rsid w:val="009D7D00"/>
    <w:rsid w:val="009D7D40"/>
    <w:rsid w:val="009D7F10"/>
    <w:rsid w:val="009D7FE5"/>
    <w:rsid w:val="009E0023"/>
    <w:rsid w:val="009E0106"/>
    <w:rsid w:val="009E02CB"/>
    <w:rsid w:val="009E115B"/>
    <w:rsid w:val="009E16BF"/>
    <w:rsid w:val="009E1856"/>
    <w:rsid w:val="009E18C7"/>
    <w:rsid w:val="009E1A1F"/>
    <w:rsid w:val="009E1B1F"/>
    <w:rsid w:val="009E2005"/>
    <w:rsid w:val="009E225D"/>
    <w:rsid w:val="009E37C6"/>
    <w:rsid w:val="009E3C2B"/>
    <w:rsid w:val="009E3E47"/>
    <w:rsid w:val="009E41F6"/>
    <w:rsid w:val="009E450F"/>
    <w:rsid w:val="009E53F2"/>
    <w:rsid w:val="009E5E5F"/>
    <w:rsid w:val="009E5EE0"/>
    <w:rsid w:val="009E6764"/>
    <w:rsid w:val="009E6AB2"/>
    <w:rsid w:val="009E6D6C"/>
    <w:rsid w:val="009E6DA9"/>
    <w:rsid w:val="009E6E00"/>
    <w:rsid w:val="009E7AEA"/>
    <w:rsid w:val="009F05F8"/>
    <w:rsid w:val="009F0901"/>
    <w:rsid w:val="009F0D0D"/>
    <w:rsid w:val="009F0F85"/>
    <w:rsid w:val="009F129A"/>
    <w:rsid w:val="009F14E0"/>
    <w:rsid w:val="009F1FEB"/>
    <w:rsid w:val="009F251C"/>
    <w:rsid w:val="009F2783"/>
    <w:rsid w:val="009F2A6A"/>
    <w:rsid w:val="009F3245"/>
    <w:rsid w:val="009F333D"/>
    <w:rsid w:val="009F3412"/>
    <w:rsid w:val="009F3519"/>
    <w:rsid w:val="009F35D6"/>
    <w:rsid w:val="009F3F15"/>
    <w:rsid w:val="009F3F29"/>
    <w:rsid w:val="009F4206"/>
    <w:rsid w:val="009F4AB0"/>
    <w:rsid w:val="009F554A"/>
    <w:rsid w:val="009F58D1"/>
    <w:rsid w:val="009F61EC"/>
    <w:rsid w:val="009F6407"/>
    <w:rsid w:val="009F68F8"/>
    <w:rsid w:val="009F6978"/>
    <w:rsid w:val="009F6BD2"/>
    <w:rsid w:val="009F75AA"/>
    <w:rsid w:val="009F7815"/>
    <w:rsid w:val="009F7DA7"/>
    <w:rsid w:val="009F7E7D"/>
    <w:rsid w:val="009F7FEC"/>
    <w:rsid w:val="00A00515"/>
    <w:rsid w:val="00A00551"/>
    <w:rsid w:val="00A005B9"/>
    <w:rsid w:val="00A008CF"/>
    <w:rsid w:val="00A00AFA"/>
    <w:rsid w:val="00A01249"/>
    <w:rsid w:val="00A01404"/>
    <w:rsid w:val="00A018EE"/>
    <w:rsid w:val="00A01915"/>
    <w:rsid w:val="00A01C46"/>
    <w:rsid w:val="00A02887"/>
    <w:rsid w:val="00A02926"/>
    <w:rsid w:val="00A0295C"/>
    <w:rsid w:val="00A02D04"/>
    <w:rsid w:val="00A03CB9"/>
    <w:rsid w:val="00A03DD1"/>
    <w:rsid w:val="00A04264"/>
    <w:rsid w:val="00A045B2"/>
    <w:rsid w:val="00A04E72"/>
    <w:rsid w:val="00A04E8F"/>
    <w:rsid w:val="00A04EEE"/>
    <w:rsid w:val="00A0537B"/>
    <w:rsid w:val="00A05557"/>
    <w:rsid w:val="00A05CAC"/>
    <w:rsid w:val="00A06342"/>
    <w:rsid w:val="00A06D3E"/>
    <w:rsid w:val="00A06ECB"/>
    <w:rsid w:val="00A079C0"/>
    <w:rsid w:val="00A07FD2"/>
    <w:rsid w:val="00A101E0"/>
    <w:rsid w:val="00A111C2"/>
    <w:rsid w:val="00A1155B"/>
    <w:rsid w:val="00A118B2"/>
    <w:rsid w:val="00A11B2A"/>
    <w:rsid w:val="00A125A6"/>
    <w:rsid w:val="00A12923"/>
    <w:rsid w:val="00A12985"/>
    <w:rsid w:val="00A12E22"/>
    <w:rsid w:val="00A12E72"/>
    <w:rsid w:val="00A135E3"/>
    <w:rsid w:val="00A13BFE"/>
    <w:rsid w:val="00A13EB5"/>
    <w:rsid w:val="00A14769"/>
    <w:rsid w:val="00A14BFA"/>
    <w:rsid w:val="00A151AA"/>
    <w:rsid w:val="00A1598F"/>
    <w:rsid w:val="00A15A26"/>
    <w:rsid w:val="00A15DD2"/>
    <w:rsid w:val="00A15EF4"/>
    <w:rsid w:val="00A15FC1"/>
    <w:rsid w:val="00A161BE"/>
    <w:rsid w:val="00A165D9"/>
    <w:rsid w:val="00A16FB7"/>
    <w:rsid w:val="00A170BF"/>
    <w:rsid w:val="00A17DF0"/>
    <w:rsid w:val="00A201C3"/>
    <w:rsid w:val="00A20DC1"/>
    <w:rsid w:val="00A212A5"/>
    <w:rsid w:val="00A212D3"/>
    <w:rsid w:val="00A215A0"/>
    <w:rsid w:val="00A22686"/>
    <w:rsid w:val="00A2273E"/>
    <w:rsid w:val="00A2273F"/>
    <w:rsid w:val="00A22B80"/>
    <w:rsid w:val="00A232E3"/>
    <w:rsid w:val="00A2356D"/>
    <w:rsid w:val="00A23813"/>
    <w:rsid w:val="00A23A72"/>
    <w:rsid w:val="00A23BB9"/>
    <w:rsid w:val="00A241E2"/>
    <w:rsid w:val="00A247CC"/>
    <w:rsid w:val="00A25527"/>
    <w:rsid w:val="00A256D7"/>
    <w:rsid w:val="00A25770"/>
    <w:rsid w:val="00A2636A"/>
    <w:rsid w:val="00A27765"/>
    <w:rsid w:val="00A27D94"/>
    <w:rsid w:val="00A27E53"/>
    <w:rsid w:val="00A31025"/>
    <w:rsid w:val="00A3165F"/>
    <w:rsid w:val="00A317C2"/>
    <w:rsid w:val="00A317F1"/>
    <w:rsid w:val="00A31C73"/>
    <w:rsid w:val="00A32020"/>
    <w:rsid w:val="00A32209"/>
    <w:rsid w:val="00A32234"/>
    <w:rsid w:val="00A3230D"/>
    <w:rsid w:val="00A3232C"/>
    <w:rsid w:val="00A329A4"/>
    <w:rsid w:val="00A32DE8"/>
    <w:rsid w:val="00A32E2A"/>
    <w:rsid w:val="00A33028"/>
    <w:rsid w:val="00A3354D"/>
    <w:rsid w:val="00A3368A"/>
    <w:rsid w:val="00A33F6C"/>
    <w:rsid w:val="00A343D0"/>
    <w:rsid w:val="00A34475"/>
    <w:rsid w:val="00A34849"/>
    <w:rsid w:val="00A3534B"/>
    <w:rsid w:val="00A3536E"/>
    <w:rsid w:val="00A353FA"/>
    <w:rsid w:val="00A3553F"/>
    <w:rsid w:val="00A35A8F"/>
    <w:rsid w:val="00A36A1A"/>
    <w:rsid w:val="00A36A3A"/>
    <w:rsid w:val="00A373EF"/>
    <w:rsid w:val="00A37859"/>
    <w:rsid w:val="00A378BA"/>
    <w:rsid w:val="00A400F1"/>
    <w:rsid w:val="00A40D6E"/>
    <w:rsid w:val="00A41929"/>
    <w:rsid w:val="00A419FB"/>
    <w:rsid w:val="00A41CEB"/>
    <w:rsid w:val="00A422AA"/>
    <w:rsid w:val="00A423B4"/>
    <w:rsid w:val="00A42401"/>
    <w:rsid w:val="00A42536"/>
    <w:rsid w:val="00A4306D"/>
    <w:rsid w:val="00A43183"/>
    <w:rsid w:val="00A433A1"/>
    <w:rsid w:val="00A43512"/>
    <w:rsid w:val="00A438CF"/>
    <w:rsid w:val="00A4390E"/>
    <w:rsid w:val="00A43DB0"/>
    <w:rsid w:val="00A43DC4"/>
    <w:rsid w:val="00A43DFD"/>
    <w:rsid w:val="00A43E3F"/>
    <w:rsid w:val="00A44104"/>
    <w:rsid w:val="00A448FC"/>
    <w:rsid w:val="00A44DFB"/>
    <w:rsid w:val="00A460B1"/>
    <w:rsid w:val="00A46233"/>
    <w:rsid w:val="00A46392"/>
    <w:rsid w:val="00A468C4"/>
    <w:rsid w:val="00A46A51"/>
    <w:rsid w:val="00A470CF"/>
    <w:rsid w:val="00A477A6"/>
    <w:rsid w:val="00A47ACB"/>
    <w:rsid w:val="00A47C6C"/>
    <w:rsid w:val="00A505BE"/>
    <w:rsid w:val="00A5112B"/>
    <w:rsid w:val="00A51373"/>
    <w:rsid w:val="00A51ABE"/>
    <w:rsid w:val="00A51B3C"/>
    <w:rsid w:val="00A52387"/>
    <w:rsid w:val="00A5247A"/>
    <w:rsid w:val="00A526CF"/>
    <w:rsid w:val="00A52786"/>
    <w:rsid w:val="00A527E9"/>
    <w:rsid w:val="00A529F1"/>
    <w:rsid w:val="00A52EDA"/>
    <w:rsid w:val="00A54349"/>
    <w:rsid w:val="00A54E46"/>
    <w:rsid w:val="00A55B43"/>
    <w:rsid w:val="00A55B84"/>
    <w:rsid w:val="00A56089"/>
    <w:rsid w:val="00A562E2"/>
    <w:rsid w:val="00A56F9F"/>
    <w:rsid w:val="00A57A0D"/>
    <w:rsid w:val="00A57DBA"/>
    <w:rsid w:val="00A57E74"/>
    <w:rsid w:val="00A60329"/>
    <w:rsid w:val="00A607C1"/>
    <w:rsid w:val="00A60A2D"/>
    <w:rsid w:val="00A60A2F"/>
    <w:rsid w:val="00A60F56"/>
    <w:rsid w:val="00A61422"/>
    <w:rsid w:val="00A61A83"/>
    <w:rsid w:val="00A61C4E"/>
    <w:rsid w:val="00A6228A"/>
    <w:rsid w:val="00A627DF"/>
    <w:rsid w:val="00A628A0"/>
    <w:rsid w:val="00A62936"/>
    <w:rsid w:val="00A62EC7"/>
    <w:rsid w:val="00A62F7B"/>
    <w:rsid w:val="00A6346A"/>
    <w:rsid w:val="00A63721"/>
    <w:rsid w:val="00A63734"/>
    <w:rsid w:val="00A6395F"/>
    <w:rsid w:val="00A63A02"/>
    <w:rsid w:val="00A63B29"/>
    <w:rsid w:val="00A63FB8"/>
    <w:rsid w:val="00A64261"/>
    <w:rsid w:val="00A64B04"/>
    <w:rsid w:val="00A65645"/>
    <w:rsid w:val="00A66284"/>
    <w:rsid w:val="00A662B4"/>
    <w:rsid w:val="00A6632F"/>
    <w:rsid w:val="00A6669D"/>
    <w:rsid w:val="00A666F5"/>
    <w:rsid w:val="00A667E9"/>
    <w:rsid w:val="00A6682C"/>
    <w:rsid w:val="00A66FEB"/>
    <w:rsid w:val="00A67846"/>
    <w:rsid w:val="00A67D18"/>
    <w:rsid w:val="00A700DA"/>
    <w:rsid w:val="00A70142"/>
    <w:rsid w:val="00A71528"/>
    <w:rsid w:val="00A7180A"/>
    <w:rsid w:val="00A71864"/>
    <w:rsid w:val="00A71923"/>
    <w:rsid w:val="00A72F9A"/>
    <w:rsid w:val="00A73385"/>
    <w:rsid w:val="00A737E2"/>
    <w:rsid w:val="00A73A86"/>
    <w:rsid w:val="00A73E9B"/>
    <w:rsid w:val="00A7435F"/>
    <w:rsid w:val="00A74629"/>
    <w:rsid w:val="00A74761"/>
    <w:rsid w:val="00A74820"/>
    <w:rsid w:val="00A74C0A"/>
    <w:rsid w:val="00A74CF7"/>
    <w:rsid w:val="00A75061"/>
    <w:rsid w:val="00A75091"/>
    <w:rsid w:val="00A75522"/>
    <w:rsid w:val="00A755AB"/>
    <w:rsid w:val="00A755C6"/>
    <w:rsid w:val="00A75AE5"/>
    <w:rsid w:val="00A75EDC"/>
    <w:rsid w:val="00A75F69"/>
    <w:rsid w:val="00A7672E"/>
    <w:rsid w:val="00A7693D"/>
    <w:rsid w:val="00A771C5"/>
    <w:rsid w:val="00A772E6"/>
    <w:rsid w:val="00A77302"/>
    <w:rsid w:val="00A8027E"/>
    <w:rsid w:val="00A808B6"/>
    <w:rsid w:val="00A81286"/>
    <w:rsid w:val="00A816CB"/>
    <w:rsid w:val="00A81700"/>
    <w:rsid w:val="00A81ACD"/>
    <w:rsid w:val="00A82DB3"/>
    <w:rsid w:val="00A83302"/>
    <w:rsid w:val="00A83B36"/>
    <w:rsid w:val="00A849E8"/>
    <w:rsid w:val="00A84A01"/>
    <w:rsid w:val="00A84BF3"/>
    <w:rsid w:val="00A84EBD"/>
    <w:rsid w:val="00A85783"/>
    <w:rsid w:val="00A859F4"/>
    <w:rsid w:val="00A85D6A"/>
    <w:rsid w:val="00A8656F"/>
    <w:rsid w:val="00A87972"/>
    <w:rsid w:val="00A87D02"/>
    <w:rsid w:val="00A87D43"/>
    <w:rsid w:val="00A906B5"/>
    <w:rsid w:val="00A907A2"/>
    <w:rsid w:val="00A90A7A"/>
    <w:rsid w:val="00A90F0D"/>
    <w:rsid w:val="00A9144B"/>
    <w:rsid w:val="00A91584"/>
    <w:rsid w:val="00A91AE4"/>
    <w:rsid w:val="00A920C8"/>
    <w:rsid w:val="00A92CA7"/>
    <w:rsid w:val="00A932A8"/>
    <w:rsid w:val="00A93679"/>
    <w:rsid w:val="00A93F7B"/>
    <w:rsid w:val="00A94021"/>
    <w:rsid w:val="00A94183"/>
    <w:rsid w:val="00A94198"/>
    <w:rsid w:val="00A949FD"/>
    <w:rsid w:val="00A94B3C"/>
    <w:rsid w:val="00A94C9F"/>
    <w:rsid w:val="00A952A8"/>
    <w:rsid w:val="00A959EF"/>
    <w:rsid w:val="00A95DB4"/>
    <w:rsid w:val="00A9607C"/>
    <w:rsid w:val="00A9616A"/>
    <w:rsid w:val="00A96189"/>
    <w:rsid w:val="00A96272"/>
    <w:rsid w:val="00A96814"/>
    <w:rsid w:val="00A96975"/>
    <w:rsid w:val="00A96AE6"/>
    <w:rsid w:val="00A9741E"/>
    <w:rsid w:val="00A97DFB"/>
    <w:rsid w:val="00AA0091"/>
    <w:rsid w:val="00AA00F0"/>
    <w:rsid w:val="00AA0481"/>
    <w:rsid w:val="00AA04C8"/>
    <w:rsid w:val="00AA0D1A"/>
    <w:rsid w:val="00AA0EBE"/>
    <w:rsid w:val="00AA0F3C"/>
    <w:rsid w:val="00AA1157"/>
    <w:rsid w:val="00AA148E"/>
    <w:rsid w:val="00AA155A"/>
    <w:rsid w:val="00AA1669"/>
    <w:rsid w:val="00AA17CA"/>
    <w:rsid w:val="00AA1A96"/>
    <w:rsid w:val="00AA1CAB"/>
    <w:rsid w:val="00AA1DE3"/>
    <w:rsid w:val="00AA1F14"/>
    <w:rsid w:val="00AA21E4"/>
    <w:rsid w:val="00AA2225"/>
    <w:rsid w:val="00AA23CC"/>
    <w:rsid w:val="00AA241E"/>
    <w:rsid w:val="00AA271A"/>
    <w:rsid w:val="00AA295D"/>
    <w:rsid w:val="00AA2BD1"/>
    <w:rsid w:val="00AA2D35"/>
    <w:rsid w:val="00AA3405"/>
    <w:rsid w:val="00AA3AD3"/>
    <w:rsid w:val="00AA3ADA"/>
    <w:rsid w:val="00AA3D1D"/>
    <w:rsid w:val="00AA3E58"/>
    <w:rsid w:val="00AA3FA2"/>
    <w:rsid w:val="00AA3FAB"/>
    <w:rsid w:val="00AA4071"/>
    <w:rsid w:val="00AA4653"/>
    <w:rsid w:val="00AA4726"/>
    <w:rsid w:val="00AA4B64"/>
    <w:rsid w:val="00AA5A1E"/>
    <w:rsid w:val="00AA5F2A"/>
    <w:rsid w:val="00AA61BA"/>
    <w:rsid w:val="00AA6222"/>
    <w:rsid w:val="00AA62DD"/>
    <w:rsid w:val="00AA6D0B"/>
    <w:rsid w:val="00AA6EE3"/>
    <w:rsid w:val="00AA6F86"/>
    <w:rsid w:val="00AA7261"/>
    <w:rsid w:val="00AA7792"/>
    <w:rsid w:val="00AA7803"/>
    <w:rsid w:val="00AA7B44"/>
    <w:rsid w:val="00AB0343"/>
    <w:rsid w:val="00AB04A3"/>
    <w:rsid w:val="00AB07E8"/>
    <w:rsid w:val="00AB0ADA"/>
    <w:rsid w:val="00AB141F"/>
    <w:rsid w:val="00AB16C6"/>
    <w:rsid w:val="00AB1891"/>
    <w:rsid w:val="00AB1C1C"/>
    <w:rsid w:val="00AB247C"/>
    <w:rsid w:val="00AB2770"/>
    <w:rsid w:val="00AB286E"/>
    <w:rsid w:val="00AB2CC5"/>
    <w:rsid w:val="00AB2D03"/>
    <w:rsid w:val="00AB2D61"/>
    <w:rsid w:val="00AB2ECC"/>
    <w:rsid w:val="00AB34F6"/>
    <w:rsid w:val="00AB3662"/>
    <w:rsid w:val="00AB3782"/>
    <w:rsid w:val="00AB3E15"/>
    <w:rsid w:val="00AB4200"/>
    <w:rsid w:val="00AB4445"/>
    <w:rsid w:val="00AB463B"/>
    <w:rsid w:val="00AB4BEF"/>
    <w:rsid w:val="00AB5CEA"/>
    <w:rsid w:val="00AB625D"/>
    <w:rsid w:val="00AB7026"/>
    <w:rsid w:val="00AB706B"/>
    <w:rsid w:val="00AB73B4"/>
    <w:rsid w:val="00AB7411"/>
    <w:rsid w:val="00AB744A"/>
    <w:rsid w:val="00AB7ED2"/>
    <w:rsid w:val="00AB7F9D"/>
    <w:rsid w:val="00AC0461"/>
    <w:rsid w:val="00AC04C7"/>
    <w:rsid w:val="00AC06C8"/>
    <w:rsid w:val="00AC0956"/>
    <w:rsid w:val="00AC1140"/>
    <w:rsid w:val="00AC1275"/>
    <w:rsid w:val="00AC13AE"/>
    <w:rsid w:val="00AC15CF"/>
    <w:rsid w:val="00AC16B8"/>
    <w:rsid w:val="00AC1E92"/>
    <w:rsid w:val="00AC226D"/>
    <w:rsid w:val="00AC279B"/>
    <w:rsid w:val="00AC2818"/>
    <w:rsid w:val="00AC2EDA"/>
    <w:rsid w:val="00AC34CC"/>
    <w:rsid w:val="00AC36DF"/>
    <w:rsid w:val="00AC3892"/>
    <w:rsid w:val="00AC4341"/>
    <w:rsid w:val="00AC5B60"/>
    <w:rsid w:val="00AC5F10"/>
    <w:rsid w:val="00AC6235"/>
    <w:rsid w:val="00AC6DB8"/>
    <w:rsid w:val="00AC7943"/>
    <w:rsid w:val="00AC7D7B"/>
    <w:rsid w:val="00AD03F2"/>
    <w:rsid w:val="00AD0E1F"/>
    <w:rsid w:val="00AD0F53"/>
    <w:rsid w:val="00AD1150"/>
    <w:rsid w:val="00AD1585"/>
    <w:rsid w:val="00AD15D7"/>
    <w:rsid w:val="00AD167F"/>
    <w:rsid w:val="00AD1CE6"/>
    <w:rsid w:val="00AD2474"/>
    <w:rsid w:val="00AD26A5"/>
    <w:rsid w:val="00AD27D2"/>
    <w:rsid w:val="00AD2A3F"/>
    <w:rsid w:val="00AD2AE1"/>
    <w:rsid w:val="00AD2CCB"/>
    <w:rsid w:val="00AD2DC7"/>
    <w:rsid w:val="00AD39FD"/>
    <w:rsid w:val="00AD488F"/>
    <w:rsid w:val="00AD4918"/>
    <w:rsid w:val="00AD53FB"/>
    <w:rsid w:val="00AD56E8"/>
    <w:rsid w:val="00AD59B4"/>
    <w:rsid w:val="00AD5A03"/>
    <w:rsid w:val="00AD5BEF"/>
    <w:rsid w:val="00AD61DE"/>
    <w:rsid w:val="00AD6859"/>
    <w:rsid w:val="00AD6A5C"/>
    <w:rsid w:val="00AD6CAE"/>
    <w:rsid w:val="00AD6CF5"/>
    <w:rsid w:val="00AD781F"/>
    <w:rsid w:val="00AD78C1"/>
    <w:rsid w:val="00AD7D66"/>
    <w:rsid w:val="00AE02A0"/>
    <w:rsid w:val="00AE0516"/>
    <w:rsid w:val="00AE0C8E"/>
    <w:rsid w:val="00AE1181"/>
    <w:rsid w:val="00AE1189"/>
    <w:rsid w:val="00AE1282"/>
    <w:rsid w:val="00AE1392"/>
    <w:rsid w:val="00AE1940"/>
    <w:rsid w:val="00AE1E05"/>
    <w:rsid w:val="00AE2491"/>
    <w:rsid w:val="00AE2634"/>
    <w:rsid w:val="00AE4DCD"/>
    <w:rsid w:val="00AE5136"/>
    <w:rsid w:val="00AE5263"/>
    <w:rsid w:val="00AE53F0"/>
    <w:rsid w:val="00AE59D9"/>
    <w:rsid w:val="00AE5DED"/>
    <w:rsid w:val="00AE5F37"/>
    <w:rsid w:val="00AE6035"/>
    <w:rsid w:val="00AE65A7"/>
    <w:rsid w:val="00AE6708"/>
    <w:rsid w:val="00AE6A36"/>
    <w:rsid w:val="00AE765A"/>
    <w:rsid w:val="00AE7FC5"/>
    <w:rsid w:val="00AF001F"/>
    <w:rsid w:val="00AF0071"/>
    <w:rsid w:val="00AF0441"/>
    <w:rsid w:val="00AF0758"/>
    <w:rsid w:val="00AF0CFF"/>
    <w:rsid w:val="00AF0FA5"/>
    <w:rsid w:val="00AF158E"/>
    <w:rsid w:val="00AF2723"/>
    <w:rsid w:val="00AF322D"/>
    <w:rsid w:val="00AF32A8"/>
    <w:rsid w:val="00AF387C"/>
    <w:rsid w:val="00AF3C01"/>
    <w:rsid w:val="00AF441A"/>
    <w:rsid w:val="00AF4BE7"/>
    <w:rsid w:val="00AF4FAB"/>
    <w:rsid w:val="00AF55BB"/>
    <w:rsid w:val="00AF6014"/>
    <w:rsid w:val="00AF62E2"/>
    <w:rsid w:val="00AF74FE"/>
    <w:rsid w:val="00AF757E"/>
    <w:rsid w:val="00AF76C9"/>
    <w:rsid w:val="00AF7CDD"/>
    <w:rsid w:val="00AF7F14"/>
    <w:rsid w:val="00B005B1"/>
    <w:rsid w:val="00B00800"/>
    <w:rsid w:val="00B009AB"/>
    <w:rsid w:val="00B00A52"/>
    <w:rsid w:val="00B00B03"/>
    <w:rsid w:val="00B00BB4"/>
    <w:rsid w:val="00B010CA"/>
    <w:rsid w:val="00B01D60"/>
    <w:rsid w:val="00B01FF7"/>
    <w:rsid w:val="00B02194"/>
    <w:rsid w:val="00B035CA"/>
    <w:rsid w:val="00B045D9"/>
    <w:rsid w:val="00B048AF"/>
    <w:rsid w:val="00B0520A"/>
    <w:rsid w:val="00B052DA"/>
    <w:rsid w:val="00B054B2"/>
    <w:rsid w:val="00B0553A"/>
    <w:rsid w:val="00B05BBA"/>
    <w:rsid w:val="00B05D11"/>
    <w:rsid w:val="00B05E95"/>
    <w:rsid w:val="00B05F1E"/>
    <w:rsid w:val="00B063CE"/>
    <w:rsid w:val="00B06B66"/>
    <w:rsid w:val="00B073E4"/>
    <w:rsid w:val="00B0747F"/>
    <w:rsid w:val="00B07AE6"/>
    <w:rsid w:val="00B07C1E"/>
    <w:rsid w:val="00B10124"/>
    <w:rsid w:val="00B105A4"/>
    <w:rsid w:val="00B106D3"/>
    <w:rsid w:val="00B10799"/>
    <w:rsid w:val="00B1112B"/>
    <w:rsid w:val="00B11503"/>
    <w:rsid w:val="00B1260A"/>
    <w:rsid w:val="00B126A6"/>
    <w:rsid w:val="00B126F0"/>
    <w:rsid w:val="00B12AF9"/>
    <w:rsid w:val="00B12C12"/>
    <w:rsid w:val="00B12E54"/>
    <w:rsid w:val="00B13775"/>
    <w:rsid w:val="00B1396C"/>
    <w:rsid w:val="00B143B2"/>
    <w:rsid w:val="00B144F2"/>
    <w:rsid w:val="00B14B9A"/>
    <w:rsid w:val="00B15222"/>
    <w:rsid w:val="00B157A4"/>
    <w:rsid w:val="00B159E9"/>
    <w:rsid w:val="00B15D7F"/>
    <w:rsid w:val="00B160F1"/>
    <w:rsid w:val="00B166EC"/>
    <w:rsid w:val="00B16740"/>
    <w:rsid w:val="00B17A34"/>
    <w:rsid w:val="00B2007D"/>
    <w:rsid w:val="00B20261"/>
    <w:rsid w:val="00B20317"/>
    <w:rsid w:val="00B20654"/>
    <w:rsid w:val="00B20A02"/>
    <w:rsid w:val="00B2123B"/>
    <w:rsid w:val="00B21475"/>
    <w:rsid w:val="00B2158E"/>
    <w:rsid w:val="00B22347"/>
    <w:rsid w:val="00B2244E"/>
    <w:rsid w:val="00B225EB"/>
    <w:rsid w:val="00B225EE"/>
    <w:rsid w:val="00B2281A"/>
    <w:rsid w:val="00B23661"/>
    <w:rsid w:val="00B2442C"/>
    <w:rsid w:val="00B2480B"/>
    <w:rsid w:val="00B25189"/>
    <w:rsid w:val="00B257D2"/>
    <w:rsid w:val="00B25A95"/>
    <w:rsid w:val="00B25E0A"/>
    <w:rsid w:val="00B26905"/>
    <w:rsid w:val="00B26FEC"/>
    <w:rsid w:val="00B270EB"/>
    <w:rsid w:val="00B270FE"/>
    <w:rsid w:val="00B2712B"/>
    <w:rsid w:val="00B27CCF"/>
    <w:rsid w:val="00B3032C"/>
    <w:rsid w:val="00B3043A"/>
    <w:rsid w:val="00B30C42"/>
    <w:rsid w:val="00B30C66"/>
    <w:rsid w:val="00B30EA9"/>
    <w:rsid w:val="00B30FC1"/>
    <w:rsid w:val="00B31763"/>
    <w:rsid w:val="00B31974"/>
    <w:rsid w:val="00B31B39"/>
    <w:rsid w:val="00B31F37"/>
    <w:rsid w:val="00B32736"/>
    <w:rsid w:val="00B32AD4"/>
    <w:rsid w:val="00B32D4F"/>
    <w:rsid w:val="00B331FB"/>
    <w:rsid w:val="00B33267"/>
    <w:rsid w:val="00B33975"/>
    <w:rsid w:val="00B33989"/>
    <w:rsid w:val="00B33DC9"/>
    <w:rsid w:val="00B340F5"/>
    <w:rsid w:val="00B34301"/>
    <w:rsid w:val="00B35116"/>
    <w:rsid w:val="00B351EC"/>
    <w:rsid w:val="00B3532C"/>
    <w:rsid w:val="00B36219"/>
    <w:rsid w:val="00B36257"/>
    <w:rsid w:val="00B365DD"/>
    <w:rsid w:val="00B36CE7"/>
    <w:rsid w:val="00B37050"/>
    <w:rsid w:val="00B37297"/>
    <w:rsid w:val="00B3770D"/>
    <w:rsid w:val="00B37731"/>
    <w:rsid w:val="00B37900"/>
    <w:rsid w:val="00B37D25"/>
    <w:rsid w:val="00B40646"/>
    <w:rsid w:val="00B4095F"/>
    <w:rsid w:val="00B4099C"/>
    <w:rsid w:val="00B41A67"/>
    <w:rsid w:val="00B41DFA"/>
    <w:rsid w:val="00B43C94"/>
    <w:rsid w:val="00B444B5"/>
    <w:rsid w:val="00B4477C"/>
    <w:rsid w:val="00B44C5A"/>
    <w:rsid w:val="00B45111"/>
    <w:rsid w:val="00B45886"/>
    <w:rsid w:val="00B45AA7"/>
    <w:rsid w:val="00B45E3D"/>
    <w:rsid w:val="00B45EB8"/>
    <w:rsid w:val="00B46187"/>
    <w:rsid w:val="00B461F4"/>
    <w:rsid w:val="00B46537"/>
    <w:rsid w:val="00B46C85"/>
    <w:rsid w:val="00B47113"/>
    <w:rsid w:val="00B47F85"/>
    <w:rsid w:val="00B504BB"/>
    <w:rsid w:val="00B505A2"/>
    <w:rsid w:val="00B50AEA"/>
    <w:rsid w:val="00B50BAB"/>
    <w:rsid w:val="00B50ED5"/>
    <w:rsid w:val="00B510EA"/>
    <w:rsid w:val="00B51250"/>
    <w:rsid w:val="00B51386"/>
    <w:rsid w:val="00B517F6"/>
    <w:rsid w:val="00B518D3"/>
    <w:rsid w:val="00B51990"/>
    <w:rsid w:val="00B51B62"/>
    <w:rsid w:val="00B51D01"/>
    <w:rsid w:val="00B52296"/>
    <w:rsid w:val="00B526AD"/>
    <w:rsid w:val="00B52767"/>
    <w:rsid w:val="00B52EF5"/>
    <w:rsid w:val="00B5302F"/>
    <w:rsid w:val="00B53F54"/>
    <w:rsid w:val="00B54852"/>
    <w:rsid w:val="00B54ABC"/>
    <w:rsid w:val="00B54E8C"/>
    <w:rsid w:val="00B54F74"/>
    <w:rsid w:val="00B5508C"/>
    <w:rsid w:val="00B55506"/>
    <w:rsid w:val="00B55AB0"/>
    <w:rsid w:val="00B56A01"/>
    <w:rsid w:val="00B56A3C"/>
    <w:rsid w:val="00B579BA"/>
    <w:rsid w:val="00B57B39"/>
    <w:rsid w:val="00B600AA"/>
    <w:rsid w:val="00B605DB"/>
    <w:rsid w:val="00B6089B"/>
    <w:rsid w:val="00B6091F"/>
    <w:rsid w:val="00B6157A"/>
    <w:rsid w:val="00B616BE"/>
    <w:rsid w:val="00B61C52"/>
    <w:rsid w:val="00B61E64"/>
    <w:rsid w:val="00B621CD"/>
    <w:rsid w:val="00B625B4"/>
    <w:rsid w:val="00B626C5"/>
    <w:rsid w:val="00B62701"/>
    <w:rsid w:val="00B627F1"/>
    <w:rsid w:val="00B628D3"/>
    <w:rsid w:val="00B6291F"/>
    <w:rsid w:val="00B62921"/>
    <w:rsid w:val="00B62ED6"/>
    <w:rsid w:val="00B636BA"/>
    <w:rsid w:val="00B63DCF"/>
    <w:rsid w:val="00B63EB8"/>
    <w:rsid w:val="00B63FFC"/>
    <w:rsid w:val="00B6401D"/>
    <w:rsid w:val="00B6466A"/>
    <w:rsid w:val="00B64F6F"/>
    <w:rsid w:val="00B6503A"/>
    <w:rsid w:val="00B65399"/>
    <w:rsid w:val="00B654D1"/>
    <w:rsid w:val="00B65CEA"/>
    <w:rsid w:val="00B65E8A"/>
    <w:rsid w:val="00B66464"/>
    <w:rsid w:val="00B66971"/>
    <w:rsid w:val="00B66C58"/>
    <w:rsid w:val="00B67236"/>
    <w:rsid w:val="00B677D2"/>
    <w:rsid w:val="00B67CC2"/>
    <w:rsid w:val="00B70729"/>
    <w:rsid w:val="00B70DCB"/>
    <w:rsid w:val="00B7150E"/>
    <w:rsid w:val="00B720E2"/>
    <w:rsid w:val="00B72326"/>
    <w:rsid w:val="00B728BC"/>
    <w:rsid w:val="00B72AA4"/>
    <w:rsid w:val="00B72C16"/>
    <w:rsid w:val="00B72EC0"/>
    <w:rsid w:val="00B731BD"/>
    <w:rsid w:val="00B737B8"/>
    <w:rsid w:val="00B73E89"/>
    <w:rsid w:val="00B74299"/>
    <w:rsid w:val="00B744A7"/>
    <w:rsid w:val="00B74891"/>
    <w:rsid w:val="00B75AA9"/>
    <w:rsid w:val="00B75DB2"/>
    <w:rsid w:val="00B760E9"/>
    <w:rsid w:val="00B76D27"/>
    <w:rsid w:val="00B76DD2"/>
    <w:rsid w:val="00B76E31"/>
    <w:rsid w:val="00B76F6F"/>
    <w:rsid w:val="00B77994"/>
    <w:rsid w:val="00B80610"/>
    <w:rsid w:val="00B8089E"/>
    <w:rsid w:val="00B8185C"/>
    <w:rsid w:val="00B81BD1"/>
    <w:rsid w:val="00B81C94"/>
    <w:rsid w:val="00B8234E"/>
    <w:rsid w:val="00B82419"/>
    <w:rsid w:val="00B8244C"/>
    <w:rsid w:val="00B82545"/>
    <w:rsid w:val="00B826BE"/>
    <w:rsid w:val="00B82977"/>
    <w:rsid w:val="00B82AAD"/>
    <w:rsid w:val="00B82B6E"/>
    <w:rsid w:val="00B82BF1"/>
    <w:rsid w:val="00B8301E"/>
    <w:rsid w:val="00B8385E"/>
    <w:rsid w:val="00B83F28"/>
    <w:rsid w:val="00B841DC"/>
    <w:rsid w:val="00B848E7"/>
    <w:rsid w:val="00B84E33"/>
    <w:rsid w:val="00B85384"/>
    <w:rsid w:val="00B8541E"/>
    <w:rsid w:val="00B855F5"/>
    <w:rsid w:val="00B86214"/>
    <w:rsid w:val="00B862F3"/>
    <w:rsid w:val="00B86C3D"/>
    <w:rsid w:val="00B8797C"/>
    <w:rsid w:val="00B90069"/>
    <w:rsid w:val="00B90630"/>
    <w:rsid w:val="00B91202"/>
    <w:rsid w:val="00B91663"/>
    <w:rsid w:val="00B91C65"/>
    <w:rsid w:val="00B9206A"/>
    <w:rsid w:val="00B92E96"/>
    <w:rsid w:val="00B934FC"/>
    <w:rsid w:val="00B93690"/>
    <w:rsid w:val="00B942F7"/>
    <w:rsid w:val="00B9437A"/>
    <w:rsid w:val="00B9466F"/>
    <w:rsid w:val="00B946DD"/>
    <w:rsid w:val="00B94759"/>
    <w:rsid w:val="00B9476C"/>
    <w:rsid w:val="00B94BBD"/>
    <w:rsid w:val="00B94EC2"/>
    <w:rsid w:val="00B953AF"/>
    <w:rsid w:val="00B95F6E"/>
    <w:rsid w:val="00B96009"/>
    <w:rsid w:val="00B963B6"/>
    <w:rsid w:val="00B96511"/>
    <w:rsid w:val="00B96D26"/>
    <w:rsid w:val="00B97070"/>
    <w:rsid w:val="00B97A6B"/>
    <w:rsid w:val="00B97C32"/>
    <w:rsid w:val="00B97D27"/>
    <w:rsid w:val="00BA0281"/>
    <w:rsid w:val="00BA0EE5"/>
    <w:rsid w:val="00BA0F20"/>
    <w:rsid w:val="00BA0FA6"/>
    <w:rsid w:val="00BA1513"/>
    <w:rsid w:val="00BA1D04"/>
    <w:rsid w:val="00BA21FB"/>
    <w:rsid w:val="00BA2202"/>
    <w:rsid w:val="00BA2574"/>
    <w:rsid w:val="00BA3CB3"/>
    <w:rsid w:val="00BA3D4D"/>
    <w:rsid w:val="00BA4492"/>
    <w:rsid w:val="00BA4B03"/>
    <w:rsid w:val="00BA55DE"/>
    <w:rsid w:val="00BA57AC"/>
    <w:rsid w:val="00BA5AA2"/>
    <w:rsid w:val="00BA5C22"/>
    <w:rsid w:val="00BA5F0D"/>
    <w:rsid w:val="00BA6161"/>
    <w:rsid w:val="00BA6364"/>
    <w:rsid w:val="00BA6634"/>
    <w:rsid w:val="00BA68DA"/>
    <w:rsid w:val="00BA6BEF"/>
    <w:rsid w:val="00BA6D4F"/>
    <w:rsid w:val="00BA6EAB"/>
    <w:rsid w:val="00BA7354"/>
    <w:rsid w:val="00BA7EE4"/>
    <w:rsid w:val="00BB01DA"/>
    <w:rsid w:val="00BB0AEB"/>
    <w:rsid w:val="00BB0B99"/>
    <w:rsid w:val="00BB0CFF"/>
    <w:rsid w:val="00BB0F79"/>
    <w:rsid w:val="00BB0F91"/>
    <w:rsid w:val="00BB11F2"/>
    <w:rsid w:val="00BB1551"/>
    <w:rsid w:val="00BB1D21"/>
    <w:rsid w:val="00BB22EA"/>
    <w:rsid w:val="00BB23EC"/>
    <w:rsid w:val="00BB291F"/>
    <w:rsid w:val="00BB2E15"/>
    <w:rsid w:val="00BB2EFA"/>
    <w:rsid w:val="00BB378A"/>
    <w:rsid w:val="00BB3F71"/>
    <w:rsid w:val="00BB43C4"/>
    <w:rsid w:val="00BB4601"/>
    <w:rsid w:val="00BB48BB"/>
    <w:rsid w:val="00BB49E0"/>
    <w:rsid w:val="00BB5079"/>
    <w:rsid w:val="00BB555A"/>
    <w:rsid w:val="00BB56B4"/>
    <w:rsid w:val="00BB57A9"/>
    <w:rsid w:val="00BB58F3"/>
    <w:rsid w:val="00BB5EDF"/>
    <w:rsid w:val="00BB5FCE"/>
    <w:rsid w:val="00BB6AC7"/>
    <w:rsid w:val="00BB7280"/>
    <w:rsid w:val="00BB73E0"/>
    <w:rsid w:val="00BB74AC"/>
    <w:rsid w:val="00BB7C2F"/>
    <w:rsid w:val="00BC03D4"/>
    <w:rsid w:val="00BC0894"/>
    <w:rsid w:val="00BC1490"/>
    <w:rsid w:val="00BC1F1F"/>
    <w:rsid w:val="00BC20AA"/>
    <w:rsid w:val="00BC26DB"/>
    <w:rsid w:val="00BC2BAD"/>
    <w:rsid w:val="00BC2C55"/>
    <w:rsid w:val="00BC3810"/>
    <w:rsid w:val="00BC3EB6"/>
    <w:rsid w:val="00BC41BB"/>
    <w:rsid w:val="00BC42DA"/>
    <w:rsid w:val="00BC484B"/>
    <w:rsid w:val="00BC4A27"/>
    <w:rsid w:val="00BC509C"/>
    <w:rsid w:val="00BC5254"/>
    <w:rsid w:val="00BC54D3"/>
    <w:rsid w:val="00BC5B1E"/>
    <w:rsid w:val="00BC5EDF"/>
    <w:rsid w:val="00BC63A4"/>
    <w:rsid w:val="00BC64B8"/>
    <w:rsid w:val="00BC6962"/>
    <w:rsid w:val="00BC6F4E"/>
    <w:rsid w:val="00BD06EA"/>
    <w:rsid w:val="00BD0D97"/>
    <w:rsid w:val="00BD1007"/>
    <w:rsid w:val="00BD121C"/>
    <w:rsid w:val="00BD1407"/>
    <w:rsid w:val="00BD1507"/>
    <w:rsid w:val="00BD1983"/>
    <w:rsid w:val="00BD1A6D"/>
    <w:rsid w:val="00BD1B54"/>
    <w:rsid w:val="00BD2B20"/>
    <w:rsid w:val="00BD3060"/>
    <w:rsid w:val="00BD3666"/>
    <w:rsid w:val="00BD39E0"/>
    <w:rsid w:val="00BD3AE6"/>
    <w:rsid w:val="00BD52CF"/>
    <w:rsid w:val="00BD546B"/>
    <w:rsid w:val="00BD5841"/>
    <w:rsid w:val="00BD5B3A"/>
    <w:rsid w:val="00BD5B54"/>
    <w:rsid w:val="00BD5C2A"/>
    <w:rsid w:val="00BD630C"/>
    <w:rsid w:val="00BD66FE"/>
    <w:rsid w:val="00BD6F52"/>
    <w:rsid w:val="00BD723A"/>
    <w:rsid w:val="00BD729D"/>
    <w:rsid w:val="00BD733B"/>
    <w:rsid w:val="00BD7D02"/>
    <w:rsid w:val="00BD7D20"/>
    <w:rsid w:val="00BD7DBC"/>
    <w:rsid w:val="00BE083C"/>
    <w:rsid w:val="00BE0FB7"/>
    <w:rsid w:val="00BE1549"/>
    <w:rsid w:val="00BE17B1"/>
    <w:rsid w:val="00BE1DCC"/>
    <w:rsid w:val="00BE21F3"/>
    <w:rsid w:val="00BE2494"/>
    <w:rsid w:val="00BE2816"/>
    <w:rsid w:val="00BE2DCC"/>
    <w:rsid w:val="00BE3212"/>
    <w:rsid w:val="00BE382C"/>
    <w:rsid w:val="00BE39AA"/>
    <w:rsid w:val="00BE452D"/>
    <w:rsid w:val="00BE48E0"/>
    <w:rsid w:val="00BE4BBE"/>
    <w:rsid w:val="00BE4C68"/>
    <w:rsid w:val="00BE50E4"/>
    <w:rsid w:val="00BE5650"/>
    <w:rsid w:val="00BE6570"/>
    <w:rsid w:val="00BE659B"/>
    <w:rsid w:val="00BE660C"/>
    <w:rsid w:val="00BE676E"/>
    <w:rsid w:val="00BE6772"/>
    <w:rsid w:val="00BE68C5"/>
    <w:rsid w:val="00BE6E25"/>
    <w:rsid w:val="00BE7337"/>
    <w:rsid w:val="00BE7596"/>
    <w:rsid w:val="00BE76E4"/>
    <w:rsid w:val="00BE7727"/>
    <w:rsid w:val="00BF0685"/>
    <w:rsid w:val="00BF0895"/>
    <w:rsid w:val="00BF10F4"/>
    <w:rsid w:val="00BF1589"/>
    <w:rsid w:val="00BF1714"/>
    <w:rsid w:val="00BF1B6F"/>
    <w:rsid w:val="00BF20C7"/>
    <w:rsid w:val="00BF2EEC"/>
    <w:rsid w:val="00BF37D7"/>
    <w:rsid w:val="00BF38BD"/>
    <w:rsid w:val="00BF38FE"/>
    <w:rsid w:val="00BF3903"/>
    <w:rsid w:val="00BF3F0F"/>
    <w:rsid w:val="00BF46F3"/>
    <w:rsid w:val="00BF4F93"/>
    <w:rsid w:val="00BF54D2"/>
    <w:rsid w:val="00BF5CAA"/>
    <w:rsid w:val="00BF608A"/>
    <w:rsid w:val="00BF6600"/>
    <w:rsid w:val="00BF6BD8"/>
    <w:rsid w:val="00BF6EBB"/>
    <w:rsid w:val="00BF7369"/>
    <w:rsid w:val="00BF761A"/>
    <w:rsid w:val="00BF7D5F"/>
    <w:rsid w:val="00C00CAE"/>
    <w:rsid w:val="00C00D6B"/>
    <w:rsid w:val="00C00F71"/>
    <w:rsid w:val="00C0124A"/>
    <w:rsid w:val="00C01CF5"/>
    <w:rsid w:val="00C02170"/>
    <w:rsid w:val="00C02FAB"/>
    <w:rsid w:val="00C03EBC"/>
    <w:rsid w:val="00C03F84"/>
    <w:rsid w:val="00C04B1B"/>
    <w:rsid w:val="00C04C5C"/>
    <w:rsid w:val="00C04EA0"/>
    <w:rsid w:val="00C05085"/>
    <w:rsid w:val="00C05418"/>
    <w:rsid w:val="00C054AE"/>
    <w:rsid w:val="00C05990"/>
    <w:rsid w:val="00C05BDB"/>
    <w:rsid w:val="00C062ED"/>
    <w:rsid w:val="00C06327"/>
    <w:rsid w:val="00C064AD"/>
    <w:rsid w:val="00C06658"/>
    <w:rsid w:val="00C067FF"/>
    <w:rsid w:val="00C06A72"/>
    <w:rsid w:val="00C073B8"/>
    <w:rsid w:val="00C07912"/>
    <w:rsid w:val="00C102F4"/>
    <w:rsid w:val="00C104D5"/>
    <w:rsid w:val="00C10675"/>
    <w:rsid w:val="00C10CFC"/>
    <w:rsid w:val="00C111C1"/>
    <w:rsid w:val="00C122C1"/>
    <w:rsid w:val="00C123A1"/>
    <w:rsid w:val="00C12DE6"/>
    <w:rsid w:val="00C12EF7"/>
    <w:rsid w:val="00C1310B"/>
    <w:rsid w:val="00C137B1"/>
    <w:rsid w:val="00C13911"/>
    <w:rsid w:val="00C13A04"/>
    <w:rsid w:val="00C14049"/>
    <w:rsid w:val="00C15207"/>
    <w:rsid w:val="00C15485"/>
    <w:rsid w:val="00C1578B"/>
    <w:rsid w:val="00C159EF"/>
    <w:rsid w:val="00C15BB2"/>
    <w:rsid w:val="00C15CC2"/>
    <w:rsid w:val="00C161BF"/>
    <w:rsid w:val="00C16229"/>
    <w:rsid w:val="00C1675E"/>
    <w:rsid w:val="00C16877"/>
    <w:rsid w:val="00C16970"/>
    <w:rsid w:val="00C16B24"/>
    <w:rsid w:val="00C16DA9"/>
    <w:rsid w:val="00C17063"/>
    <w:rsid w:val="00C172CB"/>
    <w:rsid w:val="00C17CFD"/>
    <w:rsid w:val="00C17D90"/>
    <w:rsid w:val="00C17F29"/>
    <w:rsid w:val="00C20532"/>
    <w:rsid w:val="00C21275"/>
    <w:rsid w:val="00C21327"/>
    <w:rsid w:val="00C21575"/>
    <w:rsid w:val="00C2175F"/>
    <w:rsid w:val="00C217F6"/>
    <w:rsid w:val="00C21844"/>
    <w:rsid w:val="00C2195B"/>
    <w:rsid w:val="00C220D1"/>
    <w:rsid w:val="00C22B37"/>
    <w:rsid w:val="00C22BB0"/>
    <w:rsid w:val="00C22C58"/>
    <w:rsid w:val="00C236F7"/>
    <w:rsid w:val="00C2375F"/>
    <w:rsid w:val="00C238FA"/>
    <w:rsid w:val="00C23D6A"/>
    <w:rsid w:val="00C23F9A"/>
    <w:rsid w:val="00C2443C"/>
    <w:rsid w:val="00C24D86"/>
    <w:rsid w:val="00C24FC8"/>
    <w:rsid w:val="00C25F14"/>
    <w:rsid w:val="00C26503"/>
    <w:rsid w:val="00C2653F"/>
    <w:rsid w:val="00C2671E"/>
    <w:rsid w:val="00C26F4B"/>
    <w:rsid w:val="00C270B9"/>
    <w:rsid w:val="00C271C6"/>
    <w:rsid w:val="00C272B4"/>
    <w:rsid w:val="00C27383"/>
    <w:rsid w:val="00C2765E"/>
    <w:rsid w:val="00C279CF"/>
    <w:rsid w:val="00C27C23"/>
    <w:rsid w:val="00C27F3E"/>
    <w:rsid w:val="00C30173"/>
    <w:rsid w:val="00C3018F"/>
    <w:rsid w:val="00C30412"/>
    <w:rsid w:val="00C30648"/>
    <w:rsid w:val="00C30D3A"/>
    <w:rsid w:val="00C30F7E"/>
    <w:rsid w:val="00C312F0"/>
    <w:rsid w:val="00C318C1"/>
    <w:rsid w:val="00C321E1"/>
    <w:rsid w:val="00C32A36"/>
    <w:rsid w:val="00C32D4B"/>
    <w:rsid w:val="00C32EE7"/>
    <w:rsid w:val="00C330E0"/>
    <w:rsid w:val="00C334D1"/>
    <w:rsid w:val="00C33AE6"/>
    <w:rsid w:val="00C33AE7"/>
    <w:rsid w:val="00C33B5B"/>
    <w:rsid w:val="00C340FA"/>
    <w:rsid w:val="00C34417"/>
    <w:rsid w:val="00C34CA0"/>
    <w:rsid w:val="00C34F18"/>
    <w:rsid w:val="00C354B7"/>
    <w:rsid w:val="00C358D7"/>
    <w:rsid w:val="00C358FA"/>
    <w:rsid w:val="00C35E8D"/>
    <w:rsid w:val="00C36653"/>
    <w:rsid w:val="00C3681C"/>
    <w:rsid w:val="00C36940"/>
    <w:rsid w:val="00C36974"/>
    <w:rsid w:val="00C36E6A"/>
    <w:rsid w:val="00C37088"/>
    <w:rsid w:val="00C37285"/>
    <w:rsid w:val="00C376DC"/>
    <w:rsid w:val="00C37771"/>
    <w:rsid w:val="00C37CC5"/>
    <w:rsid w:val="00C403A7"/>
    <w:rsid w:val="00C4073F"/>
    <w:rsid w:val="00C40830"/>
    <w:rsid w:val="00C40FAE"/>
    <w:rsid w:val="00C41161"/>
    <w:rsid w:val="00C41619"/>
    <w:rsid w:val="00C421B2"/>
    <w:rsid w:val="00C4237A"/>
    <w:rsid w:val="00C42A7C"/>
    <w:rsid w:val="00C43B0D"/>
    <w:rsid w:val="00C44CF1"/>
    <w:rsid w:val="00C45B01"/>
    <w:rsid w:val="00C45EAF"/>
    <w:rsid w:val="00C45F77"/>
    <w:rsid w:val="00C46152"/>
    <w:rsid w:val="00C46B6C"/>
    <w:rsid w:val="00C46CFE"/>
    <w:rsid w:val="00C46FA1"/>
    <w:rsid w:val="00C47308"/>
    <w:rsid w:val="00C473C2"/>
    <w:rsid w:val="00C47A92"/>
    <w:rsid w:val="00C50028"/>
    <w:rsid w:val="00C5016E"/>
    <w:rsid w:val="00C507F1"/>
    <w:rsid w:val="00C50BAB"/>
    <w:rsid w:val="00C51053"/>
    <w:rsid w:val="00C51084"/>
    <w:rsid w:val="00C510FC"/>
    <w:rsid w:val="00C5153E"/>
    <w:rsid w:val="00C516E5"/>
    <w:rsid w:val="00C51E2E"/>
    <w:rsid w:val="00C52565"/>
    <w:rsid w:val="00C52C93"/>
    <w:rsid w:val="00C52CD4"/>
    <w:rsid w:val="00C52DA4"/>
    <w:rsid w:val="00C53823"/>
    <w:rsid w:val="00C538A3"/>
    <w:rsid w:val="00C53F65"/>
    <w:rsid w:val="00C5457F"/>
    <w:rsid w:val="00C547C5"/>
    <w:rsid w:val="00C54BF8"/>
    <w:rsid w:val="00C56354"/>
    <w:rsid w:val="00C56583"/>
    <w:rsid w:val="00C5677B"/>
    <w:rsid w:val="00C56825"/>
    <w:rsid w:val="00C5685E"/>
    <w:rsid w:val="00C568E9"/>
    <w:rsid w:val="00C5715A"/>
    <w:rsid w:val="00C57179"/>
    <w:rsid w:val="00C57278"/>
    <w:rsid w:val="00C57934"/>
    <w:rsid w:val="00C605DA"/>
    <w:rsid w:val="00C60745"/>
    <w:rsid w:val="00C60AEB"/>
    <w:rsid w:val="00C62090"/>
    <w:rsid w:val="00C62681"/>
    <w:rsid w:val="00C626ED"/>
    <w:rsid w:val="00C628B8"/>
    <w:rsid w:val="00C62B14"/>
    <w:rsid w:val="00C62BD4"/>
    <w:rsid w:val="00C632F4"/>
    <w:rsid w:val="00C633FD"/>
    <w:rsid w:val="00C63D20"/>
    <w:rsid w:val="00C63F8F"/>
    <w:rsid w:val="00C6446F"/>
    <w:rsid w:val="00C652E0"/>
    <w:rsid w:val="00C6644A"/>
    <w:rsid w:val="00C66B42"/>
    <w:rsid w:val="00C6719E"/>
    <w:rsid w:val="00C7023D"/>
    <w:rsid w:val="00C7038C"/>
    <w:rsid w:val="00C707C6"/>
    <w:rsid w:val="00C70DD9"/>
    <w:rsid w:val="00C70E05"/>
    <w:rsid w:val="00C71204"/>
    <w:rsid w:val="00C717D0"/>
    <w:rsid w:val="00C71D7C"/>
    <w:rsid w:val="00C71E3A"/>
    <w:rsid w:val="00C71EBF"/>
    <w:rsid w:val="00C72477"/>
    <w:rsid w:val="00C729D2"/>
    <w:rsid w:val="00C7334F"/>
    <w:rsid w:val="00C73678"/>
    <w:rsid w:val="00C73C81"/>
    <w:rsid w:val="00C73D2E"/>
    <w:rsid w:val="00C73E42"/>
    <w:rsid w:val="00C73FFA"/>
    <w:rsid w:val="00C74AB0"/>
    <w:rsid w:val="00C750D4"/>
    <w:rsid w:val="00C7511C"/>
    <w:rsid w:val="00C75362"/>
    <w:rsid w:val="00C753AD"/>
    <w:rsid w:val="00C758B1"/>
    <w:rsid w:val="00C75C5D"/>
    <w:rsid w:val="00C75FF7"/>
    <w:rsid w:val="00C760B3"/>
    <w:rsid w:val="00C76435"/>
    <w:rsid w:val="00C76666"/>
    <w:rsid w:val="00C766A0"/>
    <w:rsid w:val="00C772B8"/>
    <w:rsid w:val="00C77D7F"/>
    <w:rsid w:val="00C77F1A"/>
    <w:rsid w:val="00C8005B"/>
    <w:rsid w:val="00C808EF"/>
    <w:rsid w:val="00C80991"/>
    <w:rsid w:val="00C80DAD"/>
    <w:rsid w:val="00C80E1B"/>
    <w:rsid w:val="00C80E35"/>
    <w:rsid w:val="00C8107B"/>
    <w:rsid w:val="00C8174C"/>
    <w:rsid w:val="00C82AA3"/>
    <w:rsid w:val="00C82B75"/>
    <w:rsid w:val="00C82D25"/>
    <w:rsid w:val="00C83282"/>
    <w:rsid w:val="00C8355F"/>
    <w:rsid w:val="00C837B8"/>
    <w:rsid w:val="00C83858"/>
    <w:rsid w:val="00C83C34"/>
    <w:rsid w:val="00C84C80"/>
    <w:rsid w:val="00C84E2D"/>
    <w:rsid w:val="00C84E43"/>
    <w:rsid w:val="00C84E73"/>
    <w:rsid w:val="00C85BCC"/>
    <w:rsid w:val="00C85ED0"/>
    <w:rsid w:val="00C86E76"/>
    <w:rsid w:val="00C87232"/>
    <w:rsid w:val="00C87255"/>
    <w:rsid w:val="00C87512"/>
    <w:rsid w:val="00C87860"/>
    <w:rsid w:val="00C8798B"/>
    <w:rsid w:val="00C87E15"/>
    <w:rsid w:val="00C9153A"/>
    <w:rsid w:val="00C91F18"/>
    <w:rsid w:val="00C9235D"/>
    <w:rsid w:val="00C92E2C"/>
    <w:rsid w:val="00C930A6"/>
    <w:rsid w:val="00C93F0D"/>
    <w:rsid w:val="00C94031"/>
    <w:rsid w:val="00C94108"/>
    <w:rsid w:val="00C942DA"/>
    <w:rsid w:val="00C94B68"/>
    <w:rsid w:val="00C95827"/>
    <w:rsid w:val="00C963B4"/>
    <w:rsid w:val="00C963E0"/>
    <w:rsid w:val="00C9686A"/>
    <w:rsid w:val="00C9690A"/>
    <w:rsid w:val="00C96A2D"/>
    <w:rsid w:val="00C971C8"/>
    <w:rsid w:val="00C975E8"/>
    <w:rsid w:val="00C97604"/>
    <w:rsid w:val="00C97DBA"/>
    <w:rsid w:val="00CA0203"/>
    <w:rsid w:val="00CA0ED9"/>
    <w:rsid w:val="00CA13CC"/>
    <w:rsid w:val="00CA1C65"/>
    <w:rsid w:val="00CA2C4C"/>
    <w:rsid w:val="00CA2DE1"/>
    <w:rsid w:val="00CA2DEA"/>
    <w:rsid w:val="00CA2E6E"/>
    <w:rsid w:val="00CA2EF4"/>
    <w:rsid w:val="00CA30E9"/>
    <w:rsid w:val="00CA3E35"/>
    <w:rsid w:val="00CA4355"/>
    <w:rsid w:val="00CA4680"/>
    <w:rsid w:val="00CA46E2"/>
    <w:rsid w:val="00CA50FA"/>
    <w:rsid w:val="00CA6A55"/>
    <w:rsid w:val="00CA6C32"/>
    <w:rsid w:val="00CA7B96"/>
    <w:rsid w:val="00CA7F22"/>
    <w:rsid w:val="00CB07A6"/>
    <w:rsid w:val="00CB0A10"/>
    <w:rsid w:val="00CB0E37"/>
    <w:rsid w:val="00CB0F06"/>
    <w:rsid w:val="00CB0F11"/>
    <w:rsid w:val="00CB165C"/>
    <w:rsid w:val="00CB1C88"/>
    <w:rsid w:val="00CB1DC5"/>
    <w:rsid w:val="00CB1E11"/>
    <w:rsid w:val="00CB1E85"/>
    <w:rsid w:val="00CB1EDD"/>
    <w:rsid w:val="00CB2045"/>
    <w:rsid w:val="00CB23A1"/>
    <w:rsid w:val="00CB2491"/>
    <w:rsid w:val="00CB276A"/>
    <w:rsid w:val="00CB2948"/>
    <w:rsid w:val="00CB3B24"/>
    <w:rsid w:val="00CB3B58"/>
    <w:rsid w:val="00CB4138"/>
    <w:rsid w:val="00CB48C9"/>
    <w:rsid w:val="00CB48DE"/>
    <w:rsid w:val="00CB4DF9"/>
    <w:rsid w:val="00CB55F8"/>
    <w:rsid w:val="00CB631C"/>
    <w:rsid w:val="00CB65D9"/>
    <w:rsid w:val="00CB666A"/>
    <w:rsid w:val="00CB7D43"/>
    <w:rsid w:val="00CC0099"/>
    <w:rsid w:val="00CC029F"/>
    <w:rsid w:val="00CC0406"/>
    <w:rsid w:val="00CC0704"/>
    <w:rsid w:val="00CC0714"/>
    <w:rsid w:val="00CC081E"/>
    <w:rsid w:val="00CC0D07"/>
    <w:rsid w:val="00CC136A"/>
    <w:rsid w:val="00CC15FA"/>
    <w:rsid w:val="00CC1B20"/>
    <w:rsid w:val="00CC2388"/>
    <w:rsid w:val="00CC24B4"/>
    <w:rsid w:val="00CC2751"/>
    <w:rsid w:val="00CC28C8"/>
    <w:rsid w:val="00CC2CE6"/>
    <w:rsid w:val="00CC3EDF"/>
    <w:rsid w:val="00CC40CF"/>
    <w:rsid w:val="00CC4A87"/>
    <w:rsid w:val="00CC4D32"/>
    <w:rsid w:val="00CC54A7"/>
    <w:rsid w:val="00CC562F"/>
    <w:rsid w:val="00CC5725"/>
    <w:rsid w:val="00CC647F"/>
    <w:rsid w:val="00CC691A"/>
    <w:rsid w:val="00CC69AB"/>
    <w:rsid w:val="00CC71C9"/>
    <w:rsid w:val="00CC75DF"/>
    <w:rsid w:val="00CC76C8"/>
    <w:rsid w:val="00CC7C99"/>
    <w:rsid w:val="00CD0773"/>
    <w:rsid w:val="00CD09F6"/>
    <w:rsid w:val="00CD0D0B"/>
    <w:rsid w:val="00CD0ED5"/>
    <w:rsid w:val="00CD0F19"/>
    <w:rsid w:val="00CD10B5"/>
    <w:rsid w:val="00CD16C8"/>
    <w:rsid w:val="00CD188B"/>
    <w:rsid w:val="00CD199C"/>
    <w:rsid w:val="00CD2AAB"/>
    <w:rsid w:val="00CD2E1F"/>
    <w:rsid w:val="00CD342B"/>
    <w:rsid w:val="00CD3803"/>
    <w:rsid w:val="00CD3917"/>
    <w:rsid w:val="00CD3EBD"/>
    <w:rsid w:val="00CD411A"/>
    <w:rsid w:val="00CD413A"/>
    <w:rsid w:val="00CD426A"/>
    <w:rsid w:val="00CD4383"/>
    <w:rsid w:val="00CD43DC"/>
    <w:rsid w:val="00CD446D"/>
    <w:rsid w:val="00CD4481"/>
    <w:rsid w:val="00CD48DB"/>
    <w:rsid w:val="00CD58E4"/>
    <w:rsid w:val="00CD5F36"/>
    <w:rsid w:val="00CD60E8"/>
    <w:rsid w:val="00CD652C"/>
    <w:rsid w:val="00CD6795"/>
    <w:rsid w:val="00CD68EB"/>
    <w:rsid w:val="00CD6A0A"/>
    <w:rsid w:val="00CD6DFD"/>
    <w:rsid w:val="00CD6EBF"/>
    <w:rsid w:val="00CD6F5A"/>
    <w:rsid w:val="00CD717E"/>
    <w:rsid w:val="00CD7300"/>
    <w:rsid w:val="00CD74A7"/>
    <w:rsid w:val="00CD75A4"/>
    <w:rsid w:val="00CD7DD4"/>
    <w:rsid w:val="00CE04B2"/>
    <w:rsid w:val="00CE149E"/>
    <w:rsid w:val="00CE15B1"/>
    <w:rsid w:val="00CE1AC6"/>
    <w:rsid w:val="00CE1E72"/>
    <w:rsid w:val="00CE2AB0"/>
    <w:rsid w:val="00CE2CA6"/>
    <w:rsid w:val="00CE3143"/>
    <w:rsid w:val="00CE3272"/>
    <w:rsid w:val="00CE386A"/>
    <w:rsid w:val="00CE3A28"/>
    <w:rsid w:val="00CE3B0B"/>
    <w:rsid w:val="00CE4450"/>
    <w:rsid w:val="00CE4644"/>
    <w:rsid w:val="00CE4924"/>
    <w:rsid w:val="00CE492A"/>
    <w:rsid w:val="00CE4ECD"/>
    <w:rsid w:val="00CE4FA0"/>
    <w:rsid w:val="00CE5157"/>
    <w:rsid w:val="00CE597E"/>
    <w:rsid w:val="00CE5A20"/>
    <w:rsid w:val="00CE5F0A"/>
    <w:rsid w:val="00CE647C"/>
    <w:rsid w:val="00CE730E"/>
    <w:rsid w:val="00CE79A1"/>
    <w:rsid w:val="00CF0013"/>
    <w:rsid w:val="00CF03D6"/>
    <w:rsid w:val="00CF044F"/>
    <w:rsid w:val="00CF04C3"/>
    <w:rsid w:val="00CF085A"/>
    <w:rsid w:val="00CF15E8"/>
    <w:rsid w:val="00CF181F"/>
    <w:rsid w:val="00CF1882"/>
    <w:rsid w:val="00CF1A2D"/>
    <w:rsid w:val="00CF2183"/>
    <w:rsid w:val="00CF2947"/>
    <w:rsid w:val="00CF2C1B"/>
    <w:rsid w:val="00CF3223"/>
    <w:rsid w:val="00CF33B7"/>
    <w:rsid w:val="00CF3E8F"/>
    <w:rsid w:val="00CF429F"/>
    <w:rsid w:val="00CF48C7"/>
    <w:rsid w:val="00CF4BF3"/>
    <w:rsid w:val="00CF4DD8"/>
    <w:rsid w:val="00CF51B3"/>
    <w:rsid w:val="00CF53F4"/>
    <w:rsid w:val="00CF548A"/>
    <w:rsid w:val="00CF5C7D"/>
    <w:rsid w:val="00CF5DEE"/>
    <w:rsid w:val="00CF641C"/>
    <w:rsid w:val="00CF6B60"/>
    <w:rsid w:val="00CF6C99"/>
    <w:rsid w:val="00CF7672"/>
    <w:rsid w:val="00CF7D18"/>
    <w:rsid w:val="00D00052"/>
    <w:rsid w:val="00D00B4D"/>
    <w:rsid w:val="00D013FD"/>
    <w:rsid w:val="00D01850"/>
    <w:rsid w:val="00D01D4B"/>
    <w:rsid w:val="00D01DB6"/>
    <w:rsid w:val="00D023E7"/>
    <w:rsid w:val="00D0241E"/>
    <w:rsid w:val="00D026B4"/>
    <w:rsid w:val="00D02B59"/>
    <w:rsid w:val="00D039FA"/>
    <w:rsid w:val="00D03E32"/>
    <w:rsid w:val="00D04284"/>
    <w:rsid w:val="00D04482"/>
    <w:rsid w:val="00D0461B"/>
    <w:rsid w:val="00D05269"/>
    <w:rsid w:val="00D05A9B"/>
    <w:rsid w:val="00D05D7B"/>
    <w:rsid w:val="00D0605A"/>
    <w:rsid w:val="00D061D6"/>
    <w:rsid w:val="00D0661B"/>
    <w:rsid w:val="00D06F43"/>
    <w:rsid w:val="00D06F64"/>
    <w:rsid w:val="00D07703"/>
    <w:rsid w:val="00D079FD"/>
    <w:rsid w:val="00D07AC5"/>
    <w:rsid w:val="00D07EED"/>
    <w:rsid w:val="00D1033B"/>
    <w:rsid w:val="00D10703"/>
    <w:rsid w:val="00D11021"/>
    <w:rsid w:val="00D1139B"/>
    <w:rsid w:val="00D117E1"/>
    <w:rsid w:val="00D118CC"/>
    <w:rsid w:val="00D11B0B"/>
    <w:rsid w:val="00D12188"/>
    <w:rsid w:val="00D126A4"/>
    <w:rsid w:val="00D12BBA"/>
    <w:rsid w:val="00D135F2"/>
    <w:rsid w:val="00D13726"/>
    <w:rsid w:val="00D139C7"/>
    <w:rsid w:val="00D13B7C"/>
    <w:rsid w:val="00D13DD5"/>
    <w:rsid w:val="00D14E9D"/>
    <w:rsid w:val="00D1510A"/>
    <w:rsid w:val="00D15141"/>
    <w:rsid w:val="00D15465"/>
    <w:rsid w:val="00D1599E"/>
    <w:rsid w:val="00D15FCA"/>
    <w:rsid w:val="00D16E3E"/>
    <w:rsid w:val="00D17384"/>
    <w:rsid w:val="00D1775C"/>
    <w:rsid w:val="00D179AC"/>
    <w:rsid w:val="00D17F96"/>
    <w:rsid w:val="00D20366"/>
    <w:rsid w:val="00D203A4"/>
    <w:rsid w:val="00D20A58"/>
    <w:rsid w:val="00D2108C"/>
    <w:rsid w:val="00D21265"/>
    <w:rsid w:val="00D2135F"/>
    <w:rsid w:val="00D21E51"/>
    <w:rsid w:val="00D22380"/>
    <w:rsid w:val="00D22534"/>
    <w:rsid w:val="00D226FA"/>
    <w:rsid w:val="00D22887"/>
    <w:rsid w:val="00D22B24"/>
    <w:rsid w:val="00D233E0"/>
    <w:rsid w:val="00D23B71"/>
    <w:rsid w:val="00D23E7C"/>
    <w:rsid w:val="00D24314"/>
    <w:rsid w:val="00D24359"/>
    <w:rsid w:val="00D24693"/>
    <w:rsid w:val="00D247AF"/>
    <w:rsid w:val="00D24EC7"/>
    <w:rsid w:val="00D253E5"/>
    <w:rsid w:val="00D256E1"/>
    <w:rsid w:val="00D26241"/>
    <w:rsid w:val="00D2660B"/>
    <w:rsid w:val="00D26735"/>
    <w:rsid w:val="00D2676D"/>
    <w:rsid w:val="00D26A55"/>
    <w:rsid w:val="00D270CD"/>
    <w:rsid w:val="00D271C1"/>
    <w:rsid w:val="00D2777D"/>
    <w:rsid w:val="00D27BEA"/>
    <w:rsid w:val="00D27E41"/>
    <w:rsid w:val="00D301B5"/>
    <w:rsid w:val="00D30384"/>
    <w:rsid w:val="00D303B6"/>
    <w:rsid w:val="00D30DFC"/>
    <w:rsid w:val="00D314A6"/>
    <w:rsid w:val="00D324F1"/>
    <w:rsid w:val="00D32885"/>
    <w:rsid w:val="00D32BBB"/>
    <w:rsid w:val="00D32E58"/>
    <w:rsid w:val="00D3308B"/>
    <w:rsid w:val="00D333A7"/>
    <w:rsid w:val="00D334D2"/>
    <w:rsid w:val="00D3369B"/>
    <w:rsid w:val="00D337B6"/>
    <w:rsid w:val="00D338A6"/>
    <w:rsid w:val="00D33B7D"/>
    <w:rsid w:val="00D33C0E"/>
    <w:rsid w:val="00D33EF6"/>
    <w:rsid w:val="00D34152"/>
    <w:rsid w:val="00D341CE"/>
    <w:rsid w:val="00D3465F"/>
    <w:rsid w:val="00D34C06"/>
    <w:rsid w:val="00D34EC2"/>
    <w:rsid w:val="00D35336"/>
    <w:rsid w:val="00D354D8"/>
    <w:rsid w:val="00D35F28"/>
    <w:rsid w:val="00D36617"/>
    <w:rsid w:val="00D36710"/>
    <w:rsid w:val="00D36809"/>
    <w:rsid w:val="00D3693F"/>
    <w:rsid w:val="00D37095"/>
    <w:rsid w:val="00D37394"/>
    <w:rsid w:val="00D37492"/>
    <w:rsid w:val="00D377BB"/>
    <w:rsid w:val="00D40262"/>
    <w:rsid w:val="00D412ED"/>
    <w:rsid w:val="00D41306"/>
    <w:rsid w:val="00D41727"/>
    <w:rsid w:val="00D41D26"/>
    <w:rsid w:val="00D42193"/>
    <w:rsid w:val="00D421FC"/>
    <w:rsid w:val="00D42800"/>
    <w:rsid w:val="00D429F7"/>
    <w:rsid w:val="00D42CF5"/>
    <w:rsid w:val="00D434D4"/>
    <w:rsid w:val="00D43886"/>
    <w:rsid w:val="00D43DBA"/>
    <w:rsid w:val="00D43F98"/>
    <w:rsid w:val="00D44AF8"/>
    <w:rsid w:val="00D44DAC"/>
    <w:rsid w:val="00D44DBB"/>
    <w:rsid w:val="00D4500F"/>
    <w:rsid w:val="00D450A8"/>
    <w:rsid w:val="00D45627"/>
    <w:rsid w:val="00D458EB"/>
    <w:rsid w:val="00D45A51"/>
    <w:rsid w:val="00D46368"/>
    <w:rsid w:val="00D46681"/>
    <w:rsid w:val="00D46827"/>
    <w:rsid w:val="00D46F06"/>
    <w:rsid w:val="00D470FD"/>
    <w:rsid w:val="00D4713D"/>
    <w:rsid w:val="00D471C4"/>
    <w:rsid w:val="00D472C0"/>
    <w:rsid w:val="00D475B0"/>
    <w:rsid w:val="00D476F4"/>
    <w:rsid w:val="00D47794"/>
    <w:rsid w:val="00D47CE9"/>
    <w:rsid w:val="00D50193"/>
    <w:rsid w:val="00D50620"/>
    <w:rsid w:val="00D50747"/>
    <w:rsid w:val="00D50892"/>
    <w:rsid w:val="00D50B98"/>
    <w:rsid w:val="00D50F23"/>
    <w:rsid w:val="00D51845"/>
    <w:rsid w:val="00D5188A"/>
    <w:rsid w:val="00D51A74"/>
    <w:rsid w:val="00D51B7E"/>
    <w:rsid w:val="00D5204F"/>
    <w:rsid w:val="00D5222A"/>
    <w:rsid w:val="00D523DB"/>
    <w:rsid w:val="00D527B2"/>
    <w:rsid w:val="00D52AA6"/>
    <w:rsid w:val="00D52E5A"/>
    <w:rsid w:val="00D53BD4"/>
    <w:rsid w:val="00D54335"/>
    <w:rsid w:val="00D5434B"/>
    <w:rsid w:val="00D5438C"/>
    <w:rsid w:val="00D547B4"/>
    <w:rsid w:val="00D54881"/>
    <w:rsid w:val="00D549D8"/>
    <w:rsid w:val="00D54BDB"/>
    <w:rsid w:val="00D55195"/>
    <w:rsid w:val="00D554F9"/>
    <w:rsid w:val="00D558C3"/>
    <w:rsid w:val="00D5600D"/>
    <w:rsid w:val="00D56CB8"/>
    <w:rsid w:val="00D56E0C"/>
    <w:rsid w:val="00D57939"/>
    <w:rsid w:val="00D57D3E"/>
    <w:rsid w:val="00D600BA"/>
    <w:rsid w:val="00D601F6"/>
    <w:rsid w:val="00D60B56"/>
    <w:rsid w:val="00D61052"/>
    <w:rsid w:val="00D610A2"/>
    <w:rsid w:val="00D612B2"/>
    <w:rsid w:val="00D6146F"/>
    <w:rsid w:val="00D61D90"/>
    <w:rsid w:val="00D623E3"/>
    <w:rsid w:val="00D62B29"/>
    <w:rsid w:val="00D62C0F"/>
    <w:rsid w:val="00D62FDF"/>
    <w:rsid w:val="00D630B3"/>
    <w:rsid w:val="00D63D88"/>
    <w:rsid w:val="00D63EC1"/>
    <w:rsid w:val="00D64D66"/>
    <w:rsid w:val="00D64F89"/>
    <w:rsid w:val="00D65203"/>
    <w:rsid w:val="00D65205"/>
    <w:rsid w:val="00D65724"/>
    <w:rsid w:val="00D65C6E"/>
    <w:rsid w:val="00D660D5"/>
    <w:rsid w:val="00D663B4"/>
    <w:rsid w:val="00D66932"/>
    <w:rsid w:val="00D66C75"/>
    <w:rsid w:val="00D66E4B"/>
    <w:rsid w:val="00D67151"/>
    <w:rsid w:val="00D67897"/>
    <w:rsid w:val="00D67A89"/>
    <w:rsid w:val="00D67AD4"/>
    <w:rsid w:val="00D67BDB"/>
    <w:rsid w:val="00D70169"/>
    <w:rsid w:val="00D702C2"/>
    <w:rsid w:val="00D70E67"/>
    <w:rsid w:val="00D711F7"/>
    <w:rsid w:val="00D716FE"/>
    <w:rsid w:val="00D724FC"/>
    <w:rsid w:val="00D7256F"/>
    <w:rsid w:val="00D728DC"/>
    <w:rsid w:val="00D7296C"/>
    <w:rsid w:val="00D72AF7"/>
    <w:rsid w:val="00D72C80"/>
    <w:rsid w:val="00D72DC8"/>
    <w:rsid w:val="00D72FCA"/>
    <w:rsid w:val="00D73381"/>
    <w:rsid w:val="00D73A1E"/>
    <w:rsid w:val="00D73EA6"/>
    <w:rsid w:val="00D7419A"/>
    <w:rsid w:val="00D744CF"/>
    <w:rsid w:val="00D74D66"/>
    <w:rsid w:val="00D75620"/>
    <w:rsid w:val="00D75990"/>
    <w:rsid w:val="00D75A19"/>
    <w:rsid w:val="00D76852"/>
    <w:rsid w:val="00D77069"/>
    <w:rsid w:val="00D770ED"/>
    <w:rsid w:val="00D77723"/>
    <w:rsid w:val="00D77D53"/>
    <w:rsid w:val="00D77FF5"/>
    <w:rsid w:val="00D8036F"/>
    <w:rsid w:val="00D80D2C"/>
    <w:rsid w:val="00D81441"/>
    <w:rsid w:val="00D81AAB"/>
    <w:rsid w:val="00D821C2"/>
    <w:rsid w:val="00D82A62"/>
    <w:rsid w:val="00D82BCA"/>
    <w:rsid w:val="00D837E7"/>
    <w:rsid w:val="00D83988"/>
    <w:rsid w:val="00D84AF1"/>
    <w:rsid w:val="00D84B9D"/>
    <w:rsid w:val="00D84CA9"/>
    <w:rsid w:val="00D85ACB"/>
    <w:rsid w:val="00D85B8E"/>
    <w:rsid w:val="00D864C1"/>
    <w:rsid w:val="00D86506"/>
    <w:rsid w:val="00D865A8"/>
    <w:rsid w:val="00D86D10"/>
    <w:rsid w:val="00D86E38"/>
    <w:rsid w:val="00D87BBD"/>
    <w:rsid w:val="00D87D28"/>
    <w:rsid w:val="00D87FA6"/>
    <w:rsid w:val="00D90E6D"/>
    <w:rsid w:val="00D90F6D"/>
    <w:rsid w:val="00D917CE"/>
    <w:rsid w:val="00D91F1E"/>
    <w:rsid w:val="00D9200C"/>
    <w:rsid w:val="00D920E2"/>
    <w:rsid w:val="00D9211C"/>
    <w:rsid w:val="00D92544"/>
    <w:rsid w:val="00D92B32"/>
    <w:rsid w:val="00D92B88"/>
    <w:rsid w:val="00D92DD5"/>
    <w:rsid w:val="00D92F74"/>
    <w:rsid w:val="00D94649"/>
    <w:rsid w:val="00D94B08"/>
    <w:rsid w:val="00D94C7C"/>
    <w:rsid w:val="00D94F88"/>
    <w:rsid w:val="00D950F7"/>
    <w:rsid w:val="00D95242"/>
    <w:rsid w:val="00D95532"/>
    <w:rsid w:val="00D959BF"/>
    <w:rsid w:val="00D95AA5"/>
    <w:rsid w:val="00D964F1"/>
    <w:rsid w:val="00D967C5"/>
    <w:rsid w:val="00D96E93"/>
    <w:rsid w:val="00D97374"/>
    <w:rsid w:val="00D978EC"/>
    <w:rsid w:val="00D97BA9"/>
    <w:rsid w:val="00D97F2E"/>
    <w:rsid w:val="00DA0A4D"/>
    <w:rsid w:val="00DA0BF0"/>
    <w:rsid w:val="00DA0CAC"/>
    <w:rsid w:val="00DA0D4C"/>
    <w:rsid w:val="00DA0DD8"/>
    <w:rsid w:val="00DA138E"/>
    <w:rsid w:val="00DA1549"/>
    <w:rsid w:val="00DA1554"/>
    <w:rsid w:val="00DA1A9D"/>
    <w:rsid w:val="00DA2166"/>
    <w:rsid w:val="00DA2389"/>
    <w:rsid w:val="00DA242E"/>
    <w:rsid w:val="00DA2437"/>
    <w:rsid w:val="00DA25A5"/>
    <w:rsid w:val="00DA3684"/>
    <w:rsid w:val="00DA4093"/>
    <w:rsid w:val="00DA45D0"/>
    <w:rsid w:val="00DA4A99"/>
    <w:rsid w:val="00DA4CAB"/>
    <w:rsid w:val="00DA5B75"/>
    <w:rsid w:val="00DA5DF5"/>
    <w:rsid w:val="00DA5E38"/>
    <w:rsid w:val="00DA63BA"/>
    <w:rsid w:val="00DA641C"/>
    <w:rsid w:val="00DA6C16"/>
    <w:rsid w:val="00DA6C4E"/>
    <w:rsid w:val="00DA6DEC"/>
    <w:rsid w:val="00DA73C1"/>
    <w:rsid w:val="00DA7D65"/>
    <w:rsid w:val="00DB01C4"/>
    <w:rsid w:val="00DB089E"/>
    <w:rsid w:val="00DB09A5"/>
    <w:rsid w:val="00DB0EB7"/>
    <w:rsid w:val="00DB1020"/>
    <w:rsid w:val="00DB134D"/>
    <w:rsid w:val="00DB1761"/>
    <w:rsid w:val="00DB1918"/>
    <w:rsid w:val="00DB1927"/>
    <w:rsid w:val="00DB21DB"/>
    <w:rsid w:val="00DB2885"/>
    <w:rsid w:val="00DB2BC2"/>
    <w:rsid w:val="00DB3E2D"/>
    <w:rsid w:val="00DB3E3D"/>
    <w:rsid w:val="00DB416D"/>
    <w:rsid w:val="00DB4199"/>
    <w:rsid w:val="00DB4207"/>
    <w:rsid w:val="00DB43BC"/>
    <w:rsid w:val="00DB449D"/>
    <w:rsid w:val="00DB46AC"/>
    <w:rsid w:val="00DB48B1"/>
    <w:rsid w:val="00DB4DAF"/>
    <w:rsid w:val="00DB5146"/>
    <w:rsid w:val="00DB519A"/>
    <w:rsid w:val="00DB56B2"/>
    <w:rsid w:val="00DB56E8"/>
    <w:rsid w:val="00DB59EE"/>
    <w:rsid w:val="00DB5A7B"/>
    <w:rsid w:val="00DB66D7"/>
    <w:rsid w:val="00DB6D74"/>
    <w:rsid w:val="00DB6D7C"/>
    <w:rsid w:val="00DB761A"/>
    <w:rsid w:val="00DB7AC9"/>
    <w:rsid w:val="00DB7B00"/>
    <w:rsid w:val="00DB7FD2"/>
    <w:rsid w:val="00DC01B0"/>
    <w:rsid w:val="00DC02E0"/>
    <w:rsid w:val="00DC0705"/>
    <w:rsid w:val="00DC14F5"/>
    <w:rsid w:val="00DC1DAD"/>
    <w:rsid w:val="00DC1EA2"/>
    <w:rsid w:val="00DC2830"/>
    <w:rsid w:val="00DC2BF6"/>
    <w:rsid w:val="00DC2D11"/>
    <w:rsid w:val="00DC2F0C"/>
    <w:rsid w:val="00DC316B"/>
    <w:rsid w:val="00DC3266"/>
    <w:rsid w:val="00DC3363"/>
    <w:rsid w:val="00DC343E"/>
    <w:rsid w:val="00DC3781"/>
    <w:rsid w:val="00DC3853"/>
    <w:rsid w:val="00DC386A"/>
    <w:rsid w:val="00DC3D64"/>
    <w:rsid w:val="00DC3EEF"/>
    <w:rsid w:val="00DC465B"/>
    <w:rsid w:val="00DC4763"/>
    <w:rsid w:val="00DC4864"/>
    <w:rsid w:val="00DC4B23"/>
    <w:rsid w:val="00DC4D5A"/>
    <w:rsid w:val="00DC4E88"/>
    <w:rsid w:val="00DC4F06"/>
    <w:rsid w:val="00DC5D06"/>
    <w:rsid w:val="00DC61B5"/>
    <w:rsid w:val="00DC6DDA"/>
    <w:rsid w:val="00DC7210"/>
    <w:rsid w:val="00DC7BDB"/>
    <w:rsid w:val="00DD08E3"/>
    <w:rsid w:val="00DD09DE"/>
    <w:rsid w:val="00DD0B39"/>
    <w:rsid w:val="00DD0C5A"/>
    <w:rsid w:val="00DD1265"/>
    <w:rsid w:val="00DD12A1"/>
    <w:rsid w:val="00DD15EF"/>
    <w:rsid w:val="00DD2026"/>
    <w:rsid w:val="00DD20EB"/>
    <w:rsid w:val="00DD23C7"/>
    <w:rsid w:val="00DD2DCD"/>
    <w:rsid w:val="00DD2E78"/>
    <w:rsid w:val="00DD2F0D"/>
    <w:rsid w:val="00DD3AA5"/>
    <w:rsid w:val="00DD4006"/>
    <w:rsid w:val="00DD48C2"/>
    <w:rsid w:val="00DD4C72"/>
    <w:rsid w:val="00DD541F"/>
    <w:rsid w:val="00DD5986"/>
    <w:rsid w:val="00DD5CE1"/>
    <w:rsid w:val="00DD5EA4"/>
    <w:rsid w:val="00DD5F45"/>
    <w:rsid w:val="00DD63AB"/>
    <w:rsid w:val="00DD67BC"/>
    <w:rsid w:val="00DD6836"/>
    <w:rsid w:val="00DD6880"/>
    <w:rsid w:val="00DD690A"/>
    <w:rsid w:val="00DD6D45"/>
    <w:rsid w:val="00DD705C"/>
    <w:rsid w:val="00DD7470"/>
    <w:rsid w:val="00DD76D0"/>
    <w:rsid w:val="00DD787E"/>
    <w:rsid w:val="00DD79E4"/>
    <w:rsid w:val="00DE0224"/>
    <w:rsid w:val="00DE0226"/>
    <w:rsid w:val="00DE036A"/>
    <w:rsid w:val="00DE1044"/>
    <w:rsid w:val="00DE10CD"/>
    <w:rsid w:val="00DE1410"/>
    <w:rsid w:val="00DE2DB6"/>
    <w:rsid w:val="00DE381E"/>
    <w:rsid w:val="00DE38D2"/>
    <w:rsid w:val="00DE3910"/>
    <w:rsid w:val="00DE3C15"/>
    <w:rsid w:val="00DE3ED7"/>
    <w:rsid w:val="00DE4E8C"/>
    <w:rsid w:val="00DE500D"/>
    <w:rsid w:val="00DE54FF"/>
    <w:rsid w:val="00DE58CB"/>
    <w:rsid w:val="00DE5927"/>
    <w:rsid w:val="00DE5953"/>
    <w:rsid w:val="00DE62F1"/>
    <w:rsid w:val="00DE64C0"/>
    <w:rsid w:val="00DE64CB"/>
    <w:rsid w:val="00DE67BC"/>
    <w:rsid w:val="00DE6CA8"/>
    <w:rsid w:val="00DE70B9"/>
    <w:rsid w:val="00DE7297"/>
    <w:rsid w:val="00DE7709"/>
    <w:rsid w:val="00DF05C5"/>
    <w:rsid w:val="00DF0717"/>
    <w:rsid w:val="00DF0876"/>
    <w:rsid w:val="00DF0AC9"/>
    <w:rsid w:val="00DF1208"/>
    <w:rsid w:val="00DF15F5"/>
    <w:rsid w:val="00DF16B3"/>
    <w:rsid w:val="00DF170F"/>
    <w:rsid w:val="00DF25CC"/>
    <w:rsid w:val="00DF27A8"/>
    <w:rsid w:val="00DF2D48"/>
    <w:rsid w:val="00DF333A"/>
    <w:rsid w:val="00DF3803"/>
    <w:rsid w:val="00DF3BCB"/>
    <w:rsid w:val="00DF3D7E"/>
    <w:rsid w:val="00DF3D92"/>
    <w:rsid w:val="00DF3F56"/>
    <w:rsid w:val="00DF3FFF"/>
    <w:rsid w:val="00DF475B"/>
    <w:rsid w:val="00DF4D3E"/>
    <w:rsid w:val="00DF5882"/>
    <w:rsid w:val="00DF5F4C"/>
    <w:rsid w:val="00DF640C"/>
    <w:rsid w:val="00DF65A2"/>
    <w:rsid w:val="00DF6EF4"/>
    <w:rsid w:val="00DF71E6"/>
    <w:rsid w:val="00DF731F"/>
    <w:rsid w:val="00DF75EF"/>
    <w:rsid w:val="00DF76A8"/>
    <w:rsid w:val="00DF7BB8"/>
    <w:rsid w:val="00E00273"/>
    <w:rsid w:val="00E003D4"/>
    <w:rsid w:val="00E0047A"/>
    <w:rsid w:val="00E00AD4"/>
    <w:rsid w:val="00E00CB6"/>
    <w:rsid w:val="00E00EFF"/>
    <w:rsid w:val="00E0129A"/>
    <w:rsid w:val="00E02784"/>
    <w:rsid w:val="00E02829"/>
    <w:rsid w:val="00E02DC7"/>
    <w:rsid w:val="00E02FAD"/>
    <w:rsid w:val="00E02FDF"/>
    <w:rsid w:val="00E0330A"/>
    <w:rsid w:val="00E033C4"/>
    <w:rsid w:val="00E040D4"/>
    <w:rsid w:val="00E043CD"/>
    <w:rsid w:val="00E045F4"/>
    <w:rsid w:val="00E04CC2"/>
    <w:rsid w:val="00E04E13"/>
    <w:rsid w:val="00E0608B"/>
    <w:rsid w:val="00E0616C"/>
    <w:rsid w:val="00E0764B"/>
    <w:rsid w:val="00E078B5"/>
    <w:rsid w:val="00E0796B"/>
    <w:rsid w:val="00E07E6C"/>
    <w:rsid w:val="00E1023B"/>
    <w:rsid w:val="00E102E9"/>
    <w:rsid w:val="00E10907"/>
    <w:rsid w:val="00E10A5E"/>
    <w:rsid w:val="00E10D88"/>
    <w:rsid w:val="00E10DDC"/>
    <w:rsid w:val="00E10EB2"/>
    <w:rsid w:val="00E11DC6"/>
    <w:rsid w:val="00E12038"/>
    <w:rsid w:val="00E1229B"/>
    <w:rsid w:val="00E12385"/>
    <w:rsid w:val="00E123C2"/>
    <w:rsid w:val="00E124DE"/>
    <w:rsid w:val="00E12F7D"/>
    <w:rsid w:val="00E13EF4"/>
    <w:rsid w:val="00E146EA"/>
    <w:rsid w:val="00E1476A"/>
    <w:rsid w:val="00E14AB9"/>
    <w:rsid w:val="00E14F61"/>
    <w:rsid w:val="00E15139"/>
    <w:rsid w:val="00E15675"/>
    <w:rsid w:val="00E15AD4"/>
    <w:rsid w:val="00E15EB1"/>
    <w:rsid w:val="00E162CA"/>
    <w:rsid w:val="00E16DDE"/>
    <w:rsid w:val="00E17238"/>
    <w:rsid w:val="00E17CAF"/>
    <w:rsid w:val="00E200B9"/>
    <w:rsid w:val="00E2046A"/>
    <w:rsid w:val="00E204AF"/>
    <w:rsid w:val="00E205A4"/>
    <w:rsid w:val="00E20749"/>
    <w:rsid w:val="00E20A0B"/>
    <w:rsid w:val="00E21DAB"/>
    <w:rsid w:val="00E21E62"/>
    <w:rsid w:val="00E23377"/>
    <w:rsid w:val="00E2386D"/>
    <w:rsid w:val="00E239E2"/>
    <w:rsid w:val="00E24138"/>
    <w:rsid w:val="00E2434B"/>
    <w:rsid w:val="00E24A57"/>
    <w:rsid w:val="00E2571E"/>
    <w:rsid w:val="00E25D1F"/>
    <w:rsid w:val="00E25D8D"/>
    <w:rsid w:val="00E26286"/>
    <w:rsid w:val="00E264EE"/>
    <w:rsid w:val="00E269D5"/>
    <w:rsid w:val="00E26D01"/>
    <w:rsid w:val="00E27225"/>
    <w:rsid w:val="00E2724A"/>
    <w:rsid w:val="00E274BC"/>
    <w:rsid w:val="00E2755E"/>
    <w:rsid w:val="00E27A56"/>
    <w:rsid w:val="00E27B0F"/>
    <w:rsid w:val="00E27C2C"/>
    <w:rsid w:val="00E30141"/>
    <w:rsid w:val="00E30188"/>
    <w:rsid w:val="00E30BBB"/>
    <w:rsid w:val="00E31527"/>
    <w:rsid w:val="00E315E9"/>
    <w:rsid w:val="00E31DB2"/>
    <w:rsid w:val="00E32397"/>
    <w:rsid w:val="00E3247A"/>
    <w:rsid w:val="00E32E09"/>
    <w:rsid w:val="00E32E50"/>
    <w:rsid w:val="00E334FF"/>
    <w:rsid w:val="00E33B1B"/>
    <w:rsid w:val="00E33CB4"/>
    <w:rsid w:val="00E33F7C"/>
    <w:rsid w:val="00E3409D"/>
    <w:rsid w:val="00E3494F"/>
    <w:rsid w:val="00E34A26"/>
    <w:rsid w:val="00E34D05"/>
    <w:rsid w:val="00E350AB"/>
    <w:rsid w:val="00E35867"/>
    <w:rsid w:val="00E35B02"/>
    <w:rsid w:val="00E3605D"/>
    <w:rsid w:val="00E362A1"/>
    <w:rsid w:val="00E36EAB"/>
    <w:rsid w:val="00E37078"/>
    <w:rsid w:val="00E37A96"/>
    <w:rsid w:val="00E40003"/>
    <w:rsid w:val="00E405B7"/>
    <w:rsid w:val="00E4060E"/>
    <w:rsid w:val="00E407AA"/>
    <w:rsid w:val="00E408EC"/>
    <w:rsid w:val="00E40AE8"/>
    <w:rsid w:val="00E40F83"/>
    <w:rsid w:val="00E41E8F"/>
    <w:rsid w:val="00E42B18"/>
    <w:rsid w:val="00E42D6B"/>
    <w:rsid w:val="00E442DB"/>
    <w:rsid w:val="00E447ED"/>
    <w:rsid w:val="00E448A3"/>
    <w:rsid w:val="00E44B1C"/>
    <w:rsid w:val="00E45169"/>
    <w:rsid w:val="00E45181"/>
    <w:rsid w:val="00E45831"/>
    <w:rsid w:val="00E45A58"/>
    <w:rsid w:val="00E45BFD"/>
    <w:rsid w:val="00E45EFE"/>
    <w:rsid w:val="00E467AE"/>
    <w:rsid w:val="00E469AC"/>
    <w:rsid w:val="00E46D59"/>
    <w:rsid w:val="00E474FA"/>
    <w:rsid w:val="00E475F3"/>
    <w:rsid w:val="00E47E76"/>
    <w:rsid w:val="00E507A7"/>
    <w:rsid w:val="00E51A43"/>
    <w:rsid w:val="00E51A6A"/>
    <w:rsid w:val="00E51CA0"/>
    <w:rsid w:val="00E52017"/>
    <w:rsid w:val="00E52364"/>
    <w:rsid w:val="00E5263F"/>
    <w:rsid w:val="00E52965"/>
    <w:rsid w:val="00E52FA8"/>
    <w:rsid w:val="00E53A00"/>
    <w:rsid w:val="00E53AF1"/>
    <w:rsid w:val="00E53E5D"/>
    <w:rsid w:val="00E5484F"/>
    <w:rsid w:val="00E54E09"/>
    <w:rsid w:val="00E54ED6"/>
    <w:rsid w:val="00E54F4D"/>
    <w:rsid w:val="00E5522B"/>
    <w:rsid w:val="00E5558C"/>
    <w:rsid w:val="00E55951"/>
    <w:rsid w:val="00E55A78"/>
    <w:rsid w:val="00E56409"/>
    <w:rsid w:val="00E56B1A"/>
    <w:rsid w:val="00E56BA4"/>
    <w:rsid w:val="00E570AC"/>
    <w:rsid w:val="00E5718B"/>
    <w:rsid w:val="00E572AD"/>
    <w:rsid w:val="00E574DF"/>
    <w:rsid w:val="00E57577"/>
    <w:rsid w:val="00E57BEC"/>
    <w:rsid w:val="00E57E7B"/>
    <w:rsid w:val="00E57ECC"/>
    <w:rsid w:val="00E60200"/>
    <w:rsid w:val="00E6073E"/>
    <w:rsid w:val="00E6112D"/>
    <w:rsid w:val="00E615D1"/>
    <w:rsid w:val="00E61DF6"/>
    <w:rsid w:val="00E62006"/>
    <w:rsid w:val="00E624FB"/>
    <w:rsid w:val="00E62DC3"/>
    <w:rsid w:val="00E62F92"/>
    <w:rsid w:val="00E63217"/>
    <w:rsid w:val="00E63267"/>
    <w:rsid w:val="00E6345E"/>
    <w:rsid w:val="00E63735"/>
    <w:rsid w:val="00E63A69"/>
    <w:rsid w:val="00E64232"/>
    <w:rsid w:val="00E64A93"/>
    <w:rsid w:val="00E64E1B"/>
    <w:rsid w:val="00E650B5"/>
    <w:rsid w:val="00E6512F"/>
    <w:rsid w:val="00E65552"/>
    <w:rsid w:val="00E65C87"/>
    <w:rsid w:val="00E664DF"/>
    <w:rsid w:val="00E6678D"/>
    <w:rsid w:val="00E66BEA"/>
    <w:rsid w:val="00E66C0C"/>
    <w:rsid w:val="00E67141"/>
    <w:rsid w:val="00E671F9"/>
    <w:rsid w:val="00E67566"/>
    <w:rsid w:val="00E67633"/>
    <w:rsid w:val="00E67B40"/>
    <w:rsid w:val="00E67B75"/>
    <w:rsid w:val="00E67F50"/>
    <w:rsid w:val="00E70028"/>
    <w:rsid w:val="00E70238"/>
    <w:rsid w:val="00E702A2"/>
    <w:rsid w:val="00E70DD1"/>
    <w:rsid w:val="00E70DDE"/>
    <w:rsid w:val="00E70ECC"/>
    <w:rsid w:val="00E7104E"/>
    <w:rsid w:val="00E71104"/>
    <w:rsid w:val="00E711EE"/>
    <w:rsid w:val="00E71813"/>
    <w:rsid w:val="00E71BA5"/>
    <w:rsid w:val="00E7277A"/>
    <w:rsid w:val="00E72C5A"/>
    <w:rsid w:val="00E73861"/>
    <w:rsid w:val="00E73B26"/>
    <w:rsid w:val="00E74281"/>
    <w:rsid w:val="00E74928"/>
    <w:rsid w:val="00E74D7B"/>
    <w:rsid w:val="00E751EC"/>
    <w:rsid w:val="00E751FE"/>
    <w:rsid w:val="00E75982"/>
    <w:rsid w:val="00E75D28"/>
    <w:rsid w:val="00E75D2C"/>
    <w:rsid w:val="00E75DB4"/>
    <w:rsid w:val="00E75DBC"/>
    <w:rsid w:val="00E762B5"/>
    <w:rsid w:val="00E763B6"/>
    <w:rsid w:val="00E766E9"/>
    <w:rsid w:val="00E76A1F"/>
    <w:rsid w:val="00E77490"/>
    <w:rsid w:val="00E778E3"/>
    <w:rsid w:val="00E77B1C"/>
    <w:rsid w:val="00E8018C"/>
    <w:rsid w:val="00E8042D"/>
    <w:rsid w:val="00E81399"/>
    <w:rsid w:val="00E82244"/>
    <w:rsid w:val="00E834C7"/>
    <w:rsid w:val="00E83BFA"/>
    <w:rsid w:val="00E84372"/>
    <w:rsid w:val="00E84560"/>
    <w:rsid w:val="00E84809"/>
    <w:rsid w:val="00E849B5"/>
    <w:rsid w:val="00E84BAA"/>
    <w:rsid w:val="00E85705"/>
    <w:rsid w:val="00E8573F"/>
    <w:rsid w:val="00E85BB2"/>
    <w:rsid w:val="00E85DC9"/>
    <w:rsid w:val="00E85ED5"/>
    <w:rsid w:val="00E8672A"/>
    <w:rsid w:val="00E86B2C"/>
    <w:rsid w:val="00E86F1D"/>
    <w:rsid w:val="00E875F5"/>
    <w:rsid w:val="00E877BB"/>
    <w:rsid w:val="00E87B5F"/>
    <w:rsid w:val="00E87E62"/>
    <w:rsid w:val="00E87FB8"/>
    <w:rsid w:val="00E90CE3"/>
    <w:rsid w:val="00E90E0C"/>
    <w:rsid w:val="00E9109D"/>
    <w:rsid w:val="00E910AD"/>
    <w:rsid w:val="00E91877"/>
    <w:rsid w:val="00E91A71"/>
    <w:rsid w:val="00E91A73"/>
    <w:rsid w:val="00E9261B"/>
    <w:rsid w:val="00E92A0E"/>
    <w:rsid w:val="00E93894"/>
    <w:rsid w:val="00E93E1D"/>
    <w:rsid w:val="00E945BB"/>
    <w:rsid w:val="00E9500F"/>
    <w:rsid w:val="00E955AD"/>
    <w:rsid w:val="00E95878"/>
    <w:rsid w:val="00E960AA"/>
    <w:rsid w:val="00E962CC"/>
    <w:rsid w:val="00E967E2"/>
    <w:rsid w:val="00E96E0D"/>
    <w:rsid w:val="00E9749E"/>
    <w:rsid w:val="00E97986"/>
    <w:rsid w:val="00E97C14"/>
    <w:rsid w:val="00E97FDA"/>
    <w:rsid w:val="00EA02FA"/>
    <w:rsid w:val="00EA0326"/>
    <w:rsid w:val="00EA0DC9"/>
    <w:rsid w:val="00EA1304"/>
    <w:rsid w:val="00EA1517"/>
    <w:rsid w:val="00EA19CB"/>
    <w:rsid w:val="00EA1C43"/>
    <w:rsid w:val="00EA280A"/>
    <w:rsid w:val="00EA3229"/>
    <w:rsid w:val="00EA3814"/>
    <w:rsid w:val="00EA39CD"/>
    <w:rsid w:val="00EA3EC9"/>
    <w:rsid w:val="00EA55A6"/>
    <w:rsid w:val="00EA5DF4"/>
    <w:rsid w:val="00EA5E2A"/>
    <w:rsid w:val="00EA5FB8"/>
    <w:rsid w:val="00EA6868"/>
    <w:rsid w:val="00EA6E4E"/>
    <w:rsid w:val="00EA77F2"/>
    <w:rsid w:val="00EA7B90"/>
    <w:rsid w:val="00EA7C3B"/>
    <w:rsid w:val="00EB0374"/>
    <w:rsid w:val="00EB0559"/>
    <w:rsid w:val="00EB0781"/>
    <w:rsid w:val="00EB0C22"/>
    <w:rsid w:val="00EB0C95"/>
    <w:rsid w:val="00EB0CEB"/>
    <w:rsid w:val="00EB1A2C"/>
    <w:rsid w:val="00EB2097"/>
    <w:rsid w:val="00EB26EB"/>
    <w:rsid w:val="00EB28C7"/>
    <w:rsid w:val="00EB2C0B"/>
    <w:rsid w:val="00EB2E7F"/>
    <w:rsid w:val="00EB328D"/>
    <w:rsid w:val="00EB348F"/>
    <w:rsid w:val="00EB38BB"/>
    <w:rsid w:val="00EB39FE"/>
    <w:rsid w:val="00EB3AF9"/>
    <w:rsid w:val="00EB3C38"/>
    <w:rsid w:val="00EB3C57"/>
    <w:rsid w:val="00EB3CA2"/>
    <w:rsid w:val="00EB3EA9"/>
    <w:rsid w:val="00EB4398"/>
    <w:rsid w:val="00EB4D59"/>
    <w:rsid w:val="00EB5791"/>
    <w:rsid w:val="00EB5C84"/>
    <w:rsid w:val="00EB5E48"/>
    <w:rsid w:val="00EB5E99"/>
    <w:rsid w:val="00EB5FA4"/>
    <w:rsid w:val="00EB6398"/>
    <w:rsid w:val="00EB64ED"/>
    <w:rsid w:val="00EB6722"/>
    <w:rsid w:val="00EB6F12"/>
    <w:rsid w:val="00EB7829"/>
    <w:rsid w:val="00EC04DD"/>
    <w:rsid w:val="00EC0540"/>
    <w:rsid w:val="00EC0711"/>
    <w:rsid w:val="00EC072E"/>
    <w:rsid w:val="00EC108F"/>
    <w:rsid w:val="00EC12FE"/>
    <w:rsid w:val="00EC171F"/>
    <w:rsid w:val="00EC17C7"/>
    <w:rsid w:val="00EC193A"/>
    <w:rsid w:val="00EC1AE1"/>
    <w:rsid w:val="00EC1D2A"/>
    <w:rsid w:val="00EC24B2"/>
    <w:rsid w:val="00EC2A26"/>
    <w:rsid w:val="00EC2A9A"/>
    <w:rsid w:val="00EC30FD"/>
    <w:rsid w:val="00EC31FA"/>
    <w:rsid w:val="00EC322A"/>
    <w:rsid w:val="00EC33F1"/>
    <w:rsid w:val="00EC437D"/>
    <w:rsid w:val="00EC45CB"/>
    <w:rsid w:val="00EC45E8"/>
    <w:rsid w:val="00EC465B"/>
    <w:rsid w:val="00EC4BC9"/>
    <w:rsid w:val="00EC4D9B"/>
    <w:rsid w:val="00EC4FBD"/>
    <w:rsid w:val="00EC4FDA"/>
    <w:rsid w:val="00EC5289"/>
    <w:rsid w:val="00EC5B6E"/>
    <w:rsid w:val="00EC62D8"/>
    <w:rsid w:val="00EC646B"/>
    <w:rsid w:val="00EC660A"/>
    <w:rsid w:val="00EC6720"/>
    <w:rsid w:val="00EC6898"/>
    <w:rsid w:val="00EC6BC7"/>
    <w:rsid w:val="00EC6CC7"/>
    <w:rsid w:val="00EC757B"/>
    <w:rsid w:val="00EC7A65"/>
    <w:rsid w:val="00ED02BA"/>
    <w:rsid w:val="00ED0B42"/>
    <w:rsid w:val="00ED0F58"/>
    <w:rsid w:val="00ED176B"/>
    <w:rsid w:val="00ED1940"/>
    <w:rsid w:val="00ED19A1"/>
    <w:rsid w:val="00ED1C3E"/>
    <w:rsid w:val="00ED1E9F"/>
    <w:rsid w:val="00ED1FDD"/>
    <w:rsid w:val="00ED2215"/>
    <w:rsid w:val="00ED227F"/>
    <w:rsid w:val="00ED2560"/>
    <w:rsid w:val="00ED298D"/>
    <w:rsid w:val="00ED2C3C"/>
    <w:rsid w:val="00ED30B6"/>
    <w:rsid w:val="00ED3622"/>
    <w:rsid w:val="00ED36DA"/>
    <w:rsid w:val="00ED372E"/>
    <w:rsid w:val="00ED396C"/>
    <w:rsid w:val="00ED3A11"/>
    <w:rsid w:val="00ED3BA8"/>
    <w:rsid w:val="00ED3F28"/>
    <w:rsid w:val="00ED4546"/>
    <w:rsid w:val="00ED46F0"/>
    <w:rsid w:val="00ED5128"/>
    <w:rsid w:val="00ED53A5"/>
    <w:rsid w:val="00ED56D7"/>
    <w:rsid w:val="00ED618A"/>
    <w:rsid w:val="00ED68D2"/>
    <w:rsid w:val="00ED6A68"/>
    <w:rsid w:val="00ED6AAD"/>
    <w:rsid w:val="00ED6FA4"/>
    <w:rsid w:val="00ED7647"/>
    <w:rsid w:val="00ED7F94"/>
    <w:rsid w:val="00EE00A0"/>
    <w:rsid w:val="00EE0718"/>
    <w:rsid w:val="00EE0A7A"/>
    <w:rsid w:val="00EE0D8D"/>
    <w:rsid w:val="00EE0DA7"/>
    <w:rsid w:val="00EE12A0"/>
    <w:rsid w:val="00EE180E"/>
    <w:rsid w:val="00EE1B1B"/>
    <w:rsid w:val="00EE1B8F"/>
    <w:rsid w:val="00EE210F"/>
    <w:rsid w:val="00EE26DE"/>
    <w:rsid w:val="00EE2927"/>
    <w:rsid w:val="00EE2DF7"/>
    <w:rsid w:val="00EE33D1"/>
    <w:rsid w:val="00EE362F"/>
    <w:rsid w:val="00EE3765"/>
    <w:rsid w:val="00EE3772"/>
    <w:rsid w:val="00EE3A37"/>
    <w:rsid w:val="00EE3B4A"/>
    <w:rsid w:val="00EE471C"/>
    <w:rsid w:val="00EE4AE0"/>
    <w:rsid w:val="00EE6DD3"/>
    <w:rsid w:val="00EE71F9"/>
    <w:rsid w:val="00EE73AD"/>
    <w:rsid w:val="00EE7CBB"/>
    <w:rsid w:val="00EF05F5"/>
    <w:rsid w:val="00EF0B88"/>
    <w:rsid w:val="00EF0BE2"/>
    <w:rsid w:val="00EF0D30"/>
    <w:rsid w:val="00EF0DD1"/>
    <w:rsid w:val="00EF1262"/>
    <w:rsid w:val="00EF166B"/>
    <w:rsid w:val="00EF17D7"/>
    <w:rsid w:val="00EF2072"/>
    <w:rsid w:val="00EF2537"/>
    <w:rsid w:val="00EF2CD9"/>
    <w:rsid w:val="00EF2F76"/>
    <w:rsid w:val="00EF303C"/>
    <w:rsid w:val="00EF3106"/>
    <w:rsid w:val="00EF360E"/>
    <w:rsid w:val="00EF3617"/>
    <w:rsid w:val="00EF3A71"/>
    <w:rsid w:val="00EF4328"/>
    <w:rsid w:val="00EF4E35"/>
    <w:rsid w:val="00EF53AB"/>
    <w:rsid w:val="00EF5508"/>
    <w:rsid w:val="00EF5587"/>
    <w:rsid w:val="00EF569D"/>
    <w:rsid w:val="00EF59BB"/>
    <w:rsid w:val="00EF61A8"/>
    <w:rsid w:val="00EF66BA"/>
    <w:rsid w:val="00EF6897"/>
    <w:rsid w:val="00EF6C49"/>
    <w:rsid w:val="00EF6D7A"/>
    <w:rsid w:val="00EF71FC"/>
    <w:rsid w:val="00EF72DF"/>
    <w:rsid w:val="00EF7BD8"/>
    <w:rsid w:val="00EF7C2F"/>
    <w:rsid w:val="00EF7CAB"/>
    <w:rsid w:val="00EF7CD0"/>
    <w:rsid w:val="00EF7F9E"/>
    <w:rsid w:val="00F0027C"/>
    <w:rsid w:val="00F006A4"/>
    <w:rsid w:val="00F00CC5"/>
    <w:rsid w:val="00F01584"/>
    <w:rsid w:val="00F0210C"/>
    <w:rsid w:val="00F024A1"/>
    <w:rsid w:val="00F02508"/>
    <w:rsid w:val="00F03346"/>
    <w:rsid w:val="00F034BA"/>
    <w:rsid w:val="00F034BF"/>
    <w:rsid w:val="00F03847"/>
    <w:rsid w:val="00F03958"/>
    <w:rsid w:val="00F039BD"/>
    <w:rsid w:val="00F046D6"/>
    <w:rsid w:val="00F04893"/>
    <w:rsid w:val="00F04AE5"/>
    <w:rsid w:val="00F04B1A"/>
    <w:rsid w:val="00F051C8"/>
    <w:rsid w:val="00F0521C"/>
    <w:rsid w:val="00F056A8"/>
    <w:rsid w:val="00F05BEB"/>
    <w:rsid w:val="00F0604E"/>
    <w:rsid w:val="00F06509"/>
    <w:rsid w:val="00F0663B"/>
    <w:rsid w:val="00F06902"/>
    <w:rsid w:val="00F06ADB"/>
    <w:rsid w:val="00F06DB4"/>
    <w:rsid w:val="00F06F65"/>
    <w:rsid w:val="00F0715F"/>
    <w:rsid w:val="00F07272"/>
    <w:rsid w:val="00F07687"/>
    <w:rsid w:val="00F1067F"/>
    <w:rsid w:val="00F10D0C"/>
    <w:rsid w:val="00F11165"/>
    <w:rsid w:val="00F111A5"/>
    <w:rsid w:val="00F11920"/>
    <w:rsid w:val="00F11ACB"/>
    <w:rsid w:val="00F11BA9"/>
    <w:rsid w:val="00F11E68"/>
    <w:rsid w:val="00F11F5A"/>
    <w:rsid w:val="00F1224D"/>
    <w:rsid w:val="00F12409"/>
    <w:rsid w:val="00F12644"/>
    <w:rsid w:val="00F12C5B"/>
    <w:rsid w:val="00F1300F"/>
    <w:rsid w:val="00F130BE"/>
    <w:rsid w:val="00F13729"/>
    <w:rsid w:val="00F13A2F"/>
    <w:rsid w:val="00F141DD"/>
    <w:rsid w:val="00F143F0"/>
    <w:rsid w:val="00F1441C"/>
    <w:rsid w:val="00F14468"/>
    <w:rsid w:val="00F14562"/>
    <w:rsid w:val="00F14DF1"/>
    <w:rsid w:val="00F14EC7"/>
    <w:rsid w:val="00F14F87"/>
    <w:rsid w:val="00F156E5"/>
    <w:rsid w:val="00F157DD"/>
    <w:rsid w:val="00F15D99"/>
    <w:rsid w:val="00F166AB"/>
    <w:rsid w:val="00F16896"/>
    <w:rsid w:val="00F168D6"/>
    <w:rsid w:val="00F1698C"/>
    <w:rsid w:val="00F16BF3"/>
    <w:rsid w:val="00F17031"/>
    <w:rsid w:val="00F175FF"/>
    <w:rsid w:val="00F17770"/>
    <w:rsid w:val="00F17B61"/>
    <w:rsid w:val="00F20C64"/>
    <w:rsid w:val="00F20E53"/>
    <w:rsid w:val="00F21189"/>
    <w:rsid w:val="00F21900"/>
    <w:rsid w:val="00F21C48"/>
    <w:rsid w:val="00F22083"/>
    <w:rsid w:val="00F2274C"/>
    <w:rsid w:val="00F22795"/>
    <w:rsid w:val="00F22803"/>
    <w:rsid w:val="00F228F5"/>
    <w:rsid w:val="00F229DF"/>
    <w:rsid w:val="00F229E2"/>
    <w:rsid w:val="00F22C24"/>
    <w:rsid w:val="00F22D87"/>
    <w:rsid w:val="00F23431"/>
    <w:rsid w:val="00F236F2"/>
    <w:rsid w:val="00F23828"/>
    <w:rsid w:val="00F24649"/>
    <w:rsid w:val="00F246B6"/>
    <w:rsid w:val="00F2481A"/>
    <w:rsid w:val="00F24DA8"/>
    <w:rsid w:val="00F24E85"/>
    <w:rsid w:val="00F253F4"/>
    <w:rsid w:val="00F25460"/>
    <w:rsid w:val="00F255B5"/>
    <w:rsid w:val="00F2606B"/>
    <w:rsid w:val="00F267A6"/>
    <w:rsid w:val="00F26822"/>
    <w:rsid w:val="00F2692B"/>
    <w:rsid w:val="00F269BC"/>
    <w:rsid w:val="00F26AF7"/>
    <w:rsid w:val="00F26DB1"/>
    <w:rsid w:val="00F27A72"/>
    <w:rsid w:val="00F27FED"/>
    <w:rsid w:val="00F30005"/>
    <w:rsid w:val="00F30438"/>
    <w:rsid w:val="00F30A41"/>
    <w:rsid w:val="00F31002"/>
    <w:rsid w:val="00F3171E"/>
    <w:rsid w:val="00F3177F"/>
    <w:rsid w:val="00F31D32"/>
    <w:rsid w:val="00F31DA3"/>
    <w:rsid w:val="00F33190"/>
    <w:rsid w:val="00F33598"/>
    <w:rsid w:val="00F33794"/>
    <w:rsid w:val="00F34023"/>
    <w:rsid w:val="00F341F7"/>
    <w:rsid w:val="00F34629"/>
    <w:rsid w:val="00F34861"/>
    <w:rsid w:val="00F34862"/>
    <w:rsid w:val="00F35387"/>
    <w:rsid w:val="00F35693"/>
    <w:rsid w:val="00F35D69"/>
    <w:rsid w:val="00F36199"/>
    <w:rsid w:val="00F362AF"/>
    <w:rsid w:val="00F36475"/>
    <w:rsid w:val="00F369DD"/>
    <w:rsid w:val="00F36B41"/>
    <w:rsid w:val="00F37A70"/>
    <w:rsid w:val="00F37AD4"/>
    <w:rsid w:val="00F40177"/>
    <w:rsid w:val="00F40268"/>
    <w:rsid w:val="00F4039F"/>
    <w:rsid w:val="00F40ABB"/>
    <w:rsid w:val="00F40BAC"/>
    <w:rsid w:val="00F413C4"/>
    <w:rsid w:val="00F418B3"/>
    <w:rsid w:val="00F41A14"/>
    <w:rsid w:val="00F41BB3"/>
    <w:rsid w:val="00F42EF9"/>
    <w:rsid w:val="00F430EF"/>
    <w:rsid w:val="00F43774"/>
    <w:rsid w:val="00F4388A"/>
    <w:rsid w:val="00F43A29"/>
    <w:rsid w:val="00F43FCE"/>
    <w:rsid w:val="00F44395"/>
    <w:rsid w:val="00F448B0"/>
    <w:rsid w:val="00F44B44"/>
    <w:rsid w:val="00F44F3E"/>
    <w:rsid w:val="00F451C0"/>
    <w:rsid w:val="00F4524B"/>
    <w:rsid w:val="00F457BE"/>
    <w:rsid w:val="00F45AB3"/>
    <w:rsid w:val="00F45C83"/>
    <w:rsid w:val="00F45D6C"/>
    <w:rsid w:val="00F45E60"/>
    <w:rsid w:val="00F45ECB"/>
    <w:rsid w:val="00F4600D"/>
    <w:rsid w:val="00F460B2"/>
    <w:rsid w:val="00F46909"/>
    <w:rsid w:val="00F475E9"/>
    <w:rsid w:val="00F478E3"/>
    <w:rsid w:val="00F50827"/>
    <w:rsid w:val="00F508BA"/>
    <w:rsid w:val="00F50DFD"/>
    <w:rsid w:val="00F51F44"/>
    <w:rsid w:val="00F52032"/>
    <w:rsid w:val="00F52291"/>
    <w:rsid w:val="00F5297F"/>
    <w:rsid w:val="00F52B5E"/>
    <w:rsid w:val="00F536D2"/>
    <w:rsid w:val="00F53774"/>
    <w:rsid w:val="00F53BB9"/>
    <w:rsid w:val="00F53C28"/>
    <w:rsid w:val="00F53CB4"/>
    <w:rsid w:val="00F542C9"/>
    <w:rsid w:val="00F54770"/>
    <w:rsid w:val="00F54978"/>
    <w:rsid w:val="00F54E07"/>
    <w:rsid w:val="00F55455"/>
    <w:rsid w:val="00F55E04"/>
    <w:rsid w:val="00F55EB3"/>
    <w:rsid w:val="00F561C2"/>
    <w:rsid w:val="00F56A40"/>
    <w:rsid w:val="00F56DA0"/>
    <w:rsid w:val="00F571AF"/>
    <w:rsid w:val="00F571FF"/>
    <w:rsid w:val="00F573DE"/>
    <w:rsid w:val="00F601F5"/>
    <w:rsid w:val="00F60388"/>
    <w:rsid w:val="00F605C7"/>
    <w:rsid w:val="00F609CA"/>
    <w:rsid w:val="00F60B03"/>
    <w:rsid w:val="00F61009"/>
    <w:rsid w:val="00F61C3F"/>
    <w:rsid w:val="00F61EB2"/>
    <w:rsid w:val="00F6223A"/>
    <w:rsid w:val="00F622D4"/>
    <w:rsid w:val="00F624B0"/>
    <w:rsid w:val="00F62546"/>
    <w:rsid w:val="00F62684"/>
    <w:rsid w:val="00F633CF"/>
    <w:rsid w:val="00F63F2F"/>
    <w:rsid w:val="00F64287"/>
    <w:rsid w:val="00F642BB"/>
    <w:rsid w:val="00F650FB"/>
    <w:rsid w:val="00F651E2"/>
    <w:rsid w:val="00F65219"/>
    <w:rsid w:val="00F6521E"/>
    <w:rsid w:val="00F65518"/>
    <w:rsid w:val="00F6565A"/>
    <w:rsid w:val="00F65A26"/>
    <w:rsid w:val="00F65EB1"/>
    <w:rsid w:val="00F65F72"/>
    <w:rsid w:val="00F661D4"/>
    <w:rsid w:val="00F66C43"/>
    <w:rsid w:val="00F66CAB"/>
    <w:rsid w:val="00F66D78"/>
    <w:rsid w:val="00F67105"/>
    <w:rsid w:val="00F67252"/>
    <w:rsid w:val="00F67325"/>
    <w:rsid w:val="00F673D1"/>
    <w:rsid w:val="00F67AAA"/>
    <w:rsid w:val="00F70111"/>
    <w:rsid w:val="00F70519"/>
    <w:rsid w:val="00F70896"/>
    <w:rsid w:val="00F708B3"/>
    <w:rsid w:val="00F70C36"/>
    <w:rsid w:val="00F70D2B"/>
    <w:rsid w:val="00F70D37"/>
    <w:rsid w:val="00F7100A"/>
    <w:rsid w:val="00F71185"/>
    <w:rsid w:val="00F713BA"/>
    <w:rsid w:val="00F719F8"/>
    <w:rsid w:val="00F71BC6"/>
    <w:rsid w:val="00F7210F"/>
    <w:rsid w:val="00F726E9"/>
    <w:rsid w:val="00F72D44"/>
    <w:rsid w:val="00F73C90"/>
    <w:rsid w:val="00F73E30"/>
    <w:rsid w:val="00F73FDA"/>
    <w:rsid w:val="00F7425E"/>
    <w:rsid w:val="00F74394"/>
    <w:rsid w:val="00F74C39"/>
    <w:rsid w:val="00F74CE0"/>
    <w:rsid w:val="00F74E53"/>
    <w:rsid w:val="00F74E80"/>
    <w:rsid w:val="00F7521C"/>
    <w:rsid w:val="00F759BE"/>
    <w:rsid w:val="00F75FE2"/>
    <w:rsid w:val="00F76552"/>
    <w:rsid w:val="00F767BC"/>
    <w:rsid w:val="00F76911"/>
    <w:rsid w:val="00F76996"/>
    <w:rsid w:val="00F769DD"/>
    <w:rsid w:val="00F76B28"/>
    <w:rsid w:val="00F76CA8"/>
    <w:rsid w:val="00F76D21"/>
    <w:rsid w:val="00F76D74"/>
    <w:rsid w:val="00F7749E"/>
    <w:rsid w:val="00F7757F"/>
    <w:rsid w:val="00F776D9"/>
    <w:rsid w:val="00F77B97"/>
    <w:rsid w:val="00F8077D"/>
    <w:rsid w:val="00F80789"/>
    <w:rsid w:val="00F808CE"/>
    <w:rsid w:val="00F81188"/>
    <w:rsid w:val="00F81786"/>
    <w:rsid w:val="00F817DA"/>
    <w:rsid w:val="00F81AC7"/>
    <w:rsid w:val="00F81B21"/>
    <w:rsid w:val="00F81E1B"/>
    <w:rsid w:val="00F82069"/>
    <w:rsid w:val="00F821A9"/>
    <w:rsid w:val="00F82468"/>
    <w:rsid w:val="00F82B22"/>
    <w:rsid w:val="00F82C47"/>
    <w:rsid w:val="00F82E6D"/>
    <w:rsid w:val="00F83218"/>
    <w:rsid w:val="00F837B5"/>
    <w:rsid w:val="00F837BB"/>
    <w:rsid w:val="00F83BDB"/>
    <w:rsid w:val="00F84F76"/>
    <w:rsid w:val="00F8566C"/>
    <w:rsid w:val="00F85A63"/>
    <w:rsid w:val="00F860E1"/>
    <w:rsid w:val="00F864B3"/>
    <w:rsid w:val="00F86FF6"/>
    <w:rsid w:val="00F8714A"/>
    <w:rsid w:val="00F871D7"/>
    <w:rsid w:val="00F876AD"/>
    <w:rsid w:val="00F879E8"/>
    <w:rsid w:val="00F901D6"/>
    <w:rsid w:val="00F902B5"/>
    <w:rsid w:val="00F90AD3"/>
    <w:rsid w:val="00F90D70"/>
    <w:rsid w:val="00F90FFB"/>
    <w:rsid w:val="00F913D0"/>
    <w:rsid w:val="00F915AD"/>
    <w:rsid w:val="00F91882"/>
    <w:rsid w:val="00F92120"/>
    <w:rsid w:val="00F929A6"/>
    <w:rsid w:val="00F92E9A"/>
    <w:rsid w:val="00F932BD"/>
    <w:rsid w:val="00F937C8"/>
    <w:rsid w:val="00F93878"/>
    <w:rsid w:val="00F9488C"/>
    <w:rsid w:val="00F9526A"/>
    <w:rsid w:val="00F9587D"/>
    <w:rsid w:val="00F968E2"/>
    <w:rsid w:val="00F96FE8"/>
    <w:rsid w:val="00F9704E"/>
    <w:rsid w:val="00F970AB"/>
    <w:rsid w:val="00F979E1"/>
    <w:rsid w:val="00F97D55"/>
    <w:rsid w:val="00F97D86"/>
    <w:rsid w:val="00FA0222"/>
    <w:rsid w:val="00FA0D8B"/>
    <w:rsid w:val="00FA0E3F"/>
    <w:rsid w:val="00FA108A"/>
    <w:rsid w:val="00FA1122"/>
    <w:rsid w:val="00FA11D8"/>
    <w:rsid w:val="00FA177B"/>
    <w:rsid w:val="00FA17F9"/>
    <w:rsid w:val="00FA21F1"/>
    <w:rsid w:val="00FA242E"/>
    <w:rsid w:val="00FA252C"/>
    <w:rsid w:val="00FA3902"/>
    <w:rsid w:val="00FA415A"/>
    <w:rsid w:val="00FA4236"/>
    <w:rsid w:val="00FA4747"/>
    <w:rsid w:val="00FA4D2C"/>
    <w:rsid w:val="00FA54C2"/>
    <w:rsid w:val="00FA5500"/>
    <w:rsid w:val="00FA56DC"/>
    <w:rsid w:val="00FA5744"/>
    <w:rsid w:val="00FA5EED"/>
    <w:rsid w:val="00FA5F71"/>
    <w:rsid w:val="00FA62D9"/>
    <w:rsid w:val="00FA6566"/>
    <w:rsid w:val="00FA6842"/>
    <w:rsid w:val="00FA6FE7"/>
    <w:rsid w:val="00FA79BE"/>
    <w:rsid w:val="00FA7B13"/>
    <w:rsid w:val="00FA7E3E"/>
    <w:rsid w:val="00FB04CF"/>
    <w:rsid w:val="00FB055B"/>
    <w:rsid w:val="00FB06ED"/>
    <w:rsid w:val="00FB07EC"/>
    <w:rsid w:val="00FB09BA"/>
    <w:rsid w:val="00FB0F2F"/>
    <w:rsid w:val="00FB131C"/>
    <w:rsid w:val="00FB13D9"/>
    <w:rsid w:val="00FB154F"/>
    <w:rsid w:val="00FB1566"/>
    <w:rsid w:val="00FB1694"/>
    <w:rsid w:val="00FB179B"/>
    <w:rsid w:val="00FB1D0F"/>
    <w:rsid w:val="00FB2241"/>
    <w:rsid w:val="00FB28FE"/>
    <w:rsid w:val="00FB3C7E"/>
    <w:rsid w:val="00FB4748"/>
    <w:rsid w:val="00FB479D"/>
    <w:rsid w:val="00FB4B7A"/>
    <w:rsid w:val="00FB4D41"/>
    <w:rsid w:val="00FB5117"/>
    <w:rsid w:val="00FB5219"/>
    <w:rsid w:val="00FB541B"/>
    <w:rsid w:val="00FB5B54"/>
    <w:rsid w:val="00FB6193"/>
    <w:rsid w:val="00FB63B4"/>
    <w:rsid w:val="00FB663F"/>
    <w:rsid w:val="00FB69D0"/>
    <w:rsid w:val="00FB6B99"/>
    <w:rsid w:val="00FB6CB9"/>
    <w:rsid w:val="00FB6FFE"/>
    <w:rsid w:val="00FB7096"/>
    <w:rsid w:val="00FB751C"/>
    <w:rsid w:val="00FB79F9"/>
    <w:rsid w:val="00FC0999"/>
    <w:rsid w:val="00FC1854"/>
    <w:rsid w:val="00FC1934"/>
    <w:rsid w:val="00FC1985"/>
    <w:rsid w:val="00FC19B4"/>
    <w:rsid w:val="00FC1F0C"/>
    <w:rsid w:val="00FC20DE"/>
    <w:rsid w:val="00FC2262"/>
    <w:rsid w:val="00FC22F4"/>
    <w:rsid w:val="00FC2467"/>
    <w:rsid w:val="00FC26CE"/>
    <w:rsid w:val="00FC2ADB"/>
    <w:rsid w:val="00FC31E1"/>
    <w:rsid w:val="00FC3DD4"/>
    <w:rsid w:val="00FC41CC"/>
    <w:rsid w:val="00FC4624"/>
    <w:rsid w:val="00FC4847"/>
    <w:rsid w:val="00FC51B6"/>
    <w:rsid w:val="00FC5255"/>
    <w:rsid w:val="00FC7674"/>
    <w:rsid w:val="00FC7857"/>
    <w:rsid w:val="00FC7DDF"/>
    <w:rsid w:val="00FC7F01"/>
    <w:rsid w:val="00FC7FD8"/>
    <w:rsid w:val="00FD0041"/>
    <w:rsid w:val="00FD00E8"/>
    <w:rsid w:val="00FD0250"/>
    <w:rsid w:val="00FD042F"/>
    <w:rsid w:val="00FD050C"/>
    <w:rsid w:val="00FD0E57"/>
    <w:rsid w:val="00FD12CB"/>
    <w:rsid w:val="00FD179C"/>
    <w:rsid w:val="00FD19DD"/>
    <w:rsid w:val="00FD1B93"/>
    <w:rsid w:val="00FD2663"/>
    <w:rsid w:val="00FD2FF6"/>
    <w:rsid w:val="00FD328A"/>
    <w:rsid w:val="00FD3472"/>
    <w:rsid w:val="00FD34C1"/>
    <w:rsid w:val="00FD35A7"/>
    <w:rsid w:val="00FD3C06"/>
    <w:rsid w:val="00FD3CC0"/>
    <w:rsid w:val="00FD4369"/>
    <w:rsid w:val="00FD4430"/>
    <w:rsid w:val="00FD4B51"/>
    <w:rsid w:val="00FD4BB5"/>
    <w:rsid w:val="00FD552F"/>
    <w:rsid w:val="00FD5646"/>
    <w:rsid w:val="00FD58A8"/>
    <w:rsid w:val="00FD5B5D"/>
    <w:rsid w:val="00FD64B5"/>
    <w:rsid w:val="00FD6581"/>
    <w:rsid w:val="00FD671F"/>
    <w:rsid w:val="00FD69FD"/>
    <w:rsid w:val="00FD746D"/>
    <w:rsid w:val="00FD74A3"/>
    <w:rsid w:val="00FD767A"/>
    <w:rsid w:val="00FE0405"/>
    <w:rsid w:val="00FE0471"/>
    <w:rsid w:val="00FE0A6E"/>
    <w:rsid w:val="00FE0A98"/>
    <w:rsid w:val="00FE0AF1"/>
    <w:rsid w:val="00FE0B76"/>
    <w:rsid w:val="00FE0DEE"/>
    <w:rsid w:val="00FE0F49"/>
    <w:rsid w:val="00FE1338"/>
    <w:rsid w:val="00FE163E"/>
    <w:rsid w:val="00FE1657"/>
    <w:rsid w:val="00FE16E6"/>
    <w:rsid w:val="00FE1960"/>
    <w:rsid w:val="00FE198E"/>
    <w:rsid w:val="00FE1BDA"/>
    <w:rsid w:val="00FE204D"/>
    <w:rsid w:val="00FE212E"/>
    <w:rsid w:val="00FE231F"/>
    <w:rsid w:val="00FE24CA"/>
    <w:rsid w:val="00FE2A18"/>
    <w:rsid w:val="00FE2BE5"/>
    <w:rsid w:val="00FE3233"/>
    <w:rsid w:val="00FE3BFC"/>
    <w:rsid w:val="00FE43F9"/>
    <w:rsid w:val="00FE4462"/>
    <w:rsid w:val="00FE4AB3"/>
    <w:rsid w:val="00FE4AE0"/>
    <w:rsid w:val="00FE4E29"/>
    <w:rsid w:val="00FE55AF"/>
    <w:rsid w:val="00FE5635"/>
    <w:rsid w:val="00FE5A8C"/>
    <w:rsid w:val="00FE618F"/>
    <w:rsid w:val="00FE682F"/>
    <w:rsid w:val="00FE729C"/>
    <w:rsid w:val="00FE72A9"/>
    <w:rsid w:val="00FE7854"/>
    <w:rsid w:val="00FE7F5A"/>
    <w:rsid w:val="00FF04DA"/>
    <w:rsid w:val="00FF0D32"/>
    <w:rsid w:val="00FF0EB5"/>
    <w:rsid w:val="00FF17E4"/>
    <w:rsid w:val="00FF195B"/>
    <w:rsid w:val="00FF1BAB"/>
    <w:rsid w:val="00FF2237"/>
    <w:rsid w:val="00FF224E"/>
    <w:rsid w:val="00FF254C"/>
    <w:rsid w:val="00FF2669"/>
    <w:rsid w:val="00FF29E4"/>
    <w:rsid w:val="00FF2A3D"/>
    <w:rsid w:val="00FF2CEC"/>
    <w:rsid w:val="00FF2EF8"/>
    <w:rsid w:val="00FF305E"/>
    <w:rsid w:val="00FF341C"/>
    <w:rsid w:val="00FF3521"/>
    <w:rsid w:val="00FF364D"/>
    <w:rsid w:val="00FF36A4"/>
    <w:rsid w:val="00FF37EF"/>
    <w:rsid w:val="00FF380A"/>
    <w:rsid w:val="00FF3EAC"/>
    <w:rsid w:val="00FF4506"/>
    <w:rsid w:val="00FF460C"/>
    <w:rsid w:val="00FF4624"/>
    <w:rsid w:val="00FF466A"/>
    <w:rsid w:val="00FF4872"/>
    <w:rsid w:val="00FF4C6A"/>
    <w:rsid w:val="00FF5952"/>
    <w:rsid w:val="00FF5A6E"/>
    <w:rsid w:val="00FF6254"/>
    <w:rsid w:val="00FF6A76"/>
    <w:rsid w:val="00FF6AC2"/>
    <w:rsid w:val="00FF6AFD"/>
    <w:rsid w:val="00FF6E5B"/>
    <w:rsid w:val="00FF7785"/>
    <w:rsid w:val="0171B10D"/>
    <w:rsid w:val="01A0C0B3"/>
    <w:rsid w:val="021FB2ED"/>
    <w:rsid w:val="02346166"/>
    <w:rsid w:val="02E171D9"/>
    <w:rsid w:val="03C22B2A"/>
    <w:rsid w:val="0418D6BF"/>
    <w:rsid w:val="051F6E0B"/>
    <w:rsid w:val="054BD844"/>
    <w:rsid w:val="05F40F5F"/>
    <w:rsid w:val="069BBCC5"/>
    <w:rsid w:val="071A3EC7"/>
    <w:rsid w:val="07D4F8BA"/>
    <w:rsid w:val="084CF968"/>
    <w:rsid w:val="084E78F2"/>
    <w:rsid w:val="0979B521"/>
    <w:rsid w:val="0996AA5E"/>
    <w:rsid w:val="0A2CBCE9"/>
    <w:rsid w:val="0A5A7EB8"/>
    <w:rsid w:val="0A7E3805"/>
    <w:rsid w:val="0AA0569D"/>
    <w:rsid w:val="0B04E027"/>
    <w:rsid w:val="0B45AF78"/>
    <w:rsid w:val="0B642D34"/>
    <w:rsid w:val="0B7943A0"/>
    <w:rsid w:val="0BA189DA"/>
    <w:rsid w:val="0C1107F4"/>
    <w:rsid w:val="0CB2E198"/>
    <w:rsid w:val="0CCADDDF"/>
    <w:rsid w:val="0D6698F4"/>
    <w:rsid w:val="0EDBBE7B"/>
    <w:rsid w:val="0EE6BC9D"/>
    <w:rsid w:val="0EF3CBC0"/>
    <w:rsid w:val="0F2E21B4"/>
    <w:rsid w:val="0F409CD6"/>
    <w:rsid w:val="0F546619"/>
    <w:rsid w:val="0F9EC772"/>
    <w:rsid w:val="0FDDC042"/>
    <w:rsid w:val="102E824A"/>
    <w:rsid w:val="103BEB17"/>
    <w:rsid w:val="10860813"/>
    <w:rsid w:val="109AA231"/>
    <w:rsid w:val="10A9F6DD"/>
    <w:rsid w:val="10EF2C5E"/>
    <w:rsid w:val="12370319"/>
    <w:rsid w:val="128855E4"/>
    <w:rsid w:val="128A19B5"/>
    <w:rsid w:val="133FDD54"/>
    <w:rsid w:val="141B5302"/>
    <w:rsid w:val="14630D56"/>
    <w:rsid w:val="14C87C35"/>
    <w:rsid w:val="153A3C01"/>
    <w:rsid w:val="1618C59B"/>
    <w:rsid w:val="162087CB"/>
    <w:rsid w:val="164E06B8"/>
    <w:rsid w:val="16C56F01"/>
    <w:rsid w:val="17F8969D"/>
    <w:rsid w:val="1892B3AD"/>
    <w:rsid w:val="18CBED7C"/>
    <w:rsid w:val="18FAA4C0"/>
    <w:rsid w:val="190F6312"/>
    <w:rsid w:val="192AF905"/>
    <w:rsid w:val="1A0312A1"/>
    <w:rsid w:val="1AF2AD09"/>
    <w:rsid w:val="1C3E95E8"/>
    <w:rsid w:val="1C6B1356"/>
    <w:rsid w:val="1DC0C062"/>
    <w:rsid w:val="1E2B2642"/>
    <w:rsid w:val="1F2DE473"/>
    <w:rsid w:val="1F5F675E"/>
    <w:rsid w:val="1FC4418C"/>
    <w:rsid w:val="1FD074DB"/>
    <w:rsid w:val="202B7347"/>
    <w:rsid w:val="209B8ABD"/>
    <w:rsid w:val="20FBA61A"/>
    <w:rsid w:val="210DB985"/>
    <w:rsid w:val="2144ADC7"/>
    <w:rsid w:val="21AEB038"/>
    <w:rsid w:val="23972E3A"/>
    <w:rsid w:val="2429F76D"/>
    <w:rsid w:val="245D86C3"/>
    <w:rsid w:val="24AE19F8"/>
    <w:rsid w:val="24E326E0"/>
    <w:rsid w:val="25E22249"/>
    <w:rsid w:val="25E99A04"/>
    <w:rsid w:val="275BFFAB"/>
    <w:rsid w:val="279E7394"/>
    <w:rsid w:val="2866E812"/>
    <w:rsid w:val="2883E430"/>
    <w:rsid w:val="28E6415E"/>
    <w:rsid w:val="2943C686"/>
    <w:rsid w:val="29514737"/>
    <w:rsid w:val="296636C5"/>
    <w:rsid w:val="2ABE40CA"/>
    <w:rsid w:val="2AEB4F59"/>
    <w:rsid w:val="2B39EED2"/>
    <w:rsid w:val="2BE92B22"/>
    <w:rsid w:val="2C509493"/>
    <w:rsid w:val="2C52B301"/>
    <w:rsid w:val="2D90BA97"/>
    <w:rsid w:val="2DF25955"/>
    <w:rsid w:val="2E76797D"/>
    <w:rsid w:val="3002325F"/>
    <w:rsid w:val="3009A87D"/>
    <w:rsid w:val="3088281F"/>
    <w:rsid w:val="3149B5E8"/>
    <w:rsid w:val="31D3B200"/>
    <w:rsid w:val="3236FED2"/>
    <w:rsid w:val="32A8ABDD"/>
    <w:rsid w:val="32C23F59"/>
    <w:rsid w:val="32D73789"/>
    <w:rsid w:val="3390F030"/>
    <w:rsid w:val="33B6A4B8"/>
    <w:rsid w:val="33C9EE6F"/>
    <w:rsid w:val="33FB0E04"/>
    <w:rsid w:val="34175592"/>
    <w:rsid w:val="345BA3A1"/>
    <w:rsid w:val="34760828"/>
    <w:rsid w:val="349C59CB"/>
    <w:rsid w:val="35BBF033"/>
    <w:rsid w:val="35C4D2EB"/>
    <w:rsid w:val="362B8670"/>
    <w:rsid w:val="362C2EDD"/>
    <w:rsid w:val="368417BE"/>
    <w:rsid w:val="369D235B"/>
    <w:rsid w:val="372F0157"/>
    <w:rsid w:val="3826C778"/>
    <w:rsid w:val="38CD384E"/>
    <w:rsid w:val="38E67F9C"/>
    <w:rsid w:val="38FADBA3"/>
    <w:rsid w:val="39BAF8B5"/>
    <w:rsid w:val="39EC1F25"/>
    <w:rsid w:val="3A4D2599"/>
    <w:rsid w:val="3A69A523"/>
    <w:rsid w:val="3B49C1F9"/>
    <w:rsid w:val="3B8BBFDB"/>
    <w:rsid w:val="3C2BC945"/>
    <w:rsid w:val="3C9277CD"/>
    <w:rsid w:val="3CD3A9AA"/>
    <w:rsid w:val="3CED7383"/>
    <w:rsid w:val="3D1C0EB0"/>
    <w:rsid w:val="3DB68DE7"/>
    <w:rsid w:val="3DFAB292"/>
    <w:rsid w:val="3EFAA967"/>
    <w:rsid w:val="3F0CD0EF"/>
    <w:rsid w:val="3F738C9F"/>
    <w:rsid w:val="3F9330F3"/>
    <w:rsid w:val="4063115C"/>
    <w:rsid w:val="40F4D97B"/>
    <w:rsid w:val="415534BC"/>
    <w:rsid w:val="41ADFDA9"/>
    <w:rsid w:val="42FA04AE"/>
    <w:rsid w:val="430DF126"/>
    <w:rsid w:val="43CF4480"/>
    <w:rsid w:val="441186A8"/>
    <w:rsid w:val="4419CFFF"/>
    <w:rsid w:val="4425CCEC"/>
    <w:rsid w:val="44C7F56E"/>
    <w:rsid w:val="45338EDE"/>
    <w:rsid w:val="454D6440"/>
    <w:rsid w:val="46027795"/>
    <w:rsid w:val="46AC4BD8"/>
    <w:rsid w:val="46C94CB9"/>
    <w:rsid w:val="473F1147"/>
    <w:rsid w:val="47561299"/>
    <w:rsid w:val="476FE4D8"/>
    <w:rsid w:val="489EAE2F"/>
    <w:rsid w:val="489F513A"/>
    <w:rsid w:val="48C8A4BA"/>
    <w:rsid w:val="49B81D4C"/>
    <w:rsid w:val="49C62ABB"/>
    <w:rsid w:val="4A145AAE"/>
    <w:rsid w:val="4A56D818"/>
    <w:rsid w:val="4A600B01"/>
    <w:rsid w:val="4AB2EE9A"/>
    <w:rsid w:val="4B588F6D"/>
    <w:rsid w:val="4CA87F35"/>
    <w:rsid w:val="4CC249D8"/>
    <w:rsid w:val="4D45A37A"/>
    <w:rsid w:val="4D77731F"/>
    <w:rsid w:val="4DAFA41A"/>
    <w:rsid w:val="4E7C4098"/>
    <w:rsid w:val="4E94D5D1"/>
    <w:rsid w:val="4ED59A16"/>
    <w:rsid w:val="5023D7B5"/>
    <w:rsid w:val="50D2EA31"/>
    <w:rsid w:val="51063101"/>
    <w:rsid w:val="519E2242"/>
    <w:rsid w:val="51E80A9A"/>
    <w:rsid w:val="51F165FB"/>
    <w:rsid w:val="520BFB28"/>
    <w:rsid w:val="5280DB64"/>
    <w:rsid w:val="52966629"/>
    <w:rsid w:val="534ED857"/>
    <w:rsid w:val="542A83A4"/>
    <w:rsid w:val="54C140D0"/>
    <w:rsid w:val="556DEF3B"/>
    <w:rsid w:val="558DD969"/>
    <w:rsid w:val="56797684"/>
    <w:rsid w:val="56DF68B7"/>
    <w:rsid w:val="57267364"/>
    <w:rsid w:val="57422A8E"/>
    <w:rsid w:val="580D3F7D"/>
    <w:rsid w:val="58123444"/>
    <w:rsid w:val="581D262F"/>
    <w:rsid w:val="5836157E"/>
    <w:rsid w:val="58C797EB"/>
    <w:rsid w:val="5979149D"/>
    <w:rsid w:val="59923800"/>
    <w:rsid w:val="59C5E3CC"/>
    <w:rsid w:val="59E906A0"/>
    <w:rsid w:val="5A0C088C"/>
    <w:rsid w:val="5A7BA4F8"/>
    <w:rsid w:val="5A7F2139"/>
    <w:rsid w:val="5A8DF99F"/>
    <w:rsid w:val="5AAE44C1"/>
    <w:rsid w:val="5B02367A"/>
    <w:rsid w:val="5B26F9CB"/>
    <w:rsid w:val="5B3BDB56"/>
    <w:rsid w:val="5C039B93"/>
    <w:rsid w:val="5C91B63C"/>
    <w:rsid w:val="5DC7C56C"/>
    <w:rsid w:val="5E2AE513"/>
    <w:rsid w:val="5E2D9E07"/>
    <w:rsid w:val="5EFD103A"/>
    <w:rsid w:val="5F110292"/>
    <w:rsid w:val="5F148792"/>
    <w:rsid w:val="6020BF66"/>
    <w:rsid w:val="6048350D"/>
    <w:rsid w:val="6096F33F"/>
    <w:rsid w:val="60A0FD17"/>
    <w:rsid w:val="60B7CF09"/>
    <w:rsid w:val="61A3453E"/>
    <w:rsid w:val="61A61A43"/>
    <w:rsid w:val="62145E30"/>
    <w:rsid w:val="623823F3"/>
    <w:rsid w:val="62419170"/>
    <w:rsid w:val="625CE823"/>
    <w:rsid w:val="629ACCB1"/>
    <w:rsid w:val="62E4D198"/>
    <w:rsid w:val="636D4E15"/>
    <w:rsid w:val="63BC126F"/>
    <w:rsid w:val="65055489"/>
    <w:rsid w:val="6538F0B6"/>
    <w:rsid w:val="65649BCF"/>
    <w:rsid w:val="662BF13D"/>
    <w:rsid w:val="6703C935"/>
    <w:rsid w:val="677FFB07"/>
    <w:rsid w:val="67A72608"/>
    <w:rsid w:val="67AFC321"/>
    <w:rsid w:val="684FCEA0"/>
    <w:rsid w:val="685B7759"/>
    <w:rsid w:val="68A02772"/>
    <w:rsid w:val="6A6E171C"/>
    <w:rsid w:val="6B630E67"/>
    <w:rsid w:val="6BE51753"/>
    <w:rsid w:val="6D4FEC95"/>
    <w:rsid w:val="6D8B3428"/>
    <w:rsid w:val="6D953642"/>
    <w:rsid w:val="6DB68F5A"/>
    <w:rsid w:val="6DBD56DE"/>
    <w:rsid w:val="6EF0C22E"/>
    <w:rsid w:val="6F1460D6"/>
    <w:rsid w:val="6F554D72"/>
    <w:rsid w:val="6F82C19D"/>
    <w:rsid w:val="6F8BE964"/>
    <w:rsid w:val="708928FD"/>
    <w:rsid w:val="71807FA7"/>
    <w:rsid w:val="724203C1"/>
    <w:rsid w:val="7305E4EF"/>
    <w:rsid w:val="7328664F"/>
    <w:rsid w:val="74438743"/>
    <w:rsid w:val="753B7236"/>
    <w:rsid w:val="7553B88B"/>
    <w:rsid w:val="7620AFD8"/>
    <w:rsid w:val="767B26D3"/>
    <w:rsid w:val="769D2448"/>
    <w:rsid w:val="77B077D4"/>
    <w:rsid w:val="77BFA537"/>
    <w:rsid w:val="77D82089"/>
    <w:rsid w:val="7805A830"/>
    <w:rsid w:val="790DD303"/>
    <w:rsid w:val="792C347F"/>
    <w:rsid w:val="7935219A"/>
    <w:rsid w:val="7A3C985E"/>
    <w:rsid w:val="7A9F8BC7"/>
    <w:rsid w:val="7B67B3D5"/>
    <w:rsid w:val="7BC00209"/>
    <w:rsid w:val="7BE49EAC"/>
    <w:rsid w:val="7C57D8DE"/>
    <w:rsid w:val="7D1CB0E9"/>
    <w:rsid w:val="7D6C2F88"/>
    <w:rsid w:val="7D8EDF5A"/>
    <w:rsid w:val="7E1177A8"/>
    <w:rsid w:val="7E58358C"/>
    <w:rsid w:val="7F742472"/>
    <w:rsid w:val="7F7F3CC0"/>
    <w:rsid w:val="7FDDDB6F"/>
    <w:rsid w:val="7FE366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23972E3A"/>
  <w15:chartTrackingRefBased/>
  <w15:docId w15:val="{6E01ACF5-776B-4052-96A6-D1B56714F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nhideWhenUsed="1"/>
    <w:lsdException w:name="header" w:semiHidden="1" w:uiPriority="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C175A"/>
    <w:rPr>
      <w:rFonts w:ascii="Times New Roman" w:hAnsi="Times New Roman"/>
      <w:lang w:val="et-EE"/>
    </w:rPr>
  </w:style>
  <w:style w:type="paragraph" w:styleId="Pealkiri1">
    <w:name w:val="heading 1"/>
    <w:basedOn w:val="Normaallaad"/>
    <w:next w:val="Normaallaad"/>
    <w:link w:val="Pealkiri1Mrk"/>
    <w:autoRedefine/>
    <w:uiPriority w:val="1"/>
    <w:qFormat/>
    <w:rsid w:val="00D600BA"/>
    <w:pPr>
      <w:keepNext/>
      <w:keepLines/>
      <w:numPr>
        <w:numId w:val="56"/>
      </w:numPr>
      <w:spacing w:before="360" w:after="240" w:line="257" w:lineRule="auto"/>
      <w:jc w:val="both"/>
      <w:outlineLvl w:val="0"/>
    </w:pPr>
    <w:rPr>
      <w:rFonts w:eastAsia="Times New Roman" w:cs="Times New Roman"/>
      <w:b/>
      <w:sz w:val="28"/>
      <w:szCs w:val="28"/>
      <w:lang w:eastAsia="lv-LV"/>
    </w:rPr>
  </w:style>
  <w:style w:type="paragraph" w:styleId="Pealkiri2">
    <w:name w:val="heading 2"/>
    <w:aliases w:val="Pealkiri 2 Märk1,Pealkiri 2 Märk Märk,Pealkiri 2 Märk2,Pealkiri 2 Märk Märk1"/>
    <w:basedOn w:val="Normaallaad"/>
    <w:next w:val="Normaallaad"/>
    <w:link w:val="Pealkiri2Mrk"/>
    <w:autoRedefine/>
    <w:uiPriority w:val="1"/>
    <w:qFormat/>
    <w:rsid w:val="00C35E8D"/>
    <w:pPr>
      <w:numPr>
        <w:ilvl w:val="1"/>
        <w:numId w:val="81"/>
      </w:numPr>
      <w:spacing w:before="240" w:after="240"/>
      <w:outlineLvl w:val="1"/>
    </w:pPr>
    <w:rPr>
      <w:b/>
      <w:iCs/>
    </w:rPr>
  </w:style>
  <w:style w:type="paragraph" w:styleId="Pealkiri3">
    <w:name w:val="heading 3"/>
    <w:aliases w:val="Virsraksts 3 Rakstz. Rakstz. Rakstz. Rakstz. Rakstz. Rakstz. Rakstz. Rakstz. Rakstz. Rakstz.,Virsraksts 3 Rakstz. Rakstz. Rakstz. Rakstz. Rakstz. Rakstz. Rakstz. Rakstz. Rakstz.,Virsraksts 31"/>
    <w:basedOn w:val="Normaallaad"/>
    <w:next w:val="Pealkiri4"/>
    <w:link w:val="Pealkiri3Mrk"/>
    <w:autoRedefine/>
    <w:uiPriority w:val="1"/>
    <w:qFormat/>
    <w:rsid w:val="009805E1"/>
    <w:pPr>
      <w:keepNext/>
      <w:keepLines/>
      <w:numPr>
        <w:ilvl w:val="2"/>
        <w:numId w:val="83"/>
      </w:numPr>
      <w:spacing w:before="240" w:after="240" w:line="360" w:lineRule="auto"/>
      <w:ind w:left="862"/>
      <w:outlineLvl w:val="2"/>
    </w:pPr>
    <w:rPr>
      <w:rFonts w:eastAsia="Calibri" w:cstheme="majorBidi"/>
      <w:bCs/>
      <w:i/>
      <w:iCs/>
      <w:color w:val="000000" w:themeColor="text1"/>
      <w:lang w:eastAsia="en-US"/>
    </w:rPr>
  </w:style>
  <w:style w:type="paragraph" w:styleId="Pealkiri4">
    <w:name w:val="heading 4"/>
    <w:basedOn w:val="Normaallaad"/>
    <w:next w:val="Normaallaad"/>
    <w:link w:val="Pealkiri4Mrk"/>
    <w:autoRedefine/>
    <w:qFormat/>
    <w:rsid w:val="00262302"/>
    <w:pPr>
      <w:keepNext/>
      <w:keepLines/>
      <w:numPr>
        <w:ilvl w:val="3"/>
        <w:numId w:val="36"/>
      </w:numPr>
      <w:tabs>
        <w:tab w:val="left" w:pos="1985"/>
      </w:tabs>
      <w:spacing w:before="120" w:after="240"/>
      <w:jc w:val="both"/>
      <w:outlineLvl w:val="3"/>
    </w:pPr>
    <w:rPr>
      <w:rFonts w:eastAsiaTheme="majorEastAsia" w:cstheme="majorBidi"/>
      <w:i/>
      <w:iCs/>
      <w:lang w:eastAsia="en-US"/>
    </w:rPr>
  </w:style>
  <w:style w:type="paragraph" w:styleId="Pealkiri5">
    <w:name w:val="heading 5"/>
    <w:basedOn w:val="Normaallaad"/>
    <w:next w:val="Normaallaad"/>
    <w:link w:val="Pealkiri5Mrk"/>
    <w:uiPriority w:val="1"/>
    <w:qFormat/>
    <w:rsid w:val="006600B8"/>
    <w:pPr>
      <w:keepNext/>
      <w:keepLines/>
      <w:spacing w:before="80" w:after="40"/>
      <w:outlineLvl w:val="4"/>
    </w:pPr>
    <w:rPr>
      <w:rFonts w:eastAsiaTheme="majorEastAsia" w:cstheme="majorBidi"/>
      <w:i/>
    </w:rPr>
  </w:style>
  <w:style w:type="paragraph" w:styleId="Pealkiri6">
    <w:name w:val="heading 6"/>
    <w:basedOn w:val="Normaallaad"/>
    <w:next w:val="Normaallaad"/>
    <w:link w:val="Pealkiri6Mrk"/>
    <w:uiPriority w:val="9"/>
    <w:qFormat/>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qFormat/>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qFormat/>
    <w:rsid w:val="6F1460D6"/>
    <w:pPr>
      <w:keepNext/>
      <w:keepLines/>
      <w:spacing w:after="0"/>
      <w:outlineLvl w:val="7"/>
    </w:pPr>
    <w:rPr>
      <w:rFonts w:eastAsiaTheme="majorEastAsia" w:cstheme="majorBidi"/>
      <w:i/>
      <w:iCs/>
      <w:color w:val="272727"/>
    </w:rPr>
  </w:style>
  <w:style w:type="paragraph" w:styleId="Pealkiri9">
    <w:name w:val="heading 9"/>
    <w:basedOn w:val="Normaallaad"/>
    <w:next w:val="Normaallaad"/>
    <w:link w:val="Pealkiri9Mrk"/>
    <w:uiPriority w:val="9"/>
    <w:qFormat/>
    <w:rsid w:val="6F1460D6"/>
    <w:pPr>
      <w:keepNext/>
      <w:keepLines/>
      <w:spacing w:after="0"/>
      <w:outlineLvl w:val="8"/>
    </w:pPr>
    <w:rPr>
      <w:rFonts w:eastAsiaTheme="majorEastAsia" w:cstheme="majorBidi"/>
      <w:color w:val="272727"/>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1"/>
    <w:rsid w:val="00D600BA"/>
    <w:rPr>
      <w:rFonts w:ascii="Times New Roman" w:eastAsia="Times New Roman" w:hAnsi="Times New Roman" w:cs="Times New Roman"/>
      <w:b/>
      <w:sz w:val="28"/>
      <w:szCs w:val="28"/>
      <w:lang w:val="et-EE" w:eastAsia="lv-LV"/>
    </w:rPr>
  </w:style>
  <w:style w:type="character" w:customStyle="1" w:styleId="Pealkiri2Mrk">
    <w:name w:val="Pealkiri 2 Märk"/>
    <w:aliases w:val="Pealkiri 2 Märk1 Märk1,Pealkiri 2 Märk Märk Märk1,Pealkiri 2 Märk2 Märk1,Pealkiri 2 Märk Märk1 Märk1"/>
    <w:basedOn w:val="Liguvaikefont"/>
    <w:link w:val="Pealkiri2"/>
    <w:uiPriority w:val="1"/>
    <w:rsid w:val="00C35E8D"/>
    <w:rPr>
      <w:rFonts w:ascii="Times New Roman" w:hAnsi="Times New Roman"/>
      <w:b/>
      <w:iCs/>
      <w:lang w:val="et-EE"/>
    </w:rPr>
  </w:style>
  <w:style w:type="character" w:customStyle="1" w:styleId="Pealkiri3Mrk">
    <w:name w:val="Pealkiri 3 Märk"/>
    <w:aliases w:val="Virsraksts 3 Rakstz. Rakstz. Rakstz. Rakstz. Rakstz. Rakstz. Rakstz. Rakstz. Rakstz. Rakstz. Märk,Virsraksts 3 Rakstz. Rakstz. Rakstz. Rakstz. Rakstz. Rakstz. Rakstz. Rakstz. Rakstz. Märk,Virsraksts 31 Märk"/>
    <w:basedOn w:val="Liguvaikefont"/>
    <w:link w:val="Pealkiri3"/>
    <w:uiPriority w:val="1"/>
    <w:rsid w:val="009805E1"/>
    <w:rPr>
      <w:rFonts w:ascii="Times New Roman" w:eastAsia="Calibri" w:hAnsi="Times New Roman" w:cstheme="majorBidi"/>
      <w:bCs/>
      <w:i/>
      <w:iCs/>
      <w:color w:val="000000" w:themeColor="text1"/>
      <w:lang w:val="et-EE" w:eastAsia="en-US"/>
    </w:rPr>
  </w:style>
  <w:style w:type="character" w:customStyle="1" w:styleId="Pealkiri4Mrk">
    <w:name w:val="Pealkiri 4 Märk"/>
    <w:basedOn w:val="Liguvaikefont"/>
    <w:link w:val="Pealkiri4"/>
    <w:rsid w:val="00262302"/>
    <w:rPr>
      <w:rFonts w:ascii="Times New Roman" w:eastAsiaTheme="majorEastAsia" w:hAnsi="Times New Roman" w:cstheme="majorBidi"/>
      <w:i/>
      <w:iCs/>
      <w:lang w:val="et-EE" w:eastAsia="en-US"/>
    </w:rPr>
  </w:style>
  <w:style w:type="character" w:customStyle="1" w:styleId="Pealkiri5Mrk">
    <w:name w:val="Pealkiri 5 Märk"/>
    <w:basedOn w:val="Liguvaikefont"/>
    <w:link w:val="Pealkiri5"/>
    <w:uiPriority w:val="1"/>
    <w:rsid w:val="006600B8"/>
    <w:rPr>
      <w:rFonts w:ascii="Times New Roman" w:eastAsiaTheme="majorEastAsia" w:hAnsi="Times New Roman" w:cstheme="majorBidi"/>
      <w:i/>
      <w:lang w:val="et-EE"/>
    </w:rPr>
  </w:style>
  <w:style w:type="character" w:customStyle="1" w:styleId="Pealkiri6Mrk">
    <w:name w:val="Pealkiri 6 Märk"/>
    <w:basedOn w:val="Liguvaikefont"/>
    <w:link w:val="Pealkiri6"/>
    <w:uiPriority w:val="9"/>
    <w:rsid w:val="007F5CCB"/>
    <w:rPr>
      <w:rFonts w:ascii="Times New Roman" w:eastAsiaTheme="majorEastAsia" w:hAnsi="Times New Roman" w:cstheme="majorBidi"/>
      <w:i/>
      <w:iCs/>
      <w:color w:val="595959" w:themeColor="text1" w:themeTint="A6"/>
    </w:rPr>
  </w:style>
  <w:style w:type="character" w:customStyle="1" w:styleId="Pealkiri7Mrk">
    <w:name w:val="Pealkiri 7 Märk"/>
    <w:basedOn w:val="Liguvaikefont"/>
    <w:link w:val="Pealkiri7"/>
    <w:uiPriority w:val="9"/>
    <w:rsid w:val="007F5CCB"/>
    <w:rPr>
      <w:rFonts w:ascii="Times New Roman" w:eastAsiaTheme="majorEastAsia" w:hAnsi="Times New Roman" w:cstheme="majorBidi"/>
      <w:color w:val="595959" w:themeColor="text1" w:themeTint="A6"/>
    </w:rPr>
  </w:style>
  <w:style w:type="character" w:customStyle="1" w:styleId="Pealkiri8Mrk">
    <w:name w:val="Pealkiri 8 Märk"/>
    <w:basedOn w:val="Liguvaikefont"/>
    <w:link w:val="Pealkiri8"/>
    <w:uiPriority w:val="9"/>
    <w:rsid w:val="007F5CCB"/>
    <w:rPr>
      <w:rFonts w:ascii="Times New Roman" w:eastAsiaTheme="majorEastAsia" w:hAnsi="Times New Roman" w:cstheme="majorBidi"/>
      <w:i/>
      <w:iCs/>
      <w:color w:val="272727"/>
      <w:lang w:val="et-EE"/>
    </w:rPr>
  </w:style>
  <w:style w:type="character" w:customStyle="1" w:styleId="Pealkiri9Mrk">
    <w:name w:val="Pealkiri 9 Märk"/>
    <w:basedOn w:val="Liguvaikefont"/>
    <w:link w:val="Pealkiri9"/>
    <w:uiPriority w:val="9"/>
    <w:rsid w:val="007F5CCB"/>
    <w:rPr>
      <w:rFonts w:ascii="Times New Roman" w:eastAsiaTheme="majorEastAsia" w:hAnsi="Times New Roman" w:cstheme="majorBidi"/>
      <w:color w:val="272727"/>
      <w:lang w:val="et-EE"/>
    </w:rPr>
  </w:style>
  <w:style w:type="character" w:customStyle="1" w:styleId="PealkiriMrk">
    <w:name w:val="Pealkiri Märk"/>
    <w:basedOn w:val="Liguvaikefont"/>
    <w:link w:val="Pealkiri"/>
    <w:uiPriority w:val="10"/>
    <w:rsid w:val="007F5CCB"/>
    <w:rPr>
      <w:rFonts w:asciiTheme="majorHAnsi" w:eastAsiaTheme="majorEastAsia" w:hAnsiTheme="majorHAnsi" w:cstheme="majorBidi"/>
      <w:sz w:val="56"/>
      <w:szCs w:val="56"/>
      <w:lang w:val="et-EE"/>
    </w:rPr>
  </w:style>
  <w:style w:type="paragraph" w:styleId="Pealkiri">
    <w:name w:val="Title"/>
    <w:basedOn w:val="Normaallaad"/>
    <w:next w:val="Normaallaad"/>
    <w:link w:val="PealkiriMrk"/>
    <w:uiPriority w:val="10"/>
    <w:qFormat/>
    <w:rsid w:val="6F1460D6"/>
    <w:pPr>
      <w:spacing w:after="80" w:line="240" w:lineRule="auto"/>
      <w:contextualSpacing/>
    </w:pPr>
    <w:rPr>
      <w:rFonts w:asciiTheme="majorHAnsi" w:eastAsiaTheme="majorEastAsia" w:hAnsiTheme="majorHAnsi" w:cstheme="majorBidi"/>
      <w:sz w:val="56"/>
      <w:szCs w:val="56"/>
    </w:rPr>
  </w:style>
  <w:style w:type="character" w:customStyle="1" w:styleId="AlapealkiriMrk">
    <w:name w:val="Alapealkiri Märk"/>
    <w:basedOn w:val="Liguvaikefont"/>
    <w:link w:val="Alapealkiri"/>
    <w:uiPriority w:val="11"/>
    <w:rsid w:val="007F5CCB"/>
    <w:rPr>
      <w:rFonts w:ascii="Times New Roman" w:eastAsiaTheme="majorEastAsia" w:hAnsi="Times New Roman" w:cstheme="majorBidi"/>
      <w:color w:val="595959" w:themeColor="text1" w:themeTint="A6"/>
      <w:sz w:val="28"/>
      <w:szCs w:val="28"/>
      <w:lang w:val="et-EE"/>
    </w:rPr>
  </w:style>
  <w:style w:type="paragraph" w:styleId="Alapealkiri">
    <w:name w:val="Subtitle"/>
    <w:basedOn w:val="Normaallaad"/>
    <w:next w:val="Normaallaad"/>
    <w:link w:val="AlapealkiriMrk"/>
    <w:uiPriority w:val="11"/>
    <w:qFormat/>
    <w:rsid w:val="6F1460D6"/>
    <w:rPr>
      <w:rFonts w:eastAsiaTheme="majorEastAsia" w:cstheme="majorBidi"/>
      <w:color w:val="595959" w:themeColor="text1" w:themeTint="A6"/>
      <w:sz w:val="28"/>
      <w:szCs w:val="28"/>
    </w:rPr>
  </w:style>
  <w:style w:type="character" w:styleId="Selgeltmrgatavrhutus">
    <w:name w:val="Intense Emphasis"/>
    <w:basedOn w:val="Liguvaikefont"/>
    <w:uiPriority w:val="21"/>
    <w:qFormat/>
    <w:rPr>
      <w:i/>
      <w:iCs/>
      <w:color w:val="0F4761" w:themeColor="accent1" w:themeShade="BF"/>
    </w:rPr>
  </w:style>
  <w:style w:type="character" w:customStyle="1" w:styleId="TsitaatMrk">
    <w:name w:val="Tsitaat Märk"/>
    <w:basedOn w:val="Liguvaikefont"/>
    <w:link w:val="Tsitaat"/>
    <w:uiPriority w:val="29"/>
    <w:rsid w:val="007F5CCB"/>
    <w:rPr>
      <w:rFonts w:ascii="Times New Roman" w:hAnsi="Times New Roman"/>
      <w:i/>
      <w:iCs/>
      <w:color w:val="404040" w:themeColor="text1" w:themeTint="BF"/>
    </w:rPr>
  </w:style>
  <w:style w:type="paragraph" w:styleId="Tsitaat">
    <w:name w:val="Quote"/>
    <w:basedOn w:val="Normaallaad"/>
    <w:next w:val="Normaallaad"/>
    <w:link w:val="TsitaatMrk"/>
    <w:uiPriority w:val="29"/>
    <w:qFormat/>
    <w:pPr>
      <w:spacing w:before="160"/>
      <w:jc w:val="center"/>
    </w:pPr>
    <w:rPr>
      <w:i/>
      <w:iCs/>
      <w:color w:val="404040" w:themeColor="text1" w:themeTint="BF"/>
    </w:rPr>
  </w:style>
  <w:style w:type="character" w:customStyle="1" w:styleId="SelgeltmrgatavtsitaatMrk">
    <w:name w:val="Selgelt märgatav tsitaat Märk"/>
    <w:basedOn w:val="Liguvaikefont"/>
    <w:link w:val="Selgeltmrgatavtsitaat"/>
    <w:uiPriority w:val="30"/>
    <w:rsid w:val="007F5CCB"/>
    <w:rPr>
      <w:rFonts w:ascii="Times New Roman" w:hAnsi="Times New Roman"/>
      <w:i/>
      <w:iCs/>
      <w:color w:val="0F4761" w:themeColor="accent1" w:themeShade="BF"/>
      <w:lang w:val="et-EE"/>
    </w:rPr>
  </w:style>
  <w:style w:type="paragraph" w:styleId="Selgeltmrgatavtsitaat">
    <w:name w:val="Intense Quote"/>
    <w:basedOn w:val="Normaallaad"/>
    <w:next w:val="Normaallaad"/>
    <w:link w:val="SelgeltmrgatavtsitaatMrk"/>
    <w:uiPriority w:val="30"/>
    <w:qFormat/>
    <w:rsid w:val="6F1460D6"/>
    <w:pPr>
      <w:spacing w:before="360" w:after="360"/>
      <w:ind w:left="864" w:right="864"/>
      <w:jc w:val="center"/>
    </w:pPr>
    <w:rPr>
      <w:i/>
      <w:iCs/>
      <w:color w:val="0F4761" w:themeColor="accent1" w:themeShade="BF"/>
    </w:rPr>
  </w:style>
  <w:style w:type="character" w:styleId="Selgeltmrgatavviide">
    <w:name w:val="Intense Reference"/>
    <w:basedOn w:val="Liguvaikefont"/>
    <w:uiPriority w:val="32"/>
    <w:qFormat/>
    <w:rPr>
      <w:b/>
      <w:bCs/>
      <w:smallCaps/>
      <w:color w:val="0F4761" w:themeColor="accent1" w:themeShade="BF"/>
      <w:spacing w:val="5"/>
    </w:rPr>
  </w:style>
  <w:style w:type="character" w:styleId="Hperlink">
    <w:name w:val="Hyperlink"/>
    <w:basedOn w:val="Liguvaikefont"/>
    <w:uiPriority w:val="99"/>
    <w:qFormat/>
    <w:rPr>
      <w:color w:val="467886" w:themeColor="hyperlink"/>
      <w:u w:val="single"/>
    </w:rPr>
  </w:style>
  <w:style w:type="paragraph" w:styleId="Loendilik">
    <w:name w:val="List Paragraph"/>
    <w:basedOn w:val="Normaallaad"/>
    <w:uiPriority w:val="34"/>
    <w:qFormat/>
    <w:pPr>
      <w:ind w:left="720"/>
      <w:contextualSpacing/>
    </w:pPr>
  </w:style>
  <w:style w:type="table" w:styleId="Kontuurtabel">
    <w:name w:val="Table Grid"/>
    <w:basedOn w:val="Normaal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Loendita1">
    <w:name w:val="Loendita1"/>
    <w:next w:val="Loendita"/>
    <w:uiPriority w:val="99"/>
    <w:semiHidden/>
    <w:unhideWhenUsed/>
    <w:rsid w:val="0095323E"/>
  </w:style>
  <w:style w:type="paragraph" w:styleId="Jutumullitekst">
    <w:name w:val="Balloon Text"/>
    <w:basedOn w:val="Normaallaad"/>
    <w:link w:val="JutumullitekstMrk"/>
    <w:uiPriority w:val="1"/>
    <w:semiHidden/>
    <w:unhideWhenUsed/>
    <w:rsid w:val="0095323E"/>
    <w:pPr>
      <w:spacing w:after="0" w:line="240" w:lineRule="auto"/>
    </w:pPr>
    <w:rPr>
      <w:rFonts w:ascii="Segoe UI" w:eastAsia="Calibri" w:hAnsi="Segoe UI" w:cs="Segoe UI"/>
      <w:sz w:val="18"/>
      <w:szCs w:val="18"/>
      <w:lang w:eastAsia="en-US"/>
    </w:rPr>
  </w:style>
  <w:style w:type="character" w:customStyle="1" w:styleId="JutumullitekstMrk">
    <w:name w:val="Jutumullitekst Märk"/>
    <w:basedOn w:val="Liguvaikefont"/>
    <w:link w:val="Jutumullitekst"/>
    <w:semiHidden/>
    <w:rsid w:val="0095323E"/>
    <w:rPr>
      <w:rFonts w:ascii="Segoe UI" w:eastAsia="Calibri" w:hAnsi="Segoe UI" w:cs="Segoe UI"/>
      <w:sz w:val="18"/>
      <w:szCs w:val="18"/>
      <w:lang w:val="et-EE" w:eastAsia="en-US"/>
    </w:rPr>
  </w:style>
  <w:style w:type="character" w:styleId="Lahendamatamainimine">
    <w:name w:val="Unresolved Mention"/>
    <w:basedOn w:val="Liguvaikefont"/>
    <w:uiPriority w:val="99"/>
    <w:semiHidden/>
    <w:unhideWhenUsed/>
    <w:rsid w:val="0095323E"/>
    <w:rPr>
      <w:color w:val="605E5C"/>
      <w:shd w:val="clear" w:color="auto" w:fill="E1DFDD"/>
    </w:rPr>
  </w:style>
  <w:style w:type="table" w:customStyle="1" w:styleId="Kontuurtabel1">
    <w:name w:val="Kontuurtabel1"/>
    <w:basedOn w:val="Normaaltabel"/>
    <w:next w:val="Kontuurtabel"/>
    <w:uiPriority w:val="59"/>
    <w:rsid w:val="0095323E"/>
    <w:pPr>
      <w:spacing w:after="0" w:line="240" w:lineRule="auto"/>
    </w:pPr>
    <w:rPr>
      <w:rFonts w:eastAsia="Calibri"/>
      <w:sz w:val="22"/>
      <w:szCs w:val="22"/>
      <w:lang w:val="et-E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lastatudhperlink1">
    <w:name w:val="Külastatud hüperlink1"/>
    <w:basedOn w:val="Liguvaikefont"/>
    <w:rsid w:val="0095323E"/>
    <w:rPr>
      <w:color w:val="954F72"/>
      <w:u w:val="single"/>
    </w:rPr>
  </w:style>
  <w:style w:type="character" w:styleId="Kommentaariviide">
    <w:name w:val="annotation reference"/>
    <w:basedOn w:val="Liguvaikefont"/>
    <w:uiPriority w:val="99"/>
    <w:qFormat/>
    <w:rsid w:val="0095323E"/>
    <w:rPr>
      <w:sz w:val="16"/>
      <w:szCs w:val="16"/>
    </w:rPr>
  </w:style>
  <w:style w:type="paragraph" w:styleId="Kommentaaritekst">
    <w:name w:val="annotation text"/>
    <w:basedOn w:val="Normaallaad"/>
    <w:link w:val="KommentaaritekstMrk"/>
    <w:uiPriority w:val="99"/>
    <w:rsid w:val="0095323E"/>
    <w:pPr>
      <w:spacing w:line="240" w:lineRule="auto"/>
    </w:pPr>
    <w:rPr>
      <w:rFonts w:eastAsia="Calibri"/>
      <w:sz w:val="20"/>
      <w:szCs w:val="20"/>
      <w:lang w:eastAsia="en-US"/>
    </w:rPr>
  </w:style>
  <w:style w:type="character" w:customStyle="1" w:styleId="KommentaaritekstMrk">
    <w:name w:val="Kommentaari tekst Märk"/>
    <w:basedOn w:val="Liguvaikefont"/>
    <w:link w:val="Kommentaaritekst"/>
    <w:uiPriority w:val="99"/>
    <w:rsid w:val="007F5CCB"/>
    <w:rPr>
      <w:rFonts w:ascii="Times New Roman" w:eastAsia="Calibri" w:hAnsi="Times New Roman"/>
      <w:sz w:val="20"/>
      <w:szCs w:val="20"/>
      <w:lang w:val="et-EE" w:eastAsia="en-US"/>
    </w:rPr>
  </w:style>
  <w:style w:type="paragraph" w:styleId="Allmrkusetekst">
    <w:name w:val="footnote text"/>
    <w:aliases w:val="Footnote Text Char Char Char12 Char,Footnote Text Char1 Char Char Char Char12 Char,Footnote Text Char1 Char Char Char12 Char,ALTS FOOTNOTE3 Char,Footnote Text Char13 Char Char2,Footnote Text Char13 Char Char Char,Footnote Text Char1 Cha"/>
    <w:basedOn w:val="Normaallaad"/>
    <w:link w:val="AllmrkusetekstMrk"/>
    <w:uiPriority w:val="1"/>
    <w:rsid w:val="0095323E"/>
    <w:pPr>
      <w:spacing w:after="0" w:line="240" w:lineRule="auto"/>
    </w:pPr>
    <w:rPr>
      <w:rFonts w:eastAsia="Calibri"/>
      <w:sz w:val="20"/>
      <w:szCs w:val="20"/>
      <w:lang w:eastAsia="en-US"/>
    </w:rPr>
  </w:style>
  <w:style w:type="character" w:customStyle="1" w:styleId="AllmrkusetekstMrk">
    <w:name w:val="Allmärkuse tekst Märk"/>
    <w:aliases w:val="Footnote Text Char Char Char12 Char Märk,Footnote Text Char1 Char Char Char Char12 Char Märk,Footnote Text Char1 Char Char Char12 Char Märk,ALTS FOOTNOTE3 Char Märk,Footnote Text Char13 Char Char2 Märk,Footnote Text Char1 Cha Märk"/>
    <w:basedOn w:val="Liguvaikefont"/>
    <w:link w:val="Allmrkusetekst"/>
    <w:uiPriority w:val="1"/>
    <w:rsid w:val="007F5CCB"/>
    <w:rPr>
      <w:rFonts w:ascii="Times New Roman" w:eastAsia="Calibri" w:hAnsi="Times New Roman"/>
      <w:sz w:val="20"/>
      <w:szCs w:val="20"/>
      <w:lang w:val="et-EE" w:eastAsia="en-US"/>
    </w:rPr>
  </w:style>
  <w:style w:type="character" w:styleId="Allmrkuseviide">
    <w:name w:val="footnote reference"/>
    <w:aliases w:val="Footnote,Appel note de bas de p,SUPERS,Nota,Footnote symbol,(NECG) Footnote Reference,FC,fr"/>
    <w:basedOn w:val="Liguvaikefont"/>
    <w:rsid w:val="0095323E"/>
    <w:rPr>
      <w:vertAlign w:val="superscript"/>
    </w:rPr>
  </w:style>
  <w:style w:type="paragraph" w:styleId="Kommentaariteema">
    <w:name w:val="annotation subject"/>
    <w:basedOn w:val="Kommentaaritekst"/>
    <w:next w:val="Kommentaaritekst"/>
    <w:link w:val="KommentaariteemaMrk"/>
    <w:semiHidden/>
    <w:unhideWhenUsed/>
    <w:rsid w:val="0095323E"/>
    <w:rPr>
      <w:b/>
      <w:bCs/>
    </w:rPr>
  </w:style>
  <w:style w:type="character" w:customStyle="1" w:styleId="KommentaariteemaMrk">
    <w:name w:val="Kommentaari teema Märk"/>
    <w:basedOn w:val="KommentaaritekstMrk"/>
    <w:link w:val="Kommentaariteema"/>
    <w:semiHidden/>
    <w:rsid w:val="0095323E"/>
    <w:rPr>
      <w:rFonts w:ascii="Times New Roman" w:eastAsia="Calibri" w:hAnsi="Times New Roman"/>
      <w:b/>
      <w:bCs/>
      <w:sz w:val="20"/>
      <w:szCs w:val="20"/>
      <w:lang w:val="et-EE" w:eastAsia="en-US"/>
    </w:rPr>
  </w:style>
  <w:style w:type="paragraph" w:styleId="Sisukorrapealkiri">
    <w:name w:val="TOC Heading"/>
    <w:basedOn w:val="Pealkiri1"/>
    <w:next w:val="Normaallaad"/>
    <w:uiPriority w:val="39"/>
    <w:qFormat/>
    <w:rsid w:val="0095323E"/>
    <w:pPr>
      <w:spacing w:line="259" w:lineRule="auto"/>
      <w:outlineLvl w:val="9"/>
    </w:pPr>
    <w:rPr>
      <w:sz w:val="32"/>
      <w:szCs w:val="32"/>
      <w:lang w:eastAsia="et-EE"/>
    </w:rPr>
  </w:style>
  <w:style w:type="paragraph" w:customStyle="1" w:styleId="SK11">
    <w:name w:val="SK 11"/>
    <w:basedOn w:val="Normaallaad"/>
    <w:next w:val="Normaallaad"/>
    <w:uiPriority w:val="39"/>
    <w:rsid w:val="6F1460D6"/>
    <w:pPr>
      <w:tabs>
        <w:tab w:val="right" w:leader="dot" w:pos="9062"/>
      </w:tabs>
      <w:spacing w:after="100" w:line="259" w:lineRule="auto"/>
    </w:pPr>
    <w:rPr>
      <w:rFonts w:eastAsia="Calibri"/>
      <w:sz w:val="22"/>
      <w:szCs w:val="22"/>
      <w:lang w:eastAsia="en-US"/>
    </w:rPr>
  </w:style>
  <w:style w:type="paragraph" w:styleId="SK2">
    <w:name w:val="toc 2"/>
    <w:basedOn w:val="Normaallaad"/>
    <w:next w:val="Normaallaad"/>
    <w:uiPriority w:val="39"/>
    <w:rsid w:val="6F1460D6"/>
    <w:pPr>
      <w:tabs>
        <w:tab w:val="right" w:leader="dot" w:pos="9062"/>
      </w:tabs>
      <w:spacing w:after="100" w:line="259" w:lineRule="auto"/>
      <w:ind w:left="220"/>
    </w:pPr>
    <w:rPr>
      <w:rFonts w:eastAsia="Calibri"/>
      <w:sz w:val="22"/>
      <w:szCs w:val="22"/>
      <w:lang w:eastAsia="en-US"/>
    </w:rPr>
  </w:style>
  <w:style w:type="paragraph" w:styleId="Pis">
    <w:name w:val="header"/>
    <w:basedOn w:val="Normaallaad"/>
    <w:link w:val="PisMrk"/>
    <w:uiPriority w:val="1"/>
    <w:rsid w:val="0095323E"/>
    <w:pPr>
      <w:tabs>
        <w:tab w:val="center" w:pos="4536"/>
        <w:tab w:val="right" w:pos="9072"/>
      </w:tabs>
      <w:spacing w:after="0" w:line="240" w:lineRule="auto"/>
    </w:pPr>
    <w:rPr>
      <w:rFonts w:eastAsia="Calibri"/>
      <w:sz w:val="22"/>
      <w:szCs w:val="22"/>
      <w:lang w:eastAsia="en-US"/>
    </w:rPr>
  </w:style>
  <w:style w:type="character" w:customStyle="1" w:styleId="PisMrk">
    <w:name w:val="Päis Märk"/>
    <w:basedOn w:val="Liguvaikefont"/>
    <w:link w:val="Pis"/>
    <w:rsid w:val="007F5CCB"/>
    <w:rPr>
      <w:rFonts w:ascii="Times New Roman" w:eastAsia="Calibri" w:hAnsi="Times New Roman"/>
      <w:sz w:val="22"/>
      <w:szCs w:val="22"/>
      <w:lang w:val="et-EE" w:eastAsia="en-US"/>
    </w:rPr>
  </w:style>
  <w:style w:type="paragraph" w:styleId="Jalus">
    <w:name w:val="footer"/>
    <w:basedOn w:val="Normaallaad"/>
    <w:link w:val="JalusMrk"/>
    <w:uiPriority w:val="99"/>
    <w:rsid w:val="0095323E"/>
    <w:pPr>
      <w:tabs>
        <w:tab w:val="center" w:pos="4536"/>
        <w:tab w:val="right" w:pos="9072"/>
      </w:tabs>
      <w:spacing w:after="0" w:line="240" w:lineRule="auto"/>
    </w:pPr>
    <w:rPr>
      <w:rFonts w:eastAsia="Calibri"/>
      <w:sz w:val="22"/>
      <w:szCs w:val="22"/>
      <w:lang w:eastAsia="en-US"/>
    </w:rPr>
  </w:style>
  <w:style w:type="character" w:customStyle="1" w:styleId="JalusMrk">
    <w:name w:val="Jalus Märk"/>
    <w:basedOn w:val="Liguvaikefont"/>
    <w:link w:val="Jalus"/>
    <w:uiPriority w:val="99"/>
    <w:rsid w:val="007F5CCB"/>
    <w:rPr>
      <w:rFonts w:ascii="Times New Roman" w:eastAsia="Calibri" w:hAnsi="Times New Roman"/>
      <w:sz w:val="22"/>
      <w:szCs w:val="22"/>
      <w:lang w:val="et-EE" w:eastAsia="en-US"/>
    </w:rPr>
  </w:style>
  <w:style w:type="character" w:customStyle="1" w:styleId="ts-alignment-element">
    <w:name w:val="ts-alignment-element"/>
    <w:basedOn w:val="Liguvaikefont"/>
    <w:rsid w:val="0095323E"/>
  </w:style>
  <w:style w:type="character" w:customStyle="1" w:styleId="ts-alignment-element-highlighted">
    <w:name w:val="ts-alignment-element-highlighted"/>
    <w:basedOn w:val="Liguvaikefont"/>
    <w:rsid w:val="0095323E"/>
  </w:style>
  <w:style w:type="paragraph" w:styleId="Lpumrkusetekst">
    <w:name w:val="endnote text"/>
    <w:basedOn w:val="Normaallaad"/>
    <w:link w:val="LpumrkusetekstMrk"/>
    <w:uiPriority w:val="1"/>
    <w:semiHidden/>
    <w:unhideWhenUsed/>
    <w:rsid w:val="0095323E"/>
    <w:pPr>
      <w:spacing w:after="0" w:line="240" w:lineRule="auto"/>
    </w:pPr>
    <w:rPr>
      <w:rFonts w:eastAsia="Calibri"/>
      <w:sz w:val="20"/>
      <w:szCs w:val="20"/>
      <w:lang w:eastAsia="en-US"/>
    </w:rPr>
  </w:style>
  <w:style w:type="character" w:customStyle="1" w:styleId="LpumrkusetekstMrk">
    <w:name w:val="Lõpumärkuse tekst Märk"/>
    <w:basedOn w:val="Liguvaikefont"/>
    <w:link w:val="Lpumrkusetekst"/>
    <w:semiHidden/>
    <w:rsid w:val="0095323E"/>
    <w:rPr>
      <w:rFonts w:eastAsia="Calibri"/>
      <w:sz w:val="20"/>
      <w:szCs w:val="20"/>
      <w:lang w:val="et-EE" w:eastAsia="en-US"/>
    </w:rPr>
  </w:style>
  <w:style w:type="character" w:styleId="Lpumrkuseviide">
    <w:name w:val="endnote reference"/>
    <w:basedOn w:val="Liguvaikefont"/>
    <w:rsid w:val="0095323E"/>
    <w:rPr>
      <w:vertAlign w:val="superscript"/>
    </w:rPr>
  </w:style>
  <w:style w:type="paragraph" w:styleId="Redaktsioon">
    <w:name w:val="Revision"/>
    <w:hidden/>
    <w:uiPriority w:val="99"/>
    <w:semiHidden/>
    <w:rsid w:val="0095323E"/>
    <w:pPr>
      <w:spacing w:after="0" w:line="240" w:lineRule="auto"/>
    </w:pPr>
    <w:rPr>
      <w:rFonts w:eastAsia="Calibri"/>
      <w:sz w:val="22"/>
      <w:szCs w:val="22"/>
      <w:lang w:val="et-EE" w:eastAsia="en-US"/>
    </w:rPr>
  </w:style>
  <w:style w:type="paragraph" w:styleId="SK3">
    <w:name w:val="toc 3"/>
    <w:basedOn w:val="Normaallaad"/>
    <w:next w:val="Normaallaad"/>
    <w:uiPriority w:val="39"/>
    <w:rsid w:val="6F1460D6"/>
    <w:pPr>
      <w:tabs>
        <w:tab w:val="right" w:leader="dot" w:pos="9062"/>
      </w:tabs>
      <w:spacing w:after="100" w:line="259" w:lineRule="auto"/>
      <w:ind w:left="440"/>
    </w:pPr>
    <w:rPr>
      <w:rFonts w:eastAsia="Calibri"/>
      <w:sz w:val="22"/>
      <w:szCs w:val="22"/>
      <w:lang w:eastAsia="en-US"/>
    </w:rPr>
  </w:style>
  <w:style w:type="character" w:customStyle="1" w:styleId="FootnoteTextChar1">
    <w:name w:val="Footnote Text Char1"/>
    <w:aliases w:val="Footnote Text Char Char Char12 Char Char,Footnote Text Char1 Char Char Char Char12 Char Char,Footnote Text Char1 Char Char Char12 Char Char,ALTS FOOTNOTE3 Char Char,Footnote Text Char13 Char Char2 Char,Footnote Text Char Char"/>
    <w:basedOn w:val="Liguvaikefont"/>
    <w:rsid w:val="0095323E"/>
    <w:rPr>
      <w:sz w:val="20"/>
      <w:szCs w:val="20"/>
    </w:rPr>
  </w:style>
  <w:style w:type="paragraph" w:customStyle="1" w:styleId="footnotedescription">
    <w:name w:val="footnote description"/>
    <w:next w:val="Normaallaad"/>
    <w:link w:val="footnotedescriptionChar"/>
    <w:hidden/>
    <w:rsid w:val="0095323E"/>
    <w:pPr>
      <w:spacing w:after="0" w:line="253" w:lineRule="auto"/>
    </w:pPr>
    <w:rPr>
      <w:rFonts w:ascii="Calibri" w:eastAsia="Calibri" w:hAnsi="Calibri" w:cs="Calibri"/>
      <w:color w:val="0000FF"/>
      <w:sz w:val="18"/>
      <w:szCs w:val="22"/>
      <w:u w:val="single" w:color="0000FF"/>
      <w:lang w:val="et-EE" w:eastAsia="et-EE"/>
    </w:rPr>
  </w:style>
  <w:style w:type="character" w:customStyle="1" w:styleId="footnotedescriptionChar">
    <w:name w:val="footnote description Char"/>
    <w:link w:val="footnotedescription"/>
    <w:rsid w:val="0095323E"/>
    <w:rPr>
      <w:rFonts w:ascii="Calibri" w:eastAsia="Calibri" w:hAnsi="Calibri" w:cs="Calibri"/>
      <w:color w:val="0000FF"/>
      <w:sz w:val="18"/>
      <w:szCs w:val="22"/>
      <w:u w:val="single" w:color="0000FF"/>
      <w:lang w:val="et-EE" w:eastAsia="et-EE"/>
    </w:rPr>
  </w:style>
  <w:style w:type="character" w:customStyle="1" w:styleId="footnotemark">
    <w:name w:val="footnote mark"/>
    <w:hidden/>
    <w:rsid w:val="0095323E"/>
    <w:rPr>
      <w:rFonts w:ascii="Calibri" w:eastAsia="Calibri" w:hAnsi="Calibri" w:cs="Calibri"/>
      <w:color w:val="000000"/>
      <w:sz w:val="18"/>
      <w:vertAlign w:val="superscript"/>
    </w:rPr>
  </w:style>
  <w:style w:type="character" w:styleId="Tugev">
    <w:name w:val="Strong"/>
    <w:qFormat/>
    <w:rsid w:val="0095323E"/>
    <w:rPr>
      <w:b/>
      <w:bCs/>
    </w:rPr>
  </w:style>
  <w:style w:type="paragraph" w:styleId="Vahedeta">
    <w:name w:val="No Spacing"/>
    <w:qFormat/>
    <w:rsid w:val="0095323E"/>
    <w:pPr>
      <w:spacing w:after="0" w:line="240" w:lineRule="auto"/>
    </w:pPr>
    <w:rPr>
      <w:rFonts w:ascii="Calibri" w:eastAsia="Calibri" w:hAnsi="Calibri" w:cs="Times New Roman"/>
      <w:sz w:val="22"/>
      <w:szCs w:val="22"/>
      <w:lang w:val="et-EE" w:eastAsia="en-US"/>
    </w:rPr>
  </w:style>
  <w:style w:type="paragraph" w:customStyle="1" w:styleId="Lik">
    <w:name w:val="Lõik"/>
    <w:basedOn w:val="Normaallaad"/>
    <w:uiPriority w:val="1"/>
    <w:rsid w:val="0095323E"/>
    <w:pPr>
      <w:numPr>
        <w:numId w:val="1"/>
      </w:numPr>
      <w:spacing w:after="0" w:line="240" w:lineRule="auto"/>
      <w:jc w:val="both"/>
    </w:pPr>
    <w:rPr>
      <w:rFonts w:ascii="Verdana" w:eastAsia="Times New Roman" w:hAnsi="Verdana" w:cs="Times New Roman"/>
      <w:sz w:val="20"/>
      <w:szCs w:val="20"/>
      <w:lang w:eastAsia="en-US"/>
    </w:rPr>
  </w:style>
  <w:style w:type="character" w:customStyle="1" w:styleId="CharChar">
    <w:name w:val="Char Char"/>
    <w:rsid w:val="0095323E"/>
    <w:rPr>
      <w:rFonts w:ascii="Times New Roman" w:eastAsia="Times New Roman" w:hAnsi="Times New Roman"/>
      <w:lang w:eastAsia="en-US"/>
    </w:rPr>
  </w:style>
  <w:style w:type="paragraph" w:styleId="Kehatekst">
    <w:name w:val="Body Text"/>
    <w:basedOn w:val="Normaallaad"/>
    <w:link w:val="KehatekstMrk"/>
    <w:uiPriority w:val="1"/>
    <w:rsid w:val="6F1460D6"/>
    <w:pPr>
      <w:widowControl w:val="0"/>
      <w:spacing w:after="0" w:line="240" w:lineRule="auto"/>
      <w:jc w:val="both"/>
    </w:pPr>
    <w:rPr>
      <w:rFonts w:eastAsia="Times New Roman" w:cs="Times New Roman"/>
      <w:lang w:eastAsia="en-US"/>
    </w:rPr>
  </w:style>
  <w:style w:type="character" w:customStyle="1" w:styleId="KehatekstMrk">
    <w:name w:val="Kehatekst Märk"/>
    <w:basedOn w:val="Liguvaikefont"/>
    <w:link w:val="Kehatekst"/>
    <w:rsid w:val="007F5CCB"/>
    <w:rPr>
      <w:rFonts w:ascii="Times New Roman" w:eastAsia="Times New Roman" w:hAnsi="Times New Roman" w:cs="Times New Roman"/>
      <w:lang w:val="et-EE" w:eastAsia="en-US"/>
    </w:rPr>
  </w:style>
  <w:style w:type="paragraph" w:styleId="Normaallaadveeb">
    <w:name w:val="Normal (Web)"/>
    <w:basedOn w:val="Normaallaad"/>
    <w:uiPriority w:val="99"/>
    <w:rsid w:val="6F1460D6"/>
    <w:pPr>
      <w:spacing w:beforeAutospacing="1" w:afterAutospacing="1" w:line="240" w:lineRule="auto"/>
    </w:pPr>
    <w:rPr>
      <w:rFonts w:eastAsia="Arial Unicode MS" w:cs="Times New Roman"/>
      <w:lang w:val="en-GB" w:eastAsia="en-US"/>
    </w:rPr>
  </w:style>
  <w:style w:type="paragraph" w:customStyle="1" w:styleId="Default">
    <w:name w:val="Default"/>
    <w:rsid w:val="0095323E"/>
    <w:pPr>
      <w:autoSpaceDE w:val="0"/>
      <w:autoSpaceDN w:val="0"/>
      <w:adjustRightInd w:val="0"/>
      <w:spacing w:after="0" w:line="240" w:lineRule="auto"/>
    </w:pPr>
    <w:rPr>
      <w:rFonts w:ascii="Arial" w:eastAsia="Times New Roman" w:hAnsi="Arial" w:cs="Arial"/>
      <w:color w:val="000000"/>
      <w:lang w:val="et-EE" w:eastAsia="et-EE"/>
    </w:rPr>
  </w:style>
  <w:style w:type="character" w:styleId="Rhutus">
    <w:name w:val="Emphasis"/>
    <w:qFormat/>
    <w:rsid w:val="0095323E"/>
    <w:rPr>
      <w:i/>
      <w:iCs/>
    </w:rPr>
  </w:style>
  <w:style w:type="paragraph" w:customStyle="1" w:styleId="Vahedeta1">
    <w:name w:val="Vahedeta1"/>
    <w:rsid w:val="0095323E"/>
    <w:pPr>
      <w:spacing w:after="0" w:line="240" w:lineRule="auto"/>
    </w:pPr>
    <w:rPr>
      <w:rFonts w:ascii="Calibri" w:eastAsia="Times New Roman" w:hAnsi="Calibri" w:cs="Calibri"/>
      <w:sz w:val="22"/>
      <w:szCs w:val="22"/>
      <w:lang w:val="et-EE" w:eastAsia="en-US"/>
    </w:rPr>
  </w:style>
  <w:style w:type="character" w:customStyle="1" w:styleId="Allmrkusmrgid">
    <w:name w:val="Allmärkusmärgid"/>
    <w:rsid w:val="0095323E"/>
    <w:rPr>
      <w:vertAlign w:val="superscript"/>
    </w:rPr>
  </w:style>
  <w:style w:type="numbering" w:customStyle="1" w:styleId="Loendita11">
    <w:name w:val="Loendita11"/>
    <w:next w:val="Loendita"/>
    <w:uiPriority w:val="99"/>
    <w:semiHidden/>
    <w:unhideWhenUsed/>
    <w:rsid w:val="0095323E"/>
  </w:style>
  <w:style w:type="paragraph" w:customStyle="1" w:styleId="Pealdis1">
    <w:name w:val="Pealdis1"/>
    <w:basedOn w:val="Normaallaad"/>
    <w:next w:val="Normaallaad"/>
    <w:uiPriority w:val="1"/>
    <w:qFormat/>
    <w:rsid w:val="6F1460D6"/>
    <w:pPr>
      <w:widowControl w:val="0"/>
      <w:spacing w:after="200" w:line="240" w:lineRule="auto"/>
    </w:pPr>
    <w:rPr>
      <w:rFonts w:eastAsia="Times New Roman" w:cs="Times New Roman"/>
      <w:i/>
      <w:iCs/>
      <w:color w:val="44546A"/>
      <w:sz w:val="18"/>
      <w:szCs w:val="18"/>
      <w:lang w:eastAsia="et-EE"/>
    </w:rPr>
  </w:style>
  <w:style w:type="character" w:customStyle="1" w:styleId="Pealkiri1Mrk1">
    <w:name w:val="Pealkiri 1 Märk1"/>
    <w:aliases w:val="Pealkiri 1 Märk Märk"/>
    <w:rsid w:val="0095323E"/>
    <w:rPr>
      <w:rFonts w:ascii="Times New Roman" w:eastAsia="Times New Roman" w:hAnsi="Times New Roman" w:cs="Arial"/>
      <w:b/>
      <w:bCs/>
      <w:kern w:val="1"/>
      <w:sz w:val="24"/>
      <w:szCs w:val="32"/>
      <w:lang w:eastAsia="ar-SA"/>
    </w:rPr>
  </w:style>
  <w:style w:type="character" w:styleId="Klastatudhperlink">
    <w:name w:val="FollowedHyperlink"/>
    <w:basedOn w:val="Liguvaikefont"/>
    <w:uiPriority w:val="99"/>
    <w:semiHidden/>
    <w:unhideWhenUsed/>
    <w:rsid w:val="0095323E"/>
    <w:rPr>
      <w:color w:val="96607D" w:themeColor="followedHyperlink"/>
      <w:u w:val="single"/>
    </w:rPr>
  </w:style>
  <w:style w:type="numbering" w:customStyle="1" w:styleId="Laad1">
    <w:name w:val="Laad1"/>
    <w:uiPriority w:val="99"/>
    <w:rsid w:val="007074DE"/>
    <w:pPr>
      <w:numPr>
        <w:numId w:val="14"/>
      </w:numPr>
    </w:pPr>
  </w:style>
  <w:style w:type="paragraph" w:styleId="Loend4">
    <w:name w:val="List 4"/>
    <w:basedOn w:val="Normaallaad"/>
    <w:uiPriority w:val="99"/>
    <w:semiHidden/>
    <w:unhideWhenUsed/>
    <w:rsid w:val="00D33EF6"/>
    <w:pPr>
      <w:ind w:left="1132" w:hanging="283"/>
      <w:contextualSpacing/>
    </w:pPr>
  </w:style>
  <w:style w:type="paragraph" w:customStyle="1" w:styleId="Heading11">
    <w:name w:val="Heading 11"/>
    <w:basedOn w:val="Normaallaad"/>
    <w:uiPriority w:val="1"/>
    <w:rsid w:val="008E2606"/>
  </w:style>
  <w:style w:type="paragraph" w:customStyle="1" w:styleId="Heading21">
    <w:name w:val="Heading 21"/>
    <w:basedOn w:val="Normaallaad"/>
    <w:uiPriority w:val="1"/>
    <w:rsid w:val="00B045D9"/>
  </w:style>
  <w:style w:type="paragraph" w:customStyle="1" w:styleId="Heading31">
    <w:name w:val="Heading 31"/>
    <w:basedOn w:val="Normaallaad"/>
    <w:uiPriority w:val="1"/>
    <w:rsid w:val="00B045D9"/>
  </w:style>
  <w:style w:type="paragraph" w:customStyle="1" w:styleId="Heading41">
    <w:name w:val="Heading 41"/>
    <w:basedOn w:val="Normaallaad"/>
    <w:uiPriority w:val="1"/>
    <w:rsid w:val="00B045D9"/>
  </w:style>
  <w:style w:type="paragraph" w:customStyle="1" w:styleId="Heading51">
    <w:name w:val="Heading 51"/>
    <w:basedOn w:val="Normaallaad"/>
    <w:uiPriority w:val="1"/>
    <w:rsid w:val="00B045D9"/>
  </w:style>
  <w:style w:type="paragraph" w:customStyle="1" w:styleId="Heading61">
    <w:name w:val="Heading 61"/>
    <w:basedOn w:val="Normaallaad"/>
    <w:uiPriority w:val="1"/>
    <w:rsid w:val="00B045D9"/>
  </w:style>
  <w:style w:type="paragraph" w:customStyle="1" w:styleId="Heading71">
    <w:name w:val="Heading 71"/>
    <w:basedOn w:val="Normaallaad"/>
    <w:uiPriority w:val="1"/>
    <w:rsid w:val="00B045D9"/>
  </w:style>
  <w:style w:type="paragraph" w:customStyle="1" w:styleId="Heading81">
    <w:name w:val="Heading 81"/>
    <w:basedOn w:val="Normaallaad"/>
    <w:uiPriority w:val="1"/>
    <w:rsid w:val="00B045D9"/>
  </w:style>
  <w:style w:type="paragraph" w:customStyle="1" w:styleId="Heading91">
    <w:name w:val="Heading 91"/>
    <w:basedOn w:val="Normaallaad"/>
    <w:uiPriority w:val="1"/>
    <w:rsid w:val="00B045D9"/>
  </w:style>
  <w:style w:type="paragraph" w:customStyle="1" w:styleId="Heading12">
    <w:name w:val="Heading 12"/>
    <w:basedOn w:val="Normaallaad"/>
    <w:uiPriority w:val="1"/>
    <w:rsid w:val="6F1460D6"/>
    <w:pPr>
      <w:spacing w:line="259" w:lineRule="auto"/>
    </w:pPr>
    <w:rPr>
      <w:lang w:eastAsia="en-US"/>
    </w:rPr>
  </w:style>
  <w:style w:type="paragraph" w:customStyle="1" w:styleId="Heading22">
    <w:name w:val="Heading 22"/>
    <w:basedOn w:val="Normaallaad"/>
    <w:uiPriority w:val="1"/>
    <w:rsid w:val="6F1460D6"/>
    <w:pPr>
      <w:spacing w:line="259" w:lineRule="auto"/>
    </w:pPr>
    <w:rPr>
      <w:lang w:eastAsia="en-US"/>
    </w:rPr>
  </w:style>
  <w:style w:type="paragraph" w:customStyle="1" w:styleId="Heading32">
    <w:name w:val="Heading 32"/>
    <w:basedOn w:val="Normaallaad"/>
    <w:uiPriority w:val="1"/>
    <w:rsid w:val="6F1460D6"/>
    <w:pPr>
      <w:spacing w:line="259" w:lineRule="auto"/>
    </w:pPr>
    <w:rPr>
      <w:lang w:eastAsia="en-US"/>
    </w:rPr>
  </w:style>
  <w:style w:type="paragraph" w:customStyle="1" w:styleId="Heading42">
    <w:name w:val="Heading 42"/>
    <w:basedOn w:val="Normaallaad"/>
    <w:uiPriority w:val="1"/>
    <w:rsid w:val="6F1460D6"/>
    <w:pPr>
      <w:spacing w:line="259" w:lineRule="auto"/>
    </w:pPr>
    <w:rPr>
      <w:lang w:eastAsia="en-US"/>
    </w:rPr>
  </w:style>
  <w:style w:type="paragraph" w:customStyle="1" w:styleId="Heading52">
    <w:name w:val="Heading 52"/>
    <w:basedOn w:val="Normaallaad"/>
    <w:uiPriority w:val="1"/>
    <w:rsid w:val="6F1460D6"/>
    <w:pPr>
      <w:spacing w:line="259" w:lineRule="auto"/>
    </w:pPr>
    <w:rPr>
      <w:lang w:eastAsia="en-US"/>
    </w:rPr>
  </w:style>
  <w:style w:type="paragraph" w:customStyle="1" w:styleId="Heading62">
    <w:name w:val="Heading 62"/>
    <w:basedOn w:val="Normaallaad"/>
    <w:uiPriority w:val="1"/>
    <w:rsid w:val="6F1460D6"/>
    <w:pPr>
      <w:spacing w:line="259" w:lineRule="auto"/>
    </w:pPr>
    <w:rPr>
      <w:lang w:eastAsia="en-US"/>
    </w:rPr>
  </w:style>
  <w:style w:type="paragraph" w:customStyle="1" w:styleId="Heading72">
    <w:name w:val="Heading 72"/>
    <w:basedOn w:val="Normaallaad"/>
    <w:uiPriority w:val="1"/>
    <w:rsid w:val="6F1460D6"/>
    <w:pPr>
      <w:spacing w:line="259" w:lineRule="auto"/>
    </w:pPr>
    <w:rPr>
      <w:lang w:eastAsia="en-US"/>
    </w:rPr>
  </w:style>
  <w:style w:type="paragraph" w:customStyle="1" w:styleId="Heading82">
    <w:name w:val="Heading 82"/>
    <w:basedOn w:val="Normaallaad"/>
    <w:uiPriority w:val="1"/>
    <w:rsid w:val="6F1460D6"/>
    <w:pPr>
      <w:spacing w:line="259" w:lineRule="auto"/>
    </w:pPr>
    <w:rPr>
      <w:lang w:eastAsia="en-US"/>
    </w:rPr>
  </w:style>
  <w:style w:type="paragraph" w:customStyle="1" w:styleId="Heading92">
    <w:name w:val="Heading 92"/>
    <w:basedOn w:val="Normaallaad"/>
    <w:uiPriority w:val="1"/>
    <w:rsid w:val="6F1460D6"/>
    <w:pPr>
      <w:spacing w:line="259" w:lineRule="auto"/>
    </w:pPr>
    <w:rPr>
      <w:lang w:eastAsia="en-US"/>
    </w:rPr>
  </w:style>
  <w:style w:type="paragraph" w:styleId="SK1">
    <w:name w:val="toc 1"/>
    <w:basedOn w:val="Normaallaad"/>
    <w:next w:val="Normaallaad"/>
    <w:uiPriority w:val="39"/>
    <w:rsid w:val="6F1460D6"/>
    <w:pPr>
      <w:spacing w:after="100"/>
    </w:pPr>
  </w:style>
  <w:style w:type="character" w:customStyle="1" w:styleId="Pealkiri4Mrk1">
    <w:name w:val="Pealkiri 4 Märk1"/>
    <w:aliases w:val="Pealkiri 4 Märk Märk2,Pea 2 Märk Märk2,Pealkiri 4 Märk Märk Märk1,Pea 2 Märk Märk Märk1,Pea 2 Märk2"/>
    <w:basedOn w:val="Liguvaikefont"/>
    <w:rsid w:val="005E5A0E"/>
    <w:rPr>
      <w:rFonts w:cs="Times New Roman"/>
      <w:b/>
      <w:bCs/>
      <w:szCs w:val="28"/>
      <w:lang w:eastAsia="ar-SA"/>
    </w:rPr>
  </w:style>
  <w:style w:type="character" w:customStyle="1" w:styleId="FootnoteTextChar">
    <w:name w:val="Footnote Text Char"/>
    <w:basedOn w:val="Liguvaikefont"/>
    <w:uiPriority w:val="99"/>
    <w:rsid w:val="00A73E9B"/>
    <w:rPr>
      <w:rFonts w:ascii="Times New Roman" w:eastAsia="Times New Roman" w:hAnsi="Times New Roman" w:cs="Times New Roman"/>
      <w:sz w:val="20"/>
      <w:szCs w:val="20"/>
      <w:lang w:eastAsia="ar-SA"/>
    </w:rPr>
  </w:style>
  <w:style w:type="paragraph" w:customStyle="1" w:styleId="Punkt">
    <w:name w:val="Punkt"/>
    <w:basedOn w:val="Normaallaad"/>
    <w:uiPriority w:val="1"/>
    <w:rsid w:val="6F1460D6"/>
    <w:pPr>
      <w:widowControl w:val="0"/>
      <w:spacing w:after="0" w:line="240" w:lineRule="auto"/>
      <w:jc w:val="both"/>
    </w:pPr>
    <w:rPr>
      <w:rFonts w:eastAsia="Times New Roman" w:cs="Times New Roman"/>
      <w:sz w:val="28"/>
      <w:szCs w:val="28"/>
      <w:lang w:eastAsia="ar-SA"/>
    </w:rPr>
  </w:style>
  <w:style w:type="paragraph" w:customStyle="1" w:styleId="ListDash">
    <w:name w:val="List Dash"/>
    <w:basedOn w:val="Normaallaad"/>
    <w:uiPriority w:val="1"/>
    <w:rsid w:val="6F1460D6"/>
    <w:pPr>
      <w:numPr>
        <w:numId w:val="4"/>
      </w:numPr>
      <w:tabs>
        <w:tab w:val="num" w:pos="283"/>
      </w:tabs>
      <w:spacing w:before="120" w:after="120" w:line="240" w:lineRule="auto"/>
      <w:jc w:val="both"/>
    </w:pPr>
    <w:rPr>
      <w:rFonts w:ascii="SimSun" w:eastAsia="SimSun" w:cs="SimSun"/>
      <w:lang w:eastAsia="en-GB"/>
    </w:rPr>
  </w:style>
  <w:style w:type="character" w:customStyle="1" w:styleId="Pealkiri4MrkMrk1">
    <w:name w:val="Pealkiri 4 Märk Märk1"/>
    <w:aliases w:val="Pea 2 Märk Märk1,Pealkiri 4 Märk Märk Märk,Pea 2 Märk Märk Märk,Pea 2 Märk1"/>
    <w:rsid w:val="00A73E9B"/>
    <w:rPr>
      <w:b/>
      <w:bCs/>
      <w:sz w:val="28"/>
      <w:szCs w:val="28"/>
      <w:lang w:val="et-EE" w:eastAsia="et-EE" w:bidi="ar-SA"/>
    </w:rPr>
  </w:style>
  <w:style w:type="paragraph" w:styleId="SK4">
    <w:name w:val="toc 4"/>
    <w:basedOn w:val="Normaallaad"/>
    <w:next w:val="Normaallaad"/>
    <w:uiPriority w:val="39"/>
    <w:rsid w:val="6F1460D6"/>
    <w:pPr>
      <w:spacing w:after="0" w:line="240" w:lineRule="auto"/>
      <w:ind w:left="720"/>
    </w:pPr>
    <w:rPr>
      <w:rFonts w:eastAsia="Times New Roman" w:cs="Times New Roman"/>
      <w:sz w:val="18"/>
      <w:szCs w:val="18"/>
      <w:lang w:eastAsia="et-EE"/>
    </w:rPr>
  </w:style>
  <w:style w:type="paragraph" w:styleId="Pealdis">
    <w:name w:val="caption"/>
    <w:basedOn w:val="Normaallaad"/>
    <w:next w:val="Normaallaad"/>
    <w:uiPriority w:val="1"/>
    <w:qFormat/>
    <w:rsid w:val="6F1460D6"/>
    <w:pPr>
      <w:spacing w:before="120" w:after="120" w:line="240" w:lineRule="auto"/>
    </w:pPr>
    <w:rPr>
      <w:rFonts w:eastAsia="Times New Roman" w:cs="Times New Roman"/>
      <w:b/>
      <w:bCs/>
      <w:sz w:val="20"/>
      <w:szCs w:val="20"/>
      <w:lang w:eastAsia="ar-SA"/>
    </w:rPr>
  </w:style>
  <w:style w:type="character" w:styleId="Lehekljenumber">
    <w:name w:val="page number"/>
    <w:basedOn w:val="Liguvaikefont"/>
    <w:rsid w:val="00A73E9B"/>
  </w:style>
  <w:style w:type="character" w:customStyle="1" w:styleId="h11">
    <w:name w:val="h11"/>
    <w:rsid w:val="00A73E9B"/>
    <w:rPr>
      <w:b/>
      <w:bCs/>
      <w:color w:val="555555"/>
      <w:sz w:val="27"/>
      <w:szCs w:val="27"/>
    </w:rPr>
  </w:style>
  <w:style w:type="character" w:customStyle="1" w:styleId="shorttext">
    <w:name w:val="short_text"/>
    <w:basedOn w:val="Liguvaikefont"/>
    <w:rsid w:val="00A73E9B"/>
  </w:style>
  <w:style w:type="character" w:customStyle="1" w:styleId="hps">
    <w:name w:val="hps"/>
    <w:basedOn w:val="Liguvaikefont"/>
    <w:rsid w:val="00A73E9B"/>
  </w:style>
  <w:style w:type="character" w:customStyle="1" w:styleId="FootnoteCharacters">
    <w:name w:val="Footnote Characters"/>
    <w:rsid w:val="00A73E9B"/>
    <w:rPr>
      <w:vertAlign w:val="superscript"/>
    </w:rPr>
  </w:style>
  <w:style w:type="paragraph" w:styleId="Taandegakehatekst">
    <w:name w:val="Body Text Indent"/>
    <w:basedOn w:val="Normaallaad"/>
    <w:link w:val="TaandegakehatekstMrk"/>
    <w:uiPriority w:val="99"/>
    <w:semiHidden/>
    <w:unhideWhenUsed/>
    <w:rsid w:val="6F1460D6"/>
    <w:pPr>
      <w:spacing w:after="120" w:line="240" w:lineRule="auto"/>
      <w:ind w:left="283"/>
    </w:pPr>
    <w:rPr>
      <w:rFonts w:eastAsia="Times New Roman" w:cs="Times New Roman"/>
      <w:lang w:eastAsia="ar-SA"/>
    </w:rPr>
  </w:style>
  <w:style w:type="character" w:customStyle="1" w:styleId="TaandegakehatekstMrk">
    <w:name w:val="Taandega kehatekst Märk"/>
    <w:basedOn w:val="Liguvaikefont"/>
    <w:link w:val="Taandegakehatekst"/>
    <w:uiPriority w:val="99"/>
    <w:semiHidden/>
    <w:rsid w:val="00A73E9B"/>
    <w:rPr>
      <w:rFonts w:ascii="Times New Roman" w:eastAsia="Times New Roman" w:hAnsi="Times New Roman" w:cs="Times New Roman"/>
      <w:lang w:val="et-EE" w:eastAsia="ar-SA"/>
    </w:rPr>
  </w:style>
  <w:style w:type="character" w:styleId="Reanumber">
    <w:name w:val="line number"/>
    <w:basedOn w:val="Liguvaikefont"/>
    <w:uiPriority w:val="99"/>
    <w:semiHidden/>
    <w:unhideWhenUsed/>
    <w:rsid w:val="00A73E9B"/>
  </w:style>
  <w:style w:type="character" w:customStyle="1" w:styleId="st">
    <w:name w:val="st"/>
    <w:rsid w:val="00A73E9B"/>
  </w:style>
  <w:style w:type="paragraph" w:styleId="SK5">
    <w:name w:val="toc 5"/>
    <w:basedOn w:val="Normaallaad"/>
    <w:next w:val="Normaallaad"/>
    <w:uiPriority w:val="39"/>
    <w:rsid w:val="6F1460D6"/>
    <w:pPr>
      <w:spacing w:after="100" w:line="276" w:lineRule="auto"/>
      <w:ind w:left="880"/>
    </w:pPr>
    <w:rPr>
      <w:rFonts w:ascii="Calibri" w:eastAsia="Times New Roman" w:hAnsi="Calibri" w:cs="Times New Roman"/>
      <w:sz w:val="22"/>
      <w:szCs w:val="22"/>
      <w:lang w:eastAsia="et-EE"/>
    </w:rPr>
  </w:style>
  <w:style w:type="paragraph" w:styleId="SK6">
    <w:name w:val="toc 6"/>
    <w:basedOn w:val="Normaallaad"/>
    <w:next w:val="Normaallaad"/>
    <w:uiPriority w:val="39"/>
    <w:rsid w:val="6F1460D6"/>
    <w:pPr>
      <w:spacing w:after="100" w:line="276" w:lineRule="auto"/>
      <w:ind w:left="1100"/>
    </w:pPr>
    <w:rPr>
      <w:rFonts w:ascii="Calibri" w:eastAsia="Times New Roman" w:hAnsi="Calibri" w:cs="Times New Roman"/>
      <w:sz w:val="22"/>
      <w:szCs w:val="22"/>
      <w:lang w:eastAsia="et-EE"/>
    </w:rPr>
  </w:style>
  <w:style w:type="paragraph" w:styleId="SK7">
    <w:name w:val="toc 7"/>
    <w:basedOn w:val="Normaallaad"/>
    <w:next w:val="Normaallaad"/>
    <w:uiPriority w:val="39"/>
    <w:rsid w:val="6F1460D6"/>
    <w:pPr>
      <w:spacing w:after="100" w:line="276" w:lineRule="auto"/>
      <w:ind w:left="1320"/>
    </w:pPr>
    <w:rPr>
      <w:rFonts w:ascii="Calibri" w:eastAsia="Times New Roman" w:hAnsi="Calibri" w:cs="Times New Roman"/>
      <w:sz w:val="22"/>
      <w:szCs w:val="22"/>
      <w:lang w:eastAsia="et-EE"/>
    </w:rPr>
  </w:style>
  <w:style w:type="paragraph" w:styleId="SK8">
    <w:name w:val="toc 8"/>
    <w:basedOn w:val="Normaallaad"/>
    <w:next w:val="Normaallaad"/>
    <w:uiPriority w:val="39"/>
    <w:rsid w:val="6F1460D6"/>
    <w:pPr>
      <w:spacing w:after="100" w:line="276" w:lineRule="auto"/>
      <w:ind w:left="1540"/>
    </w:pPr>
    <w:rPr>
      <w:rFonts w:ascii="Calibri" w:eastAsia="Times New Roman" w:hAnsi="Calibri" w:cs="Times New Roman"/>
      <w:sz w:val="22"/>
      <w:szCs w:val="22"/>
      <w:lang w:eastAsia="et-EE"/>
    </w:rPr>
  </w:style>
  <w:style w:type="paragraph" w:styleId="SK9">
    <w:name w:val="toc 9"/>
    <w:basedOn w:val="Normaallaad"/>
    <w:next w:val="Normaallaad"/>
    <w:uiPriority w:val="39"/>
    <w:rsid w:val="6F1460D6"/>
    <w:pPr>
      <w:spacing w:after="100" w:line="276" w:lineRule="auto"/>
      <w:ind w:left="1760"/>
    </w:pPr>
    <w:rPr>
      <w:rFonts w:ascii="Calibri" w:eastAsia="Times New Roman" w:hAnsi="Calibri" w:cs="Times New Roman"/>
      <w:sz w:val="22"/>
      <w:szCs w:val="22"/>
      <w:lang w:eastAsia="et-EE"/>
    </w:rPr>
  </w:style>
  <w:style w:type="character" w:customStyle="1" w:styleId="Laad1Mrk">
    <w:name w:val="Laad1 Märk"/>
    <w:rsid w:val="00A73E9B"/>
    <w:rPr>
      <w:rFonts w:ascii="Times New Roman" w:eastAsia="Times New Roman" w:hAnsi="Times New Roman" w:cs="Times New Roman"/>
      <w:sz w:val="18"/>
      <w:szCs w:val="20"/>
      <w:lang w:eastAsia="ar-SA"/>
    </w:rPr>
  </w:style>
  <w:style w:type="character" w:customStyle="1" w:styleId="Pealkiriturg2">
    <w:name w:val="Pealkiri turg2"/>
    <w:qFormat/>
    <w:rsid w:val="00A73E9B"/>
    <w:rPr>
      <w:iCs/>
      <w:sz w:val="24"/>
      <w:szCs w:val="26"/>
      <w:lang w:val="et-EE" w:eastAsia="et-EE"/>
    </w:rPr>
  </w:style>
  <w:style w:type="table" w:styleId="Helekontuurtabel1rhk2">
    <w:name w:val="Grid Table 1 Light Accent 2"/>
    <w:basedOn w:val="Normaaltabel"/>
    <w:uiPriority w:val="46"/>
    <w:rsid w:val="00A73E9B"/>
    <w:pPr>
      <w:spacing w:after="0" w:line="240" w:lineRule="auto"/>
    </w:pPr>
    <w:rPr>
      <w:rFonts w:ascii="Times New Roman" w:eastAsia="Times New Roman" w:hAnsi="Times New Roman" w:cs="Times New Roman"/>
      <w:sz w:val="20"/>
      <w:szCs w:val="20"/>
      <w:lang w:val="et-EE" w:eastAsia="et-EE"/>
    </w:r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7Helekontuurtabel1rhk3">
    <w:name w:val="Grid Table 1 Light Accent 3"/>
    <w:basedOn w:val="Normaaltabel"/>
    <w:uiPriority w:val="46"/>
    <w:rsid w:val="00A73E9B"/>
    <w:pPr>
      <w:spacing w:after="0" w:line="240" w:lineRule="auto"/>
    </w:pPr>
    <w:rPr>
      <w:rFonts w:ascii="Times New Roman" w:eastAsia="Times New Roman" w:hAnsi="Times New Roman" w:cs="Times New Roman"/>
      <w:sz w:val="20"/>
      <w:szCs w:val="20"/>
      <w:lang w:val="et-EE" w:eastAsia="et-EE"/>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Heleruuttabel1rhk4">
    <w:name w:val="Grid Table 1 Light Accent 4"/>
    <w:basedOn w:val="Normaaltabel"/>
    <w:uiPriority w:val="46"/>
    <w:rsid w:val="00A73E9B"/>
    <w:pPr>
      <w:spacing w:after="0" w:line="240" w:lineRule="auto"/>
    </w:pPr>
    <w:rPr>
      <w:rFonts w:ascii="Times New Roman" w:eastAsia="Times New Roman" w:hAnsi="Times New Roman" w:cs="Times New Roman"/>
      <w:sz w:val="20"/>
      <w:szCs w:val="20"/>
      <w:lang w:val="et-EE" w:eastAsia="et-EE"/>
    </w:r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Heleruuttabel1rhk5">
    <w:name w:val="Grid Table 1 Light Accent 5"/>
    <w:basedOn w:val="Normaaltabel"/>
    <w:uiPriority w:val="46"/>
    <w:rsid w:val="00A73E9B"/>
    <w:pPr>
      <w:spacing w:after="0" w:line="240" w:lineRule="auto"/>
    </w:pPr>
    <w:rPr>
      <w:rFonts w:ascii="Times New Roman" w:eastAsia="Times New Roman" w:hAnsi="Times New Roman" w:cs="Times New Roman"/>
      <w:sz w:val="20"/>
      <w:szCs w:val="20"/>
      <w:lang w:val="et-EE" w:eastAsia="et-EE"/>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Ruuttabel4rhk6">
    <w:name w:val="Grid Table 4 Accent 6"/>
    <w:basedOn w:val="Normaaltabel"/>
    <w:uiPriority w:val="49"/>
    <w:rsid w:val="00A73E9B"/>
    <w:pPr>
      <w:spacing w:after="0" w:line="240" w:lineRule="auto"/>
    </w:pPr>
    <w:rPr>
      <w:rFonts w:ascii="Times New Roman" w:eastAsia="Times New Roman" w:hAnsi="Times New Roman" w:cs="Times New Roman"/>
      <w:sz w:val="20"/>
      <w:szCs w:val="20"/>
      <w:lang w:val="et-EE" w:eastAsia="et-E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vatabel5">
    <w:name w:val="Plain Table 5"/>
    <w:basedOn w:val="Normaaltabel"/>
    <w:uiPriority w:val="45"/>
    <w:rsid w:val="00A73E9B"/>
    <w:pPr>
      <w:spacing w:after="0" w:line="240" w:lineRule="auto"/>
    </w:pPr>
    <w:rPr>
      <w:rFonts w:ascii="Times New Roman" w:eastAsia="Times New Roman" w:hAnsi="Times New Roman" w:cs="Times New Roman"/>
      <w:sz w:val="20"/>
      <w:szCs w:val="20"/>
      <w:lang w:val="et-EE" w:eastAsia="et-E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Heleruuttabel1rhk6">
    <w:name w:val="Grid Table 1 Light Accent 6"/>
    <w:basedOn w:val="Normaaltabel"/>
    <w:uiPriority w:val="46"/>
    <w:rsid w:val="00A73E9B"/>
    <w:pPr>
      <w:spacing w:after="0" w:line="240" w:lineRule="auto"/>
    </w:pPr>
    <w:rPr>
      <w:rFonts w:ascii="Times New Roman" w:eastAsia="Times New Roman" w:hAnsi="Times New Roman" w:cs="Times New Roman"/>
      <w:sz w:val="20"/>
      <w:szCs w:val="20"/>
      <w:lang w:val="et-EE" w:eastAsia="et-EE"/>
    </w:r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Tumeruuttabel5rhk6">
    <w:name w:val="Grid Table 5 Dark Accent 6"/>
    <w:basedOn w:val="Normaaltabel"/>
    <w:uiPriority w:val="50"/>
    <w:rsid w:val="00A73E9B"/>
    <w:pPr>
      <w:spacing w:after="0" w:line="240" w:lineRule="auto"/>
    </w:pPr>
    <w:rPr>
      <w:rFonts w:ascii="Times New Roman" w:eastAsia="Times New Roman" w:hAnsi="Times New Roman" w:cs="Times New Roman"/>
      <w:sz w:val="20"/>
      <w:szCs w:val="20"/>
      <w:lang w:val="et-EE" w:eastAsia="et-E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character" w:customStyle="1" w:styleId="st1">
    <w:name w:val="st1"/>
    <w:basedOn w:val="Liguvaikefont"/>
    <w:rsid w:val="00A73E9B"/>
  </w:style>
  <w:style w:type="table" w:styleId="Loetelutabel4rhk6">
    <w:name w:val="List Table 4 Accent 6"/>
    <w:basedOn w:val="Normaaltabel"/>
    <w:uiPriority w:val="49"/>
    <w:rsid w:val="00A73E9B"/>
    <w:pPr>
      <w:spacing w:after="0" w:line="240" w:lineRule="auto"/>
    </w:pPr>
    <w:rPr>
      <w:rFonts w:ascii="Times New Roman" w:eastAsia="Times New Roman" w:hAnsi="Times New Roman" w:cs="Times New Roman"/>
      <w:sz w:val="20"/>
      <w:szCs w:val="20"/>
      <w:lang w:val="et-EE" w:eastAsia="et-E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Vrvilineloetelutabel7rhk6">
    <w:name w:val="List Table 7 Colorful Accent 6"/>
    <w:basedOn w:val="Normaaltabel"/>
    <w:uiPriority w:val="52"/>
    <w:rsid w:val="00A73E9B"/>
    <w:pPr>
      <w:spacing w:after="0" w:line="240" w:lineRule="auto"/>
    </w:pPr>
    <w:rPr>
      <w:rFonts w:ascii="Times New Roman" w:eastAsia="Times New Roman" w:hAnsi="Times New Roman" w:cs="Times New Roman"/>
      <w:color w:val="3A7C22" w:themeColor="accent6" w:themeShade="BF"/>
      <w:sz w:val="20"/>
      <w:szCs w:val="20"/>
      <w:lang w:val="et-EE" w:eastAsia="et-E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ruuttabel7rhk5">
    <w:name w:val="Grid Table 7 Colorful Accent 5"/>
    <w:basedOn w:val="Normaaltabel"/>
    <w:uiPriority w:val="52"/>
    <w:rsid w:val="00A73E9B"/>
    <w:pPr>
      <w:spacing w:after="0" w:line="240" w:lineRule="auto"/>
    </w:pPr>
    <w:rPr>
      <w:rFonts w:ascii="Times New Roman" w:eastAsia="Times New Roman" w:hAnsi="Times New Roman" w:cs="Times New Roman"/>
      <w:color w:val="77206D" w:themeColor="accent5" w:themeShade="BF"/>
      <w:sz w:val="20"/>
      <w:szCs w:val="20"/>
      <w:lang w:val="et-EE" w:eastAsia="et-E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paragraph" w:styleId="Illustratsiooniloend">
    <w:name w:val="table of figures"/>
    <w:basedOn w:val="Normaallaad"/>
    <w:next w:val="Normaallaad"/>
    <w:uiPriority w:val="99"/>
    <w:rsid w:val="6F1460D6"/>
    <w:pPr>
      <w:spacing w:after="0" w:line="240" w:lineRule="auto"/>
    </w:pPr>
    <w:rPr>
      <w:rFonts w:eastAsia="Times New Roman" w:cs="Times New Roman"/>
      <w:lang w:eastAsia="ar-SA"/>
    </w:rPr>
  </w:style>
  <w:style w:type="paragraph" w:customStyle="1" w:styleId="2Pealkiri">
    <w:name w:val="2 Pealkiri"/>
    <w:basedOn w:val="Pealkiri2"/>
    <w:rsid w:val="00A73E9B"/>
    <w:pPr>
      <w:numPr>
        <w:numId w:val="21"/>
      </w:numPr>
      <w:suppressAutoHyphens/>
      <w:spacing w:before="360" w:line="240" w:lineRule="auto"/>
    </w:pPr>
    <w:rPr>
      <w:rFonts w:eastAsia="Times New Roman" w:cs="Times New Roman"/>
      <w:bCs/>
      <w:szCs w:val="20"/>
      <w:lang w:eastAsia="ar-SA"/>
    </w:rPr>
  </w:style>
  <w:style w:type="paragraph" w:customStyle="1" w:styleId="Heading13">
    <w:name w:val="Heading 13"/>
    <w:basedOn w:val="Normaallaad"/>
    <w:uiPriority w:val="1"/>
    <w:rsid w:val="6F1460D6"/>
    <w:pPr>
      <w:spacing w:line="259" w:lineRule="auto"/>
      <w:ind w:left="432" w:hanging="432"/>
    </w:pPr>
    <w:rPr>
      <w:lang w:eastAsia="en-US"/>
    </w:rPr>
  </w:style>
  <w:style w:type="paragraph" w:customStyle="1" w:styleId="Heading23">
    <w:name w:val="Heading 23"/>
    <w:basedOn w:val="Normaallaad"/>
    <w:uiPriority w:val="1"/>
    <w:rsid w:val="6F1460D6"/>
    <w:pPr>
      <w:spacing w:line="259" w:lineRule="auto"/>
      <w:ind w:left="576" w:hanging="576"/>
    </w:pPr>
    <w:rPr>
      <w:lang w:eastAsia="en-US"/>
    </w:rPr>
  </w:style>
  <w:style w:type="paragraph" w:customStyle="1" w:styleId="Heading33">
    <w:name w:val="Heading 33"/>
    <w:basedOn w:val="Normaallaad"/>
    <w:uiPriority w:val="1"/>
    <w:rsid w:val="6F1460D6"/>
    <w:pPr>
      <w:spacing w:line="259" w:lineRule="auto"/>
      <w:ind w:left="720" w:hanging="720"/>
    </w:pPr>
    <w:rPr>
      <w:lang w:eastAsia="en-US"/>
    </w:rPr>
  </w:style>
  <w:style w:type="paragraph" w:customStyle="1" w:styleId="Heading43">
    <w:name w:val="Heading 43"/>
    <w:basedOn w:val="Normaallaad"/>
    <w:uiPriority w:val="1"/>
    <w:rsid w:val="6F1460D6"/>
    <w:pPr>
      <w:spacing w:line="259" w:lineRule="auto"/>
      <w:ind w:left="864" w:hanging="864"/>
    </w:pPr>
    <w:rPr>
      <w:lang w:eastAsia="en-US"/>
    </w:rPr>
  </w:style>
  <w:style w:type="paragraph" w:customStyle="1" w:styleId="Heading53">
    <w:name w:val="Heading 53"/>
    <w:basedOn w:val="Normaallaad"/>
    <w:uiPriority w:val="1"/>
    <w:rsid w:val="6F1460D6"/>
    <w:pPr>
      <w:spacing w:line="259" w:lineRule="auto"/>
      <w:ind w:left="1008" w:hanging="1008"/>
    </w:pPr>
    <w:rPr>
      <w:lang w:eastAsia="en-US"/>
    </w:rPr>
  </w:style>
  <w:style w:type="paragraph" w:customStyle="1" w:styleId="Heading63">
    <w:name w:val="Heading 63"/>
    <w:basedOn w:val="Normaallaad"/>
    <w:uiPriority w:val="1"/>
    <w:rsid w:val="6F1460D6"/>
    <w:pPr>
      <w:spacing w:line="259" w:lineRule="auto"/>
      <w:ind w:left="1152" w:hanging="1152"/>
    </w:pPr>
    <w:rPr>
      <w:lang w:eastAsia="en-US"/>
    </w:rPr>
  </w:style>
  <w:style w:type="paragraph" w:customStyle="1" w:styleId="Heading73">
    <w:name w:val="Heading 73"/>
    <w:basedOn w:val="Normaallaad"/>
    <w:uiPriority w:val="1"/>
    <w:rsid w:val="6F1460D6"/>
    <w:pPr>
      <w:spacing w:line="259" w:lineRule="auto"/>
      <w:ind w:left="1296" w:hanging="1296"/>
    </w:pPr>
    <w:rPr>
      <w:lang w:eastAsia="en-US"/>
    </w:rPr>
  </w:style>
  <w:style w:type="paragraph" w:customStyle="1" w:styleId="Heading83">
    <w:name w:val="Heading 83"/>
    <w:basedOn w:val="Normaallaad"/>
    <w:uiPriority w:val="1"/>
    <w:rsid w:val="6F1460D6"/>
    <w:pPr>
      <w:spacing w:line="259" w:lineRule="auto"/>
      <w:ind w:left="1440" w:hanging="1440"/>
    </w:pPr>
    <w:rPr>
      <w:lang w:eastAsia="en-US"/>
    </w:rPr>
  </w:style>
  <w:style w:type="paragraph" w:customStyle="1" w:styleId="Heading93">
    <w:name w:val="Heading 93"/>
    <w:basedOn w:val="Normaallaad"/>
    <w:uiPriority w:val="1"/>
    <w:rsid w:val="6F1460D6"/>
    <w:pPr>
      <w:spacing w:line="259" w:lineRule="auto"/>
      <w:ind w:left="1584" w:hanging="1584"/>
    </w:pPr>
    <w:rPr>
      <w:lang w:eastAsia="en-US"/>
    </w:rPr>
  </w:style>
  <w:style w:type="character" w:customStyle="1" w:styleId="cf01">
    <w:name w:val="cf01"/>
    <w:basedOn w:val="Liguvaikefont"/>
    <w:rsid w:val="00577DC0"/>
    <w:rPr>
      <w:rFonts w:ascii="Segoe UI" w:hAnsi="Segoe UI" w:cs="Segoe UI" w:hint="default"/>
      <w:sz w:val="18"/>
      <w:szCs w:val="18"/>
    </w:rPr>
  </w:style>
  <w:style w:type="paragraph" w:customStyle="1" w:styleId="Pealkiri11">
    <w:name w:val="Pealkiri 11"/>
    <w:basedOn w:val="Normaallaad"/>
    <w:uiPriority w:val="1"/>
    <w:rsid w:val="00011085"/>
    <w:pPr>
      <w:numPr>
        <w:numId w:val="2"/>
      </w:numPr>
    </w:pPr>
  </w:style>
  <w:style w:type="paragraph" w:customStyle="1" w:styleId="Pealkiri21">
    <w:name w:val="Pealkiri 21"/>
    <w:basedOn w:val="Normaallaad"/>
    <w:uiPriority w:val="1"/>
    <w:rsid w:val="00011085"/>
    <w:pPr>
      <w:numPr>
        <w:ilvl w:val="1"/>
        <w:numId w:val="2"/>
      </w:numPr>
    </w:pPr>
  </w:style>
  <w:style w:type="numbering" w:customStyle="1" w:styleId="Laad5">
    <w:name w:val="Laad5"/>
    <w:uiPriority w:val="99"/>
    <w:rsid w:val="00D4500F"/>
    <w:pPr>
      <w:numPr>
        <w:numId w:val="25"/>
      </w:numPr>
    </w:pPr>
  </w:style>
  <w:style w:type="paragraph" w:customStyle="1" w:styleId="Pealkiri41">
    <w:name w:val="Pealkiri 41"/>
    <w:basedOn w:val="Normaallaad"/>
    <w:uiPriority w:val="1"/>
    <w:rsid w:val="00011085"/>
    <w:pPr>
      <w:numPr>
        <w:ilvl w:val="3"/>
        <w:numId w:val="2"/>
      </w:numPr>
    </w:pPr>
  </w:style>
  <w:style w:type="paragraph" w:customStyle="1" w:styleId="Pealkiri51">
    <w:name w:val="Pealkiri 51"/>
    <w:basedOn w:val="Normaallaad"/>
    <w:uiPriority w:val="1"/>
    <w:rsid w:val="00011085"/>
    <w:pPr>
      <w:numPr>
        <w:ilvl w:val="4"/>
        <w:numId w:val="2"/>
      </w:numPr>
    </w:pPr>
  </w:style>
  <w:style w:type="paragraph" w:customStyle="1" w:styleId="Pealkiri61">
    <w:name w:val="Pealkiri 61"/>
    <w:basedOn w:val="Normaallaad"/>
    <w:uiPriority w:val="1"/>
    <w:rsid w:val="00011085"/>
    <w:pPr>
      <w:numPr>
        <w:ilvl w:val="5"/>
        <w:numId w:val="2"/>
      </w:numPr>
    </w:pPr>
  </w:style>
  <w:style w:type="paragraph" w:customStyle="1" w:styleId="Pealkiri71">
    <w:name w:val="Pealkiri 71"/>
    <w:basedOn w:val="Normaallaad"/>
    <w:uiPriority w:val="1"/>
    <w:rsid w:val="00011085"/>
    <w:pPr>
      <w:numPr>
        <w:ilvl w:val="6"/>
        <w:numId w:val="2"/>
      </w:numPr>
    </w:pPr>
  </w:style>
  <w:style w:type="paragraph" w:customStyle="1" w:styleId="Pealkiri81">
    <w:name w:val="Pealkiri 81"/>
    <w:basedOn w:val="Normaallaad"/>
    <w:uiPriority w:val="1"/>
    <w:rsid w:val="00011085"/>
    <w:pPr>
      <w:numPr>
        <w:ilvl w:val="7"/>
        <w:numId w:val="2"/>
      </w:numPr>
    </w:pPr>
  </w:style>
  <w:style w:type="paragraph" w:customStyle="1" w:styleId="Pealkiri91">
    <w:name w:val="Pealkiri 91"/>
    <w:basedOn w:val="Normaallaad"/>
    <w:uiPriority w:val="1"/>
    <w:rsid w:val="00011085"/>
    <w:pPr>
      <w:numPr>
        <w:ilvl w:val="8"/>
        <w:numId w:val="2"/>
      </w:numPr>
    </w:pPr>
  </w:style>
  <w:style w:type="numbering" w:customStyle="1" w:styleId="Loendita2">
    <w:name w:val="Loendita2"/>
    <w:next w:val="Loendita"/>
    <w:uiPriority w:val="99"/>
    <w:semiHidden/>
    <w:unhideWhenUsed/>
    <w:rsid w:val="00A42536"/>
  </w:style>
  <w:style w:type="character" w:customStyle="1" w:styleId="RakstzRakstzRakstzRakstz">
    <w:name w:val="Rakstz. Rakstz. Rakstz. Rakstz."/>
    <w:aliases w:val=" Rakstz. Rakstz. Rakstz. Rakstz.1, Rakstz. Rakstz. Rakstz. Rakstz."/>
    <w:rsid w:val="0019768D"/>
    <w:rPr>
      <w:sz w:val="24"/>
      <w:lang w:val="lv-LV" w:eastAsia="en-US" w:bidi="ar-SA"/>
    </w:rPr>
  </w:style>
  <w:style w:type="paragraph" w:customStyle="1" w:styleId="Heading14">
    <w:name w:val="Heading 14"/>
    <w:basedOn w:val="Normaallaad"/>
    <w:uiPriority w:val="1"/>
    <w:rsid w:val="003871D4"/>
  </w:style>
  <w:style w:type="paragraph" w:customStyle="1" w:styleId="Heading24">
    <w:name w:val="Heading 24"/>
    <w:basedOn w:val="Normaallaad"/>
    <w:uiPriority w:val="1"/>
    <w:rsid w:val="003871D4"/>
  </w:style>
  <w:style w:type="paragraph" w:customStyle="1" w:styleId="Heading34">
    <w:name w:val="Heading 34"/>
    <w:basedOn w:val="Normaallaad"/>
    <w:uiPriority w:val="1"/>
    <w:rsid w:val="003871D4"/>
  </w:style>
  <w:style w:type="paragraph" w:customStyle="1" w:styleId="Heading44">
    <w:name w:val="Heading 44"/>
    <w:basedOn w:val="Normaallaad"/>
    <w:uiPriority w:val="1"/>
    <w:rsid w:val="003871D4"/>
  </w:style>
  <w:style w:type="paragraph" w:customStyle="1" w:styleId="Heading54">
    <w:name w:val="Heading 54"/>
    <w:basedOn w:val="Normaallaad"/>
    <w:uiPriority w:val="1"/>
    <w:rsid w:val="003871D4"/>
  </w:style>
  <w:style w:type="paragraph" w:customStyle="1" w:styleId="Heading64">
    <w:name w:val="Heading 64"/>
    <w:basedOn w:val="Normaallaad"/>
    <w:uiPriority w:val="1"/>
    <w:rsid w:val="003871D4"/>
  </w:style>
  <w:style w:type="paragraph" w:customStyle="1" w:styleId="Heading74">
    <w:name w:val="Heading 74"/>
    <w:basedOn w:val="Normaallaad"/>
    <w:uiPriority w:val="1"/>
    <w:rsid w:val="003871D4"/>
  </w:style>
  <w:style w:type="paragraph" w:customStyle="1" w:styleId="Heading84">
    <w:name w:val="Heading 84"/>
    <w:basedOn w:val="Normaallaad"/>
    <w:uiPriority w:val="1"/>
    <w:rsid w:val="003871D4"/>
  </w:style>
  <w:style w:type="paragraph" w:customStyle="1" w:styleId="Heading94">
    <w:name w:val="Heading 94"/>
    <w:basedOn w:val="Normaallaad"/>
    <w:uiPriority w:val="1"/>
    <w:rsid w:val="003871D4"/>
  </w:style>
  <w:style w:type="paragraph" w:customStyle="1" w:styleId="Heading15">
    <w:name w:val="Heading 15"/>
    <w:basedOn w:val="Normaallaad"/>
    <w:uiPriority w:val="1"/>
    <w:rsid w:val="0003306C"/>
  </w:style>
  <w:style w:type="paragraph" w:customStyle="1" w:styleId="Heading25">
    <w:name w:val="Heading 25"/>
    <w:basedOn w:val="Normaallaad"/>
    <w:uiPriority w:val="1"/>
    <w:rsid w:val="0003306C"/>
  </w:style>
  <w:style w:type="paragraph" w:customStyle="1" w:styleId="Heading35">
    <w:name w:val="Heading 35"/>
    <w:basedOn w:val="Normaallaad"/>
    <w:uiPriority w:val="1"/>
    <w:rsid w:val="0003306C"/>
  </w:style>
  <w:style w:type="paragraph" w:customStyle="1" w:styleId="Heading45">
    <w:name w:val="Heading 45"/>
    <w:basedOn w:val="Normaallaad"/>
    <w:uiPriority w:val="1"/>
    <w:rsid w:val="0003306C"/>
  </w:style>
  <w:style w:type="paragraph" w:customStyle="1" w:styleId="Heading55">
    <w:name w:val="Heading 55"/>
    <w:basedOn w:val="Normaallaad"/>
    <w:uiPriority w:val="1"/>
    <w:rsid w:val="0003306C"/>
  </w:style>
  <w:style w:type="paragraph" w:customStyle="1" w:styleId="Heading65">
    <w:name w:val="Heading 65"/>
    <w:basedOn w:val="Normaallaad"/>
    <w:uiPriority w:val="1"/>
    <w:rsid w:val="0003306C"/>
  </w:style>
  <w:style w:type="paragraph" w:customStyle="1" w:styleId="Heading75">
    <w:name w:val="Heading 75"/>
    <w:basedOn w:val="Normaallaad"/>
    <w:uiPriority w:val="1"/>
    <w:rsid w:val="0003306C"/>
  </w:style>
  <w:style w:type="paragraph" w:customStyle="1" w:styleId="Heading85">
    <w:name w:val="Heading 85"/>
    <w:basedOn w:val="Normaallaad"/>
    <w:uiPriority w:val="1"/>
    <w:rsid w:val="0003306C"/>
  </w:style>
  <w:style w:type="paragraph" w:customStyle="1" w:styleId="Heading95">
    <w:name w:val="Heading 95"/>
    <w:basedOn w:val="Normaallaad"/>
    <w:uiPriority w:val="1"/>
    <w:rsid w:val="0003306C"/>
  </w:style>
  <w:style w:type="paragraph" w:customStyle="1" w:styleId="Heading16">
    <w:name w:val="Heading 16"/>
    <w:basedOn w:val="Normaallaad"/>
    <w:rsid w:val="00651B5B"/>
  </w:style>
  <w:style w:type="paragraph" w:customStyle="1" w:styleId="Heading26">
    <w:name w:val="Heading 26"/>
    <w:basedOn w:val="Normaallaad"/>
    <w:rsid w:val="00651B5B"/>
  </w:style>
  <w:style w:type="paragraph" w:customStyle="1" w:styleId="Heading36">
    <w:name w:val="Heading 36"/>
    <w:basedOn w:val="Normaallaad"/>
    <w:rsid w:val="00651B5B"/>
  </w:style>
  <w:style w:type="paragraph" w:customStyle="1" w:styleId="Heading46">
    <w:name w:val="Heading 46"/>
    <w:basedOn w:val="Normaallaad"/>
    <w:rsid w:val="00651B5B"/>
  </w:style>
  <w:style w:type="paragraph" w:customStyle="1" w:styleId="Heading56">
    <w:name w:val="Heading 56"/>
    <w:basedOn w:val="Normaallaad"/>
    <w:rsid w:val="00651B5B"/>
  </w:style>
  <w:style w:type="paragraph" w:customStyle="1" w:styleId="Heading66">
    <w:name w:val="Heading 66"/>
    <w:basedOn w:val="Normaallaad"/>
    <w:rsid w:val="00651B5B"/>
  </w:style>
  <w:style w:type="paragraph" w:customStyle="1" w:styleId="Heading76">
    <w:name w:val="Heading 76"/>
    <w:basedOn w:val="Normaallaad"/>
    <w:rsid w:val="00651B5B"/>
  </w:style>
  <w:style w:type="paragraph" w:customStyle="1" w:styleId="Heading86">
    <w:name w:val="Heading 86"/>
    <w:basedOn w:val="Normaallaad"/>
    <w:rsid w:val="00651B5B"/>
  </w:style>
  <w:style w:type="paragraph" w:customStyle="1" w:styleId="Heading96">
    <w:name w:val="Heading 96"/>
    <w:basedOn w:val="Normaallaad"/>
    <w:rsid w:val="00651B5B"/>
  </w:style>
  <w:style w:type="paragraph" w:customStyle="1" w:styleId="Pealk">
    <w:name w:val="Pealk"/>
    <w:basedOn w:val="Pealkiri1"/>
    <w:link w:val="PealkMrk"/>
    <w:autoRedefine/>
    <w:qFormat/>
    <w:rsid w:val="009A3A3E"/>
    <w:pPr>
      <w:numPr>
        <w:numId w:val="0"/>
      </w:numPr>
      <w:ind w:left="432"/>
    </w:pPr>
  </w:style>
  <w:style w:type="character" w:customStyle="1" w:styleId="PealkMrk">
    <w:name w:val="Pealk Märk"/>
    <w:basedOn w:val="Pealkiri3Mrk"/>
    <w:link w:val="Pealk"/>
    <w:rsid w:val="009A3A3E"/>
    <w:rPr>
      <w:rFonts w:ascii="Times New Roman" w:eastAsia="Times New Roman" w:hAnsi="Times New Roman" w:cs="Times New Roman"/>
      <w:b/>
      <w:bCs w:val="0"/>
      <w:i w:val="0"/>
      <w:iCs w:val="0"/>
      <w:color w:val="000000" w:themeColor="text1"/>
      <w:sz w:val="28"/>
      <w:szCs w:val="28"/>
      <w:lang w:val="et-EE" w:eastAsia="lv-LV"/>
    </w:rPr>
  </w:style>
  <w:style w:type="paragraph" w:customStyle="1" w:styleId="Laad2">
    <w:name w:val="Laad2"/>
    <w:basedOn w:val="Normaallaad"/>
    <w:link w:val="Laad2Mrk"/>
    <w:autoRedefine/>
    <w:qFormat/>
    <w:rsid w:val="00D9211C"/>
    <w:rPr>
      <w:b/>
    </w:rPr>
  </w:style>
  <w:style w:type="character" w:customStyle="1" w:styleId="Laad2Mrk">
    <w:name w:val="Laad2 Märk"/>
    <w:basedOn w:val="Liguvaikefont"/>
    <w:link w:val="Laad2"/>
    <w:rsid w:val="007F5CCB"/>
    <w:rPr>
      <w:rFonts w:ascii="Times New Roman" w:hAnsi="Times New Roman"/>
      <w:b/>
    </w:rPr>
  </w:style>
  <w:style w:type="paragraph" w:customStyle="1" w:styleId="Heading17">
    <w:name w:val="Heading 17"/>
    <w:basedOn w:val="Normaallaad"/>
    <w:rsid w:val="007D7A51"/>
  </w:style>
  <w:style w:type="paragraph" w:customStyle="1" w:styleId="Heading27">
    <w:name w:val="Heading 27"/>
    <w:basedOn w:val="Normaallaad"/>
    <w:rsid w:val="007D7A51"/>
  </w:style>
  <w:style w:type="paragraph" w:customStyle="1" w:styleId="Heading37">
    <w:name w:val="Heading 37"/>
    <w:basedOn w:val="Normaallaad"/>
    <w:rsid w:val="007D7A51"/>
  </w:style>
  <w:style w:type="paragraph" w:customStyle="1" w:styleId="Heading47">
    <w:name w:val="Heading 47"/>
    <w:basedOn w:val="Normaallaad"/>
    <w:rsid w:val="007D7A51"/>
  </w:style>
  <w:style w:type="paragraph" w:customStyle="1" w:styleId="Heading57">
    <w:name w:val="Heading 57"/>
    <w:basedOn w:val="Normaallaad"/>
    <w:rsid w:val="007D7A51"/>
  </w:style>
  <w:style w:type="paragraph" w:customStyle="1" w:styleId="Heading67">
    <w:name w:val="Heading 67"/>
    <w:basedOn w:val="Normaallaad"/>
    <w:rsid w:val="007D7A51"/>
  </w:style>
  <w:style w:type="paragraph" w:customStyle="1" w:styleId="Heading77">
    <w:name w:val="Heading 77"/>
    <w:basedOn w:val="Normaallaad"/>
    <w:rsid w:val="007D7A51"/>
  </w:style>
  <w:style w:type="paragraph" w:customStyle="1" w:styleId="Heading87">
    <w:name w:val="Heading 87"/>
    <w:basedOn w:val="Normaallaad"/>
    <w:rsid w:val="007D7A51"/>
  </w:style>
  <w:style w:type="paragraph" w:customStyle="1" w:styleId="Heading97">
    <w:name w:val="Heading 97"/>
    <w:basedOn w:val="Normaallaad"/>
    <w:rsid w:val="007D7A51"/>
  </w:style>
  <w:style w:type="paragraph" w:customStyle="1" w:styleId="Laad4">
    <w:name w:val="Laad4"/>
    <w:basedOn w:val="Pealkiri4"/>
    <w:autoRedefine/>
    <w:qFormat/>
    <w:rsid w:val="00F21189"/>
    <w:pPr>
      <w:numPr>
        <w:numId w:val="20"/>
      </w:numPr>
    </w:pPr>
  </w:style>
  <w:style w:type="paragraph" w:customStyle="1" w:styleId="attliRakstzRakstzRakstzRakstzRakstzRakstzRakstzRakstzRakstzRakstzRakstzRakstzRakstzRakstzRakstzRakstz">
    <w:name w:val="attēli Rakstz. Rakstz. Rakstz. Rakstz. Rakstz. Rakstz. Rakstz. Rakstz. Rakstz. Rakstz. Rakstz. Rakstz. Rakstz. Rakstz. Rakstz. Rakstz."/>
    <w:basedOn w:val="Normaallaad"/>
    <w:link w:val="attliRakstzRakstzRakstzRakstzRakstzRakstzRakstzRakstzRakstzRakstzRakstzRakstzRakstzRakstzRakstzRakstzRakstz"/>
    <w:rsid w:val="00275814"/>
    <w:pPr>
      <w:spacing w:after="0" w:line="240" w:lineRule="auto"/>
      <w:ind w:left="720"/>
    </w:pPr>
    <w:rPr>
      <w:rFonts w:eastAsia="Times New Roman" w:cs="Times New Roman"/>
      <w:sz w:val="20"/>
      <w:lang w:val="lv-LV" w:eastAsia="lv-LV"/>
    </w:rPr>
  </w:style>
  <w:style w:type="character" w:customStyle="1" w:styleId="attliRakstzRakstzRakstzRakstzRakstzRakstzRakstzRakstzRakstzRakstzRakstzRakstzRakstzRakstzRakstzRakstzRakstz">
    <w:name w:val="attēli Rakstz. Rakstz. Rakstz. Rakstz. Rakstz. Rakstz. Rakstz. Rakstz. Rakstz. Rakstz. Rakstz. Rakstz. Rakstz. Rakstz. Rakstz. Rakstz. Rakstz."/>
    <w:basedOn w:val="Liguvaikefont"/>
    <w:link w:val="attliRakstzRakstzRakstzRakstzRakstzRakstzRakstzRakstzRakstzRakstzRakstzRakstzRakstzRakstzRakstzRakstz"/>
    <w:locked/>
    <w:rsid w:val="00275814"/>
    <w:rPr>
      <w:rFonts w:ascii="Times New Roman" w:eastAsia="Times New Roman" w:hAnsi="Times New Roman" w:cs="Times New Roman"/>
      <w:sz w:val="20"/>
      <w:lang w:val="lv-LV" w:eastAsia="lv-LV"/>
    </w:rPr>
  </w:style>
  <w:style w:type="paragraph" w:customStyle="1" w:styleId="Pealkiri12">
    <w:name w:val="Pealkiri 12"/>
    <w:basedOn w:val="Normaallaad"/>
    <w:rsid w:val="00682D37"/>
  </w:style>
  <w:style w:type="paragraph" w:customStyle="1" w:styleId="Pealkiri22">
    <w:name w:val="Pealkiri 22"/>
    <w:basedOn w:val="Normaallaad"/>
    <w:rsid w:val="00682D37"/>
  </w:style>
  <w:style w:type="paragraph" w:customStyle="1" w:styleId="Pealkiri31">
    <w:name w:val="Pealkiri 31"/>
    <w:basedOn w:val="Normaallaad"/>
    <w:uiPriority w:val="1"/>
    <w:rsid w:val="00682D37"/>
  </w:style>
  <w:style w:type="paragraph" w:customStyle="1" w:styleId="Pealkiri42">
    <w:name w:val="Pealkiri 42"/>
    <w:basedOn w:val="Normaallaad"/>
    <w:rsid w:val="00682D37"/>
  </w:style>
  <w:style w:type="paragraph" w:customStyle="1" w:styleId="Pealkiri52">
    <w:name w:val="Pealkiri 52"/>
    <w:basedOn w:val="Normaallaad"/>
    <w:rsid w:val="00682D37"/>
  </w:style>
  <w:style w:type="paragraph" w:customStyle="1" w:styleId="Pealkiri62">
    <w:name w:val="Pealkiri 62"/>
    <w:basedOn w:val="Normaallaad"/>
    <w:rsid w:val="00682D37"/>
  </w:style>
  <w:style w:type="paragraph" w:customStyle="1" w:styleId="Heading18">
    <w:name w:val="Heading 18"/>
    <w:basedOn w:val="Normaallaad"/>
    <w:rsid w:val="00D84B9D"/>
  </w:style>
  <w:style w:type="paragraph" w:customStyle="1" w:styleId="Heading28">
    <w:name w:val="Heading 28"/>
    <w:basedOn w:val="Normaallaad"/>
    <w:rsid w:val="00D84B9D"/>
  </w:style>
  <w:style w:type="paragraph" w:customStyle="1" w:styleId="Heading38">
    <w:name w:val="Heading 38"/>
    <w:basedOn w:val="Normaallaad"/>
    <w:rsid w:val="00D84B9D"/>
    <w:rPr>
      <w:b/>
    </w:rPr>
  </w:style>
  <w:style w:type="paragraph" w:customStyle="1" w:styleId="Heading48">
    <w:name w:val="Heading 48"/>
    <w:basedOn w:val="Normaallaad"/>
    <w:autoRedefine/>
    <w:rsid w:val="00D84B9D"/>
  </w:style>
  <w:style w:type="paragraph" w:customStyle="1" w:styleId="Heading58">
    <w:name w:val="Heading 58"/>
    <w:basedOn w:val="Normaallaad"/>
    <w:rsid w:val="00D84B9D"/>
  </w:style>
  <w:style w:type="paragraph" w:customStyle="1" w:styleId="Heading68">
    <w:name w:val="Heading 68"/>
    <w:basedOn w:val="Normaallaad"/>
    <w:rsid w:val="00D84B9D"/>
  </w:style>
  <w:style w:type="paragraph" w:customStyle="1" w:styleId="Heading78">
    <w:name w:val="Heading 78"/>
    <w:basedOn w:val="Normaallaad"/>
    <w:rsid w:val="00D84B9D"/>
  </w:style>
  <w:style w:type="paragraph" w:customStyle="1" w:styleId="Heading88">
    <w:name w:val="Heading 88"/>
    <w:basedOn w:val="Normaallaad"/>
    <w:rsid w:val="00D84B9D"/>
  </w:style>
  <w:style w:type="paragraph" w:customStyle="1" w:styleId="Heading98">
    <w:name w:val="Heading 98"/>
    <w:basedOn w:val="Normaallaad"/>
    <w:rsid w:val="00D84B9D"/>
  </w:style>
  <w:style w:type="paragraph" w:customStyle="1" w:styleId="Pealkiri72">
    <w:name w:val="Pealkiri 72"/>
    <w:basedOn w:val="Normaallaad"/>
    <w:rsid w:val="00682D37"/>
  </w:style>
  <w:style w:type="character" w:customStyle="1" w:styleId="Pealkiri2Mrk3">
    <w:name w:val="Pealkiri 2 Märk3"/>
    <w:aliases w:val="Pealkiri 2 Märk1 Märk,Pealkiri 2 Märk Märk Märk,Pealkiri 2 Märk Märk2,Pealkiri 2 Märk2 Märk,Pealkiri 2 Märk Märk1 Märk"/>
    <w:rsid w:val="009E1856"/>
    <w:rPr>
      <w:b/>
      <w:bCs/>
      <w:sz w:val="26"/>
      <w:szCs w:val="24"/>
      <w:lang w:eastAsia="ar-SA"/>
    </w:rPr>
  </w:style>
  <w:style w:type="paragraph" w:customStyle="1" w:styleId="Pealkiri1Trkithed">
    <w:name w:val="Pealkiri 1 Trükitähed"/>
    <w:basedOn w:val="Pealkiri1"/>
    <w:qFormat/>
    <w:rsid w:val="006C5C3E"/>
    <w:pPr>
      <w:keepLines w:val="0"/>
      <w:suppressAutoHyphens/>
      <w:spacing w:after="60" w:line="240" w:lineRule="auto"/>
      <w:ind w:left="0" w:firstLine="0"/>
      <w:jc w:val="left"/>
    </w:pPr>
    <w:rPr>
      <w:rFonts w:cs="Arial"/>
      <w:bCs/>
      <w:caps/>
      <w:kern w:val="24"/>
      <w:sz w:val="24"/>
      <w:szCs w:val="32"/>
      <w:lang w:eastAsia="ar-SA"/>
    </w:rPr>
  </w:style>
  <w:style w:type="numbering" w:customStyle="1" w:styleId="Laad3">
    <w:name w:val="Laad3"/>
    <w:uiPriority w:val="99"/>
    <w:rsid w:val="001C385D"/>
    <w:pPr>
      <w:numPr>
        <w:numId w:val="23"/>
      </w:numPr>
    </w:pPr>
  </w:style>
  <w:style w:type="paragraph" w:customStyle="1" w:styleId="heading10">
    <w:name w:val="heading 10"/>
    <w:basedOn w:val="Normaallaad"/>
    <w:rsid w:val="00C22C58"/>
  </w:style>
  <w:style w:type="paragraph" w:customStyle="1" w:styleId="heading20">
    <w:name w:val="heading 20"/>
    <w:basedOn w:val="Normaallaad"/>
    <w:rsid w:val="00C22C58"/>
  </w:style>
  <w:style w:type="paragraph" w:customStyle="1" w:styleId="heading30">
    <w:name w:val="heading 30"/>
    <w:basedOn w:val="Normaallaad"/>
    <w:rsid w:val="00C22C58"/>
  </w:style>
  <w:style w:type="paragraph" w:customStyle="1" w:styleId="heading40">
    <w:name w:val="heading 40"/>
    <w:basedOn w:val="Normaallaad"/>
    <w:rsid w:val="00C22C58"/>
  </w:style>
  <w:style w:type="paragraph" w:customStyle="1" w:styleId="heading50">
    <w:name w:val="heading 50"/>
    <w:basedOn w:val="Normaallaad"/>
    <w:rsid w:val="00C22C58"/>
  </w:style>
  <w:style w:type="paragraph" w:customStyle="1" w:styleId="heading60">
    <w:name w:val="heading 60"/>
    <w:basedOn w:val="Normaallaad"/>
    <w:rsid w:val="00C22C58"/>
  </w:style>
  <w:style w:type="paragraph" w:customStyle="1" w:styleId="heading70">
    <w:name w:val="heading 70"/>
    <w:basedOn w:val="Normaallaad"/>
    <w:rsid w:val="00C22C58"/>
  </w:style>
  <w:style w:type="paragraph" w:customStyle="1" w:styleId="heading80">
    <w:name w:val="heading 80"/>
    <w:basedOn w:val="Normaallaad"/>
    <w:rsid w:val="00C22C58"/>
  </w:style>
  <w:style w:type="paragraph" w:customStyle="1" w:styleId="heading90">
    <w:name w:val="heading 90"/>
    <w:basedOn w:val="Normaallaad"/>
    <w:rsid w:val="00C22C58"/>
  </w:style>
  <w:style w:type="paragraph" w:customStyle="1" w:styleId="Pealkiri82">
    <w:name w:val="Pealkiri 82"/>
    <w:basedOn w:val="Normaallaad"/>
    <w:rsid w:val="00682D37"/>
  </w:style>
  <w:style w:type="paragraph" w:customStyle="1" w:styleId="Pealkiri92">
    <w:name w:val="Pealkiri 92"/>
    <w:basedOn w:val="Normaallaad"/>
    <w:rsid w:val="00682D37"/>
  </w:style>
  <w:style w:type="paragraph" w:customStyle="1" w:styleId="Pealkiri13">
    <w:name w:val="Pealkiri 13"/>
    <w:basedOn w:val="Normaallaad"/>
    <w:rsid w:val="00557312"/>
    <w:pPr>
      <w:numPr>
        <w:numId w:val="40"/>
      </w:numPr>
    </w:pPr>
  </w:style>
  <w:style w:type="paragraph" w:customStyle="1" w:styleId="Pealkiri23">
    <w:name w:val="Pealkiri 23"/>
    <w:basedOn w:val="Pealkiri2"/>
    <w:next w:val="Pealkiri32"/>
    <w:link w:val="Heading2Mrk"/>
    <w:autoRedefine/>
    <w:rsid w:val="00957782"/>
    <w:pPr>
      <w:numPr>
        <w:numId w:val="40"/>
      </w:numPr>
    </w:pPr>
  </w:style>
  <w:style w:type="paragraph" w:customStyle="1" w:styleId="Pealkiri32">
    <w:name w:val="Pealkiri 32"/>
    <w:basedOn w:val="Normaallaad"/>
    <w:rsid w:val="00557312"/>
    <w:pPr>
      <w:numPr>
        <w:ilvl w:val="2"/>
        <w:numId w:val="40"/>
      </w:numPr>
    </w:pPr>
  </w:style>
  <w:style w:type="paragraph" w:customStyle="1" w:styleId="Pealkiri43">
    <w:name w:val="Pealkiri 43"/>
    <w:basedOn w:val="Normaallaad"/>
    <w:rsid w:val="00557312"/>
    <w:pPr>
      <w:numPr>
        <w:ilvl w:val="3"/>
        <w:numId w:val="40"/>
      </w:numPr>
    </w:pPr>
  </w:style>
  <w:style w:type="paragraph" w:customStyle="1" w:styleId="Pealkiri53">
    <w:name w:val="Pealkiri 53"/>
    <w:basedOn w:val="Normaallaad"/>
    <w:rsid w:val="00557312"/>
    <w:pPr>
      <w:numPr>
        <w:ilvl w:val="4"/>
        <w:numId w:val="40"/>
      </w:numPr>
    </w:pPr>
  </w:style>
  <w:style w:type="paragraph" w:customStyle="1" w:styleId="Pealkiri63">
    <w:name w:val="Pealkiri 63"/>
    <w:basedOn w:val="Normaallaad"/>
    <w:rsid w:val="00557312"/>
    <w:pPr>
      <w:numPr>
        <w:ilvl w:val="5"/>
        <w:numId w:val="40"/>
      </w:numPr>
    </w:pPr>
  </w:style>
  <w:style w:type="paragraph" w:customStyle="1" w:styleId="Pealkiri73">
    <w:name w:val="Pealkiri 73"/>
    <w:basedOn w:val="Normaallaad"/>
    <w:rsid w:val="00557312"/>
    <w:pPr>
      <w:numPr>
        <w:ilvl w:val="6"/>
        <w:numId w:val="40"/>
      </w:numPr>
    </w:pPr>
  </w:style>
  <w:style w:type="paragraph" w:customStyle="1" w:styleId="Pealkiri83">
    <w:name w:val="Pealkiri 83"/>
    <w:basedOn w:val="Normaallaad"/>
    <w:rsid w:val="00557312"/>
    <w:pPr>
      <w:numPr>
        <w:ilvl w:val="7"/>
        <w:numId w:val="40"/>
      </w:numPr>
    </w:pPr>
  </w:style>
  <w:style w:type="paragraph" w:customStyle="1" w:styleId="Pealkiri93">
    <w:name w:val="Pealkiri 93"/>
    <w:basedOn w:val="Normaallaad"/>
    <w:rsid w:val="00557312"/>
    <w:pPr>
      <w:numPr>
        <w:ilvl w:val="8"/>
        <w:numId w:val="40"/>
      </w:numPr>
    </w:pPr>
  </w:style>
  <w:style w:type="character" w:customStyle="1" w:styleId="Heading2Mrk">
    <w:name w:val="Heading 2 Märk"/>
    <w:basedOn w:val="Pealkiri2Mrk"/>
    <w:link w:val="Pealkiri23"/>
    <w:rsid w:val="00957782"/>
    <w:rPr>
      <w:rFonts w:ascii="Times New Roman" w:hAnsi="Times New Roman"/>
      <w:b/>
      <w:iCs/>
      <w:lang w:val="et-EE"/>
    </w:rPr>
  </w:style>
  <w:style w:type="paragraph" w:customStyle="1" w:styleId="Pealk3">
    <w:name w:val="Pealk 3"/>
    <w:basedOn w:val="Pealkiri3"/>
    <w:link w:val="Pealk3Mrk"/>
    <w:autoRedefine/>
    <w:qFormat/>
    <w:rsid w:val="002E0D07"/>
    <w:pPr>
      <w:numPr>
        <w:numId w:val="82"/>
      </w:numPr>
      <w:spacing w:before="40" w:line="259" w:lineRule="auto"/>
    </w:pPr>
    <w:rPr>
      <w:rFonts w:eastAsia="Times New Roman" w:cs="Times New Roman"/>
      <w:b/>
      <w:bCs w:val="0"/>
      <w:lang w:eastAsia="et-EE"/>
    </w:rPr>
  </w:style>
  <w:style w:type="character" w:customStyle="1" w:styleId="Pealk3Mrk">
    <w:name w:val="Pealk 3 Märk"/>
    <w:basedOn w:val="Pealkiri3Mrk"/>
    <w:link w:val="Pealk3"/>
    <w:rsid w:val="002E0D07"/>
    <w:rPr>
      <w:rFonts w:ascii="Times New Roman" w:eastAsia="Times New Roman" w:hAnsi="Times New Roman" w:cs="Times New Roman"/>
      <w:b/>
      <w:bCs w:val="0"/>
      <w:i/>
      <w:iCs/>
      <w:color w:val="000000" w:themeColor="text1"/>
      <w:lang w:val="et-EE" w:eastAsia="et-EE"/>
    </w:rPr>
  </w:style>
  <w:style w:type="paragraph" w:customStyle="1" w:styleId="Style3">
    <w:name w:val="Style3"/>
    <w:basedOn w:val="Pealkiri3"/>
    <w:link w:val="Style3Char"/>
    <w:qFormat/>
    <w:rsid w:val="000F3CF8"/>
    <w:pPr>
      <w:numPr>
        <w:ilvl w:val="0"/>
        <w:numId w:val="0"/>
      </w:numPr>
      <w:spacing w:before="40" w:line="259" w:lineRule="auto"/>
      <w:ind w:left="360" w:hanging="360"/>
    </w:pPr>
    <w:rPr>
      <w:rFonts w:eastAsia="Times New Roman" w:cs="Times New Roman"/>
      <w:bCs w:val="0"/>
      <w:color w:val="1F3763"/>
      <w:lang w:eastAsia="et-EE"/>
    </w:rPr>
  </w:style>
  <w:style w:type="character" w:customStyle="1" w:styleId="Style3Char">
    <w:name w:val="Style3 Char"/>
    <w:basedOn w:val="Pealkiri3Mrk"/>
    <w:link w:val="Style3"/>
    <w:rsid w:val="000F3CF8"/>
    <w:rPr>
      <w:rFonts w:ascii="Times New Roman" w:eastAsia="Times New Roman" w:hAnsi="Times New Roman" w:cs="Times New Roman"/>
      <w:bCs w:val="0"/>
      <w:i/>
      <w:iCs/>
      <w:color w:val="1F3763"/>
      <w:lang w:val="et-EE" w:eastAsia="et-EE"/>
    </w:rPr>
  </w:style>
  <w:style w:type="paragraph" w:customStyle="1" w:styleId="Heading19">
    <w:name w:val="Heading 19"/>
    <w:basedOn w:val="Normaallaad"/>
    <w:rsid w:val="005740D2"/>
    <w:pPr>
      <w:numPr>
        <w:numId w:val="41"/>
      </w:numPr>
    </w:pPr>
  </w:style>
  <w:style w:type="paragraph" w:customStyle="1" w:styleId="Heading29">
    <w:name w:val="Heading 29"/>
    <w:basedOn w:val="Normaallaad"/>
    <w:rsid w:val="005740D2"/>
  </w:style>
  <w:style w:type="paragraph" w:customStyle="1" w:styleId="Heading39">
    <w:name w:val="Heading 39"/>
    <w:basedOn w:val="Normaallaad"/>
    <w:rsid w:val="005740D2"/>
  </w:style>
  <w:style w:type="paragraph" w:customStyle="1" w:styleId="Heading49">
    <w:name w:val="Heading 49"/>
    <w:basedOn w:val="Pealkiri4"/>
    <w:rsid w:val="005740D2"/>
    <w:pPr>
      <w:numPr>
        <w:ilvl w:val="0"/>
        <w:numId w:val="0"/>
      </w:numPr>
    </w:pPr>
  </w:style>
  <w:style w:type="paragraph" w:customStyle="1" w:styleId="Heading59">
    <w:name w:val="Heading 59"/>
    <w:basedOn w:val="Normaallaad"/>
    <w:rsid w:val="005740D2"/>
  </w:style>
  <w:style w:type="paragraph" w:customStyle="1" w:styleId="Heading69">
    <w:name w:val="Heading 69"/>
    <w:basedOn w:val="Normaallaad"/>
    <w:rsid w:val="005740D2"/>
  </w:style>
  <w:style w:type="paragraph" w:customStyle="1" w:styleId="Heading79">
    <w:name w:val="Heading 79"/>
    <w:basedOn w:val="Normaallaad"/>
    <w:rsid w:val="005740D2"/>
  </w:style>
  <w:style w:type="paragraph" w:customStyle="1" w:styleId="Heading89">
    <w:name w:val="Heading 89"/>
    <w:basedOn w:val="Normaallaad"/>
    <w:rsid w:val="005740D2"/>
  </w:style>
  <w:style w:type="paragraph" w:customStyle="1" w:styleId="Heading99">
    <w:name w:val="Heading 99"/>
    <w:basedOn w:val="Normaallaad"/>
    <w:rsid w:val="005740D2"/>
  </w:style>
  <w:style w:type="table" w:styleId="Helekontuurtabel">
    <w:name w:val="Grid Table Light"/>
    <w:basedOn w:val="Normaaltabel"/>
    <w:uiPriority w:val="40"/>
    <w:rsid w:val="00A92C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ealkiri14">
    <w:name w:val="Pealkiri 14"/>
    <w:basedOn w:val="Normaallaad"/>
    <w:rsid w:val="00F03958"/>
  </w:style>
  <w:style w:type="paragraph" w:customStyle="1" w:styleId="Pealkiri24">
    <w:name w:val="Pealkiri 24"/>
    <w:basedOn w:val="Normaallaad"/>
    <w:rsid w:val="00F03958"/>
  </w:style>
  <w:style w:type="paragraph" w:customStyle="1" w:styleId="Pealkiri33">
    <w:name w:val="Pealkiri 33"/>
    <w:basedOn w:val="Normaallaad"/>
    <w:rsid w:val="00F03958"/>
  </w:style>
  <w:style w:type="paragraph" w:customStyle="1" w:styleId="Pealkiri44">
    <w:name w:val="Pealkiri 44"/>
    <w:basedOn w:val="Normaallaad"/>
    <w:rsid w:val="00F03958"/>
  </w:style>
  <w:style w:type="paragraph" w:customStyle="1" w:styleId="Pealkiri54">
    <w:name w:val="Pealkiri 54"/>
    <w:basedOn w:val="Normaallaad"/>
    <w:rsid w:val="00F03958"/>
  </w:style>
  <w:style w:type="paragraph" w:customStyle="1" w:styleId="Pealkiri64">
    <w:name w:val="Pealkiri 64"/>
    <w:basedOn w:val="Normaallaad"/>
    <w:rsid w:val="00F03958"/>
  </w:style>
  <w:style w:type="paragraph" w:customStyle="1" w:styleId="Pealkiri74">
    <w:name w:val="Pealkiri 74"/>
    <w:basedOn w:val="Normaallaad"/>
    <w:rsid w:val="00F03958"/>
  </w:style>
  <w:style w:type="paragraph" w:customStyle="1" w:styleId="Pealkiri84">
    <w:name w:val="Pealkiri 84"/>
    <w:basedOn w:val="Normaallaad"/>
    <w:rsid w:val="00F03958"/>
  </w:style>
  <w:style w:type="paragraph" w:customStyle="1" w:styleId="Pealkiri94">
    <w:name w:val="Pealkiri 94"/>
    <w:basedOn w:val="Normaallaad"/>
    <w:rsid w:val="00F03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2474539">
      <w:bodyDiv w:val="1"/>
      <w:marLeft w:val="0"/>
      <w:marRight w:val="0"/>
      <w:marTop w:val="0"/>
      <w:marBottom w:val="0"/>
      <w:divBdr>
        <w:top w:val="none" w:sz="0" w:space="0" w:color="auto"/>
        <w:left w:val="none" w:sz="0" w:space="0" w:color="auto"/>
        <w:bottom w:val="none" w:sz="0" w:space="0" w:color="auto"/>
        <w:right w:val="none" w:sz="0" w:space="0" w:color="auto"/>
      </w:divBdr>
      <w:divsChild>
        <w:div w:id="554857058">
          <w:marLeft w:val="0"/>
          <w:marRight w:val="0"/>
          <w:marTop w:val="0"/>
          <w:marBottom w:val="0"/>
          <w:divBdr>
            <w:top w:val="none" w:sz="0" w:space="0" w:color="auto"/>
            <w:left w:val="none" w:sz="0" w:space="0" w:color="auto"/>
            <w:bottom w:val="none" w:sz="0" w:space="0" w:color="auto"/>
            <w:right w:val="none" w:sz="0" w:space="0" w:color="auto"/>
          </w:divBdr>
          <w:divsChild>
            <w:div w:id="1679384126">
              <w:marLeft w:val="0"/>
              <w:marRight w:val="0"/>
              <w:marTop w:val="0"/>
              <w:marBottom w:val="0"/>
              <w:divBdr>
                <w:top w:val="none" w:sz="0" w:space="0" w:color="auto"/>
                <w:left w:val="none" w:sz="0" w:space="0" w:color="auto"/>
                <w:bottom w:val="none" w:sz="0" w:space="0" w:color="auto"/>
                <w:right w:val="none" w:sz="0" w:space="0" w:color="auto"/>
              </w:divBdr>
              <w:divsChild>
                <w:div w:id="1101606437">
                  <w:marLeft w:val="0"/>
                  <w:marRight w:val="0"/>
                  <w:marTop w:val="0"/>
                  <w:marBottom w:val="0"/>
                  <w:divBdr>
                    <w:top w:val="none" w:sz="0" w:space="0" w:color="auto"/>
                    <w:left w:val="none" w:sz="0" w:space="0" w:color="auto"/>
                    <w:bottom w:val="none" w:sz="0" w:space="0" w:color="auto"/>
                    <w:right w:val="none" w:sz="0" w:space="0" w:color="auto"/>
                  </w:divBdr>
                  <w:divsChild>
                    <w:div w:id="712849594">
                      <w:marLeft w:val="0"/>
                      <w:marRight w:val="0"/>
                      <w:marTop w:val="0"/>
                      <w:marBottom w:val="0"/>
                      <w:divBdr>
                        <w:top w:val="none" w:sz="0" w:space="0" w:color="auto"/>
                        <w:left w:val="none" w:sz="0" w:space="0" w:color="auto"/>
                        <w:bottom w:val="none" w:sz="0" w:space="0" w:color="auto"/>
                        <w:right w:val="none" w:sz="0" w:space="0" w:color="auto"/>
                      </w:divBdr>
                      <w:divsChild>
                        <w:div w:id="103888531">
                          <w:marLeft w:val="0"/>
                          <w:marRight w:val="0"/>
                          <w:marTop w:val="0"/>
                          <w:marBottom w:val="0"/>
                          <w:divBdr>
                            <w:top w:val="none" w:sz="0" w:space="0" w:color="auto"/>
                            <w:left w:val="none" w:sz="0" w:space="0" w:color="auto"/>
                            <w:bottom w:val="none" w:sz="0" w:space="0" w:color="auto"/>
                            <w:right w:val="none" w:sz="0" w:space="0" w:color="auto"/>
                          </w:divBdr>
                          <w:divsChild>
                            <w:div w:id="1715689508">
                              <w:marLeft w:val="0"/>
                              <w:marRight w:val="0"/>
                              <w:marTop w:val="0"/>
                              <w:marBottom w:val="0"/>
                              <w:divBdr>
                                <w:top w:val="none" w:sz="0" w:space="0" w:color="auto"/>
                                <w:left w:val="none" w:sz="0" w:space="0" w:color="auto"/>
                                <w:bottom w:val="none" w:sz="0" w:space="0" w:color="auto"/>
                                <w:right w:val="none" w:sz="0" w:space="0" w:color="auto"/>
                              </w:divBdr>
                              <w:divsChild>
                                <w:div w:id="629436453">
                                  <w:marLeft w:val="0"/>
                                  <w:marRight w:val="0"/>
                                  <w:marTop w:val="0"/>
                                  <w:marBottom w:val="0"/>
                                  <w:divBdr>
                                    <w:top w:val="none" w:sz="0" w:space="0" w:color="auto"/>
                                    <w:left w:val="none" w:sz="0" w:space="0" w:color="auto"/>
                                    <w:bottom w:val="none" w:sz="0" w:space="0" w:color="auto"/>
                                    <w:right w:val="none" w:sz="0" w:space="0" w:color="auto"/>
                                  </w:divBdr>
                                  <w:divsChild>
                                    <w:div w:id="2109226823">
                                      <w:marLeft w:val="0"/>
                                      <w:marRight w:val="0"/>
                                      <w:marTop w:val="0"/>
                                      <w:marBottom w:val="0"/>
                                      <w:divBdr>
                                        <w:top w:val="none" w:sz="0" w:space="0" w:color="auto"/>
                                        <w:left w:val="none" w:sz="0" w:space="0" w:color="auto"/>
                                        <w:bottom w:val="none" w:sz="0" w:space="0" w:color="auto"/>
                                        <w:right w:val="none" w:sz="0" w:space="0" w:color="auto"/>
                                      </w:divBdr>
                                      <w:divsChild>
                                        <w:div w:id="1858882221">
                                          <w:marLeft w:val="0"/>
                                          <w:marRight w:val="0"/>
                                          <w:marTop w:val="0"/>
                                          <w:marBottom w:val="0"/>
                                          <w:divBdr>
                                            <w:top w:val="none" w:sz="0" w:space="0" w:color="auto"/>
                                            <w:left w:val="none" w:sz="0" w:space="0" w:color="auto"/>
                                            <w:bottom w:val="none" w:sz="0" w:space="0" w:color="auto"/>
                                            <w:right w:val="none" w:sz="0" w:space="0" w:color="auto"/>
                                          </w:divBdr>
                                          <w:divsChild>
                                            <w:div w:id="490831490">
                                              <w:marLeft w:val="0"/>
                                              <w:marRight w:val="0"/>
                                              <w:marTop w:val="0"/>
                                              <w:marBottom w:val="0"/>
                                              <w:divBdr>
                                                <w:top w:val="none" w:sz="0" w:space="0" w:color="auto"/>
                                                <w:left w:val="none" w:sz="0" w:space="0" w:color="auto"/>
                                                <w:bottom w:val="none" w:sz="0" w:space="0" w:color="auto"/>
                                                <w:right w:val="none" w:sz="0" w:space="0" w:color="auto"/>
                                              </w:divBdr>
                                              <w:divsChild>
                                                <w:div w:id="52654869">
                                                  <w:marLeft w:val="0"/>
                                                  <w:marRight w:val="0"/>
                                                  <w:marTop w:val="0"/>
                                                  <w:marBottom w:val="0"/>
                                                  <w:divBdr>
                                                    <w:top w:val="none" w:sz="0" w:space="0" w:color="auto"/>
                                                    <w:left w:val="none" w:sz="0" w:space="0" w:color="auto"/>
                                                    <w:bottom w:val="none" w:sz="0" w:space="0" w:color="auto"/>
                                                    <w:right w:val="none" w:sz="0" w:space="0" w:color="auto"/>
                                                  </w:divBdr>
                                                  <w:divsChild>
                                                    <w:div w:id="1972782432">
                                                      <w:marLeft w:val="0"/>
                                                      <w:marRight w:val="0"/>
                                                      <w:marTop w:val="0"/>
                                                      <w:marBottom w:val="0"/>
                                                      <w:divBdr>
                                                        <w:top w:val="none" w:sz="0" w:space="0" w:color="auto"/>
                                                        <w:left w:val="none" w:sz="0" w:space="0" w:color="auto"/>
                                                        <w:bottom w:val="none" w:sz="0" w:space="0" w:color="auto"/>
                                                        <w:right w:val="none" w:sz="0" w:space="0" w:color="auto"/>
                                                      </w:divBdr>
                                                      <w:divsChild>
                                                        <w:div w:id="136383652">
                                                          <w:marLeft w:val="0"/>
                                                          <w:marRight w:val="0"/>
                                                          <w:marTop w:val="0"/>
                                                          <w:marBottom w:val="0"/>
                                                          <w:divBdr>
                                                            <w:top w:val="none" w:sz="0" w:space="0" w:color="auto"/>
                                                            <w:left w:val="none" w:sz="0" w:space="0" w:color="auto"/>
                                                            <w:bottom w:val="none" w:sz="0" w:space="0" w:color="auto"/>
                                                            <w:right w:val="none" w:sz="0" w:space="0" w:color="auto"/>
                                                          </w:divBdr>
                                                          <w:divsChild>
                                                            <w:div w:id="20220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493558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hyperlink" Target="https://www.riigiteataja.ee/akt/102092020002" TargetMode="External"/><Relationship Id="rId68" Type="http://schemas.openxmlformats.org/officeDocument/2006/relationships/hyperlink" Target="http://www.ttja.ee" TargetMode="External"/><Relationship Id="rId16" Type="http://schemas.openxmlformats.org/officeDocument/2006/relationships/hyperlink" Target="https://milos.ee/eestlaste-interneti-ja-sotsiaalmeedia-kasutus/" TargetMode="External"/><Relationship Id="rId11" Type="http://schemas.openxmlformats.org/officeDocument/2006/relationships/image" Target="media/image1.jp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eur-lex.europa.eu/legal-content/EN-ET/TXT/?uri=CELEX:32020H2245" TargetMode="External"/><Relationship Id="rId58" Type="http://schemas.openxmlformats.org/officeDocument/2006/relationships/hyperlink" Target="https://www.riigiteataja.ee/akt/127022022003?leiaKehtiv" TargetMode="External"/><Relationship Id="rId74" Type="http://schemas.openxmlformats.org/officeDocument/2006/relationships/hyperlink" Target="https://circabc.europa.eu/ui/group/2328c58f-1fed-4402-a6cc-0f0237699dc3/library/518fec54-048d-4e5c-894b-9811c782835b?p=1&amp;n=10&amp;sort=modified_DESC" TargetMode="External"/><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riigiteataja.ee/akt/119082015013?leiaKehtiv"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chart" Target="charts/chart1.xml"/><Relationship Id="rId48" Type="http://schemas.openxmlformats.org/officeDocument/2006/relationships/hyperlink" Target="https://www.ttja.ee/ariklient/side-ja-meediateenused/sideteenused/sideturg" TargetMode="External"/><Relationship Id="rId56" Type="http://schemas.openxmlformats.org/officeDocument/2006/relationships/hyperlink" Target="https://european-union.europa.eu/index_et" TargetMode="External"/><Relationship Id="rId64" Type="http://schemas.openxmlformats.org/officeDocument/2006/relationships/hyperlink" Target="https://www.riigiteataja.ee/akt/106052022011?leiaKehtiv" TargetMode="External"/><Relationship Id="rId69" Type="http://schemas.openxmlformats.org/officeDocument/2006/relationships/hyperlink" Target="https://www.ttja.ee/ariklient/side-ja-meediateenused/sideteenused/sideturg" TargetMode="External"/><Relationship Id="rId77" Type="http://schemas.openxmlformats.org/officeDocument/2006/relationships/hyperlink" Target="https://www.ttja.ee/ariklient/ametist/avalikud-konkursid/avalikud-konkursid-ja-arutelud" TargetMode="External"/><Relationship Id="rId8" Type="http://schemas.openxmlformats.org/officeDocument/2006/relationships/webSettings" Target="webSettings.xml"/><Relationship Id="rId51" Type="http://schemas.openxmlformats.org/officeDocument/2006/relationships/hyperlink" Target="https://eur-lex.europa.eu/legal-content/ET/TXT/?uri=CELEX:32014H0710" TargetMode="External"/><Relationship Id="rId72" Type="http://schemas.openxmlformats.org/officeDocument/2006/relationships/hyperlink" Target="https://circabc.europa.eu/ui/group/2328c58f-1fed-4402-a6cc-0f0237699dc3/library/c565c8d6-d666-4981-b55d-fcaaaf533f65"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hyperlink" Target="https://www.riigiteataja.ee/akt/118122021004" TargetMode="External"/><Relationship Id="rId67" Type="http://schemas.openxmlformats.org/officeDocument/2006/relationships/hyperlink" Target="https://eur-lex.europa.eu/legal-content/EN-ET/TXT/?uri=CELEX:32020H2245"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nkom.no/ekom-markedet/markeder/markeder-som-reguleres/_/attachment/download/e804f701-e342-448d-95f9-0b81f4b5d144:b3bff2ccf56262242fdd0f242205cf2ab0335fb0/Kommisjonens%20Explanatory%20Note%20til%20anbefalingen%20av%2018.%20desember%202020.pdf" TargetMode="External"/><Relationship Id="rId62" Type="http://schemas.openxmlformats.org/officeDocument/2006/relationships/hyperlink" Target="https://www.riigiteataja.ee/akt/122062017007?leiaKehtiv" TargetMode="External"/><Relationship Id="rId70" Type="http://schemas.openxmlformats.org/officeDocument/2006/relationships/hyperlink" Target="https://www.ttja.ee/ariklient/side-ja-meediateenused/sideteenused/sideturg" TargetMode="External"/><Relationship Id="rId75" Type="http://schemas.openxmlformats.org/officeDocument/2006/relationships/hyperlink" Target="https://www.ttja.ee/ariklient/ametist/avalikud-konkursid/avalikud-konkursid-ja-arutelu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atareportal.com/reports/digital-2024-estonia" TargetMode="External"/><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hyperlink" Target="https://maaamet.ee/ruumiandmed-ja-kaardid/aadressid-ja-kohanimed/aadressiandmete-kasiraamat/1-moisted" TargetMode="External"/><Relationship Id="rId57" Type="http://schemas.openxmlformats.org/officeDocument/2006/relationships/hyperlink" Target="https://www.elisa.ee/et/uudised/elisa-ettevotete-uhinemine-joustus-25102022" TargetMode="Externa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hyperlink" Target="https://eur-lex.europa.eu/legal-content/EN-ET/TXT/?uri=CELEX:52018XC0507(01)" TargetMode="External"/><Relationship Id="rId60" Type="http://schemas.openxmlformats.org/officeDocument/2006/relationships/hyperlink" Target="https://www.berec.europa.eu/en" TargetMode="External"/><Relationship Id="rId65" Type="http://schemas.openxmlformats.org/officeDocument/2006/relationships/hyperlink" Target="https://eur-lex.europa.eu/legal-content/EN-ET/TXT/?uri=CELEX:32020H2245" TargetMode="External"/><Relationship Id="rId73" Type="http://schemas.openxmlformats.org/officeDocument/2006/relationships/hyperlink" Target="https://circabc.europa.eu/ui/group/2328c58f-1fed-4402-a6cc-0f0237699dc3/library/f038c86b-1c5b-42b7-bf90-e202fd4b240f?p=1&amp;n=10&amp;sort=modified_DESC"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6.png"/><Relationship Id="rId39" Type="http://schemas.openxmlformats.org/officeDocument/2006/relationships/image" Target="media/image27.emf"/><Relationship Id="rId34" Type="http://schemas.openxmlformats.org/officeDocument/2006/relationships/image" Target="media/image22.png"/><Relationship Id="rId50" Type="http://schemas.openxmlformats.org/officeDocument/2006/relationships/hyperlink" Target="https://ec.europa.eu/info/index_et" TargetMode="External"/><Relationship Id="rId55" Type="http://schemas.openxmlformats.org/officeDocument/2006/relationships/hyperlink" Target="https://eur-lex.europa.eu/eli/reco/2024/539" TargetMode="External"/><Relationship Id="rId76" Type="http://schemas.openxmlformats.org/officeDocument/2006/relationships/hyperlink" Target="https://www.ttja.ee/ariklient/ametist/avalikud-konkursid/avalikud-konkursid-ja-arutelud" TargetMode="External"/><Relationship Id="rId7" Type="http://schemas.openxmlformats.org/officeDocument/2006/relationships/settings" Target="settings.xml"/><Relationship Id="rId71" Type="http://schemas.openxmlformats.org/officeDocument/2006/relationships/hyperlink" Target="https://circabc.europa.eu/ui/group/2328c58f-1fed-4402-a6cc-0f0237699dc3/library/c565c8d6-d666-4981-b55d-fcaaaf533f65"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2.png"/><Relationship Id="rId66" Type="http://schemas.openxmlformats.org/officeDocument/2006/relationships/hyperlink" Target="https://eur-lex.europa.eu/legal-content/ET/TXT/?uri=CELEX:32014H0710"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berec.europa.eu/en/document-categories/berec/reports/berec-report-on-the-application-of-the-common-position-on-geographic-aspects-of-market-analysis" TargetMode="External"/><Relationship Id="rId21" Type="http://schemas.openxmlformats.org/officeDocument/2006/relationships/hyperlink" Target="https://eur-lex.europa.eu/legal-content/ET/TXT/?uri=CELEX:32014H0710" TargetMode="External"/><Relationship Id="rId42" Type="http://schemas.openxmlformats.org/officeDocument/2006/relationships/hyperlink" Target="https://www.riigiteataja.ee/akt/111112017001?leiaKehtiv" TargetMode="External"/><Relationship Id="rId47" Type="http://schemas.openxmlformats.org/officeDocument/2006/relationships/hyperlink" Target="https://www.eftasurv.int/cms/sites/default/files/documents/gopro/Appendix%20A-1_Market%20Analysis%20M3a%20and%20M3b_Public.pdf" TargetMode="External"/><Relationship Id="rId63" Type="http://schemas.openxmlformats.org/officeDocument/2006/relationships/hyperlink" Target="https://www.berec.europa.eu/en/document-categories/berec/regulatory-best-practices/guidelines/berec-guidelines-on-the-minimum-criteria-for-a-reference-offer-relating-to-obligations-of-transparency" TargetMode="External"/><Relationship Id="rId68" Type="http://schemas.openxmlformats.org/officeDocument/2006/relationships/hyperlink" Target="https://circabc.europa.eu/ui/group/2328c58f-1fed-4402-a6cc-0f0237699dc3/library/f038c86b-1c5b-42b7-bf90-e202fd4b240f?p=1&amp;n=10&amp;sort=modified_DESC" TargetMode="External"/><Relationship Id="rId84" Type="http://schemas.openxmlformats.org/officeDocument/2006/relationships/hyperlink" Target="https://www.telia.ee/partnerile/sideettevotjale/vorguressursi-rent" TargetMode="External"/><Relationship Id="rId89" Type="http://schemas.openxmlformats.org/officeDocument/2006/relationships/hyperlink" Target="https://ec.europa.eu/newsroom/dae/redirection/document/93964" TargetMode="External"/><Relationship Id="rId16" Type="http://schemas.openxmlformats.org/officeDocument/2006/relationships/hyperlink" Target="https://european-union.europa.eu/index_et" TargetMode="External"/><Relationship Id="rId107" Type="http://schemas.openxmlformats.org/officeDocument/2006/relationships/hyperlink" Target="https://eur-lex.europa.eu/legal-content/EN-ET/TXT/?from=EN&amp;uri=CELEX%3A32018L1972" TargetMode="External"/><Relationship Id="rId11" Type="http://schemas.openxmlformats.org/officeDocument/2006/relationships/hyperlink" Target="https://www.ttja.ee/sites/default/files/content-editors/Sideturg/II/lisa_1._t3a_turu_analuus_mte_maaramine_ja_kohustused_veebi.pdf" TargetMode="External"/><Relationship Id="rId32" Type="http://schemas.openxmlformats.org/officeDocument/2006/relationships/hyperlink" Target="https://www.telia.ee/uudised/telia-on-5g-leviga-katnud-81-eesti-rahvastikust" TargetMode="External"/><Relationship Id="rId37" Type="http://schemas.openxmlformats.org/officeDocument/2006/relationships/hyperlink" Target="https://digitark.telia.ee/era/telia-naitas-oma-5g-vorgus-uut-kiirusrekordit/" TargetMode="External"/><Relationship Id="rId53" Type="http://schemas.openxmlformats.org/officeDocument/2006/relationships/hyperlink" Target="https://eur-lex.europa.eu/legal-content/EN/TXT/?uri=CELEX%3A32014H0710" TargetMode="External"/><Relationship Id="rId58" Type="http://schemas.openxmlformats.org/officeDocument/2006/relationships/hyperlink" Target="https://www.telia.ee/images/documents/tt/est/tt_jagatud_optiline_juurdepaasuliin.pdf" TargetMode="External"/><Relationship Id="rId74" Type="http://schemas.openxmlformats.org/officeDocument/2006/relationships/hyperlink" Target="https://www.telia.ee/images/documents/tt/est/tt_optiline_juurdaasuliin_alates10032017.pdf" TargetMode="External"/><Relationship Id="rId79" Type="http://schemas.openxmlformats.org/officeDocument/2006/relationships/hyperlink" Target="https://ec.europa.eu/newsroom/dae/redirection/document/93964" TargetMode="External"/><Relationship Id="rId102" Type="http://schemas.openxmlformats.org/officeDocument/2006/relationships/hyperlink" Target="https://eur-lex.europa.eu/legal-content/EN-ET/TXT/?from=EN&amp;uri=CELEX%3A32018L1972" TargetMode="External"/><Relationship Id="rId5" Type="http://schemas.openxmlformats.org/officeDocument/2006/relationships/hyperlink" Target="https://eur-lex.europa.eu/legal-content/ET/TXT/PDF/?uri=CELEX:52018XC0507(01)&amp;from=ET" TargetMode="External"/><Relationship Id="rId90" Type="http://schemas.openxmlformats.org/officeDocument/2006/relationships/hyperlink" Target="https://www.berec.europa.eu/en/document-categories/berec/regulatory-best-practices/guidelines/berec-guidelines-on-the-minimum-criteria-for-a-reference-offer-relating-to-obligations-of-transparency" TargetMode="External"/><Relationship Id="rId95" Type="http://schemas.openxmlformats.org/officeDocument/2006/relationships/hyperlink" Target="https://circabc.europa.eu/ui/group/2328c58f-1fed-4402-a6cc-0f0237699dc3/library/518fec54-048d-4e5c-894b-9811c782835b?p=1&amp;n=10&amp;sort=modified_DESC" TargetMode="External"/><Relationship Id="rId22" Type="http://schemas.openxmlformats.org/officeDocument/2006/relationships/hyperlink" Target="https://eur-lex.europa.eu/legal-content/EN-ET/TXT/?uri=CELEX:52018XC0507(01)" TargetMode="External"/><Relationship Id="rId27" Type="http://schemas.openxmlformats.org/officeDocument/2006/relationships/hyperlink" Target="https://www.berec.europa.eu/en/document-categories/berec/regulatory-best-practices/common-approachespositions/berec-common-position-on-geographic-aspects-of-market-analysis-definition-and-remedies" TargetMode="External"/><Relationship Id="rId43" Type="http://schemas.openxmlformats.org/officeDocument/2006/relationships/hyperlink" Target="https://www.riigiteataja.ee/akt/1011706?leiaKehtiv" TargetMode="External"/><Relationship Id="rId48" Type="http://schemas.openxmlformats.org/officeDocument/2006/relationships/hyperlink" Target="https://ec.europa.eu/newsroom/dae/redirection/document/72442" TargetMode="External"/><Relationship Id="rId64" Type="http://schemas.openxmlformats.org/officeDocument/2006/relationships/hyperlink" Target="https://www.berec.europa.eu/en/document-categories/berec/regulatory-best-practices/common-approachespositions/revised-berec-common-position-on-best-practice-in-remedies-on-the-market-for-wholesale-broadband-access-including-bitstream-access-imposed-as-a-consequence-of-a-position-of" TargetMode="External"/><Relationship Id="rId69" Type="http://schemas.openxmlformats.org/officeDocument/2006/relationships/hyperlink" Target="https://www.berec.europa.eu/en/document-categories/berec/regulatory-best-practices/common-approachespositions/revised-berec-common-position-on-best-practice-in-remedies-on-the-market-for-wholesale-physical-network-infrastructure-access-including-shared-or-fully-unbundled-access-at-a" TargetMode="External"/><Relationship Id="rId80" Type="http://schemas.openxmlformats.org/officeDocument/2006/relationships/hyperlink" Target="https://www.berec.europa.eu/en/document-categories/berec/regulatory-best-practices/common-approachespositions/revised-berec-common-position-on-best-practice-in-remedies-on-the-market-for-wholesale-broadband-access-including-bitstream-access-imposed-as-a-consequence-of-a-position-of" TargetMode="External"/><Relationship Id="rId85" Type="http://schemas.openxmlformats.org/officeDocument/2006/relationships/hyperlink" Target="https://www.telia.ee/images/documents/tt/est/tt-lairibaressurss-3-0.pdf" TargetMode="External"/><Relationship Id="rId12" Type="http://schemas.openxmlformats.org/officeDocument/2006/relationships/hyperlink" Target="https://www.huawei.com/us/static/HW-278064.pdf" TargetMode="External"/><Relationship Id="rId17" Type="http://schemas.openxmlformats.org/officeDocument/2006/relationships/hyperlink" Target="https://ec.europa.eu/info/index_et" TargetMode="External"/><Relationship Id="rId33" Type="http://schemas.openxmlformats.org/officeDocument/2006/relationships/hyperlink" Target="https://www.elisa.ee/et/uudised/elisa-naitas-esimeses-kvartalis-haid-tulemusi-numbriliikuvuses-ja-astus-olulise-sammu-5g" TargetMode="External"/><Relationship Id="rId38" Type="http://schemas.openxmlformats.org/officeDocument/2006/relationships/hyperlink" Target="https://www.telia.ee/uudised/telia-naitas-oma-5g-vorgus-uut-kiirusrekordit" TargetMode="External"/><Relationship Id="rId59" Type="http://schemas.openxmlformats.org/officeDocument/2006/relationships/hyperlink" Target="https://www.ttja.ee/ariklient/side-ja-meediateenused/sideteenused/sideturg" TargetMode="External"/><Relationship Id="rId103" Type="http://schemas.openxmlformats.org/officeDocument/2006/relationships/hyperlink" Target="https://eur-lex.europa.eu/eli/reco/2024/539" TargetMode="External"/><Relationship Id="rId108" Type="http://schemas.openxmlformats.org/officeDocument/2006/relationships/hyperlink" Target="https://www.berec.europa.eu/en/document-categories/berec/regulatory-best-practices/common-approachespositions/revised-berec-common-position-on-best-practice-in-remedies-on-the-market-for-wholesale-broadband-access-including-bitstream-access-imposed-as-a-consequence-of-a-position-of" TargetMode="External"/><Relationship Id="rId20" Type="http://schemas.openxmlformats.org/officeDocument/2006/relationships/hyperlink" Target="https://www.nkom.no/ekom-markedet/markeder/markeder-som-reguleres/_/attachment/download/e804f701-e342-448d-95f9-0b81f4b5d144:b3bff2ccf56262242fdd0f242205cf2ab0335fb0/Kommisjonens%20Explanatory%20Note%20til%20anbefalingen%20av%2018.%20desember%202020.pdf" TargetMode="External"/><Relationship Id="rId41" Type="http://schemas.openxmlformats.org/officeDocument/2006/relationships/hyperlink" Target="https://www.riigiteataja.ee/akt/1011706?leiaKehtiv" TargetMode="External"/><Relationship Id="rId54" Type="http://schemas.openxmlformats.org/officeDocument/2006/relationships/hyperlink" Target="https://eur-lex.europa.eu/legal-content/EN-ET/TXT/?uri=CELEX:32020H2245" TargetMode="External"/><Relationship Id="rId62" Type="http://schemas.openxmlformats.org/officeDocument/2006/relationships/hyperlink" Target="https://ec.europa.eu/newsroom/dae/redirection/document/93964" TargetMode="External"/><Relationship Id="rId70" Type="http://schemas.openxmlformats.org/officeDocument/2006/relationships/hyperlink" Target="https://circabc.europa.eu/ui/group/2328c58f-1fed-4402-a6cc-0f0237699dc3/library/1427ede2-cfab-40d4-82e1-f0c51dc7263d/details" TargetMode="External"/><Relationship Id="rId75" Type="http://schemas.openxmlformats.org/officeDocument/2006/relationships/hyperlink" Target="https://eur-lex.europa.eu/legal-content/EN-ET/TXT/?from=EN&amp;uri=CELEX%3A32018L1972" TargetMode="External"/><Relationship Id="rId83" Type="http://schemas.openxmlformats.org/officeDocument/2006/relationships/hyperlink" Target="https://www.berec.europa.eu/en/document-categories/berec/regulatory-best-practices/common-approachespositions/revised-berec-common-position-on-best-practice-in-remedies-on-the-market-for-wholesale-physical-network-infrastructure-access-including-shared-or-fully-unbundled-access-at-a" TargetMode="External"/><Relationship Id="rId88" Type="http://schemas.openxmlformats.org/officeDocument/2006/relationships/hyperlink" Target="https://eur-lex.europa.eu/eli/reco/2024/539" TargetMode="External"/><Relationship Id="rId91" Type="http://schemas.openxmlformats.org/officeDocument/2006/relationships/hyperlink" Target="https://www.berec.europa.eu/en/document-categories/berec/regulatory-best-practices/common-approachespositions/revised-berec-common-position-on-best-practice-in-remedies-on-the-market-for-wholesale-broadband-access-including-bitstream-access-imposed-as-a-consequence-of-a-position-of" TargetMode="External"/><Relationship Id="rId96" Type="http://schemas.openxmlformats.org/officeDocument/2006/relationships/hyperlink" Target="https://www.berec.europa.eu/en/document-categories/berec/regulatory-best-practices/common-approachespositions/revised-berec-common-position-on-best-practice-in-remedies-on-the-market-for-wholesale-broadband-access-including-bitstream-access-imposed-as-a-consequence-of-a-position-of" TargetMode="External"/><Relationship Id="rId1" Type="http://schemas.openxmlformats.org/officeDocument/2006/relationships/hyperlink" Target="https://ttja.ee/media/1010/download" TargetMode="External"/><Relationship Id="rId6" Type="http://schemas.openxmlformats.org/officeDocument/2006/relationships/hyperlink" Target="http://data.europa.eu/eli/reco/2020/2245/oj" TargetMode="External"/><Relationship Id="rId15" Type="http://schemas.openxmlformats.org/officeDocument/2006/relationships/hyperlink" Target="https://www.riigiteataja.ee/akt/127022022003?leiaKehtiv" TargetMode="External"/><Relationship Id="rId23" Type="http://schemas.openxmlformats.org/officeDocument/2006/relationships/hyperlink" Target="https://ec.europa.eu/newsroom/dae/document.cfm?doc_id=56516" TargetMode="External"/><Relationship Id="rId28" Type="http://schemas.openxmlformats.org/officeDocument/2006/relationships/hyperlink" Target="https://ttja.ee/media/1010/download" TargetMode="External"/><Relationship Id="rId36" Type="http://schemas.openxmlformats.org/officeDocument/2006/relationships/hyperlink" Target="https://www.mkm.ee/digiriik-ja-uhenduvus/digiuhiskonna-arengukava-2030" TargetMode="External"/><Relationship Id="rId49" Type="http://schemas.openxmlformats.org/officeDocument/2006/relationships/hyperlink" Target="https://arileht.delfi.ee/artikkel/120299465/telia-toi-turule-uued-mobiilipaketid-5g-d-ei-saa-enam-valtida" TargetMode="External"/><Relationship Id="rId57" Type="http://schemas.openxmlformats.org/officeDocument/2006/relationships/hyperlink" Target="https://www.telia.ee/partnerile/sideettevotjale/vorguressursi-rent" TargetMode="External"/><Relationship Id="rId106" Type="http://schemas.openxmlformats.org/officeDocument/2006/relationships/hyperlink" Target="https://eur-lex.europa.eu/eli/reco/2005/698/oj" TargetMode="External"/><Relationship Id="rId10" Type="http://schemas.openxmlformats.org/officeDocument/2006/relationships/hyperlink" Target="http://www.tja.ee/public/documents/Elektrooniline_side/Sideturu_osakond/Reguleeritavad_turud/Lairiba_juurdepaas_fiks_vorgule/III_1._11.11.2013_T_5_Otsus_Nonconf.pdf" TargetMode="External"/><Relationship Id="rId31" Type="http://schemas.openxmlformats.org/officeDocument/2006/relationships/hyperlink" Target="https://www.techtarget.com/searchnetworking/feature/5G-NSA-vs-SA-How-does-each-deployment-mode-differ" TargetMode="External"/><Relationship Id="rId44" Type="http://schemas.openxmlformats.org/officeDocument/2006/relationships/hyperlink" Target="https://www.eesti.ee/et/eesti-vabariik/eesti-vabariik/ueldandmed" TargetMode="External"/><Relationship Id="rId52" Type="http://schemas.openxmlformats.org/officeDocument/2006/relationships/hyperlink" Target="https://eur-lex.europa.eu/EN/legal-content/summary/actions-to-reduce-the-costs-of-deployment-of-high-speed-electronic-communications-networks.html" TargetMode="External"/><Relationship Id="rId60" Type="http://schemas.openxmlformats.org/officeDocument/2006/relationships/hyperlink" Target="https://eur-lex.europa.eu/legal-content/EN-ET/TXT/?from=EN&amp;uri=CELEX%3A02018L1972-20181217" TargetMode="External"/><Relationship Id="rId65" Type="http://schemas.openxmlformats.org/officeDocument/2006/relationships/hyperlink" Target="https://eur-lex.europa.eu/eli/reco/2005/698/oj" TargetMode="External"/><Relationship Id="rId73" Type="http://schemas.openxmlformats.org/officeDocument/2006/relationships/hyperlink" Target="https://www.berec.europa.eu/en/document-categories/berec/regulatory-best-practices/common-approachespositions/revised-berec-common-position-on-best-practice-in-remedies-on-the-market-for-wholesale-physical-network-infrastructure-access-including-shared-or-fully-unbundled-access-at-a" TargetMode="External"/><Relationship Id="rId78" Type="http://schemas.openxmlformats.org/officeDocument/2006/relationships/hyperlink" Target="https://eur-lex.europa.eu/eli/reco/2024/539" TargetMode="External"/><Relationship Id="rId81" Type="http://schemas.openxmlformats.org/officeDocument/2006/relationships/hyperlink" Target="https://eur-lex.europa.eu/eli/reco/2005/698/oj" TargetMode="External"/><Relationship Id="rId86" Type="http://schemas.openxmlformats.org/officeDocument/2006/relationships/hyperlink" Target="https://www.ttja.ee/ariklient/side-ja-meediateenused/sideteenused/sideturg" TargetMode="External"/><Relationship Id="rId94" Type="http://schemas.openxmlformats.org/officeDocument/2006/relationships/hyperlink" Target="https://circabc.europa.eu/ui/group/2328c58f-1fed-4402-a6cc-0f0237699dc3/library/c565c8d6-d666-4981-b55d-fcaaaf533f65" TargetMode="External"/><Relationship Id="rId99" Type="http://schemas.openxmlformats.org/officeDocument/2006/relationships/hyperlink" Target="https://www.telia.ee/images/documents/tt/est/tt-lairibaressurss-3-0.pdf" TargetMode="External"/><Relationship Id="rId101" Type="http://schemas.openxmlformats.org/officeDocument/2006/relationships/hyperlink" Target="https://www.berec.europa.eu/en/document-categories/berec/regulatory-best-practices/common-approachespositions/revised-berec-common-position-on-best-practice-in-remedies-on-the-market-for-wholesale-broadband-access-including-bitstream-access-imposed-as-a-consequence-of-a-position-of" TargetMode="External"/><Relationship Id="rId4" Type="http://schemas.openxmlformats.org/officeDocument/2006/relationships/hyperlink" Target="https://eur-lex.europa.eu/legal-content/ET/TXT/PDF/?uri=CELEX:32020H2245&amp;from=EN" TargetMode="External"/><Relationship Id="rId9" Type="http://schemas.openxmlformats.org/officeDocument/2006/relationships/hyperlink" Target="http://www.tja.ee/public/documents/Elektrooniline_side/Sideturu_osakond/Reguleeritavad_turud/Lairiba_juurdepaas_fiks_vorgule/II_1._Lairiba_juurdeaasu_turu___M5___otsus_non_conf.pdf" TargetMode="External"/><Relationship Id="rId13" Type="http://schemas.openxmlformats.org/officeDocument/2006/relationships/hyperlink" Target="https://eur-lex.europa.eu/legal-content/LV/TXT/?uri=CELEX%3A52021DC0118" TargetMode="External"/><Relationship Id="rId18" Type="http://schemas.openxmlformats.org/officeDocument/2006/relationships/hyperlink" Target="https://www.berec.europa.eu/en" TargetMode="External"/><Relationship Id="rId39" Type="http://schemas.openxmlformats.org/officeDocument/2006/relationships/hyperlink" Target="https://www.nkom.no/ekom-markedet/markeder/markeder-som-reguleres/_/attachment/download/e804f701-e342-448d-95f9-0b81f4b5d144:b3bff2ccf56262242fdd0f242205cf2ab0335fb0/Kommisjonens%20Explanatory%20Note%20til%20anbefalingen%20av%2018.%20desember%202020.pdf" TargetMode="External"/><Relationship Id="rId34" Type="http://schemas.openxmlformats.org/officeDocument/2006/relationships/hyperlink" Target="https://tele2.ee/uudised/2023majandustulemused" TargetMode="External"/><Relationship Id="rId50" Type="http://schemas.openxmlformats.org/officeDocument/2006/relationships/hyperlink" Target="https://nkom.no/ekom-markedet/markeder/markeder-som-reguleres/_/attachment/download/2e223e04-464c-4938-b139-11bcd58a0514:9c06cfc9326831ea9cb54043714bc481021a160c/Kommisjonens%20Explanatory%20Note%20til%20anbefalingen%209.%20oktober%202014.pdf" TargetMode="External"/><Relationship Id="rId55" Type="http://schemas.openxmlformats.org/officeDocument/2006/relationships/hyperlink" Target="https://www.telia.ee/partnerile/sideettevotjale/vorguressursi-rent" TargetMode="External"/><Relationship Id="rId76" Type="http://schemas.openxmlformats.org/officeDocument/2006/relationships/hyperlink" Target="https://www.berec.europa.eu/en/document-categories/berec/regulatory-best-practices/common-approachespositions/revised-berec-common-position-on-best-practice-in-remedies-on-the-market-for-wholesale-physical-network-infrastructure-access-including-shared-or-fully-unbundled-access-at-a" TargetMode="External"/><Relationship Id="rId97" Type="http://schemas.openxmlformats.org/officeDocument/2006/relationships/hyperlink" Target="https://eur-lex.europa.eu/legal-content/EN-ET/TXT/?from=EN&amp;uri=CELEX%3A32018L1972" TargetMode="External"/><Relationship Id="rId104" Type="http://schemas.openxmlformats.org/officeDocument/2006/relationships/hyperlink" Target="https://ec.europa.eu/newsroom/dae/redirection/document/93964" TargetMode="External"/><Relationship Id="rId7" Type="http://schemas.openxmlformats.org/officeDocument/2006/relationships/hyperlink" Target="https://eur-lex.europa.eu/legal-content/ET/TXT/?uri=CELEX:32014H0710" TargetMode="External"/><Relationship Id="rId71" Type="http://schemas.openxmlformats.org/officeDocument/2006/relationships/hyperlink" Target="https://www.berec.europa.eu/en/document-categories/berec/regulatory-best-practices/common-approachespositions/berec-common-position-on-layer-2-wholesale-access-products" TargetMode="External"/><Relationship Id="rId92" Type="http://schemas.openxmlformats.org/officeDocument/2006/relationships/hyperlink" Target="https://eur-lex.europa.eu/eli/reco/2005/698/oj" TargetMode="External"/><Relationship Id="rId2" Type="http://schemas.openxmlformats.org/officeDocument/2006/relationships/hyperlink" Target="https://ttja.ee/media/1025/download" TargetMode="External"/><Relationship Id="rId29" Type="http://schemas.openxmlformats.org/officeDocument/2006/relationships/hyperlink" Target="https://ttja.ee/media/1025/download" TargetMode="External"/><Relationship Id="rId24" Type="http://schemas.openxmlformats.org/officeDocument/2006/relationships/hyperlink" Target="https://www.berec.europa.eu/en/document-categories/berec/regulatory-best-practices/guidelines/draft-berec-guidelines-on-very-high-capacity-networks" TargetMode="External"/><Relationship Id="rId40" Type="http://schemas.openxmlformats.org/officeDocument/2006/relationships/hyperlink" Target="https://www.elisa.ee/et/uudised/elisa-ettevotete-uhinemine-joustus-25102022" TargetMode="External"/><Relationship Id="rId45" Type="http://schemas.openxmlformats.org/officeDocument/2006/relationships/hyperlink" Target="https://andmed.stat.ee/et/stat/rahvastik__rahvastikunaitajad-ja-koosseis__rahvaarv-ja-rahvastiku-koosseis/RV0291U" TargetMode="External"/><Relationship Id="rId66" Type="http://schemas.openxmlformats.org/officeDocument/2006/relationships/hyperlink" Target="https://www.ttja.ee/ariklient/side-ja-meediateenused/sideteenused/sideturg" TargetMode="External"/><Relationship Id="rId87" Type="http://schemas.openxmlformats.org/officeDocument/2006/relationships/hyperlink" Target="https://eur-lex.europa.eu/legal-content/EN-ET/TXT/?from=EN&amp;uri=CELEX%3A02018L1972-20181217" TargetMode="External"/><Relationship Id="rId61" Type="http://schemas.openxmlformats.org/officeDocument/2006/relationships/hyperlink" Target="https://eur-lex.europa.eu/eli/reco/2024/539" TargetMode="External"/><Relationship Id="rId82" Type="http://schemas.openxmlformats.org/officeDocument/2006/relationships/hyperlink" Target="https://eur-lex.europa.eu/legal-content/EN-ET/TXT/?from=EN&amp;uri=CELEX%3A32018L1972" TargetMode="External"/><Relationship Id="rId19" Type="http://schemas.openxmlformats.org/officeDocument/2006/relationships/hyperlink" Target="https://eur-lex.europa.eu/legal-content/EN-ET/TXT/?uri=CELEX:32020H2245" TargetMode="External"/><Relationship Id="rId14" Type="http://schemas.openxmlformats.org/officeDocument/2006/relationships/hyperlink" Target="https://www.berec.europa.eu/en/document-categories/berec/regulatory-best-practices/guidelines/draft-berec-guidelines-on-very-high-capacity-networks" TargetMode="External"/><Relationship Id="rId30" Type="http://schemas.openxmlformats.org/officeDocument/2006/relationships/hyperlink" Target="https://www.riigiteataja.ee/akt/129012022011" TargetMode="External"/><Relationship Id="rId35" Type="http://schemas.openxmlformats.org/officeDocument/2006/relationships/hyperlink" Target="https://ec.europa.eu/newsroom/dae/redirection/document/80552" TargetMode="External"/><Relationship Id="rId56" Type="http://schemas.openxmlformats.org/officeDocument/2006/relationships/hyperlink" Target="https://www.telia.ee/images/documents/tt/est/tt_optiline_juurdaasuliin_alates10032017.pdf" TargetMode="External"/><Relationship Id="rId77" Type="http://schemas.openxmlformats.org/officeDocument/2006/relationships/hyperlink" Target="https://eur-lex.europa.eu/legal-content/EN-ET/TXT/?from=EN&amp;uri=CELEX%3A32018L1972" TargetMode="External"/><Relationship Id="rId100" Type="http://schemas.openxmlformats.org/officeDocument/2006/relationships/hyperlink" Target="https://eur-lex.europa.eu/legal-content/EN-ET/TXT/?from=EN&amp;uri=CELEX%3A32018L1972" TargetMode="External"/><Relationship Id="rId105" Type="http://schemas.openxmlformats.org/officeDocument/2006/relationships/hyperlink" Target="https://www.berec.europa.eu/en/document-categories/berec/regulatory-best-practices/common-approachespositions/revised-berec-common-position-on-best-practice-in-remedies-on-the-market-for-wholesale-broadband-access-including-bitstream-access-imposed-as-a-consequence-of-a-position-of" TargetMode="External"/><Relationship Id="rId8" Type="http://schemas.openxmlformats.org/officeDocument/2006/relationships/hyperlink" Target="http://www.tja.ee/kone-lopetamine-mobiiltelefonivorgus/" TargetMode="External"/><Relationship Id="rId51" Type="http://schemas.openxmlformats.org/officeDocument/2006/relationships/hyperlink" Target="https://eur-lex.europa.eu/legal-content/ET/TXT/PDF/?uri=CELEX:32010H0572" TargetMode="External"/><Relationship Id="rId72" Type="http://schemas.openxmlformats.org/officeDocument/2006/relationships/hyperlink" Target="https://eur-lex.europa.eu/legal-content/EN-ET/TXT/?from=EN&amp;uri=CELEX%3A32018L1972" TargetMode="External"/><Relationship Id="rId93" Type="http://schemas.openxmlformats.org/officeDocument/2006/relationships/hyperlink" Target="https://www.ttja.ee/ariklient/side-ja-meediateenused/sideteenused/sideturg" TargetMode="External"/><Relationship Id="rId98" Type="http://schemas.openxmlformats.org/officeDocument/2006/relationships/hyperlink" Target="https://www.berec.europa.eu/en/document-categories/berec/regulatory-best-practices/common-approachespositions/revised-berec-common-position-on-best-practice-in-remedies-on-the-market-for-wholesale-broadband-access-including-bitstream-access-imposed-as-a-consequence-of-a-position-of" TargetMode="External"/><Relationship Id="rId3" Type="http://schemas.openxmlformats.org/officeDocument/2006/relationships/hyperlink" Target="https://eur-lex.europa.eu/legal-content/ET/TXT/?uri=CELEX:32018L1972&amp;qid=1684834011033" TargetMode="External"/><Relationship Id="rId25" Type="http://schemas.openxmlformats.org/officeDocument/2006/relationships/hyperlink" Target="https://www.berec.europa.eu/en/document-categories/berec/reports/draft-berec-report-on-competition-amongst-multiple-operators-of-nga-networks-in-the-same-geographical-region" TargetMode="External"/><Relationship Id="rId46" Type="http://schemas.openxmlformats.org/officeDocument/2006/relationships/hyperlink" Target="https://ec.europa.eu/newsroom/dae/redirection/document/72442" TargetMode="External"/><Relationship Id="rId67" Type="http://schemas.openxmlformats.org/officeDocument/2006/relationships/hyperlink" Target="https://circabc.europa.eu/ui/group/2328c58f-1fed-4402-a6cc-0f0237699dc3/library/c565c8d6-d666-4981-b55d-fcaaaf533f6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ts.local\dfs$\ttja_osak\Sideosakond\Sideturu%20valdkond\MTE\MTE%20V%20ring\III%20ring%203a-3b\T3b\Jae%20&#252;hendused%20kogu%20eesti%20pivo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24815849631702E-2"/>
          <c:y val="7.5512986249853115E-2"/>
          <c:w val="0.82562134543677679"/>
          <c:h val="0.72401271212299823"/>
        </c:manualLayout>
      </c:layout>
      <c:barChart>
        <c:barDir val="col"/>
        <c:grouping val="clustered"/>
        <c:varyColors val="0"/>
        <c:ser>
          <c:idx val="0"/>
          <c:order val="0"/>
          <c:tx>
            <c:strRef>
              <c:f>Kiired!$B$83</c:f>
              <c:strCache>
                <c:ptCount val="1"/>
                <c:pt idx="0">
                  <c:v>FTTB PON                  </c:v>
                </c:pt>
              </c:strCache>
            </c:strRef>
          </c:tx>
          <c:spPr>
            <a:solidFill>
              <a:schemeClr val="accent1"/>
            </a:solidFill>
            <a:ln>
              <a:noFill/>
            </a:ln>
            <a:effectLst/>
          </c:spPr>
          <c:invertIfNegative val="0"/>
          <c:cat>
            <c:multiLvlStrRef>
              <c:f>Kiired!$B$83:$C$103</c:f>
              <c:multiLvlStrCache>
                <c:ptCount val="21"/>
                <c:lvl>
                  <c:pt idx="0">
                    <c:v>2017</c:v>
                  </c:pt>
                  <c:pt idx="1">
                    <c:v>2018</c:v>
                  </c:pt>
                  <c:pt idx="2">
                    <c:v>2019</c:v>
                  </c:pt>
                  <c:pt idx="3">
                    <c:v>2020</c:v>
                  </c:pt>
                  <c:pt idx="4">
                    <c:v>2021</c:v>
                  </c:pt>
                  <c:pt idx="5">
                    <c:v>2022</c:v>
                  </c:pt>
                  <c:pt idx="6">
                    <c:v>2023</c:v>
                  </c:pt>
                  <c:pt idx="7">
                    <c:v>2017</c:v>
                  </c:pt>
                  <c:pt idx="8">
                    <c:v>2018</c:v>
                  </c:pt>
                  <c:pt idx="9">
                    <c:v>2019</c:v>
                  </c:pt>
                  <c:pt idx="10">
                    <c:v>2020</c:v>
                  </c:pt>
                  <c:pt idx="11">
                    <c:v>2021</c:v>
                  </c:pt>
                  <c:pt idx="12">
                    <c:v>2022</c:v>
                  </c:pt>
                  <c:pt idx="13">
                    <c:v>2023</c:v>
                  </c:pt>
                  <c:pt idx="14">
                    <c:v>2017</c:v>
                  </c:pt>
                  <c:pt idx="15">
                    <c:v>2018</c:v>
                  </c:pt>
                  <c:pt idx="16">
                    <c:v>2019</c:v>
                  </c:pt>
                  <c:pt idx="17">
                    <c:v>2020</c:v>
                  </c:pt>
                  <c:pt idx="18">
                    <c:v>2021</c:v>
                  </c:pt>
                  <c:pt idx="19">
                    <c:v>2022</c:v>
                  </c:pt>
                  <c:pt idx="20">
                    <c:v>2023</c:v>
                  </c:pt>
                </c:lvl>
                <c:lvl>
                  <c:pt idx="0">
                    <c:v>FTTB PON                  </c:v>
                  </c:pt>
                  <c:pt idx="7">
                    <c:v>FTTH P2P    </c:v>
                  </c:pt>
                  <c:pt idx="14">
                    <c:v>FTTH PON     </c:v>
                  </c:pt>
                </c:lvl>
              </c:multiLvlStrCache>
            </c:multiLvlStrRef>
          </c:cat>
          <c:val>
            <c:numRef>
              <c:f>Kiired!$D$83:$D$89</c:f>
              <c:numCache>
                <c:formatCode>General</c:formatCode>
                <c:ptCount val="7"/>
                <c:pt idx="0">
                  <c:v>34020</c:v>
                </c:pt>
                <c:pt idx="1">
                  <c:v>35750</c:v>
                </c:pt>
                <c:pt idx="2">
                  <c:v>36111</c:v>
                </c:pt>
                <c:pt idx="3">
                  <c:v>35413</c:v>
                </c:pt>
                <c:pt idx="4">
                  <c:v>35833</c:v>
                </c:pt>
                <c:pt idx="5">
                  <c:v>0</c:v>
                </c:pt>
                <c:pt idx="6">
                  <c:v>0</c:v>
                </c:pt>
              </c:numCache>
            </c:numRef>
          </c:val>
          <c:extLst>
            <c:ext xmlns:c16="http://schemas.microsoft.com/office/drawing/2014/chart" uri="{C3380CC4-5D6E-409C-BE32-E72D297353CC}">
              <c16:uniqueId val="{00000000-5694-4B56-BF06-F895831C2ADA}"/>
            </c:ext>
          </c:extLst>
        </c:ser>
        <c:ser>
          <c:idx val="1"/>
          <c:order val="1"/>
          <c:tx>
            <c:strRef>
              <c:f>Kiired!$B$90</c:f>
              <c:strCache>
                <c:ptCount val="1"/>
                <c:pt idx="0">
                  <c:v>FTTH P2P    </c:v>
                </c:pt>
              </c:strCache>
            </c:strRef>
          </c:tx>
          <c:spPr>
            <a:solidFill>
              <a:schemeClr val="accent2"/>
            </a:solidFill>
            <a:ln>
              <a:noFill/>
            </a:ln>
            <a:effectLst/>
          </c:spPr>
          <c:invertIfNegative val="0"/>
          <c:cat>
            <c:multiLvlStrRef>
              <c:f>Kiired!$B$83:$C$103</c:f>
              <c:multiLvlStrCache>
                <c:ptCount val="21"/>
                <c:lvl>
                  <c:pt idx="0">
                    <c:v>2017</c:v>
                  </c:pt>
                  <c:pt idx="1">
                    <c:v>2018</c:v>
                  </c:pt>
                  <c:pt idx="2">
                    <c:v>2019</c:v>
                  </c:pt>
                  <c:pt idx="3">
                    <c:v>2020</c:v>
                  </c:pt>
                  <c:pt idx="4">
                    <c:v>2021</c:v>
                  </c:pt>
                  <c:pt idx="5">
                    <c:v>2022</c:v>
                  </c:pt>
                  <c:pt idx="6">
                    <c:v>2023</c:v>
                  </c:pt>
                  <c:pt idx="7">
                    <c:v>2017</c:v>
                  </c:pt>
                  <c:pt idx="8">
                    <c:v>2018</c:v>
                  </c:pt>
                  <c:pt idx="9">
                    <c:v>2019</c:v>
                  </c:pt>
                  <c:pt idx="10">
                    <c:v>2020</c:v>
                  </c:pt>
                  <c:pt idx="11">
                    <c:v>2021</c:v>
                  </c:pt>
                  <c:pt idx="12">
                    <c:v>2022</c:v>
                  </c:pt>
                  <c:pt idx="13">
                    <c:v>2023</c:v>
                  </c:pt>
                  <c:pt idx="14">
                    <c:v>2017</c:v>
                  </c:pt>
                  <c:pt idx="15">
                    <c:v>2018</c:v>
                  </c:pt>
                  <c:pt idx="16">
                    <c:v>2019</c:v>
                  </c:pt>
                  <c:pt idx="17">
                    <c:v>2020</c:v>
                  </c:pt>
                  <c:pt idx="18">
                    <c:v>2021</c:v>
                  </c:pt>
                  <c:pt idx="19">
                    <c:v>2022</c:v>
                  </c:pt>
                  <c:pt idx="20">
                    <c:v>2023</c:v>
                  </c:pt>
                </c:lvl>
                <c:lvl>
                  <c:pt idx="0">
                    <c:v>FTTB PON                  </c:v>
                  </c:pt>
                  <c:pt idx="7">
                    <c:v>FTTH P2P    </c:v>
                  </c:pt>
                  <c:pt idx="14">
                    <c:v>FTTH PON     </c:v>
                  </c:pt>
                </c:lvl>
              </c:multiLvlStrCache>
            </c:multiLvlStrRef>
          </c:cat>
          <c:val>
            <c:numRef>
              <c:f>Kiired!$D$90:$D$96</c:f>
              <c:numCache>
                <c:formatCode>General</c:formatCode>
                <c:ptCount val="7"/>
                <c:pt idx="0">
                  <c:v>11425</c:v>
                </c:pt>
                <c:pt idx="1">
                  <c:v>11945</c:v>
                </c:pt>
                <c:pt idx="2">
                  <c:v>12121</c:v>
                </c:pt>
                <c:pt idx="3">
                  <c:v>12026</c:v>
                </c:pt>
                <c:pt idx="4">
                  <c:v>11898</c:v>
                </c:pt>
                <c:pt idx="5">
                  <c:v>3953</c:v>
                </c:pt>
                <c:pt idx="6">
                  <c:v>4070</c:v>
                </c:pt>
              </c:numCache>
            </c:numRef>
          </c:val>
          <c:extLst>
            <c:ext xmlns:c16="http://schemas.microsoft.com/office/drawing/2014/chart" uri="{C3380CC4-5D6E-409C-BE32-E72D297353CC}">
              <c16:uniqueId val="{00000001-5694-4B56-BF06-F895831C2ADA}"/>
            </c:ext>
          </c:extLst>
        </c:ser>
        <c:ser>
          <c:idx val="2"/>
          <c:order val="2"/>
          <c:tx>
            <c:strRef>
              <c:f>Kiired!$B$97</c:f>
              <c:strCache>
                <c:ptCount val="1"/>
                <c:pt idx="0">
                  <c:v>FTTH PON     </c:v>
                </c:pt>
              </c:strCache>
            </c:strRef>
          </c:tx>
          <c:spPr>
            <a:solidFill>
              <a:schemeClr val="accent3"/>
            </a:solidFill>
            <a:ln>
              <a:noFill/>
            </a:ln>
            <a:effectLst/>
          </c:spPr>
          <c:invertIfNegative val="0"/>
          <c:cat>
            <c:multiLvlStrRef>
              <c:f>Kiired!$B$83:$C$103</c:f>
              <c:multiLvlStrCache>
                <c:ptCount val="21"/>
                <c:lvl>
                  <c:pt idx="0">
                    <c:v>2017</c:v>
                  </c:pt>
                  <c:pt idx="1">
                    <c:v>2018</c:v>
                  </c:pt>
                  <c:pt idx="2">
                    <c:v>2019</c:v>
                  </c:pt>
                  <c:pt idx="3">
                    <c:v>2020</c:v>
                  </c:pt>
                  <c:pt idx="4">
                    <c:v>2021</c:v>
                  </c:pt>
                  <c:pt idx="5">
                    <c:v>2022</c:v>
                  </c:pt>
                  <c:pt idx="6">
                    <c:v>2023</c:v>
                  </c:pt>
                  <c:pt idx="7">
                    <c:v>2017</c:v>
                  </c:pt>
                  <c:pt idx="8">
                    <c:v>2018</c:v>
                  </c:pt>
                  <c:pt idx="9">
                    <c:v>2019</c:v>
                  </c:pt>
                  <c:pt idx="10">
                    <c:v>2020</c:v>
                  </c:pt>
                  <c:pt idx="11">
                    <c:v>2021</c:v>
                  </c:pt>
                  <c:pt idx="12">
                    <c:v>2022</c:v>
                  </c:pt>
                  <c:pt idx="13">
                    <c:v>2023</c:v>
                  </c:pt>
                  <c:pt idx="14">
                    <c:v>2017</c:v>
                  </c:pt>
                  <c:pt idx="15">
                    <c:v>2018</c:v>
                  </c:pt>
                  <c:pt idx="16">
                    <c:v>2019</c:v>
                  </c:pt>
                  <c:pt idx="17">
                    <c:v>2020</c:v>
                  </c:pt>
                  <c:pt idx="18">
                    <c:v>2021</c:v>
                  </c:pt>
                  <c:pt idx="19">
                    <c:v>2022</c:v>
                  </c:pt>
                  <c:pt idx="20">
                    <c:v>2023</c:v>
                  </c:pt>
                </c:lvl>
                <c:lvl>
                  <c:pt idx="0">
                    <c:v>FTTB PON                  </c:v>
                  </c:pt>
                  <c:pt idx="7">
                    <c:v>FTTH P2P    </c:v>
                  </c:pt>
                  <c:pt idx="14">
                    <c:v>FTTH PON     </c:v>
                  </c:pt>
                </c:lvl>
              </c:multiLvlStrCache>
            </c:multiLvlStrRef>
          </c:cat>
          <c:val>
            <c:numRef>
              <c:f>Kiired!$D$97:$D$103</c:f>
              <c:numCache>
                <c:formatCode>General</c:formatCode>
                <c:ptCount val="7"/>
                <c:pt idx="0">
                  <c:v>32746</c:v>
                </c:pt>
                <c:pt idx="1">
                  <c:v>42130</c:v>
                </c:pt>
                <c:pt idx="2">
                  <c:v>56881</c:v>
                </c:pt>
                <c:pt idx="3">
                  <c:v>67368</c:v>
                </c:pt>
                <c:pt idx="4">
                  <c:v>77682</c:v>
                </c:pt>
                <c:pt idx="5">
                  <c:v>118096</c:v>
                </c:pt>
                <c:pt idx="6">
                  <c:v>132063</c:v>
                </c:pt>
              </c:numCache>
            </c:numRef>
          </c:val>
          <c:extLst>
            <c:ext xmlns:c16="http://schemas.microsoft.com/office/drawing/2014/chart" uri="{C3380CC4-5D6E-409C-BE32-E72D297353CC}">
              <c16:uniqueId val="{00000002-5694-4B56-BF06-F895831C2ADA}"/>
            </c:ext>
          </c:extLst>
        </c:ser>
        <c:dLbls>
          <c:showLegendKey val="0"/>
          <c:showVal val="0"/>
          <c:showCatName val="0"/>
          <c:showSerName val="0"/>
          <c:showPercent val="0"/>
          <c:showBubbleSize val="0"/>
        </c:dLbls>
        <c:gapWidth val="219"/>
        <c:overlap val="-27"/>
        <c:axId val="1455044671"/>
        <c:axId val="706858431"/>
      </c:barChart>
      <c:catAx>
        <c:axId val="1455044671"/>
        <c:scaling>
          <c:orientation val="minMax"/>
        </c:scaling>
        <c:delete val="1"/>
        <c:axPos val="b"/>
        <c:numFmt formatCode="General" sourceLinked="1"/>
        <c:majorTickMark val="none"/>
        <c:minorTickMark val="none"/>
        <c:tickLblPos val="nextTo"/>
        <c:crossAx val="706858431"/>
        <c:crosses val="autoZero"/>
        <c:auto val="1"/>
        <c:lblAlgn val="ctr"/>
        <c:lblOffset val="100"/>
        <c:noMultiLvlLbl val="0"/>
      </c:catAx>
      <c:valAx>
        <c:axId val="7068584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455044671"/>
        <c:crosses val="autoZero"/>
        <c:crossBetween val="between"/>
      </c:valAx>
      <c:spPr>
        <a:noFill/>
        <a:ln>
          <a:noFill/>
        </a:ln>
        <a:effectLst/>
      </c:spPr>
    </c:plotArea>
    <c:legend>
      <c:legendPos val="b"/>
      <c:layout>
        <c:manualLayout>
          <c:xMode val="edge"/>
          <c:yMode val="edge"/>
          <c:x val="5.8995754725290242E-2"/>
          <c:y val="0.801305676342696"/>
          <c:w val="0.88200849054941954"/>
          <c:h val="0.183768950522975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205961c-9047-42b6-8339-5e7846e0c38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B3169E43B55E645B7C5920CD3D7052D" ma:contentTypeVersion="14" ma:contentTypeDescription="Create a new document." ma:contentTypeScope="" ma:versionID="6f4a6a3de30e2f4367f96a5dcc255e00">
  <xsd:schema xmlns:xsd="http://www.w3.org/2001/XMLSchema" xmlns:xs="http://www.w3.org/2001/XMLSchema" xmlns:p="http://schemas.microsoft.com/office/2006/metadata/properties" xmlns:ns3="a95e653a-ea2a-4af4-95de-df872f00dfb4" xmlns:ns4="7205961c-9047-42b6-8339-5e7846e0c389" targetNamespace="http://schemas.microsoft.com/office/2006/metadata/properties" ma:root="true" ma:fieldsID="7707b7d68ea30f692056a5c14a753e2c" ns3:_="" ns4:_="">
    <xsd:import namespace="a95e653a-ea2a-4af4-95de-df872f00dfb4"/>
    <xsd:import namespace="7205961c-9047-42b6-8339-5e7846e0c38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_activity" minOccurs="0"/>
                <xsd:element ref="ns4:MediaServiceObjectDetectorVersions" minOccurs="0"/>
                <xsd:element ref="ns4:MediaServiceGenerationTime" minOccurs="0"/>
                <xsd:element ref="ns4:MediaServiceEventHashCode"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e653a-ea2a-4af4-95de-df872f00df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5961c-9047-42b6-8339-5e7846e0c3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0F500D-BEEF-4B23-AE8E-8343173BA74F}">
  <ds:schemaRefs>
    <ds:schemaRef ds:uri="http://schemas.microsoft.com/sharepoint/v3/contenttype/forms"/>
  </ds:schemaRefs>
</ds:datastoreItem>
</file>

<file path=customXml/itemProps2.xml><?xml version="1.0" encoding="utf-8"?>
<ds:datastoreItem xmlns:ds="http://schemas.openxmlformats.org/officeDocument/2006/customXml" ds:itemID="{24C85B89-538A-4866-91E3-652F6D367E86}">
  <ds:schemaRefs>
    <ds:schemaRef ds:uri="http://schemas.microsoft.com/office/2006/metadata/properties"/>
    <ds:schemaRef ds:uri="http://schemas.microsoft.com/office/infopath/2007/PartnerControls"/>
    <ds:schemaRef ds:uri="7205961c-9047-42b6-8339-5e7846e0c389"/>
  </ds:schemaRefs>
</ds:datastoreItem>
</file>

<file path=customXml/itemProps3.xml><?xml version="1.0" encoding="utf-8"?>
<ds:datastoreItem xmlns:ds="http://schemas.openxmlformats.org/officeDocument/2006/customXml" ds:itemID="{F32FB28F-AD83-4368-A789-E9D84283288F}">
  <ds:schemaRefs>
    <ds:schemaRef ds:uri="http://schemas.openxmlformats.org/officeDocument/2006/bibliography"/>
  </ds:schemaRefs>
</ds:datastoreItem>
</file>

<file path=customXml/itemProps4.xml><?xml version="1.0" encoding="utf-8"?>
<ds:datastoreItem xmlns:ds="http://schemas.openxmlformats.org/officeDocument/2006/customXml" ds:itemID="{ADFE31D4-E85F-4178-A56A-6D09B6359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e653a-ea2a-4af4-95de-df872f00dfb4"/>
    <ds:schemaRef ds:uri="7205961c-9047-42b6-8339-5e7846e0c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279</Pages>
  <Words>94036</Words>
  <Characters>545413</Characters>
  <Application>Microsoft Office Word</Application>
  <DocSecurity>0</DocSecurity>
  <Lines>4545</Lines>
  <Paragraphs>1276</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638173</CharactersWithSpaces>
  <SharedDoc>false</SharedDoc>
  <HLinks>
    <vt:vector size="1764" baseType="variant">
      <vt:variant>
        <vt:i4>2883635</vt:i4>
      </vt:variant>
      <vt:variant>
        <vt:i4>1341</vt:i4>
      </vt:variant>
      <vt:variant>
        <vt:i4>0</vt:i4>
      </vt:variant>
      <vt:variant>
        <vt:i4>5</vt:i4>
      </vt:variant>
      <vt:variant>
        <vt:lpwstr>https://www.ttja.ee/ariklient/ametist/avalikud-konkursid/avalikud-konkursid-ja-arutelud</vt:lpwstr>
      </vt:variant>
      <vt:variant>
        <vt:lpwstr>sidekaablitaristule-</vt:lpwstr>
      </vt:variant>
      <vt:variant>
        <vt:i4>6750306</vt:i4>
      </vt:variant>
      <vt:variant>
        <vt:i4>1338</vt:i4>
      </vt:variant>
      <vt:variant>
        <vt:i4>0</vt:i4>
      </vt:variant>
      <vt:variant>
        <vt:i4>5</vt:i4>
      </vt:variant>
      <vt:variant>
        <vt:lpwstr>https://www.ttja.ee/ariklient/ametist/avalikud-konkursid/avalikud-konkursid-ja-arutelud</vt:lpwstr>
      </vt:variant>
      <vt:variant>
        <vt:lpwstr>sidekaabli-fuusilise</vt:lpwstr>
      </vt:variant>
      <vt:variant>
        <vt:i4>6684686</vt:i4>
      </vt:variant>
      <vt:variant>
        <vt:i4>1335</vt:i4>
      </vt:variant>
      <vt:variant>
        <vt:i4>0</vt:i4>
      </vt:variant>
      <vt:variant>
        <vt:i4>5</vt:i4>
      </vt:variant>
      <vt:variant>
        <vt:lpwstr>https://circabc.europa.eu/ui/group/2328c58f-1fed-4402-a6cc-0f0237699dc3/library/518fec54-048d-4e5c-894b-9811c782835b?p=1&amp;n=10&amp;sort=modified_DESC</vt:lpwstr>
      </vt:variant>
      <vt:variant>
        <vt:lpwstr/>
      </vt:variant>
      <vt:variant>
        <vt:i4>6619139</vt:i4>
      </vt:variant>
      <vt:variant>
        <vt:i4>1332</vt:i4>
      </vt:variant>
      <vt:variant>
        <vt:i4>0</vt:i4>
      </vt:variant>
      <vt:variant>
        <vt:i4>5</vt:i4>
      </vt:variant>
      <vt:variant>
        <vt:lpwstr>https://circabc.europa.eu/ui/group/2328c58f-1fed-4402-a6cc-0f0237699dc3/library/f038c86b-1c5b-42b7-bf90-e202fd4b240f?p=1&amp;n=10&amp;sort=modified_DESC</vt:lpwstr>
      </vt:variant>
      <vt:variant>
        <vt:lpwstr/>
      </vt:variant>
      <vt:variant>
        <vt:i4>5111895</vt:i4>
      </vt:variant>
      <vt:variant>
        <vt:i4>1329</vt:i4>
      </vt:variant>
      <vt:variant>
        <vt:i4>0</vt:i4>
      </vt:variant>
      <vt:variant>
        <vt:i4>5</vt:i4>
      </vt:variant>
      <vt:variant>
        <vt:lpwstr>https://circabc.europa.eu/ui/group/2328c58f-1fed-4402-a6cc-0f0237699dc3/library/c565c8d6-d666-4981-b55d-fcaaaf533f65</vt:lpwstr>
      </vt:variant>
      <vt:variant>
        <vt:lpwstr/>
      </vt:variant>
      <vt:variant>
        <vt:i4>5111895</vt:i4>
      </vt:variant>
      <vt:variant>
        <vt:i4>1326</vt:i4>
      </vt:variant>
      <vt:variant>
        <vt:i4>0</vt:i4>
      </vt:variant>
      <vt:variant>
        <vt:i4>5</vt:i4>
      </vt:variant>
      <vt:variant>
        <vt:lpwstr>https://circabc.europa.eu/ui/group/2328c58f-1fed-4402-a6cc-0f0237699dc3/library/c565c8d6-d666-4981-b55d-fcaaaf533f65</vt:lpwstr>
      </vt:variant>
      <vt:variant>
        <vt:lpwstr/>
      </vt:variant>
      <vt:variant>
        <vt:i4>8126527</vt:i4>
      </vt:variant>
      <vt:variant>
        <vt:i4>1323</vt:i4>
      </vt:variant>
      <vt:variant>
        <vt:i4>0</vt:i4>
      </vt:variant>
      <vt:variant>
        <vt:i4>5</vt:i4>
      </vt:variant>
      <vt:variant>
        <vt:lpwstr>https://www.ttja.ee/ariklient/side-ja-meediateenused/sideteenused/sideturg</vt:lpwstr>
      </vt:variant>
      <vt:variant>
        <vt:lpwstr>lairiba-juurdepaas-f</vt:lpwstr>
      </vt:variant>
      <vt:variant>
        <vt:i4>7274601</vt:i4>
      </vt:variant>
      <vt:variant>
        <vt:i4>1320</vt:i4>
      </vt:variant>
      <vt:variant>
        <vt:i4>0</vt:i4>
      </vt:variant>
      <vt:variant>
        <vt:i4>5</vt:i4>
      </vt:variant>
      <vt:variant>
        <vt:lpwstr>https://www.ttja.ee/ariklient/side-ja-meediateenused/sideteenused/sideturg</vt:lpwstr>
      </vt:variant>
      <vt:variant>
        <vt:lpwstr>fuusiline-juurdepaas</vt:lpwstr>
      </vt:variant>
      <vt:variant>
        <vt:i4>8257568</vt:i4>
      </vt:variant>
      <vt:variant>
        <vt:i4>1317</vt:i4>
      </vt:variant>
      <vt:variant>
        <vt:i4>0</vt:i4>
      </vt:variant>
      <vt:variant>
        <vt:i4>5</vt:i4>
      </vt:variant>
      <vt:variant>
        <vt:lpwstr>http://www.ttja.ee/</vt:lpwstr>
      </vt:variant>
      <vt:variant>
        <vt:lpwstr/>
      </vt:variant>
      <vt:variant>
        <vt:i4>7143464</vt:i4>
      </vt:variant>
      <vt:variant>
        <vt:i4>1314</vt:i4>
      </vt:variant>
      <vt:variant>
        <vt:i4>0</vt:i4>
      </vt:variant>
      <vt:variant>
        <vt:i4>5</vt:i4>
      </vt:variant>
      <vt:variant>
        <vt:lpwstr>https://eur-lex.europa.eu/legal-content/EN-ET/TXT/?uri=CELEX:32020H2245</vt:lpwstr>
      </vt:variant>
      <vt:variant>
        <vt:lpwstr/>
      </vt:variant>
      <vt:variant>
        <vt:i4>1179716</vt:i4>
      </vt:variant>
      <vt:variant>
        <vt:i4>1311</vt:i4>
      </vt:variant>
      <vt:variant>
        <vt:i4>0</vt:i4>
      </vt:variant>
      <vt:variant>
        <vt:i4>5</vt:i4>
      </vt:variant>
      <vt:variant>
        <vt:lpwstr>https://eur-lex.europa.eu/legal-content/ET/TXT/?uri=CELEX:32014H0710</vt:lpwstr>
      </vt:variant>
      <vt:variant>
        <vt:lpwstr/>
      </vt:variant>
      <vt:variant>
        <vt:i4>7143464</vt:i4>
      </vt:variant>
      <vt:variant>
        <vt:i4>1308</vt:i4>
      </vt:variant>
      <vt:variant>
        <vt:i4>0</vt:i4>
      </vt:variant>
      <vt:variant>
        <vt:i4>5</vt:i4>
      </vt:variant>
      <vt:variant>
        <vt:lpwstr>https://eur-lex.europa.eu/legal-content/EN-ET/TXT/?uri=CELEX:32020H2245</vt:lpwstr>
      </vt:variant>
      <vt:variant>
        <vt:lpwstr/>
      </vt:variant>
      <vt:variant>
        <vt:i4>3342396</vt:i4>
      </vt:variant>
      <vt:variant>
        <vt:i4>1305</vt:i4>
      </vt:variant>
      <vt:variant>
        <vt:i4>0</vt:i4>
      </vt:variant>
      <vt:variant>
        <vt:i4>5</vt:i4>
      </vt:variant>
      <vt:variant>
        <vt:lpwstr>https://www.riigiteataja.ee/akt/106052022011?leiaKehtiv</vt:lpwstr>
      </vt:variant>
      <vt:variant>
        <vt:lpwstr/>
      </vt:variant>
      <vt:variant>
        <vt:i4>6225949</vt:i4>
      </vt:variant>
      <vt:variant>
        <vt:i4>1302</vt:i4>
      </vt:variant>
      <vt:variant>
        <vt:i4>0</vt:i4>
      </vt:variant>
      <vt:variant>
        <vt:i4>5</vt:i4>
      </vt:variant>
      <vt:variant>
        <vt:lpwstr>https://www.riigiteataja.ee/akt/102092020002</vt:lpwstr>
      </vt:variant>
      <vt:variant>
        <vt:lpwstr/>
      </vt:variant>
      <vt:variant>
        <vt:i4>6750268</vt:i4>
      </vt:variant>
      <vt:variant>
        <vt:i4>1299</vt:i4>
      </vt:variant>
      <vt:variant>
        <vt:i4>0</vt:i4>
      </vt:variant>
      <vt:variant>
        <vt:i4>5</vt:i4>
      </vt:variant>
      <vt:variant>
        <vt:lpwstr>https://www.riigiteataja.ee/akt/114062018004 .   2</vt:lpwstr>
      </vt:variant>
      <vt:variant>
        <vt:lpwstr/>
      </vt:variant>
      <vt:variant>
        <vt:i4>3407935</vt:i4>
      </vt:variant>
      <vt:variant>
        <vt:i4>1296</vt:i4>
      </vt:variant>
      <vt:variant>
        <vt:i4>0</vt:i4>
      </vt:variant>
      <vt:variant>
        <vt:i4>5</vt:i4>
      </vt:variant>
      <vt:variant>
        <vt:lpwstr>https://www.riigiteataja.ee/akt/122062017007?leiaKehtiv</vt:lpwstr>
      </vt:variant>
      <vt:variant>
        <vt:lpwstr/>
      </vt:variant>
      <vt:variant>
        <vt:i4>3342393</vt:i4>
      </vt:variant>
      <vt:variant>
        <vt:i4>1293</vt:i4>
      </vt:variant>
      <vt:variant>
        <vt:i4>0</vt:i4>
      </vt:variant>
      <vt:variant>
        <vt:i4>5</vt:i4>
      </vt:variant>
      <vt:variant>
        <vt:lpwstr>https://www.riigiteataja.ee/akt/119082015013?leiaKehtiv</vt:lpwstr>
      </vt:variant>
      <vt:variant>
        <vt:lpwstr/>
      </vt:variant>
      <vt:variant>
        <vt:i4>3735658</vt:i4>
      </vt:variant>
      <vt:variant>
        <vt:i4>1290</vt:i4>
      </vt:variant>
      <vt:variant>
        <vt:i4>0</vt:i4>
      </vt:variant>
      <vt:variant>
        <vt:i4>5</vt:i4>
      </vt:variant>
      <vt:variant>
        <vt:lpwstr>https://www.berec.europa.eu/en</vt:lpwstr>
      </vt:variant>
      <vt:variant>
        <vt:lpwstr/>
      </vt:variant>
      <vt:variant>
        <vt:i4>5832733</vt:i4>
      </vt:variant>
      <vt:variant>
        <vt:i4>1287</vt:i4>
      </vt:variant>
      <vt:variant>
        <vt:i4>0</vt:i4>
      </vt:variant>
      <vt:variant>
        <vt:i4>5</vt:i4>
      </vt:variant>
      <vt:variant>
        <vt:lpwstr>https://www.riigiteataja.ee/akt/118122021004</vt:lpwstr>
      </vt:variant>
      <vt:variant>
        <vt:lpwstr/>
      </vt:variant>
      <vt:variant>
        <vt:i4>3342395</vt:i4>
      </vt:variant>
      <vt:variant>
        <vt:i4>1284</vt:i4>
      </vt:variant>
      <vt:variant>
        <vt:i4>0</vt:i4>
      </vt:variant>
      <vt:variant>
        <vt:i4>5</vt:i4>
      </vt:variant>
      <vt:variant>
        <vt:lpwstr>https://www.riigiteataja.ee/akt/127022022003?leiaKehtiv</vt:lpwstr>
      </vt:variant>
      <vt:variant>
        <vt:lpwstr/>
      </vt:variant>
      <vt:variant>
        <vt:i4>2228331</vt:i4>
      </vt:variant>
      <vt:variant>
        <vt:i4>1281</vt:i4>
      </vt:variant>
      <vt:variant>
        <vt:i4>0</vt:i4>
      </vt:variant>
      <vt:variant>
        <vt:i4>5</vt:i4>
      </vt:variant>
      <vt:variant>
        <vt:lpwstr>https://www.elisa.ee/et/uudised/elisa-ettevotete-uhinemine-joustus-25102022</vt:lpwstr>
      </vt:variant>
      <vt:variant>
        <vt:lpwstr/>
      </vt:variant>
      <vt:variant>
        <vt:i4>6160417</vt:i4>
      </vt:variant>
      <vt:variant>
        <vt:i4>1278</vt:i4>
      </vt:variant>
      <vt:variant>
        <vt:i4>0</vt:i4>
      </vt:variant>
      <vt:variant>
        <vt:i4>5</vt:i4>
      </vt:variant>
      <vt:variant>
        <vt:lpwstr>https://european-union.europa.eu/index_et</vt:lpwstr>
      </vt:variant>
      <vt:variant>
        <vt:lpwstr/>
      </vt:variant>
      <vt:variant>
        <vt:i4>6684796</vt:i4>
      </vt:variant>
      <vt:variant>
        <vt:i4>1275</vt:i4>
      </vt:variant>
      <vt:variant>
        <vt:i4>0</vt:i4>
      </vt:variant>
      <vt:variant>
        <vt:i4>5</vt:i4>
      </vt:variant>
      <vt:variant>
        <vt:lpwstr>https://eur-lex.europa.eu/eli/reco/2024/539</vt:lpwstr>
      </vt:variant>
      <vt:variant>
        <vt:lpwstr/>
      </vt:variant>
      <vt:variant>
        <vt:i4>7143464</vt:i4>
      </vt:variant>
      <vt:variant>
        <vt:i4>1272</vt:i4>
      </vt:variant>
      <vt:variant>
        <vt:i4>0</vt:i4>
      </vt:variant>
      <vt:variant>
        <vt:i4>5</vt:i4>
      </vt:variant>
      <vt:variant>
        <vt:lpwstr>https://eur-lex.europa.eu/legal-content/EN-ET/TXT/?uri=CELEX:32020H2245</vt:lpwstr>
      </vt:variant>
      <vt:variant>
        <vt:lpwstr/>
      </vt:variant>
      <vt:variant>
        <vt:i4>1900560</vt:i4>
      </vt:variant>
      <vt:variant>
        <vt:i4>1269</vt:i4>
      </vt:variant>
      <vt:variant>
        <vt:i4>0</vt:i4>
      </vt:variant>
      <vt:variant>
        <vt:i4>5</vt:i4>
      </vt:variant>
      <vt:variant>
        <vt:lpwstr>https://eur-lex.europa.eu/legal-content/EN-ET/TXT/?uri=CELEX:52018XC0507(01)</vt:lpwstr>
      </vt:variant>
      <vt:variant>
        <vt:lpwstr/>
      </vt:variant>
      <vt:variant>
        <vt:i4>1179716</vt:i4>
      </vt:variant>
      <vt:variant>
        <vt:i4>1266</vt:i4>
      </vt:variant>
      <vt:variant>
        <vt:i4>0</vt:i4>
      </vt:variant>
      <vt:variant>
        <vt:i4>5</vt:i4>
      </vt:variant>
      <vt:variant>
        <vt:lpwstr>https://eur-lex.europa.eu/legal-content/ET/TXT/?uri=CELEX:32014H0710</vt:lpwstr>
      </vt:variant>
      <vt:variant>
        <vt:lpwstr/>
      </vt:variant>
      <vt:variant>
        <vt:i4>5111851</vt:i4>
      </vt:variant>
      <vt:variant>
        <vt:i4>1263</vt:i4>
      </vt:variant>
      <vt:variant>
        <vt:i4>0</vt:i4>
      </vt:variant>
      <vt:variant>
        <vt:i4>5</vt:i4>
      </vt:variant>
      <vt:variant>
        <vt:lpwstr>https://ec.europa.eu/info/index_et</vt:lpwstr>
      </vt:variant>
      <vt:variant>
        <vt:lpwstr/>
      </vt:variant>
      <vt:variant>
        <vt:i4>131166</vt:i4>
      </vt:variant>
      <vt:variant>
        <vt:i4>1260</vt:i4>
      </vt:variant>
      <vt:variant>
        <vt:i4>0</vt:i4>
      </vt:variant>
      <vt:variant>
        <vt:i4>5</vt:i4>
      </vt:variant>
      <vt:variant>
        <vt:lpwstr>https://maaamet.ee/ruumiandmed-ja-kaardid/aadressid-ja-kohanimed/aadressiandmete-kasiraamat/1-moisted</vt:lpwstr>
      </vt:variant>
      <vt:variant>
        <vt:lpwstr/>
      </vt:variant>
      <vt:variant>
        <vt:i4>3539061</vt:i4>
      </vt:variant>
      <vt:variant>
        <vt:i4>1254</vt:i4>
      </vt:variant>
      <vt:variant>
        <vt:i4>0</vt:i4>
      </vt:variant>
      <vt:variant>
        <vt:i4>5</vt:i4>
      </vt:variant>
      <vt:variant>
        <vt:lpwstr>https://www.ttja.ee/ariklient/side-ja-meediateenused/sideteenused/sideturg</vt:lpwstr>
      </vt:variant>
      <vt:variant>
        <vt:lpwstr/>
      </vt:variant>
      <vt:variant>
        <vt:i4>3080250</vt:i4>
      </vt:variant>
      <vt:variant>
        <vt:i4>990</vt:i4>
      </vt:variant>
      <vt:variant>
        <vt:i4>0</vt:i4>
      </vt:variant>
      <vt:variant>
        <vt:i4>5</vt:i4>
      </vt:variant>
      <vt:variant>
        <vt:lpwstr>https://milos.ee/eestlaste-interneti-ja-sotsiaalmeedia-kasutus/</vt:lpwstr>
      </vt:variant>
      <vt:variant>
        <vt:lpwstr>huvitavat-statistikat-internetikasutusest-eestis</vt:lpwstr>
      </vt:variant>
      <vt:variant>
        <vt:i4>5046345</vt:i4>
      </vt:variant>
      <vt:variant>
        <vt:i4>987</vt:i4>
      </vt:variant>
      <vt:variant>
        <vt:i4>0</vt:i4>
      </vt:variant>
      <vt:variant>
        <vt:i4>5</vt:i4>
      </vt:variant>
      <vt:variant>
        <vt:lpwstr>https://datareportal.com/reports/digital-2024-estonia</vt:lpwstr>
      </vt:variant>
      <vt:variant>
        <vt:lpwstr/>
      </vt:variant>
      <vt:variant>
        <vt:i4>1638451</vt:i4>
      </vt:variant>
      <vt:variant>
        <vt:i4>962</vt:i4>
      </vt:variant>
      <vt:variant>
        <vt:i4>0</vt:i4>
      </vt:variant>
      <vt:variant>
        <vt:i4>5</vt:i4>
      </vt:variant>
      <vt:variant>
        <vt:lpwstr/>
      </vt:variant>
      <vt:variant>
        <vt:lpwstr>_Toc174709675</vt:lpwstr>
      </vt:variant>
      <vt:variant>
        <vt:i4>1638451</vt:i4>
      </vt:variant>
      <vt:variant>
        <vt:i4>956</vt:i4>
      </vt:variant>
      <vt:variant>
        <vt:i4>0</vt:i4>
      </vt:variant>
      <vt:variant>
        <vt:i4>5</vt:i4>
      </vt:variant>
      <vt:variant>
        <vt:lpwstr/>
      </vt:variant>
      <vt:variant>
        <vt:lpwstr>_Toc174709674</vt:lpwstr>
      </vt:variant>
      <vt:variant>
        <vt:i4>1638451</vt:i4>
      </vt:variant>
      <vt:variant>
        <vt:i4>950</vt:i4>
      </vt:variant>
      <vt:variant>
        <vt:i4>0</vt:i4>
      </vt:variant>
      <vt:variant>
        <vt:i4>5</vt:i4>
      </vt:variant>
      <vt:variant>
        <vt:lpwstr/>
      </vt:variant>
      <vt:variant>
        <vt:lpwstr>_Toc174709673</vt:lpwstr>
      </vt:variant>
      <vt:variant>
        <vt:i4>1638451</vt:i4>
      </vt:variant>
      <vt:variant>
        <vt:i4>944</vt:i4>
      </vt:variant>
      <vt:variant>
        <vt:i4>0</vt:i4>
      </vt:variant>
      <vt:variant>
        <vt:i4>5</vt:i4>
      </vt:variant>
      <vt:variant>
        <vt:lpwstr/>
      </vt:variant>
      <vt:variant>
        <vt:lpwstr>_Toc174709672</vt:lpwstr>
      </vt:variant>
      <vt:variant>
        <vt:i4>1638451</vt:i4>
      </vt:variant>
      <vt:variant>
        <vt:i4>938</vt:i4>
      </vt:variant>
      <vt:variant>
        <vt:i4>0</vt:i4>
      </vt:variant>
      <vt:variant>
        <vt:i4>5</vt:i4>
      </vt:variant>
      <vt:variant>
        <vt:lpwstr/>
      </vt:variant>
      <vt:variant>
        <vt:lpwstr>_Toc174709671</vt:lpwstr>
      </vt:variant>
      <vt:variant>
        <vt:i4>1572915</vt:i4>
      </vt:variant>
      <vt:variant>
        <vt:i4>932</vt:i4>
      </vt:variant>
      <vt:variant>
        <vt:i4>0</vt:i4>
      </vt:variant>
      <vt:variant>
        <vt:i4>5</vt:i4>
      </vt:variant>
      <vt:variant>
        <vt:lpwstr/>
      </vt:variant>
      <vt:variant>
        <vt:lpwstr>_Toc174709669</vt:lpwstr>
      </vt:variant>
      <vt:variant>
        <vt:i4>1572915</vt:i4>
      </vt:variant>
      <vt:variant>
        <vt:i4>926</vt:i4>
      </vt:variant>
      <vt:variant>
        <vt:i4>0</vt:i4>
      </vt:variant>
      <vt:variant>
        <vt:i4>5</vt:i4>
      </vt:variant>
      <vt:variant>
        <vt:lpwstr/>
      </vt:variant>
      <vt:variant>
        <vt:lpwstr>_Toc174709668</vt:lpwstr>
      </vt:variant>
      <vt:variant>
        <vt:i4>1572915</vt:i4>
      </vt:variant>
      <vt:variant>
        <vt:i4>920</vt:i4>
      </vt:variant>
      <vt:variant>
        <vt:i4>0</vt:i4>
      </vt:variant>
      <vt:variant>
        <vt:i4>5</vt:i4>
      </vt:variant>
      <vt:variant>
        <vt:lpwstr/>
      </vt:variant>
      <vt:variant>
        <vt:lpwstr>_Toc174709667</vt:lpwstr>
      </vt:variant>
      <vt:variant>
        <vt:i4>1572915</vt:i4>
      </vt:variant>
      <vt:variant>
        <vt:i4>914</vt:i4>
      </vt:variant>
      <vt:variant>
        <vt:i4>0</vt:i4>
      </vt:variant>
      <vt:variant>
        <vt:i4>5</vt:i4>
      </vt:variant>
      <vt:variant>
        <vt:lpwstr/>
      </vt:variant>
      <vt:variant>
        <vt:lpwstr>_Toc174709666</vt:lpwstr>
      </vt:variant>
      <vt:variant>
        <vt:i4>1572915</vt:i4>
      </vt:variant>
      <vt:variant>
        <vt:i4>908</vt:i4>
      </vt:variant>
      <vt:variant>
        <vt:i4>0</vt:i4>
      </vt:variant>
      <vt:variant>
        <vt:i4>5</vt:i4>
      </vt:variant>
      <vt:variant>
        <vt:lpwstr/>
      </vt:variant>
      <vt:variant>
        <vt:lpwstr>_Toc174709665</vt:lpwstr>
      </vt:variant>
      <vt:variant>
        <vt:i4>1572915</vt:i4>
      </vt:variant>
      <vt:variant>
        <vt:i4>902</vt:i4>
      </vt:variant>
      <vt:variant>
        <vt:i4>0</vt:i4>
      </vt:variant>
      <vt:variant>
        <vt:i4>5</vt:i4>
      </vt:variant>
      <vt:variant>
        <vt:lpwstr/>
      </vt:variant>
      <vt:variant>
        <vt:lpwstr>_Toc174709664</vt:lpwstr>
      </vt:variant>
      <vt:variant>
        <vt:i4>1572915</vt:i4>
      </vt:variant>
      <vt:variant>
        <vt:i4>896</vt:i4>
      </vt:variant>
      <vt:variant>
        <vt:i4>0</vt:i4>
      </vt:variant>
      <vt:variant>
        <vt:i4>5</vt:i4>
      </vt:variant>
      <vt:variant>
        <vt:lpwstr/>
      </vt:variant>
      <vt:variant>
        <vt:lpwstr>_Toc174709662</vt:lpwstr>
      </vt:variant>
      <vt:variant>
        <vt:i4>1572915</vt:i4>
      </vt:variant>
      <vt:variant>
        <vt:i4>890</vt:i4>
      </vt:variant>
      <vt:variant>
        <vt:i4>0</vt:i4>
      </vt:variant>
      <vt:variant>
        <vt:i4>5</vt:i4>
      </vt:variant>
      <vt:variant>
        <vt:lpwstr/>
      </vt:variant>
      <vt:variant>
        <vt:lpwstr>_Toc174709661</vt:lpwstr>
      </vt:variant>
      <vt:variant>
        <vt:i4>1572915</vt:i4>
      </vt:variant>
      <vt:variant>
        <vt:i4>884</vt:i4>
      </vt:variant>
      <vt:variant>
        <vt:i4>0</vt:i4>
      </vt:variant>
      <vt:variant>
        <vt:i4>5</vt:i4>
      </vt:variant>
      <vt:variant>
        <vt:lpwstr/>
      </vt:variant>
      <vt:variant>
        <vt:lpwstr>_Toc174709660</vt:lpwstr>
      </vt:variant>
      <vt:variant>
        <vt:i4>1769523</vt:i4>
      </vt:variant>
      <vt:variant>
        <vt:i4>878</vt:i4>
      </vt:variant>
      <vt:variant>
        <vt:i4>0</vt:i4>
      </vt:variant>
      <vt:variant>
        <vt:i4>5</vt:i4>
      </vt:variant>
      <vt:variant>
        <vt:lpwstr/>
      </vt:variant>
      <vt:variant>
        <vt:lpwstr>_Toc174709659</vt:lpwstr>
      </vt:variant>
      <vt:variant>
        <vt:i4>1769523</vt:i4>
      </vt:variant>
      <vt:variant>
        <vt:i4>872</vt:i4>
      </vt:variant>
      <vt:variant>
        <vt:i4>0</vt:i4>
      </vt:variant>
      <vt:variant>
        <vt:i4>5</vt:i4>
      </vt:variant>
      <vt:variant>
        <vt:lpwstr/>
      </vt:variant>
      <vt:variant>
        <vt:lpwstr>_Toc174709658</vt:lpwstr>
      </vt:variant>
      <vt:variant>
        <vt:i4>1769523</vt:i4>
      </vt:variant>
      <vt:variant>
        <vt:i4>866</vt:i4>
      </vt:variant>
      <vt:variant>
        <vt:i4>0</vt:i4>
      </vt:variant>
      <vt:variant>
        <vt:i4>5</vt:i4>
      </vt:variant>
      <vt:variant>
        <vt:lpwstr/>
      </vt:variant>
      <vt:variant>
        <vt:lpwstr>_Toc174709657</vt:lpwstr>
      </vt:variant>
      <vt:variant>
        <vt:i4>1769523</vt:i4>
      </vt:variant>
      <vt:variant>
        <vt:i4>860</vt:i4>
      </vt:variant>
      <vt:variant>
        <vt:i4>0</vt:i4>
      </vt:variant>
      <vt:variant>
        <vt:i4>5</vt:i4>
      </vt:variant>
      <vt:variant>
        <vt:lpwstr/>
      </vt:variant>
      <vt:variant>
        <vt:lpwstr>_Toc174709656</vt:lpwstr>
      </vt:variant>
      <vt:variant>
        <vt:i4>1769523</vt:i4>
      </vt:variant>
      <vt:variant>
        <vt:i4>854</vt:i4>
      </vt:variant>
      <vt:variant>
        <vt:i4>0</vt:i4>
      </vt:variant>
      <vt:variant>
        <vt:i4>5</vt:i4>
      </vt:variant>
      <vt:variant>
        <vt:lpwstr/>
      </vt:variant>
      <vt:variant>
        <vt:lpwstr>_Toc174709655</vt:lpwstr>
      </vt:variant>
      <vt:variant>
        <vt:i4>1769523</vt:i4>
      </vt:variant>
      <vt:variant>
        <vt:i4>848</vt:i4>
      </vt:variant>
      <vt:variant>
        <vt:i4>0</vt:i4>
      </vt:variant>
      <vt:variant>
        <vt:i4>5</vt:i4>
      </vt:variant>
      <vt:variant>
        <vt:lpwstr/>
      </vt:variant>
      <vt:variant>
        <vt:lpwstr>_Toc174709654</vt:lpwstr>
      </vt:variant>
      <vt:variant>
        <vt:i4>1769523</vt:i4>
      </vt:variant>
      <vt:variant>
        <vt:i4>842</vt:i4>
      </vt:variant>
      <vt:variant>
        <vt:i4>0</vt:i4>
      </vt:variant>
      <vt:variant>
        <vt:i4>5</vt:i4>
      </vt:variant>
      <vt:variant>
        <vt:lpwstr/>
      </vt:variant>
      <vt:variant>
        <vt:lpwstr>_Toc174709653</vt:lpwstr>
      </vt:variant>
      <vt:variant>
        <vt:i4>1769523</vt:i4>
      </vt:variant>
      <vt:variant>
        <vt:i4>836</vt:i4>
      </vt:variant>
      <vt:variant>
        <vt:i4>0</vt:i4>
      </vt:variant>
      <vt:variant>
        <vt:i4>5</vt:i4>
      </vt:variant>
      <vt:variant>
        <vt:lpwstr/>
      </vt:variant>
      <vt:variant>
        <vt:lpwstr>_Toc174709652</vt:lpwstr>
      </vt:variant>
      <vt:variant>
        <vt:i4>1769523</vt:i4>
      </vt:variant>
      <vt:variant>
        <vt:i4>830</vt:i4>
      </vt:variant>
      <vt:variant>
        <vt:i4>0</vt:i4>
      </vt:variant>
      <vt:variant>
        <vt:i4>5</vt:i4>
      </vt:variant>
      <vt:variant>
        <vt:lpwstr/>
      </vt:variant>
      <vt:variant>
        <vt:lpwstr>_Toc174709650</vt:lpwstr>
      </vt:variant>
      <vt:variant>
        <vt:i4>1703987</vt:i4>
      </vt:variant>
      <vt:variant>
        <vt:i4>824</vt:i4>
      </vt:variant>
      <vt:variant>
        <vt:i4>0</vt:i4>
      </vt:variant>
      <vt:variant>
        <vt:i4>5</vt:i4>
      </vt:variant>
      <vt:variant>
        <vt:lpwstr/>
      </vt:variant>
      <vt:variant>
        <vt:lpwstr>_Toc174709649</vt:lpwstr>
      </vt:variant>
      <vt:variant>
        <vt:i4>1703987</vt:i4>
      </vt:variant>
      <vt:variant>
        <vt:i4>818</vt:i4>
      </vt:variant>
      <vt:variant>
        <vt:i4>0</vt:i4>
      </vt:variant>
      <vt:variant>
        <vt:i4>5</vt:i4>
      </vt:variant>
      <vt:variant>
        <vt:lpwstr/>
      </vt:variant>
      <vt:variant>
        <vt:lpwstr>_Toc174709648</vt:lpwstr>
      </vt:variant>
      <vt:variant>
        <vt:i4>1703987</vt:i4>
      </vt:variant>
      <vt:variant>
        <vt:i4>812</vt:i4>
      </vt:variant>
      <vt:variant>
        <vt:i4>0</vt:i4>
      </vt:variant>
      <vt:variant>
        <vt:i4>5</vt:i4>
      </vt:variant>
      <vt:variant>
        <vt:lpwstr/>
      </vt:variant>
      <vt:variant>
        <vt:lpwstr>_Toc174709647</vt:lpwstr>
      </vt:variant>
      <vt:variant>
        <vt:i4>1703987</vt:i4>
      </vt:variant>
      <vt:variant>
        <vt:i4>806</vt:i4>
      </vt:variant>
      <vt:variant>
        <vt:i4>0</vt:i4>
      </vt:variant>
      <vt:variant>
        <vt:i4>5</vt:i4>
      </vt:variant>
      <vt:variant>
        <vt:lpwstr/>
      </vt:variant>
      <vt:variant>
        <vt:lpwstr>_Toc174709646</vt:lpwstr>
      </vt:variant>
      <vt:variant>
        <vt:i4>1703987</vt:i4>
      </vt:variant>
      <vt:variant>
        <vt:i4>800</vt:i4>
      </vt:variant>
      <vt:variant>
        <vt:i4>0</vt:i4>
      </vt:variant>
      <vt:variant>
        <vt:i4>5</vt:i4>
      </vt:variant>
      <vt:variant>
        <vt:lpwstr/>
      </vt:variant>
      <vt:variant>
        <vt:lpwstr>_Toc174709645</vt:lpwstr>
      </vt:variant>
      <vt:variant>
        <vt:i4>1703987</vt:i4>
      </vt:variant>
      <vt:variant>
        <vt:i4>794</vt:i4>
      </vt:variant>
      <vt:variant>
        <vt:i4>0</vt:i4>
      </vt:variant>
      <vt:variant>
        <vt:i4>5</vt:i4>
      </vt:variant>
      <vt:variant>
        <vt:lpwstr/>
      </vt:variant>
      <vt:variant>
        <vt:lpwstr>_Toc174709643</vt:lpwstr>
      </vt:variant>
      <vt:variant>
        <vt:i4>1703987</vt:i4>
      </vt:variant>
      <vt:variant>
        <vt:i4>788</vt:i4>
      </vt:variant>
      <vt:variant>
        <vt:i4>0</vt:i4>
      </vt:variant>
      <vt:variant>
        <vt:i4>5</vt:i4>
      </vt:variant>
      <vt:variant>
        <vt:lpwstr/>
      </vt:variant>
      <vt:variant>
        <vt:lpwstr>_Toc174709642</vt:lpwstr>
      </vt:variant>
      <vt:variant>
        <vt:i4>1703987</vt:i4>
      </vt:variant>
      <vt:variant>
        <vt:i4>782</vt:i4>
      </vt:variant>
      <vt:variant>
        <vt:i4>0</vt:i4>
      </vt:variant>
      <vt:variant>
        <vt:i4>5</vt:i4>
      </vt:variant>
      <vt:variant>
        <vt:lpwstr/>
      </vt:variant>
      <vt:variant>
        <vt:lpwstr>_Toc174709641</vt:lpwstr>
      </vt:variant>
      <vt:variant>
        <vt:i4>1703987</vt:i4>
      </vt:variant>
      <vt:variant>
        <vt:i4>776</vt:i4>
      </vt:variant>
      <vt:variant>
        <vt:i4>0</vt:i4>
      </vt:variant>
      <vt:variant>
        <vt:i4>5</vt:i4>
      </vt:variant>
      <vt:variant>
        <vt:lpwstr/>
      </vt:variant>
      <vt:variant>
        <vt:lpwstr>_Toc174709640</vt:lpwstr>
      </vt:variant>
      <vt:variant>
        <vt:i4>1900595</vt:i4>
      </vt:variant>
      <vt:variant>
        <vt:i4>770</vt:i4>
      </vt:variant>
      <vt:variant>
        <vt:i4>0</vt:i4>
      </vt:variant>
      <vt:variant>
        <vt:i4>5</vt:i4>
      </vt:variant>
      <vt:variant>
        <vt:lpwstr/>
      </vt:variant>
      <vt:variant>
        <vt:lpwstr>_Toc174709638</vt:lpwstr>
      </vt:variant>
      <vt:variant>
        <vt:i4>1900595</vt:i4>
      </vt:variant>
      <vt:variant>
        <vt:i4>764</vt:i4>
      </vt:variant>
      <vt:variant>
        <vt:i4>0</vt:i4>
      </vt:variant>
      <vt:variant>
        <vt:i4>5</vt:i4>
      </vt:variant>
      <vt:variant>
        <vt:lpwstr/>
      </vt:variant>
      <vt:variant>
        <vt:lpwstr>_Toc174709637</vt:lpwstr>
      </vt:variant>
      <vt:variant>
        <vt:i4>1900595</vt:i4>
      </vt:variant>
      <vt:variant>
        <vt:i4>758</vt:i4>
      </vt:variant>
      <vt:variant>
        <vt:i4>0</vt:i4>
      </vt:variant>
      <vt:variant>
        <vt:i4>5</vt:i4>
      </vt:variant>
      <vt:variant>
        <vt:lpwstr/>
      </vt:variant>
      <vt:variant>
        <vt:lpwstr>_Toc174709636</vt:lpwstr>
      </vt:variant>
      <vt:variant>
        <vt:i4>1900595</vt:i4>
      </vt:variant>
      <vt:variant>
        <vt:i4>752</vt:i4>
      </vt:variant>
      <vt:variant>
        <vt:i4>0</vt:i4>
      </vt:variant>
      <vt:variant>
        <vt:i4>5</vt:i4>
      </vt:variant>
      <vt:variant>
        <vt:lpwstr/>
      </vt:variant>
      <vt:variant>
        <vt:lpwstr>_Toc174709634</vt:lpwstr>
      </vt:variant>
      <vt:variant>
        <vt:i4>1900595</vt:i4>
      </vt:variant>
      <vt:variant>
        <vt:i4>746</vt:i4>
      </vt:variant>
      <vt:variant>
        <vt:i4>0</vt:i4>
      </vt:variant>
      <vt:variant>
        <vt:i4>5</vt:i4>
      </vt:variant>
      <vt:variant>
        <vt:lpwstr/>
      </vt:variant>
      <vt:variant>
        <vt:lpwstr>_Toc174709631</vt:lpwstr>
      </vt:variant>
      <vt:variant>
        <vt:i4>1835059</vt:i4>
      </vt:variant>
      <vt:variant>
        <vt:i4>740</vt:i4>
      </vt:variant>
      <vt:variant>
        <vt:i4>0</vt:i4>
      </vt:variant>
      <vt:variant>
        <vt:i4>5</vt:i4>
      </vt:variant>
      <vt:variant>
        <vt:lpwstr/>
      </vt:variant>
      <vt:variant>
        <vt:lpwstr>_Toc174709629</vt:lpwstr>
      </vt:variant>
      <vt:variant>
        <vt:i4>1835059</vt:i4>
      </vt:variant>
      <vt:variant>
        <vt:i4>734</vt:i4>
      </vt:variant>
      <vt:variant>
        <vt:i4>0</vt:i4>
      </vt:variant>
      <vt:variant>
        <vt:i4>5</vt:i4>
      </vt:variant>
      <vt:variant>
        <vt:lpwstr/>
      </vt:variant>
      <vt:variant>
        <vt:lpwstr>_Toc174709627</vt:lpwstr>
      </vt:variant>
      <vt:variant>
        <vt:i4>1835059</vt:i4>
      </vt:variant>
      <vt:variant>
        <vt:i4>728</vt:i4>
      </vt:variant>
      <vt:variant>
        <vt:i4>0</vt:i4>
      </vt:variant>
      <vt:variant>
        <vt:i4>5</vt:i4>
      </vt:variant>
      <vt:variant>
        <vt:lpwstr/>
      </vt:variant>
      <vt:variant>
        <vt:lpwstr>_Toc174709626</vt:lpwstr>
      </vt:variant>
      <vt:variant>
        <vt:i4>1835059</vt:i4>
      </vt:variant>
      <vt:variant>
        <vt:i4>722</vt:i4>
      </vt:variant>
      <vt:variant>
        <vt:i4>0</vt:i4>
      </vt:variant>
      <vt:variant>
        <vt:i4>5</vt:i4>
      </vt:variant>
      <vt:variant>
        <vt:lpwstr/>
      </vt:variant>
      <vt:variant>
        <vt:lpwstr>_Toc174709625</vt:lpwstr>
      </vt:variant>
      <vt:variant>
        <vt:i4>1835059</vt:i4>
      </vt:variant>
      <vt:variant>
        <vt:i4>716</vt:i4>
      </vt:variant>
      <vt:variant>
        <vt:i4>0</vt:i4>
      </vt:variant>
      <vt:variant>
        <vt:i4>5</vt:i4>
      </vt:variant>
      <vt:variant>
        <vt:lpwstr/>
      </vt:variant>
      <vt:variant>
        <vt:lpwstr>_Toc174709624</vt:lpwstr>
      </vt:variant>
      <vt:variant>
        <vt:i4>1835059</vt:i4>
      </vt:variant>
      <vt:variant>
        <vt:i4>710</vt:i4>
      </vt:variant>
      <vt:variant>
        <vt:i4>0</vt:i4>
      </vt:variant>
      <vt:variant>
        <vt:i4>5</vt:i4>
      </vt:variant>
      <vt:variant>
        <vt:lpwstr/>
      </vt:variant>
      <vt:variant>
        <vt:lpwstr>_Toc174709623</vt:lpwstr>
      </vt:variant>
      <vt:variant>
        <vt:i4>1835059</vt:i4>
      </vt:variant>
      <vt:variant>
        <vt:i4>704</vt:i4>
      </vt:variant>
      <vt:variant>
        <vt:i4>0</vt:i4>
      </vt:variant>
      <vt:variant>
        <vt:i4>5</vt:i4>
      </vt:variant>
      <vt:variant>
        <vt:lpwstr/>
      </vt:variant>
      <vt:variant>
        <vt:lpwstr>_Toc174709622</vt:lpwstr>
      </vt:variant>
      <vt:variant>
        <vt:i4>1835059</vt:i4>
      </vt:variant>
      <vt:variant>
        <vt:i4>698</vt:i4>
      </vt:variant>
      <vt:variant>
        <vt:i4>0</vt:i4>
      </vt:variant>
      <vt:variant>
        <vt:i4>5</vt:i4>
      </vt:variant>
      <vt:variant>
        <vt:lpwstr/>
      </vt:variant>
      <vt:variant>
        <vt:lpwstr>_Toc174709620</vt:lpwstr>
      </vt:variant>
      <vt:variant>
        <vt:i4>2031667</vt:i4>
      </vt:variant>
      <vt:variant>
        <vt:i4>692</vt:i4>
      </vt:variant>
      <vt:variant>
        <vt:i4>0</vt:i4>
      </vt:variant>
      <vt:variant>
        <vt:i4>5</vt:i4>
      </vt:variant>
      <vt:variant>
        <vt:lpwstr/>
      </vt:variant>
      <vt:variant>
        <vt:lpwstr>_Toc174709619</vt:lpwstr>
      </vt:variant>
      <vt:variant>
        <vt:i4>2031667</vt:i4>
      </vt:variant>
      <vt:variant>
        <vt:i4>686</vt:i4>
      </vt:variant>
      <vt:variant>
        <vt:i4>0</vt:i4>
      </vt:variant>
      <vt:variant>
        <vt:i4>5</vt:i4>
      </vt:variant>
      <vt:variant>
        <vt:lpwstr/>
      </vt:variant>
      <vt:variant>
        <vt:lpwstr>_Toc174709618</vt:lpwstr>
      </vt:variant>
      <vt:variant>
        <vt:i4>2031667</vt:i4>
      </vt:variant>
      <vt:variant>
        <vt:i4>680</vt:i4>
      </vt:variant>
      <vt:variant>
        <vt:i4>0</vt:i4>
      </vt:variant>
      <vt:variant>
        <vt:i4>5</vt:i4>
      </vt:variant>
      <vt:variant>
        <vt:lpwstr/>
      </vt:variant>
      <vt:variant>
        <vt:lpwstr>_Toc174709617</vt:lpwstr>
      </vt:variant>
      <vt:variant>
        <vt:i4>2031667</vt:i4>
      </vt:variant>
      <vt:variant>
        <vt:i4>674</vt:i4>
      </vt:variant>
      <vt:variant>
        <vt:i4>0</vt:i4>
      </vt:variant>
      <vt:variant>
        <vt:i4>5</vt:i4>
      </vt:variant>
      <vt:variant>
        <vt:lpwstr/>
      </vt:variant>
      <vt:variant>
        <vt:lpwstr>_Toc174709616</vt:lpwstr>
      </vt:variant>
      <vt:variant>
        <vt:i4>2031667</vt:i4>
      </vt:variant>
      <vt:variant>
        <vt:i4>668</vt:i4>
      </vt:variant>
      <vt:variant>
        <vt:i4>0</vt:i4>
      </vt:variant>
      <vt:variant>
        <vt:i4>5</vt:i4>
      </vt:variant>
      <vt:variant>
        <vt:lpwstr/>
      </vt:variant>
      <vt:variant>
        <vt:lpwstr>_Toc174709615</vt:lpwstr>
      </vt:variant>
      <vt:variant>
        <vt:i4>2031667</vt:i4>
      </vt:variant>
      <vt:variant>
        <vt:i4>662</vt:i4>
      </vt:variant>
      <vt:variant>
        <vt:i4>0</vt:i4>
      </vt:variant>
      <vt:variant>
        <vt:i4>5</vt:i4>
      </vt:variant>
      <vt:variant>
        <vt:lpwstr/>
      </vt:variant>
      <vt:variant>
        <vt:lpwstr>_Toc174709613</vt:lpwstr>
      </vt:variant>
      <vt:variant>
        <vt:i4>2031667</vt:i4>
      </vt:variant>
      <vt:variant>
        <vt:i4>656</vt:i4>
      </vt:variant>
      <vt:variant>
        <vt:i4>0</vt:i4>
      </vt:variant>
      <vt:variant>
        <vt:i4>5</vt:i4>
      </vt:variant>
      <vt:variant>
        <vt:lpwstr/>
      </vt:variant>
      <vt:variant>
        <vt:lpwstr>_Toc174709612</vt:lpwstr>
      </vt:variant>
      <vt:variant>
        <vt:i4>2031667</vt:i4>
      </vt:variant>
      <vt:variant>
        <vt:i4>650</vt:i4>
      </vt:variant>
      <vt:variant>
        <vt:i4>0</vt:i4>
      </vt:variant>
      <vt:variant>
        <vt:i4>5</vt:i4>
      </vt:variant>
      <vt:variant>
        <vt:lpwstr/>
      </vt:variant>
      <vt:variant>
        <vt:lpwstr>_Toc174709611</vt:lpwstr>
      </vt:variant>
      <vt:variant>
        <vt:i4>2031667</vt:i4>
      </vt:variant>
      <vt:variant>
        <vt:i4>644</vt:i4>
      </vt:variant>
      <vt:variant>
        <vt:i4>0</vt:i4>
      </vt:variant>
      <vt:variant>
        <vt:i4>5</vt:i4>
      </vt:variant>
      <vt:variant>
        <vt:lpwstr/>
      </vt:variant>
      <vt:variant>
        <vt:lpwstr>_Toc174709610</vt:lpwstr>
      </vt:variant>
      <vt:variant>
        <vt:i4>1966131</vt:i4>
      </vt:variant>
      <vt:variant>
        <vt:i4>638</vt:i4>
      </vt:variant>
      <vt:variant>
        <vt:i4>0</vt:i4>
      </vt:variant>
      <vt:variant>
        <vt:i4>5</vt:i4>
      </vt:variant>
      <vt:variant>
        <vt:lpwstr/>
      </vt:variant>
      <vt:variant>
        <vt:lpwstr>_Toc174709609</vt:lpwstr>
      </vt:variant>
      <vt:variant>
        <vt:i4>1966131</vt:i4>
      </vt:variant>
      <vt:variant>
        <vt:i4>632</vt:i4>
      </vt:variant>
      <vt:variant>
        <vt:i4>0</vt:i4>
      </vt:variant>
      <vt:variant>
        <vt:i4>5</vt:i4>
      </vt:variant>
      <vt:variant>
        <vt:lpwstr/>
      </vt:variant>
      <vt:variant>
        <vt:lpwstr>_Toc174709608</vt:lpwstr>
      </vt:variant>
      <vt:variant>
        <vt:i4>1966131</vt:i4>
      </vt:variant>
      <vt:variant>
        <vt:i4>626</vt:i4>
      </vt:variant>
      <vt:variant>
        <vt:i4>0</vt:i4>
      </vt:variant>
      <vt:variant>
        <vt:i4>5</vt:i4>
      </vt:variant>
      <vt:variant>
        <vt:lpwstr/>
      </vt:variant>
      <vt:variant>
        <vt:lpwstr>_Toc174709607</vt:lpwstr>
      </vt:variant>
      <vt:variant>
        <vt:i4>1966131</vt:i4>
      </vt:variant>
      <vt:variant>
        <vt:i4>620</vt:i4>
      </vt:variant>
      <vt:variant>
        <vt:i4>0</vt:i4>
      </vt:variant>
      <vt:variant>
        <vt:i4>5</vt:i4>
      </vt:variant>
      <vt:variant>
        <vt:lpwstr/>
      </vt:variant>
      <vt:variant>
        <vt:lpwstr>_Toc174709606</vt:lpwstr>
      </vt:variant>
      <vt:variant>
        <vt:i4>1966131</vt:i4>
      </vt:variant>
      <vt:variant>
        <vt:i4>614</vt:i4>
      </vt:variant>
      <vt:variant>
        <vt:i4>0</vt:i4>
      </vt:variant>
      <vt:variant>
        <vt:i4>5</vt:i4>
      </vt:variant>
      <vt:variant>
        <vt:lpwstr/>
      </vt:variant>
      <vt:variant>
        <vt:lpwstr>_Toc174709605</vt:lpwstr>
      </vt:variant>
      <vt:variant>
        <vt:i4>1966131</vt:i4>
      </vt:variant>
      <vt:variant>
        <vt:i4>608</vt:i4>
      </vt:variant>
      <vt:variant>
        <vt:i4>0</vt:i4>
      </vt:variant>
      <vt:variant>
        <vt:i4>5</vt:i4>
      </vt:variant>
      <vt:variant>
        <vt:lpwstr/>
      </vt:variant>
      <vt:variant>
        <vt:lpwstr>_Toc174709604</vt:lpwstr>
      </vt:variant>
      <vt:variant>
        <vt:i4>1966131</vt:i4>
      </vt:variant>
      <vt:variant>
        <vt:i4>602</vt:i4>
      </vt:variant>
      <vt:variant>
        <vt:i4>0</vt:i4>
      </vt:variant>
      <vt:variant>
        <vt:i4>5</vt:i4>
      </vt:variant>
      <vt:variant>
        <vt:lpwstr/>
      </vt:variant>
      <vt:variant>
        <vt:lpwstr>_Toc174709603</vt:lpwstr>
      </vt:variant>
      <vt:variant>
        <vt:i4>1966131</vt:i4>
      </vt:variant>
      <vt:variant>
        <vt:i4>596</vt:i4>
      </vt:variant>
      <vt:variant>
        <vt:i4>0</vt:i4>
      </vt:variant>
      <vt:variant>
        <vt:i4>5</vt:i4>
      </vt:variant>
      <vt:variant>
        <vt:lpwstr/>
      </vt:variant>
      <vt:variant>
        <vt:lpwstr>_Toc174709601</vt:lpwstr>
      </vt:variant>
      <vt:variant>
        <vt:i4>1966131</vt:i4>
      </vt:variant>
      <vt:variant>
        <vt:i4>590</vt:i4>
      </vt:variant>
      <vt:variant>
        <vt:i4>0</vt:i4>
      </vt:variant>
      <vt:variant>
        <vt:i4>5</vt:i4>
      </vt:variant>
      <vt:variant>
        <vt:lpwstr/>
      </vt:variant>
      <vt:variant>
        <vt:lpwstr>_Toc174709600</vt:lpwstr>
      </vt:variant>
      <vt:variant>
        <vt:i4>1507376</vt:i4>
      </vt:variant>
      <vt:variant>
        <vt:i4>584</vt:i4>
      </vt:variant>
      <vt:variant>
        <vt:i4>0</vt:i4>
      </vt:variant>
      <vt:variant>
        <vt:i4>5</vt:i4>
      </vt:variant>
      <vt:variant>
        <vt:lpwstr/>
      </vt:variant>
      <vt:variant>
        <vt:lpwstr>_Toc174709599</vt:lpwstr>
      </vt:variant>
      <vt:variant>
        <vt:i4>1507376</vt:i4>
      </vt:variant>
      <vt:variant>
        <vt:i4>578</vt:i4>
      </vt:variant>
      <vt:variant>
        <vt:i4>0</vt:i4>
      </vt:variant>
      <vt:variant>
        <vt:i4>5</vt:i4>
      </vt:variant>
      <vt:variant>
        <vt:lpwstr/>
      </vt:variant>
      <vt:variant>
        <vt:lpwstr>_Toc174709598</vt:lpwstr>
      </vt:variant>
      <vt:variant>
        <vt:i4>1507376</vt:i4>
      </vt:variant>
      <vt:variant>
        <vt:i4>572</vt:i4>
      </vt:variant>
      <vt:variant>
        <vt:i4>0</vt:i4>
      </vt:variant>
      <vt:variant>
        <vt:i4>5</vt:i4>
      </vt:variant>
      <vt:variant>
        <vt:lpwstr/>
      </vt:variant>
      <vt:variant>
        <vt:lpwstr>_Toc174709597</vt:lpwstr>
      </vt:variant>
      <vt:variant>
        <vt:i4>1507376</vt:i4>
      </vt:variant>
      <vt:variant>
        <vt:i4>566</vt:i4>
      </vt:variant>
      <vt:variant>
        <vt:i4>0</vt:i4>
      </vt:variant>
      <vt:variant>
        <vt:i4>5</vt:i4>
      </vt:variant>
      <vt:variant>
        <vt:lpwstr/>
      </vt:variant>
      <vt:variant>
        <vt:lpwstr>_Toc174709596</vt:lpwstr>
      </vt:variant>
      <vt:variant>
        <vt:i4>1507376</vt:i4>
      </vt:variant>
      <vt:variant>
        <vt:i4>560</vt:i4>
      </vt:variant>
      <vt:variant>
        <vt:i4>0</vt:i4>
      </vt:variant>
      <vt:variant>
        <vt:i4>5</vt:i4>
      </vt:variant>
      <vt:variant>
        <vt:lpwstr/>
      </vt:variant>
      <vt:variant>
        <vt:lpwstr>_Toc174709594</vt:lpwstr>
      </vt:variant>
      <vt:variant>
        <vt:i4>1507376</vt:i4>
      </vt:variant>
      <vt:variant>
        <vt:i4>554</vt:i4>
      </vt:variant>
      <vt:variant>
        <vt:i4>0</vt:i4>
      </vt:variant>
      <vt:variant>
        <vt:i4>5</vt:i4>
      </vt:variant>
      <vt:variant>
        <vt:lpwstr/>
      </vt:variant>
      <vt:variant>
        <vt:lpwstr>_Toc174709593</vt:lpwstr>
      </vt:variant>
      <vt:variant>
        <vt:i4>1507376</vt:i4>
      </vt:variant>
      <vt:variant>
        <vt:i4>548</vt:i4>
      </vt:variant>
      <vt:variant>
        <vt:i4>0</vt:i4>
      </vt:variant>
      <vt:variant>
        <vt:i4>5</vt:i4>
      </vt:variant>
      <vt:variant>
        <vt:lpwstr/>
      </vt:variant>
      <vt:variant>
        <vt:lpwstr>_Toc174709592</vt:lpwstr>
      </vt:variant>
      <vt:variant>
        <vt:i4>1507376</vt:i4>
      </vt:variant>
      <vt:variant>
        <vt:i4>542</vt:i4>
      </vt:variant>
      <vt:variant>
        <vt:i4>0</vt:i4>
      </vt:variant>
      <vt:variant>
        <vt:i4>5</vt:i4>
      </vt:variant>
      <vt:variant>
        <vt:lpwstr/>
      </vt:variant>
      <vt:variant>
        <vt:lpwstr>_Toc174709591</vt:lpwstr>
      </vt:variant>
      <vt:variant>
        <vt:i4>1441840</vt:i4>
      </vt:variant>
      <vt:variant>
        <vt:i4>536</vt:i4>
      </vt:variant>
      <vt:variant>
        <vt:i4>0</vt:i4>
      </vt:variant>
      <vt:variant>
        <vt:i4>5</vt:i4>
      </vt:variant>
      <vt:variant>
        <vt:lpwstr/>
      </vt:variant>
      <vt:variant>
        <vt:lpwstr>_Toc174709589</vt:lpwstr>
      </vt:variant>
      <vt:variant>
        <vt:i4>1441840</vt:i4>
      </vt:variant>
      <vt:variant>
        <vt:i4>530</vt:i4>
      </vt:variant>
      <vt:variant>
        <vt:i4>0</vt:i4>
      </vt:variant>
      <vt:variant>
        <vt:i4>5</vt:i4>
      </vt:variant>
      <vt:variant>
        <vt:lpwstr/>
      </vt:variant>
      <vt:variant>
        <vt:lpwstr>_Toc174709588</vt:lpwstr>
      </vt:variant>
      <vt:variant>
        <vt:i4>1441840</vt:i4>
      </vt:variant>
      <vt:variant>
        <vt:i4>524</vt:i4>
      </vt:variant>
      <vt:variant>
        <vt:i4>0</vt:i4>
      </vt:variant>
      <vt:variant>
        <vt:i4>5</vt:i4>
      </vt:variant>
      <vt:variant>
        <vt:lpwstr/>
      </vt:variant>
      <vt:variant>
        <vt:lpwstr>_Toc174709587</vt:lpwstr>
      </vt:variant>
      <vt:variant>
        <vt:i4>1441840</vt:i4>
      </vt:variant>
      <vt:variant>
        <vt:i4>518</vt:i4>
      </vt:variant>
      <vt:variant>
        <vt:i4>0</vt:i4>
      </vt:variant>
      <vt:variant>
        <vt:i4>5</vt:i4>
      </vt:variant>
      <vt:variant>
        <vt:lpwstr/>
      </vt:variant>
      <vt:variant>
        <vt:lpwstr>_Toc174709585</vt:lpwstr>
      </vt:variant>
      <vt:variant>
        <vt:i4>1441840</vt:i4>
      </vt:variant>
      <vt:variant>
        <vt:i4>512</vt:i4>
      </vt:variant>
      <vt:variant>
        <vt:i4>0</vt:i4>
      </vt:variant>
      <vt:variant>
        <vt:i4>5</vt:i4>
      </vt:variant>
      <vt:variant>
        <vt:lpwstr/>
      </vt:variant>
      <vt:variant>
        <vt:lpwstr>_Toc174709584</vt:lpwstr>
      </vt:variant>
      <vt:variant>
        <vt:i4>1441840</vt:i4>
      </vt:variant>
      <vt:variant>
        <vt:i4>506</vt:i4>
      </vt:variant>
      <vt:variant>
        <vt:i4>0</vt:i4>
      </vt:variant>
      <vt:variant>
        <vt:i4>5</vt:i4>
      </vt:variant>
      <vt:variant>
        <vt:lpwstr/>
      </vt:variant>
      <vt:variant>
        <vt:lpwstr>_Toc174709582</vt:lpwstr>
      </vt:variant>
      <vt:variant>
        <vt:i4>1441840</vt:i4>
      </vt:variant>
      <vt:variant>
        <vt:i4>500</vt:i4>
      </vt:variant>
      <vt:variant>
        <vt:i4>0</vt:i4>
      </vt:variant>
      <vt:variant>
        <vt:i4>5</vt:i4>
      </vt:variant>
      <vt:variant>
        <vt:lpwstr/>
      </vt:variant>
      <vt:variant>
        <vt:lpwstr>_Toc174709581</vt:lpwstr>
      </vt:variant>
      <vt:variant>
        <vt:i4>1441840</vt:i4>
      </vt:variant>
      <vt:variant>
        <vt:i4>494</vt:i4>
      </vt:variant>
      <vt:variant>
        <vt:i4>0</vt:i4>
      </vt:variant>
      <vt:variant>
        <vt:i4>5</vt:i4>
      </vt:variant>
      <vt:variant>
        <vt:lpwstr/>
      </vt:variant>
      <vt:variant>
        <vt:lpwstr>_Toc174709580</vt:lpwstr>
      </vt:variant>
      <vt:variant>
        <vt:i4>1638448</vt:i4>
      </vt:variant>
      <vt:variant>
        <vt:i4>488</vt:i4>
      </vt:variant>
      <vt:variant>
        <vt:i4>0</vt:i4>
      </vt:variant>
      <vt:variant>
        <vt:i4>5</vt:i4>
      </vt:variant>
      <vt:variant>
        <vt:lpwstr/>
      </vt:variant>
      <vt:variant>
        <vt:lpwstr>_Toc174709577</vt:lpwstr>
      </vt:variant>
      <vt:variant>
        <vt:i4>1638448</vt:i4>
      </vt:variant>
      <vt:variant>
        <vt:i4>482</vt:i4>
      </vt:variant>
      <vt:variant>
        <vt:i4>0</vt:i4>
      </vt:variant>
      <vt:variant>
        <vt:i4>5</vt:i4>
      </vt:variant>
      <vt:variant>
        <vt:lpwstr/>
      </vt:variant>
      <vt:variant>
        <vt:lpwstr>_Toc174709576</vt:lpwstr>
      </vt:variant>
      <vt:variant>
        <vt:i4>1638448</vt:i4>
      </vt:variant>
      <vt:variant>
        <vt:i4>476</vt:i4>
      </vt:variant>
      <vt:variant>
        <vt:i4>0</vt:i4>
      </vt:variant>
      <vt:variant>
        <vt:i4>5</vt:i4>
      </vt:variant>
      <vt:variant>
        <vt:lpwstr/>
      </vt:variant>
      <vt:variant>
        <vt:lpwstr>_Toc174709575</vt:lpwstr>
      </vt:variant>
      <vt:variant>
        <vt:i4>1638448</vt:i4>
      </vt:variant>
      <vt:variant>
        <vt:i4>470</vt:i4>
      </vt:variant>
      <vt:variant>
        <vt:i4>0</vt:i4>
      </vt:variant>
      <vt:variant>
        <vt:i4>5</vt:i4>
      </vt:variant>
      <vt:variant>
        <vt:lpwstr/>
      </vt:variant>
      <vt:variant>
        <vt:lpwstr>_Toc174709573</vt:lpwstr>
      </vt:variant>
      <vt:variant>
        <vt:i4>1638448</vt:i4>
      </vt:variant>
      <vt:variant>
        <vt:i4>464</vt:i4>
      </vt:variant>
      <vt:variant>
        <vt:i4>0</vt:i4>
      </vt:variant>
      <vt:variant>
        <vt:i4>5</vt:i4>
      </vt:variant>
      <vt:variant>
        <vt:lpwstr/>
      </vt:variant>
      <vt:variant>
        <vt:lpwstr>_Toc174709572</vt:lpwstr>
      </vt:variant>
      <vt:variant>
        <vt:i4>1572912</vt:i4>
      </vt:variant>
      <vt:variant>
        <vt:i4>458</vt:i4>
      </vt:variant>
      <vt:variant>
        <vt:i4>0</vt:i4>
      </vt:variant>
      <vt:variant>
        <vt:i4>5</vt:i4>
      </vt:variant>
      <vt:variant>
        <vt:lpwstr/>
      </vt:variant>
      <vt:variant>
        <vt:lpwstr>_Toc174709569</vt:lpwstr>
      </vt:variant>
      <vt:variant>
        <vt:i4>1572912</vt:i4>
      </vt:variant>
      <vt:variant>
        <vt:i4>452</vt:i4>
      </vt:variant>
      <vt:variant>
        <vt:i4>0</vt:i4>
      </vt:variant>
      <vt:variant>
        <vt:i4>5</vt:i4>
      </vt:variant>
      <vt:variant>
        <vt:lpwstr/>
      </vt:variant>
      <vt:variant>
        <vt:lpwstr>_Toc174709568</vt:lpwstr>
      </vt:variant>
      <vt:variant>
        <vt:i4>1572912</vt:i4>
      </vt:variant>
      <vt:variant>
        <vt:i4>446</vt:i4>
      </vt:variant>
      <vt:variant>
        <vt:i4>0</vt:i4>
      </vt:variant>
      <vt:variant>
        <vt:i4>5</vt:i4>
      </vt:variant>
      <vt:variant>
        <vt:lpwstr/>
      </vt:variant>
      <vt:variant>
        <vt:lpwstr>_Toc174709567</vt:lpwstr>
      </vt:variant>
      <vt:variant>
        <vt:i4>1572912</vt:i4>
      </vt:variant>
      <vt:variant>
        <vt:i4>440</vt:i4>
      </vt:variant>
      <vt:variant>
        <vt:i4>0</vt:i4>
      </vt:variant>
      <vt:variant>
        <vt:i4>5</vt:i4>
      </vt:variant>
      <vt:variant>
        <vt:lpwstr/>
      </vt:variant>
      <vt:variant>
        <vt:lpwstr>_Toc174709562</vt:lpwstr>
      </vt:variant>
      <vt:variant>
        <vt:i4>1572912</vt:i4>
      </vt:variant>
      <vt:variant>
        <vt:i4>434</vt:i4>
      </vt:variant>
      <vt:variant>
        <vt:i4>0</vt:i4>
      </vt:variant>
      <vt:variant>
        <vt:i4>5</vt:i4>
      </vt:variant>
      <vt:variant>
        <vt:lpwstr/>
      </vt:variant>
      <vt:variant>
        <vt:lpwstr>_Toc174709561</vt:lpwstr>
      </vt:variant>
      <vt:variant>
        <vt:i4>1769520</vt:i4>
      </vt:variant>
      <vt:variant>
        <vt:i4>428</vt:i4>
      </vt:variant>
      <vt:variant>
        <vt:i4>0</vt:i4>
      </vt:variant>
      <vt:variant>
        <vt:i4>5</vt:i4>
      </vt:variant>
      <vt:variant>
        <vt:lpwstr/>
      </vt:variant>
      <vt:variant>
        <vt:lpwstr>_Toc174709556</vt:lpwstr>
      </vt:variant>
      <vt:variant>
        <vt:i4>1769520</vt:i4>
      </vt:variant>
      <vt:variant>
        <vt:i4>422</vt:i4>
      </vt:variant>
      <vt:variant>
        <vt:i4>0</vt:i4>
      </vt:variant>
      <vt:variant>
        <vt:i4>5</vt:i4>
      </vt:variant>
      <vt:variant>
        <vt:lpwstr/>
      </vt:variant>
      <vt:variant>
        <vt:lpwstr>_Toc174709555</vt:lpwstr>
      </vt:variant>
      <vt:variant>
        <vt:i4>1769520</vt:i4>
      </vt:variant>
      <vt:variant>
        <vt:i4>416</vt:i4>
      </vt:variant>
      <vt:variant>
        <vt:i4>0</vt:i4>
      </vt:variant>
      <vt:variant>
        <vt:i4>5</vt:i4>
      </vt:variant>
      <vt:variant>
        <vt:lpwstr/>
      </vt:variant>
      <vt:variant>
        <vt:lpwstr>_Toc174709554</vt:lpwstr>
      </vt:variant>
      <vt:variant>
        <vt:i4>1769520</vt:i4>
      </vt:variant>
      <vt:variant>
        <vt:i4>410</vt:i4>
      </vt:variant>
      <vt:variant>
        <vt:i4>0</vt:i4>
      </vt:variant>
      <vt:variant>
        <vt:i4>5</vt:i4>
      </vt:variant>
      <vt:variant>
        <vt:lpwstr/>
      </vt:variant>
      <vt:variant>
        <vt:lpwstr>_Toc174709552</vt:lpwstr>
      </vt:variant>
      <vt:variant>
        <vt:i4>1769520</vt:i4>
      </vt:variant>
      <vt:variant>
        <vt:i4>404</vt:i4>
      </vt:variant>
      <vt:variant>
        <vt:i4>0</vt:i4>
      </vt:variant>
      <vt:variant>
        <vt:i4>5</vt:i4>
      </vt:variant>
      <vt:variant>
        <vt:lpwstr/>
      </vt:variant>
      <vt:variant>
        <vt:lpwstr>_Toc174709550</vt:lpwstr>
      </vt:variant>
      <vt:variant>
        <vt:i4>1703984</vt:i4>
      </vt:variant>
      <vt:variant>
        <vt:i4>398</vt:i4>
      </vt:variant>
      <vt:variant>
        <vt:i4>0</vt:i4>
      </vt:variant>
      <vt:variant>
        <vt:i4>5</vt:i4>
      </vt:variant>
      <vt:variant>
        <vt:lpwstr/>
      </vt:variant>
      <vt:variant>
        <vt:lpwstr>_Toc174709549</vt:lpwstr>
      </vt:variant>
      <vt:variant>
        <vt:i4>1703984</vt:i4>
      </vt:variant>
      <vt:variant>
        <vt:i4>392</vt:i4>
      </vt:variant>
      <vt:variant>
        <vt:i4>0</vt:i4>
      </vt:variant>
      <vt:variant>
        <vt:i4>5</vt:i4>
      </vt:variant>
      <vt:variant>
        <vt:lpwstr/>
      </vt:variant>
      <vt:variant>
        <vt:lpwstr>_Toc174709546</vt:lpwstr>
      </vt:variant>
      <vt:variant>
        <vt:i4>1703984</vt:i4>
      </vt:variant>
      <vt:variant>
        <vt:i4>386</vt:i4>
      </vt:variant>
      <vt:variant>
        <vt:i4>0</vt:i4>
      </vt:variant>
      <vt:variant>
        <vt:i4>5</vt:i4>
      </vt:variant>
      <vt:variant>
        <vt:lpwstr/>
      </vt:variant>
      <vt:variant>
        <vt:lpwstr>_Toc174709545</vt:lpwstr>
      </vt:variant>
      <vt:variant>
        <vt:i4>1703984</vt:i4>
      </vt:variant>
      <vt:variant>
        <vt:i4>380</vt:i4>
      </vt:variant>
      <vt:variant>
        <vt:i4>0</vt:i4>
      </vt:variant>
      <vt:variant>
        <vt:i4>5</vt:i4>
      </vt:variant>
      <vt:variant>
        <vt:lpwstr/>
      </vt:variant>
      <vt:variant>
        <vt:lpwstr>_Toc174709544</vt:lpwstr>
      </vt:variant>
      <vt:variant>
        <vt:i4>1703984</vt:i4>
      </vt:variant>
      <vt:variant>
        <vt:i4>374</vt:i4>
      </vt:variant>
      <vt:variant>
        <vt:i4>0</vt:i4>
      </vt:variant>
      <vt:variant>
        <vt:i4>5</vt:i4>
      </vt:variant>
      <vt:variant>
        <vt:lpwstr/>
      </vt:variant>
      <vt:variant>
        <vt:lpwstr>_Toc174709542</vt:lpwstr>
      </vt:variant>
      <vt:variant>
        <vt:i4>1703984</vt:i4>
      </vt:variant>
      <vt:variant>
        <vt:i4>368</vt:i4>
      </vt:variant>
      <vt:variant>
        <vt:i4>0</vt:i4>
      </vt:variant>
      <vt:variant>
        <vt:i4>5</vt:i4>
      </vt:variant>
      <vt:variant>
        <vt:lpwstr/>
      </vt:variant>
      <vt:variant>
        <vt:lpwstr>_Toc174709541</vt:lpwstr>
      </vt:variant>
      <vt:variant>
        <vt:i4>1900592</vt:i4>
      </vt:variant>
      <vt:variant>
        <vt:i4>362</vt:i4>
      </vt:variant>
      <vt:variant>
        <vt:i4>0</vt:i4>
      </vt:variant>
      <vt:variant>
        <vt:i4>5</vt:i4>
      </vt:variant>
      <vt:variant>
        <vt:lpwstr/>
      </vt:variant>
      <vt:variant>
        <vt:lpwstr>_Toc174709538</vt:lpwstr>
      </vt:variant>
      <vt:variant>
        <vt:i4>1900592</vt:i4>
      </vt:variant>
      <vt:variant>
        <vt:i4>356</vt:i4>
      </vt:variant>
      <vt:variant>
        <vt:i4>0</vt:i4>
      </vt:variant>
      <vt:variant>
        <vt:i4>5</vt:i4>
      </vt:variant>
      <vt:variant>
        <vt:lpwstr/>
      </vt:variant>
      <vt:variant>
        <vt:lpwstr>_Toc174709537</vt:lpwstr>
      </vt:variant>
      <vt:variant>
        <vt:i4>1900592</vt:i4>
      </vt:variant>
      <vt:variant>
        <vt:i4>350</vt:i4>
      </vt:variant>
      <vt:variant>
        <vt:i4>0</vt:i4>
      </vt:variant>
      <vt:variant>
        <vt:i4>5</vt:i4>
      </vt:variant>
      <vt:variant>
        <vt:lpwstr/>
      </vt:variant>
      <vt:variant>
        <vt:lpwstr>_Toc174709536</vt:lpwstr>
      </vt:variant>
      <vt:variant>
        <vt:i4>1900592</vt:i4>
      </vt:variant>
      <vt:variant>
        <vt:i4>344</vt:i4>
      </vt:variant>
      <vt:variant>
        <vt:i4>0</vt:i4>
      </vt:variant>
      <vt:variant>
        <vt:i4>5</vt:i4>
      </vt:variant>
      <vt:variant>
        <vt:lpwstr/>
      </vt:variant>
      <vt:variant>
        <vt:lpwstr>_Toc174709535</vt:lpwstr>
      </vt:variant>
      <vt:variant>
        <vt:i4>1900592</vt:i4>
      </vt:variant>
      <vt:variant>
        <vt:i4>338</vt:i4>
      </vt:variant>
      <vt:variant>
        <vt:i4>0</vt:i4>
      </vt:variant>
      <vt:variant>
        <vt:i4>5</vt:i4>
      </vt:variant>
      <vt:variant>
        <vt:lpwstr/>
      </vt:variant>
      <vt:variant>
        <vt:lpwstr>_Toc174709534</vt:lpwstr>
      </vt:variant>
      <vt:variant>
        <vt:i4>1900592</vt:i4>
      </vt:variant>
      <vt:variant>
        <vt:i4>332</vt:i4>
      </vt:variant>
      <vt:variant>
        <vt:i4>0</vt:i4>
      </vt:variant>
      <vt:variant>
        <vt:i4>5</vt:i4>
      </vt:variant>
      <vt:variant>
        <vt:lpwstr/>
      </vt:variant>
      <vt:variant>
        <vt:lpwstr>_Toc174709533</vt:lpwstr>
      </vt:variant>
      <vt:variant>
        <vt:i4>1900592</vt:i4>
      </vt:variant>
      <vt:variant>
        <vt:i4>326</vt:i4>
      </vt:variant>
      <vt:variant>
        <vt:i4>0</vt:i4>
      </vt:variant>
      <vt:variant>
        <vt:i4>5</vt:i4>
      </vt:variant>
      <vt:variant>
        <vt:lpwstr/>
      </vt:variant>
      <vt:variant>
        <vt:lpwstr>_Toc174709532</vt:lpwstr>
      </vt:variant>
      <vt:variant>
        <vt:i4>1900592</vt:i4>
      </vt:variant>
      <vt:variant>
        <vt:i4>320</vt:i4>
      </vt:variant>
      <vt:variant>
        <vt:i4>0</vt:i4>
      </vt:variant>
      <vt:variant>
        <vt:i4>5</vt:i4>
      </vt:variant>
      <vt:variant>
        <vt:lpwstr/>
      </vt:variant>
      <vt:variant>
        <vt:lpwstr>_Toc174709531</vt:lpwstr>
      </vt:variant>
      <vt:variant>
        <vt:i4>1835056</vt:i4>
      </vt:variant>
      <vt:variant>
        <vt:i4>314</vt:i4>
      </vt:variant>
      <vt:variant>
        <vt:i4>0</vt:i4>
      </vt:variant>
      <vt:variant>
        <vt:i4>5</vt:i4>
      </vt:variant>
      <vt:variant>
        <vt:lpwstr/>
      </vt:variant>
      <vt:variant>
        <vt:lpwstr>_Toc174709529</vt:lpwstr>
      </vt:variant>
      <vt:variant>
        <vt:i4>1835056</vt:i4>
      </vt:variant>
      <vt:variant>
        <vt:i4>308</vt:i4>
      </vt:variant>
      <vt:variant>
        <vt:i4>0</vt:i4>
      </vt:variant>
      <vt:variant>
        <vt:i4>5</vt:i4>
      </vt:variant>
      <vt:variant>
        <vt:lpwstr/>
      </vt:variant>
      <vt:variant>
        <vt:lpwstr>_Toc174709528</vt:lpwstr>
      </vt:variant>
      <vt:variant>
        <vt:i4>1835056</vt:i4>
      </vt:variant>
      <vt:variant>
        <vt:i4>302</vt:i4>
      </vt:variant>
      <vt:variant>
        <vt:i4>0</vt:i4>
      </vt:variant>
      <vt:variant>
        <vt:i4>5</vt:i4>
      </vt:variant>
      <vt:variant>
        <vt:lpwstr/>
      </vt:variant>
      <vt:variant>
        <vt:lpwstr>_Toc174709527</vt:lpwstr>
      </vt:variant>
      <vt:variant>
        <vt:i4>1835056</vt:i4>
      </vt:variant>
      <vt:variant>
        <vt:i4>296</vt:i4>
      </vt:variant>
      <vt:variant>
        <vt:i4>0</vt:i4>
      </vt:variant>
      <vt:variant>
        <vt:i4>5</vt:i4>
      </vt:variant>
      <vt:variant>
        <vt:lpwstr/>
      </vt:variant>
      <vt:variant>
        <vt:lpwstr>_Toc174709526</vt:lpwstr>
      </vt:variant>
      <vt:variant>
        <vt:i4>1835056</vt:i4>
      </vt:variant>
      <vt:variant>
        <vt:i4>290</vt:i4>
      </vt:variant>
      <vt:variant>
        <vt:i4>0</vt:i4>
      </vt:variant>
      <vt:variant>
        <vt:i4>5</vt:i4>
      </vt:variant>
      <vt:variant>
        <vt:lpwstr/>
      </vt:variant>
      <vt:variant>
        <vt:lpwstr>_Toc174709525</vt:lpwstr>
      </vt:variant>
      <vt:variant>
        <vt:i4>1835056</vt:i4>
      </vt:variant>
      <vt:variant>
        <vt:i4>284</vt:i4>
      </vt:variant>
      <vt:variant>
        <vt:i4>0</vt:i4>
      </vt:variant>
      <vt:variant>
        <vt:i4>5</vt:i4>
      </vt:variant>
      <vt:variant>
        <vt:lpwstr/>
      </vt:variant>
      <vt:variant>
        <vt:lpwstr>_Toc174709523</vt:lpwstr>
      </vt:variant>
      <vt:variant>
        <vt:i4>1835056</vt:i4>
      </vt:variant>
      <vt:variant>
        <vt:i4>278</vt:i4>
      </vt:variant>
      <vt:variant>
        <vt:i4>0</vt:i4>
      </vt:variant>
      <vt:variant>
        <vt:i4>5</vt:i4>
      </vt:variant>
      <vt:variant>
        <vt:lpwstr/>
      </vt:variant>
      <vt:variant>
        <vt:lpwstr>_Toc174709522</vt:lpwstr>
      </vt:variant>
      <vt:variant>
        <vt:i4>1835056</vt:i4>
      </vt:variant>
      <vt:variant>
        <vt:i4>272</vt:i4>
      </vt:variant>
      <vt:variant>
        <vt:i4>0</vt:i4>
      </vt:variant>
      <vt:variant>
        <vt:i4>5</vt:i4>
      </vt:variant>
      <vt:variant>
        <vt:lpwstr/>
      </vt:variant>
      <vt:variant>
        <vt:lpwstr>_Toc174709521</vt:lpwstr>
      </vt:variant>
      <vt:variant>
        <vt:i4>1835056</vt:i4>
      </vt:variant>
      <vt:variant>
        <vt:i4>266</vt:i4>
      </vt:variant>
      <vt:variant>
        <vt:i4>0</vt:i4>
      </vt:variant>
      <vt:variant>
        <vt:i4>5</vt:i4>
      </vt:variant>
      <vt:variant>
        <vt:lpwstr/>
      </vt:variant>
      <vt:variant>
        <vt:lpwstr>_Toc174709520</vt:lpwstr>
      </vt:variant>
      <vt:variant>
        <vt:i4>2031664</vt:i4>
      </vt:variant>
      <vt:variant>
        <vt:i4>260</vt:i4>
      </vt:variant>
      <vt:variant>
        <vt:i4>0</vt:i4>
      </vt:variant>
      <vt:variant>
        <vt:i4>5</vt:i4>
      </vt:variant>
      <vt:variant>
        <vt:lpwstr/>
      </vt:variant>
      <vt:variant>
        <vt:lpwstr>_Toc174709519</vt:lpwstr>
      </vt:variant>
      <vt:variant>
        <vt:i4>2031664</vt:i4>
      </vt:variant>
      <vt:variant>
        <vt:i4>254</vt:i4>
      </vt:variant>
      <vt:variant>
        <vt:i4>0</vt:i4>
      </vt:variant>
      <vt:variant>
        <vt:i4>5</vt:i4>
      </vt:variant>
      <vt:variant>
        <vt:lpwstr/>
      </vt:variant>
      <vt:variant>
        <vt:lpwstr>_Toc174709517</vt:lpwstr>
      </vt:variant>
      <vt:variant>
        <vt:i4>2031664</vt:i4>
      </vt:variant>
      <vt:variant>
        <vt:i4>248</vt:i4>
      </vt:variant>
      <vt:variant>
        <vt:i4>0</vt:i4>
      </vt:variant>
      <vt:variant>
        <vt:i4>5</vt:i4>
      </vt:variant>
      <vt:variant>
        <vt:lpwstr/>
      </vt:variant>
      <vt:variant>
        <vt:lpwstr>_Toc174709516</vt:lpwstr>
      </vt:variant>
      <vt:variant>
        <vt:i4>2031664</vt:i4>
      </vt:variant>
      <vt:variant>
        <vt:i4>242</vt:i4>
      </vt:variant>
      <vt:variant>
        <vt:i4>0</vt:i4>
      </vt:variant>
      <vt:variant>
        <vt:i4>5</vt:i4>
      </vt:variant>
      <vt:variant>
        <vt:lpwstr/>
      </vt:variant>
      <vt:variant>
        <vt:lpwstr>_Toc174709514</vt:lpwstr>
      </vt:variant>
      <vt:variant>
        <vt:i4>2031664</vt:i4>
      </vt:variant>
      <vt:variant>
        <vt:i4>236</vt:i4>
      </vt:variant>
      <vt:variant>
        <vt:i4>0</vt:i4>
      </vt:variant>
      <vt:variant>
        <vt:i4>5</vt:i4>
      </vt:variant>
      <vt:variant>
        <vt:lpwstr/>
      </vt:variant>
      <vt:variant>
        <vt:lpwstr>_Toc174709513</vt:lpwstr>
      </vt:variant>
      <vt:variant>
        <vt:i4>2031664</vt:i4>
      </vt:variant>
      <vt:variant>
        <vt:i4>230</vt:i4>
      </vt:variant>
      <vt:variant>
        <vt:i4>0</vt:i4>
      </vt:variant>
      <vt:variant>
        <vt:i4>5</vt:i4>
      </vt:variant>
      <vt:variant>
        <vt:lpwstr/>
      </vt:variant>
      <vt:variant>
        <vt:lpwstr>_Toc174709512</vt:lpwstr>
      </vt:variant>
      <vt:variant>
        <vt:i4>2031664</vt:i4>
      </vt:variant>
      <vt:variant>
        <vt:i4>224</vt:i4>
      </vt:variant>
      <vt:variant>
        <vt:i4>0</vt:i4>
      </vt:variant>
      <vt:variant>
        <vt:i4>5</vt:i4>
      </vt:variant>
      <vt:variant>
        <vt:lpwstr/>
      </vt:variant>
      <vt:variant>
        <vt:lpwstr>_Toc174709511</vt:lpwstr>
      </vt:variant>
      <vt:variant>
        <vt:i4>2031664</vt:i4>
      </vt:variant>
      <vt:variant>
        <vt:i4>218</vt:i4>
      </vt:variant>
      <vt:variant>
        <vt:i4>0</vt:i4>
      </vt:variant>
      <vt:variant>
        <vt:i4>5</vt:i4>
      </vt:variant>
      <vt:variant>
        <vt:lpwstr/>
      </vt:variant>
      <vt:variant>
        <vt:lpwstr>_Toc174709510</vt:lpwstr>
      </vt:variant>
      <vt:variant>
        <vt:i4>1966128</vt:i4>
      </vt:variant>
      <vt:variant>
        <vt:i4>212</vt:i4>
      </vt:variant>
      <vt:variant>
        <vt:i4>0</vt:i4>
      </vt:variant>
      <vt:variant>
        <vt:i4>5</vt:i4>
      </vt:variant>
      <vt:variant>
        <vt:lpwstr/>
      </vt:variant>
      <vt:variant>
        <vt:lpwstr>_Toc174709509</vt:lpwstr>
      </vt:variant>
      <vt:variant>
        <vt:i4>1966128</vt:i4>
      </vt:variant>
      <vt:variant>
        <vt:i4>206</vt:i4>
      </vt:variant>
      <vt:variant>
        <vt:i4>0</vt:i4>
      </vt:variant>
      <vt:variant>
        <vt:i4>5</vt:i4>
      </vt:variant>
      <vt:variant>
        <vt:lpwstr/>
      </vt:variant>
      <vt:variant>
        <vt:lpwstr>_Toc174709508</vt:lpwstr>
      </vt:variant>
      <vt:variant>
        <vt:i4>1966128</vt:i4>
      </vt:variant>
      <vt:variant>
        <vt:i4>200</vt:i4>
      </vt:variant>
      <vt:variant>
        <vt:i4>0</vt:i4>
      </vt:variant>
      <vt:variant>
        <vt:i4>5</vt:i4>
      </vt:variant>
      <vt:variant>
        <vt:lpwstr/>
      </vt:variant>
      <vt:variant>
        <vt:lpwstr>_Toc174709507</vt:lpwstr>
      </vt:variant>
      <vt:variant>
        <vt:i4>1966128</vt:i4>
      </vt:variant>
      <vt:variant>
        <vt:i4>194</vt:i4>
      </vt:variant>
      <vt:variant>
        <vt:i4>0</vt:i4>
      </vt:variant>
      <vt:variant>
        <vt:i4>5</vt:i4>
      </vt:variant>
      <vt:variant>
        <vt:lpwstr/>
      </vt:variant>
      <vt:variant>
        <vt:lpwstr>_Toc174709506</vt:lpwstr>
      </vt:variant>
      <vt:variant>
        <vt:i4>1966128</vt:i4>
      </vt:variant>
      <vt:variant>
        <vt:i4>188</vt:i4>
      </vt:variant>
      <vt:variant>
        <vt:i4>0</vt:i4>
      </vt:variant>
      <vt:variant>
        <vt:i4>5</vt:i4>
      </vt:variant>
      <vt:variant>
        <vt:lpwstr/>
      </vt:variant>
      <vt:variant>
        <vt:lpwstr>_Toc174709505</vt:lpwstr>
      </vt:variant>
      <vt:variant>
        <vt:i4>1507377</vt:i4>
      </vt:variant>
      <vt:variant>
        <vt:i4>182</vt:i4>
      </vt:variant>
      <vt:variant>
        <vt:i4>0</vt:i4>
      </vt:variant>
      <vt:variant>
        <vt:i4>5</vt:i4>
      </vt:variant>
      <vt:variant>
        <vt:lpwstr/>
      </vt:variant>
      <vt:variant>
        <vt:lpwstr>_Toc174709499</vt:lpwstr>
      </vt:variant>
      <vt:variant>
        <vt:i4>1507377</vt:i4>
      </vt:variant>
      <vt:variant>
        <vt:i4>176</vt:i4>
      </vt:variant>
      <vt:variant>
        <vt:i4>0</vt:i4>
      </vt:variant>
      <vt:variant>
        <vt:i4>5</vt:i4>
      </vt:variant>
      <vt:variant>
        <vt:lpwstr/>
      </vt:variant>
      <vt:variant>
        <vt:lpwstr>_Toc174709495</vt:lpwstr>
      </vt:variant>
      <vt:variant>
        <vt:i4>1507377</vt:i4>
      </vt:variant>
      <vt:variant>
        <vt:i4>170</vt:i4>
      </vt:variant>
      <vt:variant>
        <vt:i4>0</vt:i4>
      </vt:variant>
      <vt:variant>
        <vt:i4>5</vt:i4>
      </vt:variant>
      <vt:variant>
        <vt:lpwstr/>
      </vt:variant>
      <vt:variant>
        <vt:lpwstr>_Toc174709494</vt:lpwstr>
      </vt:variant>
      <vt:variant>
        <vt:i4>1507377</vt:i4>
      </vt:variant>
      <vt:variant>
        <vt:i4>164</vt:i4>
      </vt:variant>
      <vt:variant>
        <vt:i4>0</vt:i4>
      </vt:variant>
      <vt:variant>
        <vt:i4>5</vt:i4>
      </vt:variant>
      <vt:variant>
        <vt:lpwstr/>
      </vt:variant>
      <vt:variant>
        <vt:lpwstr>_Toc174709493</vt:lpwstr>
      </vt:variant>
      <vt:variant>
        <vt:i4>1507377</vt:i4>
      </vt:variant>
      <vt:variant>
        <vt:i4>158</vt:i4>
      </vt:variant>
      <vt:variant>
        <vt:i4>0</vt:i4>
      </vt:variant>
      <vt:variant>
        <vt:i4>5</vt:i4>
      </vt:variant>
      <vt:variant>
        <vt:lpwstr/>
      </vt:variant>
      <vt:variant>
        <vt:lpwstr>_Toc174709492</vt:lpwstr>
      </vt:variant>
      <vt:variant>
        <vt:i4>1507377</vt:i4>
      </vt:variant>
      <vt:variant>
        <vt:i4>152</vt:i4>
      </vt:variant>
      <vt:variant>
        <vt:i4>0</vt:i4>
      </vt:variant>
      <vt:variant>
        <vt:i4>5</vt:i4>
      </vt:variant>
      <vt:variant>
        <vt:lpwstr/>
      </vt:variant>
      <vt:variant>
        <vt:lpwstr>_Toc174709491</vt:lpwstr>
      </vt:variant>
      <vt:variant>
        <vt:i4>1507377</vt:i4>
      </vt:variant>
      <vt:variant>
        <vt:i4>146</vt:i4>
      </vt:variant>
      <vt:variant>
        <vt:i4>0</vt:i4>
      </vt:variant>
      <vt:variant>
        <vt:i4>5</vt:i4>
      </vt:variant>
      <vt:variant>
        <vt:lpwstr/>
      </vt:variant>
      <vt:variant>
        <vt:lpwstr>_Toc174709490</vt:lpwstr>
      </vt:variant>
      <vt:variant>
        <vt:i4>1441841</vt:i4>
      </vt:variant>
      <vt:variant>
        <vt:i4>140</vt:i4>
      </vt:variant>
      <vt:variant>
        <vt:i4>0</vt:i4>
      </vt:variant>
      <vt:variant>
        <vt:i4>5</vt:i4>
      </vt:variant>
      <vt:variant>
        <vt:lpwstr/>
      </vt:variant>
      <vt:variant>
        <vt:lpwstr>_Toc174709489</vt:lpwstr>
      </vt:variant>
      <vt:variant>
        <vt:i4>1441841</vt:i4>
      </vt:variant>
      <vt:variant>
        <vt:i4>134</vt:i4>
      </vt:variant>
      <vt:variant>
        <vt:i4>0</vt:i4>
      </vt:variant>
      <vt:variant>
        <vt:i4>5</vt:i4>
      </vt:variant>
      <vt:variant>
        <vt:lpwstr/>
      </vt:variant>
      <vt:variant>
        <vt:lpwstr>_Toc174709488</vt:lpwstr>
      </vt:variant>
      <vt:variant>
        <vt:i4>1441841</vt:i4>
      </vt:variant>
      <vt:variant>
        <vt:i4>128</vt:i4>
      </vt:variant>
      <vt:variant>
        <vt:i4>0</vt:i4>
      </vt:variant>
      <vt:variant>
        <vt:i4>5</vt:i4>
      </vt:variant>
      <vt:variant>
        <vt:lpwstr/>
      </vt:variant>
      <vt:variant>
        <vt:lpwstr>_Toc174709486</vt:lpwstr>
      </vt:variant>
      <vt:variant>
        <vt:i4>1441841</vt:i4>
      </vt:variant>
      <vt:variant>
        <vt:i4>122</vt:i4>
      </vt:variant>
      <vt:variant>
        <vt:i4>0</vt:i4>
      </vt:variant>
      <vt:variant>
        <vt:i4>5</vt:i4>
      </vt:variant>
      <vt:variant>
        <vt:lpwstr/>
      </vt:variant>
      <vt:variant>
        <vt:lpwstr>_Toc174709484</vt:lpwstr>
      </vt:variant>
      <vt:variant>
        <vt:i4>1441841</vt:i4>
      </vt:variant>
      <vt:variant>
        <vt:i4>116</vt:i4>
      </vt:variant>
      <vt:variant>
        <vt:i4>0</vt:i4>
      </vt:variant>
      <vt:variant>
        <vt:i4>5</vt:i4>
      </vt:variant>
      <vt:variant>
        <vt:lpwstr/>
      </vt:variant>
      <vt:variant>
        <vt:lpwstr>_Toc174709482</vt:lpwstr>
      </vt:variant>
      <vt:variant>
        <vt:i4>1638449</vt:i4>
      </vt:variant>
      <vt:variant>
        <vt:i4>110</vt:i4>
      </vt:variant>
      <vt:variant>
        <vt:i4>0</vt:i4>
      </vt:variant>
      <vt:variant>
        <vt:i4>5</vt:i4>
      </vt:variant>
      <vt:variant>
        <vt:lpwstr/>
      </vt:variant>
      <vt:variant>
        <vt:lpwstr>_Toc174709479</vt:lpwstr>
      </vt:variant>
      <vt:variant>
        <vt:i4>1638449</vt:i4>
      </vt:variant>
      <vt:variant>
        <vt:i4>104</vt:i4>
      </vt:variant>
      <vt:variant>
        <vt:i4>0</vt:i4>
      </vt:variant>
      <vt:variant>
        <vt:i4>5</vt:i4>
      </vt:variant>
      <vt:variant>
        <vt:lpwstr/>
      </vt:variant>
      <vt:variant>
        <vt:lpwstr>_Toc174709476</vt:lpwstr>
      </vt:variant>
      <vt:variant>
        <vt:i4>1638449</vt:i4>
      </vt:variant>
      <vt:variant>
        <vt:i4>98</vt:i4>
      </vt:variant>
      <vt:variant>
        <vt:i4>0</vt:i4>
      </vt:variant>
      <vt:variant>
        <vt:i4>5</vt:i4>
      </vt:variant>
      <vt:variant>
        <vt:lpwstr/>
      </vt:variant>
      <vt:variant>
        <vt:lpwstr>_Toc174709474</vt:lpwstr>
      </vt:variant>
      <vt:variant>
        <vt:i4>1638449</vt:i4>
      </vt:variant>
      <vt:variant>
        <vt:i4>92</vt:i4>
      </vt:variant>
      <vt:variant>
        <vt:i4>0</vt:i4>
      </vt:variant>
      <vt:variant>
        <vt:i4>5</vt:i4>
      </vt:variant>
      <vt:variant>
        <vt:lpwstr/>
      </vt:variant>
      <vt:variant>
        <vt:lpwstr>_Toc174709473</vt:lpwstr>
      </vt:variant>
      <vt:variant>
        <vt:i4>1638449</vt:i4>
      </vt:variant>
      <vt:variant>
        <vt:i4>86</vt:i4>
      </vt:variant>
      <vt:variant>
        <vt:i4>0</vt:i4>
      </vt:variant>
      <vt:variant>
        <vt:i4>5</vt:i4>
      </vt:variant>
      <vt:variant>
        <vt:lpwstr/>
      </vt:variant>
      <vt:variant>
        <vt:lpwstr>_Toc174709471</vt:lpwstr>
      </vt:variant>
      <vt:variant>
        <vt:i4>1638449</vt:i4>
      </vt:variant>
      <vt:variant>
        <vt:i4>80</vt:i4>
      </vt:variant>
      <vt:variant>
        <vt:i4>0</vt:i4>
      </vt:variant>
      <vt:variant>
        <vt:i4>5</vt:i4>
      </vt:variant>
      <vt:variant>
        <vt:lpwstr/>
      </vt:variant>
      <vt:variant>
        <vt:lpwstr>_Toc174709470</vt:lpwstr>
      </vt:variant>
      <vt:variant>
        <vt:i4>1572913</vt:i4>
      </vt:variant>
      <vt:variant>
        <vt:i4>74</vt:i4>
      </vt:variant>
      <vt:variant>
        <vt:i4>0</vt:i4>
      </vt:variant>
      <vt:variant>
        <vt:i4>5</vt:i4>
      </vt:variant>
      <vt:variant>
        <vt:lpwstr/>
      </vt:variant>
      <vt:variant>
        <vt:lpwstr>_Toc174709468</vt:lpwstr>
      </vt:variant>
      <vt:variant>
        <vt:i4>1572913</vt:i4>
      </vt:variant>
      <vt:variant>
        <vt:i4>68</vt:i4>
      </vt:variant>
      <vt:variant>
        <vt:i4>0</vt:i4>
      </vt:variant>
      <vt:variant>
        <vt:i4>5</vt:i4>
      </vt:variant>
      <vt:variant>
        <vt:lpwstr/>
      </vt:variant>
      <vt:variant>
        <vt:lpwstr>_Toc174709467</vt:lpwstr>
      </vt:variant>
      <vt:variant>
        <vt:i4>1572913</vt:i4>
      </vt:variant>
      <vt:variant>
        <vt:i4>62</vt:i4>
      </vt:variant>
      <vt:variant>
        <vt:i4>0</vt:i4>
      </vt:variant>
      <vt:variant>
        <vt:i4>5</vt:i4>
      </vt:variant>
      <vt:variant>
        <vt:lpwstr/>
      </vt:variant>
      <vt:variant>
        <vt:lpwstr>_Toc174709465</vt:lpwstr>
      </vt:variant>
      <vt:variant>
        <vt:i4>1572913</vt:i4>
      </vt:variant>
      <vt:variant>
        <vt:i4>56</vt:i4>
      </vt:variant>
      <vt:variant>
        <vt:i4>0</vt:i4>
      </vt:variant>
      <vt:variant>
        <vt:i4>5</vt:i4>
      </vt:variant>
      <vt:variant>
        <vt:lpwstr/>
      </vt:variant>
      <vt:variant>
        <vt:lpwstr>_Toc174709464</vt:lpwstr>
      </vt:variant>
      <vt:variant>
        <vt:i4>1572913</vt:i4>
      </vt:variant>
      <vt:variant>
        <vt:i4>50</vt:i4>
      </vt:variant>
      <vt:variant>
        <vt:i4>0</vt:i4>
      </vt:variant>
      <vt:variant>
        <vt:i4>5</vt:i4>
      </vt:variant>
      <vt:variant>
        <vt:lpwstr/>
      </vt:variant>
      <vt:variant>
        <vt:lpwstr>_Toc174709463</vt:lpwstr>
      </vt:variant>
      <vt:variant>
        <vt:i4>1572913</vt:i4>
      </vt:variant>
      <vt:variant>
        <vt:i4>44</vt:i4>
      </vt:variant>
      <vt:variant>
        <vt:i4>0</vt:i4>
      </vt:variant>
      <vt:variant>
        <vt:i4>5</vt:i4>
      </vt:variant>
      <vt:variant>
        <vt:lpwstr/>
      </vt:variant>
      <vt:variant>
        <vt:lpwstr>_Toc174709460</vt:lpwstr>
      </vt:variant>
      <vt:variant>
        <vt:i4>1769521</vt:i4>
      </vt:variant>
      <vt:variant>
        <vt:i4>38</vt:i4>
      </vt:variant>
      <vt:variant>
        <vt:i4>0</vt:i4>
      </vt:variant>
      <vt:variant>
        <vt:i4>5</vt:i4>
      </vt:variant>
      <vt:variant>
        <vt:lpwstr/>
      </vt:variant>
      <vt:variant>
        <vt:lpwstr>_Toc174709459</vt:lpwstr>
      </vt:variant>
      <vt:variant>
        <vt:i4>1769521</vt:i4>
      </vt:variant>
      <vt:variant>
        <vt:i4>32</vt:i4>
      </vt:variant>
      <vt:variant>
        <vt:i4>0</vt:i4>
      </vt:variant>
      <vt:variant>
        <vt:i4>5</vt:i4>
      </vt:variant>
      <vt:variant>
        <vt:lpwstr/>
      </vt:variant>
      <vt:variant>
        <vt:lpwstr>_Toc174709458</vt:lpwstr>
      </vt:variant>
      <vt:variant>
        <vt:i4>1769521</vt:i4>
      </vt:variant>
      <vt:variant>
        <vt:i4>26</vt:i4>
      </vt:variant>
      <vt:variant>
        <vt:i4>0</vt:i4>
      </vt:variant>
      <vt:variant>
        <vt:i4>5</vt:i4>
      </vt:variant>
      <vt:variant>
        <vt:lpwstr/>
      </vt:variant>
      <vt:variant>
        <vt:lpwstr>_Toc174709457</vt:lpwstr>
      </vt:variant>
      <vt:variant>
        <vt:i4>1769521</vt:i4>
      </vt:variant>
      <vt:variant>
        <vt:i4>20</vt:i4>
      </vt:variant>
      <vt:variant>
        <vt:i4>0</vt:i4>
      </vt:variant>
      <vt:variant>
        <vt:i4>5</vt:i4>
      </vt:variant>
      <vt:variant>
        <vt:lpwstr/>
      </vt:variant>
      <vt:variant>
        <vt:lpwstr>_Toc174709456</vt:lpwstr>
      </vt:variant>
      <vt:variant>
        <vt:i4>1769521</vt:i4>
      </vt:variant>
      <vt:variant>
        <vt:i4>14</vt:i4>
      </vt:variant>
      <vt:variant>
        <vt:i4>0</vt:i4>
      </vt:variant>
      <vt:variant>
        <vt:i4>5</vt:i4>
      </vt:variant>
      <vt:variant>
        <vt:lpwstr/>
      </vt:variant>
      <vt:variant>
        <vt:lpwstr>_Toc174709455</vt:lpwstr>
      </vt:variant>
      <vt:variant>
        <vt:i4>1769521</vt:i4>
      </vt:variant>
      <vt:variant>
        <vt:i4>8</vt:i4>
      </vt:variant>
      <vt:variant>
        <vt:i4>0</vt:i4>
      </vt:variant>
      <vt:variant>
        <vt:i4>5</vt:i4>
      </vt:variant>
      <vt:variant>
        <vt:lpwstr/>
      </vt:variant>
      <vt:variant>
        <vt:lpwstr>_Toc174709454</vt:lpwstr>
      </vt:variant>
      <vt:variant>
        <vt:i4>1769521</vt:i4>
      </vt:variant>
      <vt:variant>
        <vt:i4>2</vt:i4>
      </vt:variant>
      <vt:variant>
        <vt:i4>0</vt:i4>
      </vt:variant>
      <vt:variant>
        <vt:i4>5</vt:i4>
      </vt:variant>
      <vt:variant>
        <vt:lpwstr/>
      </vt:variant>
      <vt:variant>
        <vt:lpwstr>_Toc174709453</vt:lpwstr>
      </vt:variant>
      <vt:variant>
        <vt:i4>2097203</vt:i4>
      </vt:variant>
      <vt:variant>
        <vt:i4>321</vt:i4>
      </vt:variant>
      <vt:variant>
        <vt:i4>0</vt:i4>
      </vt:variant>
      <vt:variant>
        <vt:i4>5</vt:i4>
      </vt:variant>
      <vt:variant>
        <vt:lpwstr>https://www.berec.europa.eu/en/document-categories/berec/regulatory-best-practices/common-approachespositions/revised-berec-common-position-on-best-practice-in-remedies-on-the-market-for-wholesale-broadband-access-including-bitstream-access-imposed-as-a-consequence-of-a-position-of</vt:lpwstr>
      </vt:variant>
      <vt:variant>
        <vt:lpwstr/>
      </vt:variant>
      <vt:variant>
        <vt:i4>2097203</vt:i4>
      </vt:variant>
      <vt:variant>
        <vt:i4>318</vt:i4>
      </vt:variant>
      <vt:variant>
        <vt:i4>0</vt:i4>
      </vt:variant>
      <vt:variant>
        <vt:i4>5</vt:i4>
      </vt:variant>
      <vt:variant>
        <vt:lpwstr>https://www.berec.europa.eu/en/document-categories/berec/regulatory-best-practices/common-approachespositions/revised-berec-common-position-on-best-practice-in-remedies-on-the-market-for-wholesale-broadband-access-including-bitstream-access-imposed-as-a-consequence-of-a-position-of</vt:lpwstr>
      </vt:variant>
      <vt:variant>
        <vt:lpwstr/>
      </vt:variant>
      <vt:variant>
        <vt:i4>786438</vt:i4>
      </vt:variant>
      <vt:variant>
        <vt:i4>306</vt:i4>
      </vt:variant>
      <vt:variant>
        <vt:i4>0</vt:i4>
      </vt:variant>
      <vt:variant>
        <vt:i4>5</vt:i4>
      </vt:variant>
      <vt:variant>
        <vt:lpwstr>https://eur-lex.europa.eu/legal-content/EN-ET/TXT/?from=EN&amp;uri=CELEX%3A32018L1972</vt:lpwstr>
      </vt:variant>
      <vt:variant>
        <vt:lpwstr/>
      </vt:variant>
      <vt:variant>
        <vt:i4>786438</vt:i4>
      </vt:variant>
      <vt:variant>
        <vt:i4>303</vt:i4>
      </vt:variant>
      <vt:variant>
        <vt:i4>0</vt:i4>
      </vt:variant>
      <vt:variant>
        <vt:i4>5</vt:i4>
      </vt:variant>
      <vt:variant>
        <vt:lpwstr>https://eur-lex.europa.eu/legal-content/EN-ET/TXT/?from=EN&amp;uri=CELEX%3A32018L1972</vt:lpwstr>
      </vt:variant>
      <vt:variant>
        <vt:lpwstr/>
      </vt:variant>
      <vt:variant>
        <vt:i4>6881383</vt:i4>
      </vt:variant>
      <vt:variant>
        <vt:i4>300</vt:i4>
      </vt:variant>
      <vt:variant>
        <vt:i4>0</vt:i4>
      </vt:variant>
      <vt:variant>
        <vt:i4>5</vt:i4>
      </vt:variant>
      <vt:variant>
        <vt:lpwstr>https://www.telia.ee/images/documents/tt/est/tt-lairibaressurss-3-0.pdf</vt:lpwstr>
      </vt:variant>
      <vt:variant>
        <vt:lpwstr/>
      </vt:variant>
      <vt:variant>
        <vt:i4>2097203</vt:i4>
      </vt:variant>
      <vt:variant>
        <vt:i4>297</vt:i4>
      </vt:variant>
      <vt:variant>
        <vt:i4>0</vt:i4>
      </vt:variant>
      <vt:variant>
        <vt:i4>5</vt:i4>
      </vt:variant>
      <vt:variant>
        <vt:lpwstr>https://www.berec.europa.eu/en/document-categories/berec/regulatory-best-practices/common-approachespositions/revised-berec-common-position-on-best-practice-in-remedies-on-the-market-for-wholesale-broadband-access-including-bitstream-access-imposed-as-a-consequence-of-a-position-of</vt:lpwstr>
      </vt:variant>
      <vt:variant>
        <vt:lpwstr/>
      </vt:variant>
      <vt:variant>
        <vt:i4>2097203</vt:i4>
      </vt:variant>
      <vt:variant>
        <vt:i4>294</vt:i4>
      </vt:variant>
      <vt:variant>
        <vt:i4>0</vt:i4>
      </vt:variant>
      <vt:variant>
        <vt:i4>5</vt:i4>
      </vt:variant>
      <vt:variant>
        <vt:lpwstr>https://www.berec.europa.eu/en/document-categories/berec/regulatory-best-practices/common-approachespositions/revised-berec-common-position-on-best-practice-in-remedies-on-the-market-for-wholesale-broadband-access-including-bitstream-access-imposed-as-a-consequence-of-a-position-of</vt:lpwstr>
      </vt:variant>
      <vt:variant>
        <vt:lpwstr/>
      </vt:variant>
      <vt:variant>
        <vt:i4>6684686</vt:i4>
      </vt:variant>
      <vt:variant>
        <vt:i4>291</vt:i4>
      </vt:variant>
      <vt:variant>
        <vt:i4>0</vt:i4>
      </vt:variant>
      <vt:variant>
        <vt:i4>5</vt:i4>
      </vt:variant>
      <vt:variant>
        <vt:lpwstr>https://circabc.europa.eu/ui/group/2328c58f-1fed-4402-a6cc-0f0237699dc3/library/518fec54-048d-4e5c-894b-9811c782835b?p=1&amp;n=10&amp;sort=modified_DESC</vt:lpwstr>
      </vt:variant>
      <vt:variant>
        <vt:lpwstr/>
      </vt:variant>
      <vt:variant>
        <vt:i4>5111895</vt:i4>
      </vt:variant>
      <vt:variant>
        <vt:i4>288</vt:i4>
      </vt:variant>
      <vt:variant>
        <vt:i4>0</vt:i4>
      </vt:variant>
      <vt:variant>
        <vt:i4>5</vt:i4>
      </vt:variant>
      <vt:variant>
        <vt:lpwstr>https://circabc.europa.eu/ui/group/2328c58f-1fed-4402-a6cc-0f0237699dc3/library/c565c8d6-d666-4981-b55d-fcaaaf533f65</vt:lpwstr>
      </vt:variant>
      <vt:variant>
        <vt:lpwstr/>
      </vt:variant>
      <vt:variant>
        <vt:i4>8126527</vt:i4>
      </vt:variant>
      <vt:variant>
        <vt:i4>285</vt:i4>
      </vt:variant>
      <vt:variant>
        <vt:i4>0</vt:i4>
      </vt:variant>
      <vt:variant>
        <vt:i4>5</vt:i4>
      </vt:variant>
      <vt:variant>
        <vt:lpwstr>https://www.ttja.ee/ariklient/side-ja-meediateenused/sideteenused/sideturg</vt:lpwstr>
      </vt:variant>
      <vt:variant>
        <vt:lpwstr>lairiba-juurdepaas-f</vt:lpwstr>
      </vt:variant>
      <vt:variant>
        <vt:i4>2818089</vt:i4>
      </vt:variant>
      <vt:variant>
        <vt:i4>282</vt:i4>
      </vt:variant>
      <vt:variant>
        <vt:i4>0</vt:i4>
      </vt:variant>
      <vt:variant>
        <vt:i4>5</vt:i4>
      </vt:variant>
      <vt:variant>
        <vt:lpwstr>https://eur-lex.europa.eu/eli/reco/2005/698/oj</vt:lpwstr>
      </vt:variant>
      <vt:variant>
        <vt:lpwstr/>
      </vt:variant>
      <vt:variant>
        <vt:i4>2097203</vt:i4>
      </vt:variant>
      <vt:variant>
        <vt:i4>279</vt:i4>
      </vt:variant>
      <vt:variant>
        <vt:i4>0</vt:i4>
      </vt:variant>
      <vt:variant>
        <vt:i4>5</vt:i4>
      </vt:variant>
      <vt:variant>
        <vt:lpwstr>https://www.berec.europa.eu/en/document-categories/berec/regulatory-best-practices/common-approachespositions/revised-berec-common-position-on-best-practice-in-remedies-on-the-market-for-wholesale-broadband-access-including-bitstream-access-imposed-as-a-consequence-of-a-position-of</vt:lpwstr>
      </vt:variant>
      <vt:variant>
        <vt:lpwstr/>
      </vt:variant>
      <vt:variant>
        <vt:i4>589904</vt:i4>
      </vt:variant>
      <vt:variant>
        <vt:i4>276</vt:i4>
      </vt:variant>
      <vt:variant>
        <vt:i4>0</vt:i4>
      </vt:variant>
      <vt:variant>
        <vt:i4>5</vt:i4>
      </vt:variant>
      <vt:variant>
        <vt:lpwstr>https://www.berec.europa.eu/en/document-categories/berec/regulatory-best-practices/guidelines/berec-guidelines-on-the-minimum-criteria-for-a-reference-offer-relating-to-obligations-of-transparency</vt:lpwstr>
      </vt:variant>
      <vt:variant>
        <vt:lpwstr/>
      </vt:variant>
      <vt:variant>
        <vt:i4>4784129</vt:i4>
      </vt:variant>
      <vt:variant>
        <vt:i4>273</vt:i4>
      </vt:variant>
      <vt:variant>
        <vt:i4>0</vt:i4>
      </vt:variant>
      <vt:variant>
        <vt:i4>5</vt:i4>
      </vt:variant>
      <vt:variant>
        <vt:lpwstr>https://ec.europa.eu/newsroom/dae/redirection/document/93964</vt:lpwstr>
      </vt:variant>
      <vt:variant>
        <vt:lpwstr/>
      </vt:variant>
      <vt:variant>
        <vt:i4>6684796</vt:i4>
      </vt:variant>
      <vt:variant>
        <vt:i4>270</vt:i4>
      </vt:variant>
      <vt:variant>
        <vt:i4>0</vt:i4>
      </vt:variant>
      <vt:variant>
        <vt:i4>5</vt:i4>
      </vt:variant>
      <vt:variant>
        <vt:lpwstr>https://eur-lex.europa.eu/eli/reco/2024/539</vt:lpwstr>
      </vt:variant>
      <vt:variant>
        <vt:lpwstr/>
      </vt:variant>
      <vt:variant>
        <vt:i4>3080247</vt:i4>
      </vt:variant>
      <vt:variant>
        <vt:i4>267</vt:i4>
      </vt:variant>
      <vt:variant>
        <vt:i4>0</vt:i4>
      </vt:variant>
      <vt:variant>
        <vt:i4>5</vt:i4>
      </vt:variant>
      <vt:variant>
        <vt:lpwstr>https://eur-lex.europa.eu/legal-content/EN-ET/TXT/?from=EN&amp;uri=CELEX%3A02018L1972-20181217</vt:lpwstr>
      </vt:variant>
      <vt:variant>
        <vt:lpwstr/>
      </vt:variant>
      <vt:variant>
        <vt:i4>8126527</vt:i4>
      </vt:variant>
      <vt:variant>
        <vt:i4>264</vt:i4>
      </vt:variant>
      <vt:variant>
        <vt:i4>0</vt:i4>
      </vt:variant>
      <vt:variant>
        <vt:i4>5</vt:i4>
      </vt:variant>
      <vt:variant>
        <vt:lpwstr>https://www.ttja.ee/ariklient/side-ja-meediateenused/sideteenused/sideturg</vt:lpwstr>
      </vt:variant>
      <vt:variant>
        <vt:lpwstr>lairiba-juurdepaas-f</vt:lpwstr>
      </vt:variant>
      <vt:variant>
        <vt:i4>6881383</vt:i4>
      </vt:variant>
      <vt:variant>
        <vt:i4>261</vt:i4>
      </vt:variant>
      <vt:variant>
        <vt:i4>0</vt:i4>
      </vt:variant>
      <vt:variant>
        <vt:i4>5</vt:i4>
      </vt:variant>
      <vt:variant>
        <vt:lpwstr>https://www.telia.ee/images/documents/tt/est/tt-lairibaressurss-3-0.pdf</vt:lpwstr>
      </vt:variant>
      <vt:variant>
        <vt:lpwstr/>
      </vt:variant>
      <vt:variant>
        <vt:i4>3801199</vt:i4>
      </vt:variant>
      <vt:variant>
        <vt:i4>258</vt:i4>
      </vt:variant>
      <vt:variant>
        <vt:i4>0</vt:i4>
      </vt:variant>
      <vt:variant>
        <vt:i4>5</vt:i4>
      </vt:variant>
      <vt:variant>
        <vt:lpwstr>https://www.telia.ee/partnerile/sideettevotjale/vorguressursi-rent</vt:lpwstr>
      </vt:variant>
      <vt:variant>
        <vt:lpwstr/>
      </vt:variant>
      <vt:variant>
        <vt:i4>7078011</vt:i4>
      </vt:variant>
      <vt:variant>
        <vt:i4>255</vt:i4>
      </vt:variant>
      <vt:variant>
        <vt:i4>0</vt:i4>
      </vt:variant>
      <vt:variant>
        <vt:i4>5</vt:i4>
      </vt:variant>
      <vt:variant>
        <vt:lpwstr>https://www.berec.europa.eu/en/document-categories/berec/regulatory-best-practices/common-approachespositions/revised-berec-common-position-on-best-practice-in-remedies-on-the-market-for-wholesale-physical-network-infrastructure-access-including-shared-or-fully-unbundled-access-at-a</vt:lpwstr>
      </vt:variant>
      <vt:variant>
        <vt:lpwstr/>
      </vt:variant>
      <vt:variant>
        <vt:i4>786438</vt:i4>
      </vt:variant>
      <vt:variant>
        <vt:i4>252</vt:i4>
      </vt:variant>
      <vt:variant>
        <vt:i4>0</vt:i4>
      </vt:variant>
      <vt:variant>
        <vt:i4>5</vt:i4>
      </vt:variant>
      <vt:variant>
        <vt:lpwstr>https://eur-lex.europa.eu/legal-content/EN-ET/TXT/?from=EN&amp;uri=CELEX%3A32018L1972</vt:lpwstr>
      </vt:variant>
      <vt:variant>
        <vt:lpwstr/>
      </vt:variant>
      <vt:variant>
        <vt:i4>2818089</vt:i4>
      </vt:variant>
      <vt:variant>
        <vt:i4>249</vt:i4>
      </vt:variant>
      <vt:variant>
        <vt:i4>0</vt:i4>
      </vt:variant>
      <vt:variant>
        <vt:i4>5</vt:i4>
      </vt:variant>
      <vt:variant>
        <vt:lpwstr>https://eur-lex.europa.eu/eli/reco/2005/698/oj</vt:lpwstr>
      </vt:variant>
      <vt:variant>
        <vt:lpwstr/>
      </vt:variant>
      <vt:variant>
        <vt:i4>2097203</vt:i4>
      </vt:variant>
      <vt:variant>
        <vt:i4>246</vt:i4>
      </vt:variant>
      <vt:variant>
        <vt:i4>0</vt:i4>
      </vt:variant>
      <vt:variant>
        <vt:i4>5</vt:i4>
      </vt:variant>
      <vt:variant>
        <vt:lpwstr>https://www.berec.europa.eu/en/document-categories/berec/regulatory-best-practices/common-approachespositions/revised-berec-common-position-on-best-practice-in-remedies-on-the-market-for-wholesale-broadband-access-including-bitstream-access-imposed-as-a-consequence-of-a-position-of</vt:lpwstr>
      </vt:variant>
      <vt:variant>
        <vt:lpwstr/>
      </vt:variant>
      <vt:variant>
        <vt:i4>4784129</vt:i4>
      </vt:variant>
      <vt:variant>
        <vt:i4>243</vt:i4>
      </vt:variant>
      <vt:variant>
        <vt:i4>0</vt:i4>
      </vt:variant>
      <vt:variant>
        <vt:i4>5</vt:i4>
      </vt:variant>
      <vt:variant>
        <vt:lpwstr>https://ec.europa.eu/newsroom/dae/redirection/document/93964</vt:lpwstr>
      </vt:variant>
      <vt:variant>
        <vt:lpwstr/>
      </vt:variant>
      <vt:variant>
        <vt:i4>6684796</vt:i4>
      </vt:variant>
      <vt:variant>
        <vt:i4>240</vt:i4>
      </vt:variant>
      <vt:variant>
        <vt:i4>0</vt:i4>
      </vt:variant>
      <vt:variant>
        <vt:i4>5</vt:i4>
      </vt:variant>
      <vt:variant>
        <vt:lpwstr>https://eur-lex.europa.eu/eli/reco/2024/539</vt:lpwstr>
      </vt:variant>
      <vt:variant>
        <vt:lpwstr/>
      </vt:variant>
      <vt:variant>
        <vt:i4>786438</vt:i4>
      </vt:variant>
      <vt:variant>
        <vt:i4>237</vt:i4>
      </vt:variant>
      <vt:variant>
        <vt:i4>0</vt:i4>
      </vt:variant>
      <vt:variant>
        <vt:i4>5</vt:i4>
      </vt:variant>
      <vt:variant>
        <vt:lpwstr>https://eur-lex.europa.eu/legal-content/EN-ET/TXT/?from=EN&amp;uri=CELEX%3A32018L1972</vt:lpwstr>
      </vt:variant>
      <vt:variant>
        <vt:lpwstr/>
      </vt:variant>
      <vt:variant>
        <vt:i4>7078011</vt:i4>
      </vt:variant>
      <vt:variant>
        <vt:i4>234</vt:i4>
      </vt:variant>
      <vt:variant>
        <vt:i4>0</vt:i4>
      </vt:variant>
      <vt:variant>
        <vt:i4>5</vt:i4>
      </vt:variant>
      <vt:variant>
        <vt:lpwstr>https://www.berec.europa.eu/en/document-categories/berec/regulatory-best-practices/common-approachespositions/revised-berec-common-position-on-best-practice-in-remedies-on-the-market-for-wholesale-physical-network-infrastructure-access-including-shared-or-fully-unbundled-access-at-a</vt:lpwstr>
      </vt:variant>
      <vt:variant>
        <vt:lpwstr/>
      </vt:variant>
      <vt:variant>
        <vt:i4>786438</vt:i4>
      </vt:variant>
      <vt:variant>
        <vt:i4>222</vt:i4>
      </vt:variant>
      <vt:variant>
        <vt:i4>0</vt:i4>
      </vt:variant>
      <vt:variant>
        <vt:i4>5</vt:i4>
      </vt:variant>
      <vt:variant>
        <vt:lpwstr>https://eur-lex.europa.eu/legal-content/EN-ET/TXT/?from=EN&amp;uri=CELEX%3A32018L1972</vt:lpwstr>
      </vt:variant>
      <vt:variant>
        <vt:lpwstr/>
      </vt:variant>
      <vt:variant>
        <vt:i4>7798808</vt:i4>
      </vt:variant>
      <vt:variant>
        <vt:i4>219</vt:i4>
      </vt:variant>
      <vt:variant>
        <vt:i4>0</vt:i4>
      </vt:variant>
      <vt:variant>
        <vt:i4>5</vt:i4>
      </vt:variant>
      <vt:variant>
        <vt:lpwstr>https://www.telia.ee/images/documents/tt/est/tt_optiline_juurdaasuliin_alates10032017.pdf</vt:lpwstr>
      </vt:variant>
      <vt:variant>
        <vt:lpwstr/>
      </vt:variant>
      <vt:variant>
        <vt:i4>7078011</vt:i4>
      </vt:variant>
      <vt:variant>
        <vt:i4>216</vt:i4>
      </vt:variant>
      <vt:variant>
        <vt:i4>0</vt:i4>
      </vt:variant>
      <vt:variant>
        <vt:i4>5</vt:i4>
      </vt:variant>
      <vt:variant>
        <vt:lpwstr>https://www.berec.europa.eu/en/document-categories/berec/regulatory-best-practices/common-approachespositions/revised-berec-common-position-on-best-practice-in-remedies-on-the-market-for-wholesale-physical-network-infrastructure-access-including-shared-or-fully-unbundled-access-at-a</vt:lpwstr>
      </vt:variant>
      <vt:variant>
        <vt:lpwstr/>
      </vt:variant>
      <vt:variant>
        <vt:i4>786438</vt:i4>
      </vt:variant>
      <vt:variant>
        <vt:i4>213</vt:i4>
      </vt:variant>
      <vt:variant>
        <vt:i4>0</vt:i4>
      </vt:variant>
      <vt:variant>
        <vt:i4>5</vt:i4>
      </vt:variant>
      <vt:variant>
        <vt:lpwstr>https://eur-lex.europa.eu/legal-content/EN-ET/TXT/?from=EN&amp;uri=CELEX%3A32018L1972</vt:lpwstr>
      </vt:variant>
      <vt:variant>
        <vt:lpwstr/>
      </vt:variant>
      <vt:variant>
        <vt:i4>2097258</vt:i4>
      </vt:variant>
      <vt:variant>
        <vt:i4>210</vt:i4>
      </vt:variant>
      <vt:variant>
        <vt:i4>0</vt:i4>
      </vt:variant>
      <vt:variant>
        <vt:i4>5</vt:i4>
      </vt:variant>
      <vt:variant>
        <vt:lpwstr>https://www.berec.europa.eu/en/document-categories/berec/reports/berec-report-on-common-characteristics-of-layer-2-wholesale-access-products-in-the-european-union</vt:lpwstr>
      </vt:variant>
      <vt:variant>
        <vt:lpwstr/>
      </vt:variant>
      <vt:variant>
        <vt:i4>4784203</vt:i4>
      </vt:variant>
      <vt:variant>
        <vt:i4>207</vt:i4>
      </vt:variant>
      <vt:variant>
        <vt:i4>0</vt:i4>
      </vt:variant>
      <vt:variant>
        <vt:i4>5</vt:i4>
      </vt:variant>
      <vt:variant>
        <vt:lpwstr>https://circabc.europa.eu/ui/group/2328c58f-1fed-4402-a6cc-0f0237699dc3/library/1427ede2-cfab-40d4-82e1-f0c51dc7263d/details</vt:lpwstr>
      </vt:variant>
      <vt:variant>
        <vt:lpwstr/>
      </vt:variant>
      <vt:variant>
        <vt:i4>7078011</vt:i4>
      </vt:variant>
      <vt:variant>
        <vt:i4>204</vt:i4>
      </vt:variant>
      <vt:variant>
        <vt:i4>0</vt:i4>
      </vt:variant>
      <vt:variant>
        <vt:i4>5</vt:i4>
      </vt:variant>
      <vt:variant>
        <vt:lpwstr>https://www.berec.europa.eu/en/document-categories/berec/regulatory-best-practices/common-approachespositions/revised-berec-common-position-on-best-practice-in-remedies-on-the-market-for-wholesale-physical-network-infrastructure-access-including-shared-or-fully-unbundled-access-at-a</vt:lpwstr>
      </vt:variant>
      <vt:variant>
        <vt:lpwstr/>
      </vt:variant>
      <vt:variant>
        <vt:i4>6619139</vt:i4>
      </vt:variant>
      <vt:variant>
        <vt:i4>201</vt:i4>
      </vt:variant>
      <vt:variant>
        <vt:i4>0</vt:i4>
      </vt:variant>
      <vt:variant>
        <vt:i4>5</vt:i4>
      </vt:variant>
      <vt:variant>
        <vt:lpwstr>https://circabc.europa.eu/ui/group/2328c58f-1fed-4402-a6cc-0f0237699dc3/library/f038c86b-1c5b-42b7-bf90-e202fd4b240f?p=1&amp;n=10&amp;sort=modified_DESC</vt:lpwstr>
      </vt:variant>
      <vt:variant>
        <vt:lpwstr/>
      </vt:variant>
      <vt:variant>
        <vt:i4>5111895</vt:i4>
      </vt:variant>
      <vt:variant>
        <vt:i4>198</vt:i4>
      </vt:variant>
      <vt:variant>
        <vt:i4>0</vt:i4>
      </vt:variant>
      <vt:variant>
        <vt:i4>5</vt:i4>
      </vt:variant>
      <vt:variant>
        <vt:lpwstr>https://circabc.europa.eu/ui/group/2328c58f-1fed-4402-a6cc-0f0237699dc3/library/c565c8d6-d666-4981-b55d-fcaaaf533f65</vt:lpwstr>
      </vt:variant>
      <vt:variant>
        <vt:lpwstr/>
      </vt:variant>
      <vt:variant>
        <vt:i4>7274601</vt:i4>
      </vt:variant>
      <vt:variant>
        <vt:i4>195</vt:i4>
      </vt:variant>
      <vt:variant>
        <vt:i4>0</vt:i4>
      </vt:variant>
      <vt:variant>
        <vt:i4>5</vt:i4>
      </vt:variant>
      <vt:variant>
        <vt:lpwstr>https://www.ttja.ee/ariklient/side-ja-meediateenused/sideteenused/sideturg</vt:lpwstr>
      </vt:variant>
      <vt:variant>
        <vt:lpwstr>fuusiline-juurdepaas</vt:lpwstr>
      </vt:variant>
      <vt:variant>
        <vt:i4>2818089</vt:i4>
      </vt:variant>
      <vt:variant>
        <vt:i4>192</vt:i4>
      </vt:variant>
      <vt:variant>
        <vt:i4>0</vt:i4>
      </vt:variant>
      <vt:variant>
        <vt:i4>5</vt:i4>
      </vt:variant>
      <vt:variant>
        <vt:lpwstr>https://eur-lex.europa.eu/eli/reco/2005/698/oj</vt:lpwstr>
      </vt:variant>
      <vt:variant>
        <vt:lpwstr/>
      </vt:variant>
      <vt:variant>
        <vt:i4>2097203</vt:i4>
      </vt:variant>
      <vt:variant>
        <vt:i4>189</vt:i4>
      </vt:variant>
      <vt:variant>
        <vt:i4>0</vt:i4>
      </vt:variant>
      <vt:variant>
        <vt:i4>5</vt:i4>
      </vt:variant>
      <vt:variant>
        <vt:lpwstr>https://www.berec.europa.eu/en/document-categories/berec/regulatory-best-practices/common-approachespositions/revised-berec-common-position-on-best-practice-in-remedies-on-the-market-for-wholesale-broadband-access-including-bitstream-access-imposed-as-a-consequence-of-a-position-of</vt:lpwstr>
      </vt:variant>
      <vt:variant>
        <vt:lpwstr/>
      </vt:variant>
      <vt:variant>
        <vt:i4>589904</vt:i4>
      </vt:variant>
      <vt:variant>
        <vt:i4>186</vt:i4>
      </vt:variant>
      <vt:variant>
        <vt:i4>0</vt:i4>
      </vt:variant>
      <vt:variant>
        <vt:i4>5</vt:i4>
      </vt:variant>
      <vt:variant>
        <vt:lpwstr>https://www.berec.europa.eu/en/document-categories/berec/regulatory-best-practices/guidelines/berec-guidelines-on-the-minimum-criteria-for-a-reference-offer-relating-to-obligations-of-transparency</vt:lpwstr>
      </vt:variant>
      <vt:variant>
        <vt:lpwstr/>
      </vt:variant>
      <vt:variant>
        <vt:i4>4784129</vt:i4>
      </vt:variant>
      <vt:variant>
        <vt:i4>183</vt:i4>
      </vt:variant>
      <vt:variant>
        <vt:i4>0</vt:i4>
      </vt:variant>
      <vt:variant>
        <vt:i4>5</vt:i4>
      </vt:variant>
      <vt:variant>
        <vt:lpwstr>https://ec.europa.eu/newsroom/dae/redirection/document/93964</vt:lpwstr>
      </vt:variant>
      <vt:variant>
        <vt:lpwstr/>
      </vt:variant>
      <vt:variant>
        <vt:i4>6684796</vt:i4>
      </vt:variant>
      <vt:variant>
        <vt:i4>180</vt:i4>
      </vt:variant>
      <vt:variant>
        <vt:i4>0</vt:i4>
      </vt:variant>
      <vt:variant>
        <vt:i4>5</vt:i4>
      </vt:variant>
      <vt:variant>
        <vt:lpwstr>https://eur-lex.europa.eu/eli/reco/2024/539</vt:lpwstr>
      </vt:variant>
      <vt:variant>
        <vt:lpwstr/>
      </vt:variant>
      <vt:variant>
        <vt:i4>3080247</vt:i4>
      </vt:variant>
      <vt:variant>
        <vt:i4>177</vt:i4>
      </vt:variant>
      <vt:variant>
        <vt:i4>0</vt:i4>
      </vt:variant>
      <vt:variant>
        <vt:i4>5</vt:i4>
      </vt:variant>
      <vt:variant>
        <vt:lpwstr>https://eur-lex.europa.eu/legal-content/EN-ET/TXT/?from=EN&amp;uri=CELEX%3A02018L1972-20181217</vt:lpwstr>
      </vt:variant>
      <vt:variant>
        <vt:lpwstr/>
      </vt:variant>
      <vt:variant>
        <vt:i4>7274601</vt:i4>
      </vt:variant>
      <vt:variant>
        <vt:i4>174</vt:i4>
      </vt:variant>
      <vt:variant>
        <vt:i4>0</vt:i4>
      </vt:variant>
      <vt:variant>
        <vt:i4>5</vt:i4>
      </vt:variant>
      <vt:variant>
        <vt:lpwstr>https://www.ttja.ee/ariklient/side-ja-meediateenused/sideteenused/sideturg</vt:lpwstr>
      </vt:variant>
      <vt:variant>
        <vt:lpwstr>fuusiline-juurdepaas</vt:lpwstr>
      </vt:variant>
      <vt:variant>
        <vt:i4>1441898</vt:i4>
      </vt:variant>
      <vt:variant>
        <vt:i4>171</vt:i4>
      </vt:variant>
      <vt:variant>
        <vt:i4>0</vt:i4>
      </vt:variant>
      <vt:variant>
        <vt:i4>5</vt:i4>
      </vt:variant>
      <vt:variant>
        <vt:lpwstr>https://www.telia.ee/images/documents/tt/est/tt_jagatud_optiline_juurdepaasuliin.pdf</vt:lpwstr>
      </vt:variant>
      <vt:variant>
        <vt:lpwstr/>
      </vt:variant>
      <vt:variant>
        <vt:i4>3801199</vt:i4>
      </vt:variant>
      <vt:variant>
        <vt:i4>168</vt:i4>
      </vt:variant>
      <vt:variant>
        <vt:i4>0</vt:i4>
      </vt:variant>
      <vt:variant>
        <vt:i4>5</vt:i4>
      </vt:variant>
      <vt:variant>
        <vt:lpwstr>https://www.telia.ee/partnerile/sideettevotjale/vorguressursi-rent</vt:lpwstr>
      </vt:variant>
      <vt:variant>
        <vt:lpwstr/>
      </vt:variant>
      <vt:variant>
        <vt:i4>7798808</vt:i4>
      </vt:variant>
      <vt:variant>
        <vt:i4>165</vt:i4>
      </vt:variant>
      <vt:variant>
        <vt:i4>0</vt:i4>
      </vt:variant>
      <vt:variant>
        <vt:i4>5</vt:i4>
      </vt:variant>
      <vt:variant>
        <vt:lpwstr>https://www.telia.ee/images/documents/tt/est/tt_optiline_juurdaasuliin_alates10032017.pdf</vt:lpwstr>
      </vt:variant>
      <vt:variant>
        <vt:lpwstr/>
      </vt:variant>
      <vt:variant>
        <vt:i4>3801199</vt:i4>
      </vt:variant>
      <vt:variant>
        <vt:i4>162</vt:i4>
      </vt:variant>
      <vt:variant>
        <vt:i4>0</vt:i4>
      </vt:variant>
      <vt:variant>
        <vt:i4>5</vt:i4>
      </vt:variant>
      <vt:variant>
        <vt:lpwstr>https://www.telia.ee/partnerile/sideettevotjale/vorguressursi-rent</vt:lpwstr>
      </vt:variant>
      <vt:variant>
        <vt:lpwstr/>
      </vt:variant>
      <vt:variant>
        <vt:i4>7143464</vt:i4>
      </vt:variant>
      <vt:variant>
        <vt:i4>159</vt:i4>
      </vt:variant>
      <vt:variant>
        <vt:i4>0</vt:i4>
      </vt:variant>
      <vt:variant>
        <vt:i4>5</vt:i4>
      </vt:variant>
      <vt:variant>
        <vt:lpwstr>https://eur-lex.europa.eu/legal-content/EN-ET/TXT/?uri=CELEX:32020H2245</vt:lpwstr>
      </vt:variant>
      <vt:variant>
        <vt:lpwstr/>
      </vt:variant>
      <vt:variant>
        <vt:i4>7733367</vt:i4>
      </vt:variant>
      <vt:variant>
        <vt:i4>156</vt:i4>
      </vt:variant>
      <vt:variant>
        <vt:i4>0</vt:i4>
      </vt:variant>
      <vt:variant>
        <vt:i4>5</vt:i4>
      </vt:variant>
      <vt:variant>
        <vt:lpwstr>https://eur-lex.europa.eu/legal-content/EN/TXT/?uri=CELEX%3A32014H0710</vt:lpwstr>
      </vt:variant>
      <vt:variant>
        <vt:lpwstr/>
      </vt:variant>
      <vt:variant>
        <vt:i4>7667838</vt:i4>
      </vt:variant>
      <vt:variant>
        <vt:i4>153</vt:i4>
      </vt:variant>
      <vt:variant>
        <vt:i4>0</vt:i4>
      </vt:variant>
      <vt:variant>
        <vt:i4>5</vt:i4>
      </vt:variant>
      <vt:variant>
        <vt:lpwstr>https://eur-lex.europa.eu/EN/legal-content/summary/actions-to-reduce-the-costs-of-deployment-of-high-speed-electronic-communications-networks.html</vt:lpwstr>
      </vt:variant>
      <vt:variant>
        <vt:lpwstr/>
      </vt:variant>
      <vt:variant>
        <vt:i4>262157</vt:i4>
      </vt:variant>
      <vt:variant>
        <vt:i4>150</vt:i4>
      </vt:variant>
      <vt:variant>
        <vt:i4>0</vt:i4>
      </vt:variant>
      <vt:variant>
        <vt:i4>5</vt:i4>
      </vt:variant>
      <vt:variant>
        <vt:lpwstr>https://eur-lex.europa.eu/legal-content/ET/TXT/PDF/?uri=CELEX:32010H0572</vt:lpwstr>
      </vt:variant>
      <vt:variant>
        <vt:lpwstr/>
      </vt:variant>
      <vt:variant>
        <vt:i4>6160485</vt:i4>
      </vt:variant>
      <vt:variant>
        <vt:i4>147</vt:i4>
      </vt:variant>
      <vt:variant>
        <vt:i4>0</vt:i4>
      </vt:variant>
      <vt:variant>
        <vt:i4>5</vt:i4>
      </vt:variant>
      <vt:variant>
        <vt:lpwstr>https://nkom.no/ekom-markedet/markeder/markeder-som-reguleres/_/attachment/download/2e223e04-464c-4938-b139-11bcd58a0514:9c06cfc9326831ea9cb54043714bc481021a160c/Kommisjonens Explanatory Note til anbefalingen 9. oktober 2014.pdf</vt:lpwstr>
      </vt:variant>
      <vt:variant>
        <vt:lpwstr/>
      </vt:variant>
      <vt:variant>
        <vt:i4>5832797</vt:i4>
      </vt:variant>
      <vt:variant>
        <vt:i4>144</vt:i4>
      </vt:variant>
      <vt:variant>
        <vt:i4>0</vt:i4>
      </vt:variant>
      <vt:variant>
        <vt:i4>5</vt:i4>
      </vt:variant>
      <vt:variant>
        <vt:lpwstr>https://arileht.delfi.ee/artikkel/120299465/telia-toi-turule-uued-mobiilipaketid-5g-d-ei-saa-enam-valtida</vt:lpwstr>
      </vt:variant>
      <vt:variant>
        <vt:lpwstr/>
      </vt:variant>
      <vt:variant>
        <vt:i4>4980738</vt:i4>
      </vt:variant>
      <vt:variant>
        <vt:i4>141</vt:i4>
      </vt:variant>
      <vt:variant>
        <vt:i4>0</vt:i4>
      </vt:variant>
      <vt:variant>
        <vt:i4>5</vt:i4>
      </vt:variant>
      <vt:variant>
        <vt:lpwstr>https://ec.europa.eu/newsroom/dae/redirection/document/72442</vt:lpwstr>
      </vt:variant>
      <vt:variant>
        <vt:lpwstr/>
      </vt:variant>
      <vt:variant>
        <vt:i4>1507354</vt:i4>
      </vt:variant>
      <vt:variant>
        <vt:i4>138</vt:i4>
      </vt:variant>
      <vt:variant>
        <vt:i4>0</vt:i4>
      </vt:variant>
      <vt:variant>
        <vt:i4>5</vt:i4>
      </vt:variant>
      <vt:variant>
        <vt:lpwstr>https://www.eftasurv.int/cms/sites/default/files/documents/gopro/Appendix A-1_Market Analysis M3a and M3b_Public.pdf</vt:lpwstr>
      </vt:variant>
      <vt:variant>
        <vt:lpwstr/>
      </vt:variant>
      <vt:variant>
        <vt:i4>4980738</vt:i4>
      </vt:variant>
      <vt:variant>
        <vt:i4>135</vt:i4>
      </vt:variant>
      <vt:variant>
        <vt:i4>0</vt:i4>
      </vt:variant>
      <vt:variant>
        <vt:i4>5</vt:i4>
      </vt:variant>
      <vt:variant>
        <vt:lpwstr>https://ec.europa.eu/newsroom/dae/redirection/document/72442</vt:lpwstr>
      </vt:variant>
      <vt:variant>
        <vt:lpwstr/>
      </vt:variant>
      <vt:variant>
        <vt:i4>5505100</vt:i4>
      </vt:variant>
      <vt:variant>
        <vt:i4>132</vt:i4>
      </vt:variant>
      <vt:variant>
        <vt:i4>0</vt:i4>
      </vt:variant>
      <vt:variant>
        <vt:i4>5</vt:i4>
      </vt:variant>
      <vt:variant>
        <vt:lpwstr>https://andmed.stat.ee/et/stat/rahvastik__rahvastikunaitajad-ja-koosseis__rahvaarv-ja-rahvastiku-koosseis/RV0291U</vt:lpwstr>
      </vt:variant>
      <vt:variant>
        <vt:lpwstr/>
      </vt:variant>
      <vt:variant>
        <vt:i4>6225945</vt:i4>
      </vt:variant>
      <vt:variant>
        <vt:i4>129</vt:i4>
      </vt:variant>
      <vt:variant>
        <vt:i4>0</vt:i4>
      </vt:variant>
      <vt:variant>
        <vt:i4>5</vt:i4>
      </vt:variant>
      <vt:variant>
        <vt:lpwstr>https://www.eesti.ee/et/eesti-vabariik/eesti-vabariik/ueldandmed</vt:lpwstr>
      </vt:variant>
      <vt:variant>
        <vt:lpwstr/>
      </vt:variant>
      <vt:variant>
        <vt:i4>3145849</vt:i4>
      </vt:variant>
      <vt:variant>
        <vt:i4>126</vt:i4>
      </vt:variant>
      <vt:variant>
        <vt:i4>0</vt:i4>
      </vt:variant>
      <vt:variant>
        <vt:i4>5</vt:i4>
      </vt:variant>
      <vt:variant>
        <vt:lpwstr>https://www.riigiteataja.ee/akt/1011706?leiaKehtiv</vt:lpwstr>
      </vt:variant>
      <vt:variant>
        <vt:lpwstr/>
      </vt:variant>
      <vt:variant>
        <vt:i4>3145787</vt:i4>
      </vt:variant>
      <vt:variant>
        <vt:i4>123</vt:i4>
      </vt:variant>
      <vt:variant>
        <vt:i4>0</vt:i4>
      </vt:variant>
      <vt:variant>
        <vt:i4>5</vt:i4>
      </vt:variant>
      <vt:variant>
        <vt:lpwstr>https://www.riigiteataja.ee/akt/111112017001?leiaKehtiv</vt:lpwstr>
      </vt:variant>
      <vt:variant>
        <vt:lpwstr/>
      </vt:variant>
      <vt:variant>
        <vt:i4>3145849</vt:i4>
      </vt:variant>
      <vt:variant>
        <vt:i4>120</vt:i4>
      </vt:variant>
      <vt:variant>
        <vt:i4>0</vt:i4>
      </vt:variant>
      <vt:variant>
        <vt:i4>5</vt:i4>
      </vt:variant>
      <vt:variant>
        <vt:lpwstr>https://www.riigiteataja.ee/akt/1011706?leiaKehtiv</vt:lpwstr>
      </vt:variant>
      <vt:variant>
        <vt:lpwstr/>
      </vt:variant>
      <vt:variant>
        <vt:i4>2228331</vt:i4>
      </vt:variant>
      <vt:variant>
        <vt:i4>117</vt:i4>
      </vt:variant>
      <vt:variant>
        <vt:i4>0</vt:i4>
      </vt:variant>
      <vt:variant>
        <vt:i4>5</vt:i4>
      </vt:variant>
      <vt:variant>
        <vt:lpwstr>https://www.elisa.ee/et/uudised/elisa-ettevotete-uhinemine-joustus-25102022</vt:lpwstr>
      </vt:variant>
      <vt:variant>
        <vt:lpwstr/>
      </vt:variant>
      <vt:variant>
        <vt:i4>1376371</vt:i4>
      </vt:variant>
      <vt:variant>
        <vt:i4>114</vt:i4>
      </vt:variant>
      <vt:variant>
        <vt:i4>0</vt:i4>
      </vt:variant>
      <vt:variant>
        <vt:i4>5</vt:i4>
      </vt:variant>
      <vt:variant>
        <vt:lpwstr>https://www.nkom.no/ekom-markedet/markeder/markeder-som-reguleres/_/attachment/download/e804f701-e342-448d-95f9-0b81f4b5d144:b3bff2ccf56262242fdd0f242205cf2ab0335fb0/Kommisjonens Explanatory Note til anbefalingen av 18. desember 2020.pdf</vt:lpwstr>
      </vt:variant>
      <vt:variant>
        <vt:lpwstr/>
      </vt:variant>
      <vt:variant>
        <vt:i4>6946939</vt:i4>
      </vt:variant>
      <vt:variant>
        <vt:i4>111</vt:i4>
      </vt:variant>
      <vt:variant>
        <vt:i4>0</vt:i4>
      </vt:variant>
      <vt:variant>
        <vt:i4>5</vt:i4>
      </vt:variant>
      <vt:variant>
        <vt:lpwstr>https://www.telia.ee/uudised/telia-naitas-oma-5g-vorgus-uut-kiirusrekordit</vt:lpwstr>
      </vt:variant>
      <vt:variant>
        <vt:lpwstr/>
      </vt:variant>
      <vt:variant>
        <vt:i4>262219</vt:i4>
      </vt:variant>
      <vt:variant>
        <vt:i4>108</vt:i4>
      </vt:variant>
      <vt:variant>
        <vt:i4>0</vt:i4>
      </vt:variant>
      <vt:variant>
        <vt:i4>5</vt:i4>
      </vt:variant>
      <vt:variant>
        <vt:lpwstr>https://digitark.telia.ee/era/telia-naitas-oma-5g-vorgus-uut-kiirusrekordit/</vt:lpwstr>
      </vt:variant>
      <vt:variant>
        <vt:lpwstr/>
      </vt:variant>
      <vt:variant>
        <vt:i4>6619193</vt:i4>
      </vt:variant>
      <vt:variant>
        <vt:i4>105</vt:i4>
      </vt:variant>
      <vt:variant>
        <vt:i4>0</vt:i4>
      </vt:variant>
      <vt:variant>
        <vt:i4>5</vt:i4>
      </vt:variant>
      <vt:variant>
        <vt:lpwstr>https://www.mkm.ee/digiriik-ja-uhenduvus/digiuhiskonna-arengukava-2030</vt:lpwstr>
      </vt:variant>
      <vt:variant>
        <vt:lpwstr/>
      </vt:variant>
      <vt:variant>
        <vt:i4>4325377</vt:i4>
      </vt:variant>
      <vt:variant>
        <vt:i4>102</vt:i4>
      </vt:variant>
      <vt:variant>
        <vt:i4>0</vt:i4>
      </vt:variant>
      <vt:variant>
        <vt:i4>5</vt:i4>
      </vt:variant>
      <vt:variant>
        <vt:lpwstr>https://ec.europa.eu/newsroom/dae/redirection/document/80552</vt:lpwstr>
      </vt:variant>
      <vt:variant>
        <vt:lpwstr/>
      </vt:variant>
      <vt:variant>
        <vt:i4>2228322</vt:i4>
      </vt:variant>
      <vt:variant>
        <vt:i4>99</vt:i4>
      </vt:variant>
      <vt:variant>
        <vt:i4>0</vt:i4>
      </vt:variant>
      <vt:variant>
        <vt:i4>5</vt:i4>
      </vt:variant>
      <vt:variant>
        <vt:lpwstr>https://tele2.ee/uudised/2023majandustulemused</vt:lpwstr>
      </vt:variant>
      <vt:variant>
        <vt:lpwstr/>
      </vt:variant>
      <vt:variant>
        <vt:i4>262175</vt:i4>
      </vt:variant>
      <vt:variant>
        <vt:i4>96</vt:i4>
      </vt:variant>
      <vt:variant>
        <vt:i4>0</vt:i4>
      </vt:variant>
      <vt:variant>
        <vt:i4>5</vt:i4>
      </vt:variant>
      <vt:variant>
        <vt:lpwstr>https://www.elisa.ee/et/uudised/elisa-naitas-esimeses-kvartalis-haid-tulemusi-numbriliikuvuses-ja-astus-olulise-sammu-5g</vt:lpwstr>
      </vt:variant>
      <vt:variant>
        <vt:lpwstr/>
      </vt:variant>
      <vt:variant>
        <vt:i4>4915201</vt:i4>
      </vt:variant>
      <vt:variant>
        <vt:i4>93</vt:i4>
      </vt:variant>
      <vt:variant>
        <vt:i4>0</vt:i4>
      </vt:variant>
      <vt:variant>
        <vt:i4>5</vt:i4>
      </vt:variant>
      <vt:variant>
        <vt:lpwstr>https://www.telia.ee/uudised/telia-on-5g-leviga-katnud-81-eesti-rahvastikust</vt:lpwstr>
      </vt:variant>
      <vt:variant>
        <vt:lpwstr/>
      </vt:variant>
      <vt:variant>
        <vt:i4>720904</vt:i4>
      </vt:variant>
      <vt:variant>
        <vt:i4>90</vt:i4>
      </vt:variant>
      <vt:variant>
        <vt:i4>0</vt:i4>
      </vt:variant>
      <vt:variant>
        <vt:i4>5</vt:i4>
      </vt:variant>
      <vt:variant>
        <vt:lpwstr>https://www.techtarget.com/searchnetworking/feature/5G-NSA-vs-SA-How-does-each-deployment-mode-differ</vt:lpwstr>
      </vt:variant>
      <vt:variant>
        <vt:lpwstr/>
      </vt:variant>
      <vt:variant>
        <vt:i4>6160413</vt:i4>
      </vt:variant>
      <vt:variant>
        <vt:i4>87</vt:i4>
      </vt:variant>
      <vt:variant>
        <vt:i4>0</vt:i4>
      </vt:variant>
      <vt:variant>
        <vt:i4>5</vt:i4>
      </vt:variant>
      <vt:variant>
        <vt:lpwstr>https://www.riigiteataja.ee/akt/129012022011</vt:lpwstr>
      </vt:variant>
      <vt:variant>
        <vt:lpwstr/>
      </vt:variant>
      <vt:variant>
        <vt:i4>7733311</vt:i4>
      </vt:variant>
      <vt:variant>
        <vt:i4>84</vt:i4>
      </vt:variant>
      <vt:variant>
        <vt:i4>0</vt:i4>
      </vt:variant>
      <vt:variant>
        <vt:i4>5</vt:i4>
      </vt:variant>
      <vt:variant>
        <vt:lpwstr>https://ttja.ee/media/1025/download</vt:lpwstr>
      </vt:variant>
      <vt:variant>
        <vt:lpwstr/>
      </vt:variant>
      <vt:variant>
        <vt:i4>7536700</vt:i4>
      </vt:variant>
      <vt:variant>
        <vt:i4>81</vt:i4>
      </vt:variant>
      <vt:variant>
        <vt:i4>0</vt:i4>
      </vt:variant>
      <vt:variant>
        <vt:i4>5</vt:i4>
      </vt:variant>
      <vt:variant>
        <vt:lpwstr>https://ttja.ee/media/1010/download</vt:lpwstr>
      </vt:variant>
      <vt:variant>
        <vt:lpwstr/>
      </vt:variant>
      <vt:variant>
        <vt:i4>1376338</vt:i4>
      </vt:variant>
      <vt:variant>
        <vt:i4>78</vt:i4>
      </vt:variant>
      <vt:variant>
        <vt:i4>0</vt:i4>
      </vt:variant>
      <vt:variant>
        <vt:i4>5</vt:i4>
      </vt:variant>
      <vt:variant>
        <vt:lpwstr>https://www.berec.europa.eu/en/document-categories/berec/regulatory-best-practices/common-approachespositions/berec-common-position-on-geographic-aspects-of-market-analysis-definition-and-remedies</vt:lpwstr>
      </vt:variant>
      <vt:variant>
        <vt:lpwstr/>
      </vt:variant>
      <vt:variant>
        <vt:i4>6029400</vt:i4>
      </vt:variant>
      <vt:variant>
        <vt:i4>75</vt:i4>
      </vt:variant>
      <vt:variant>
        <vt:i4>0</vt:i4>
      </vt:variant>
      <vt:variant>
        <vt:i4>5</vt:i4>
      </vt:variant>
      <vt:variant>
        <vt:lpwstr>https://www.berec.europa.eu/en/document-categories/berec/reports/berec-report-on-the-application-of-the-common-position-on-geographic-aspects-of-market-analysis</vt:lpwstr>
      </vt:variant>
      <vt:variant>
        <vt:lpwstr/>
      </vt:variant>
      <vt:variant>
        <vt:i4>5242894</vt:i4>
      </vt:variant>
      <vt:variant>
        <vt:i4>72</vt:i4>
      </vt:variant>
      <vt:variant>
        <vt:i4>0</vt:i4>
      </vt:variant>
      <vt:variant>
        <vt:i4>5</vt:i4>
      </vt:variant>
      <vt:variant>
        <vt:lpwstr>https://www.berec.europa.eu/en/document-categories/berec/reports/draft-berec-report-on-competition-amongst-multiple-operators-of-nga-networks-in-the-same-geographical-region</vt:lpwstr>
      </vt:variant>
      <vt:variant>
        <vt:lpwstr/>
      </vt:variant>
      <vt:variant>
        <vt:i4>6946919</vt:i4>
      </vt:variant>
      <vt:variant>
        <vt:i4>69</vt:i4>
      </vt:variant>
      <vt:variant>
        <vt:i4>0</vt:i4>
      </vt:variant>
      <vt:variant>
        <vt:i4>5</vt:i4>
      </vt:variant>
      <vt:variant>
        <vt:lpwstr>https://www.berec.europa.eu/en/document-categories/berec/regulatory-best-practices/guidelines/draft-berec-guidelines-on-very-high-capacity-networks</vt:lpwstr>
      </vt:variant>
      <vt:variant>
        <vt:lpwstr/>
      </vt:variant>
      <vt:variant>
        <vt:i4>7995400</vt:i4>
      </vt:variant>
      <vt:variant>
        <vt:i4>66</vt:i4>
      </vt:variant>
      <vt:variant>
        <vt:i4>0</vt:i4>
      </vt:variant>
      <vt:variant>
        <vt:i4>5</vt:i4>
      </vt:variant>
      <vt:variant>
        <vt:lpwstr>https://ec.europa.eu/newsroom/dae/document.cfm?doc_id=56516</vt:lpwstr>
      </vt:variant>
      <vt:variant>
        <vt:lpwstr/>
      </vt:variant>
      <vt:variant>
        <vt:i4>1900560</vt:i4>
      </vt:variant>
      <vt:variant>
        <vt:i4>63</vt:i4>
      </vt:variant>
      <vt:variant>
        <vt:i4>0</vt:i4>
      </vt:variant>
      <vt:variant>
        <vt:i4>5</vt:i4>
      </vt:variant>
      <vt:variant>
        <vt:lpwstr>https://eur-lex.europa.eu/legal-content/EN-ET/TXT/?uri=CELEX:52018XC0507(01)</vt:lpwstr>
      </vt:variant>
      <vt:variant>
        <vt:lpwstr/>
      </vt:variant>
      <vt:variant>
        <vt:i4>1179716</vt:i4>
      </vt:variant>
      <vt:variant>
        <vt:i4>60</vt:i4>
      </vt:variant>
      <vt:variant>
        <vt:i4>0</vt:i4>
      </vt:variant>
      <vt:variant>
        <vt:i4>5</vt:i4>
      </vt:variant>
      <vt:variant>
        <vt:lpwstr>https://eur-lex.europa.eu/legal-content/ET/TXT/?uri=CELEX:32014H0710</vt:lpwstr>
      </vt:variant>
      <vt:variant>
        <vt:lpwstr/>
      </vt:variant>
      <vt:variant>
        <vt:i4>1376371</vt:i4>
      </vt:variant>
      <vt:variant>
        <vt:i4>57</vt:i4>
      </vt:variant>
      <vt:variant>
        <vt:i4>0</vt:i4>
      </vt:variant>
      <vt:variant>
        <vt:i4>5</vt:i4>
      </vt:variant>
      <vt:variant>
        <vt:lpwstr>https://www.nkom.no/ekom-markedet/markeder/markeder-som-reguleres/_/attachment/download/e804f701-e342-448d-95f9-0b81f4b5d144:b3bff2ccf56262242fdd0f242205cf2ab0335fb0/Kommisjonens Explanatory Note til anbefalingen av 18. desember 2020.pdf</vt:lpwstr>
      </vt:variant>
      <vt:variant>
        <vt:lpwstr/>
      </vt:variant>
      <vt:variant>
        <vt:i4>7143464</vt:i4>
      </vt:variant>
      <vt:variant>
        <vt:i4>54</vt:i4>
      </vt:variant>
      <vt:variant>
        <vt:i4>0</vt:i4>
      </vt:variant>
      <vt:variant>
        <vt:i4>5</vt:i4>
      </vt:variant>
      <vt:variant>
        <vt:lpwstr>https://eur-lex.europa.eu/legal-content/EN-ET/TXT/?uri=CELEX:32020H2245</vt:lpwstr>
      </vt:variant>
      <vt:variant>
        <vt:lpwstr/>
      </vt:variant>
      <vt:variant>
        <vt:i4>3735658</vt:i4>
      </vt:variant>
      <vt:variant>
        <vt:i4>51</vt:i4>
      </vt:variant>
      <vt:variant>
        <vt:i4>0</vt:i4>
      </vt:variant>
      <vt:variant>
        <vt:i4>5</vt:i4>
      </vt:variant>
      <vt:variant>
        <vt:lpwstr>https://www.berec.europa.eu/en</vt:lpwstr>
      </vt:variant>
      <vt:variant>
        <vt:lpwstr/>
      </vt:variant>
      <vt:variant>
        <vt:i4>5111851</vt:i4>
      </vt:variant>
      <vt:variant>
        <vt:i4>48</vt:i4>
      </vt:variant>
      <vt:variant>
        <vt:i4>0</vt:i4>
      </vt:variant>
      <vt:variant>
        <vt:i4>5</vt:i4>
      </vt:variant>
      <vt:variant>
        <vt:lpwstr>https://ec.europa.eu/info/index_et</vt:lpwstr>
      </vt:variant>
      <vt:variant>
        <vt:lpwstr/>
      </vt:variant>
      <vt:variant>
        <vt:i4>6160417</vt:i4>
      </vt:variant>
      <vt:variant>
        <vt:i4>45</vt:i4>
      </vt:variant>
      <vt:variant>
        <vt:i4>0</vt:i4>
      </vt:variant>
      <vt:variant>
        <vt:i4>5</vt:i4>
      </vt:variant>
      <vt:variant>
        <vt:lpwstr>https://european-union.europa.eu/index_et</vt:lpwstr>
      </vt:variant>
      <vt:variant>
        <vt:lpwstr/>
      </vt:variant>
      <vt:variant>
        <vt:i4>3342395</vt:i4>
      </vt:variant>
      <vt:variant>
        <vt:i4>42</vt:i4>
      </vt:variant>
      <vt:variant>
        <vt:i4>0</vt:i4>
      </vt:variant>
      <vt:variant>
        <vt:i4>5</vt:i4>
      </vt:variant>
      <vt:variant>
        <vt:lpwstr>https://www.riigiteataja.ee/akt/127022022003?leiaKehtiv</vt:lpwstr>
      </vt:variant>
      <vt:variant>
        <vt:lpwstr/>
      </vt:variant>
      <vt:variant>
        <vt:i4>6946919</vt:i4>
      </vt:variant>
      <vt:variant>
        <vt:i4>39</vt:i4>
      </vt:variant>
      <vt:variant>
        <vt:i4>0</vt:i4>
      </vt:variant>
      <vt:variant>
        <vt:i4>5</vt:i4>
      </vt:variant>
      <vt:variant>
        <vt:lpwstr>https://www.berec.europa.eu/en/document-categories/berec/regulatory-best-practices/guidelines/draft-berec-guidelines-on-very-high-capacity-networks</vt:lpwstr>
      </vt:variant>
      <vt:variant>
        <vt:lpwstr/>
      </vt:variant>
      <vt:variant>
        <vt:i4>6750254</vt:i4>
      </vt:variant>
      <vt:variant>
        <vt:i4>36</vt:i4>
      </vt:variant>
      <vt:variant>
        <vt:i4>0</vt:i4>
      </vt:variant>
      <vt:variant>
        <vt:i4>5</vt:i4>
      </vt:variant>
      <vt:variant>
        <vt:lpwstr>https://eur-lex.europa.eu/legal-content/LV/TXT/?uri=CELEX%3A52021DC0118</vt:lpwstr>
      </vt:variant>
      <vt:variant>
        <vt:lpwstr/>
      </vt:variant>
      <vt:variant>
        <vt:i4>7602276</vt:i4>
      </vt:variant>
      <vt:variant>
        <vt:i4>33</vt:i4>
      </vt:variant>
      <vt:variant>
        <vt:i4>0</vt:i4>
      </vt:variant>
      <vt:variant>
        <vt:i4>5</vt:i4>
      </vt:variant>
      <vt:variant>
        <vt:lpwstr>https://www.huawei.com/us/static/HW-278064.pdf</vt:lpwstr>
      </vt:variant>
      <vt:variant>
        <vt:lpwstr/>
      </vt:variant>
      <vt:variant>
        <vt:i4>5767229</vt:i4>
      </vt:variant>
      <vt:variant>
        <vt:i4>30</vt:i4>
      </vt:variant>
      <vt:variant>
        <vt:i4>0</vt:i4>
      </vt:variant>
      <vt:variant>
        <vt:i4>5</vt:i4>
      </vt:variant>
      <vt:variant>
        <vt:lpwstr>https://www.ttja.ee/sites/default/files/content-editors/Sideturg/II/lisa_1._t3a_turu_analuus_mte_maaramine_ja_kohustused_veebi.pdf</vt:lpwstr>
      </vt:variant>
      <vt:variant>
        <vt:lpwstr/>
      </vt:variant>
      <vt:variant>
        <vt:i4>851985</vt:i4>
      </vt:variant>
      <vt:variant>
        <vt:i4>27</vt:i4>
      </vt:variant>
      <vt:variant>
        <vt:i4>0</vt:i4>
      </vt:variant>
      <vt:variant>
        <vt:i4>5</vt:i4>
      </vt:variant>
      <vt:variant>
        <vt:lpwstr>http://www.tja.ee/public/documents/Elektrooniline_side/Sideturu_osakond/Reguleeritavad_turud/Lairiba_juurdepaas_fiks_vorgule/III_1._11.11.2013_T_5_Otsus_Nonconf.pdf</vt:lpwstr>
      </vt:variant>
      <vt:variant>
        <vt:lpwstr/>
      </vt:variant>
      <vt:variant>
        <vt:i4>2031638</vt:i4>
      </vt:variant>
      <vt:variant>
        <vt:i4>24</vt:i4>
      </vt:variant>
      <vt:variant>
        <vt:i4>0</vt:i4>
      </vt:variant>
      <vt:variant>
        <vt:i4>5</vt:i4>
      </vt:variant>
      <vt:variant>
        <vt:lpwstr>http://www.tja.ee/public/documents/Elektrooniline_side/Sideturu_osakond/Reguleeritavad_turud/Lairiba_juurdepaas_fiks_vorgule/II_1._Lairiba_juurdeaasu_turu___M5___otsus_non_conf.pdf</vt:lpwstr>
      </vt:variant>
      <vt:variant>
        <vt:lpwstr/>
      </vt:variant>
      <vt:variant>
        <vt:i4>3080249</vt:i4>
      </vt:variant>
      <vt:variant>
        <vt:i4>21</vt:i4>
      </vt:variant>
      <vt:variant>
        <vt:i4>0</vt:i4>
      </vt:variant>
      <vt:variant>
        <vt:i4>5</vt:i4>
      </vt:variant>
      <vt:variant>
        <vt:lpwstr>http://www.tja.ee/kone-lopetamine-mobiiltelefonivorgus/</vt:lpwstr>
      </vt:variant>
      <vt:variant>
        <vt:lpwstr/>
      </vt:variant>
      <vt:variant>
        <vt:i4>1179716</vt:i4>
      </vt:variant>
      <vt:variant>
        <vt:i4>18</vt:i4>
      </vt:variant>
      <vt:variant>
        <vt:i4>0</vt:i4>
      </vt:variant>
      <vt:variant>
        <vt:i4>5</vt:i4>
      </vt:variant>
      <vt:variant>
        <vt:lpwstr>https://eur-lex.europa.eu/legal-content/ET/TXT/?uri=CELEX:32014H0710</vt:lpwstr>
      </vt:variant>
      <vt:variant>
        <vt:lpwstr/>
      </vt:variant>
      <vt:variant>
        <vt:i4>2752558</vt:i4>
      </vt:variant>
      <vt:variant>
        <vt:i4>15</vt:i4>
      </vt:variant>
      <vt:variant>
        <vt:i4>0</vt:i4>
      </vt:variant>
      <vt:variant>
        <vt:i4>5</vt:i4>
      </vt:variant>
      <vt:variant>
        <vt:lpwstr>http://data.europa.eu/eli/reco/2020/2245/oj</vt:lpwstr>
      </vt:variant>
      <vt:variant>
        <vt:lpwstr/>
      </vt:variant>
      <vt:variant>
        <vt:i4>5636168</vt:i4>
      </vt:variant>
      <vt:variant>
        <vt:i4>12</vt:i4>
      </vt:variant>
      <vt:variant>
        <vt:i4>0</vt:i4>
      </vt:variant>
      <vt:variant>
        <vt:i4>5</vt:i4>
      </vt:variant>
      <vt:variant>
        <vt:lpwstr>https://eur-lex.europa.eu/legal-content/ET/TXT/PDF/?uri=CELEX:52018XC0507(01)&amp;from=ET</vt:lpwstr>
      </vt:variant>
      <vt:variant>
        <vt:lpwstr/>
      </vt:variant>
      <vt:variant>
        <vt:i4>6094928</vt:i4>
      </vt:variant>
      <vt:variant>
        <vt:i4>9</vt:i4>
      </vt:variant>
      <vt:variant>
        <vt:i4>0</vt:i4>
      </vt:variant>
      <vt:variant>
        <vt:i4>5</vt:i4>
      </vt:variant>
      <vt:variant>
        <vt:lpwstr>https://eur-lex.europa.eu/legal-content/ET/TXT/PDF/?uri=CELEX:32020H2245&amp;from=EN</vt:lpwstr>
      </vt:variant>
      <vt:variant>
        <vt:lpwstr/>
      </vt:variant>
      <vt:variant>
        <vt:i4>3670078</vt:i4>
      </vt:variant>
      <vt:variant>
        <vt:i4>6</vt:i4>
      </vt:variant>
      <vt:variant>
        <vt:i4>0</vt:i4>
      </vt:variant>
      <vt:variant>
        <vt:i4>5</vt:i4>
      </vt:variant>
      <vt:variant>
        <vt:lpwstr>https://eur-lex.europa.eu/legal-content/ET/TXT/?uri=CELEX:32018L1972&amp;qid=1684834011033</vt:lpwstr>
      </vt:variant>
      <vt:variant>
        <vt:lpwstr/>
      </vt:variant>
      <vt:variant>
        <vt:i4>7733311</vt:i4>
      </vt:variant>
      <vt:variant>
        <vt:i4>3</vt:i4>
      </vt:variant>
      <vt:variant>
        <vt:i4>0</vt:i4>
      </vt:variant>
      <vt:variant>
        <vt:i4>5</vt:i4>
      </vt:variant>
      <vt:variant>
        <vt:lpwstr>https://ttja.ee/media/1025/download</vt:lpwstr>
      </vt:variant>
      <vt:variant>
        <vt:lpwstr/>
      </vt:variant>
      <vt:variant>
        <vt:i4>7536700</vt:i4>
      </vt:variant>
      <vt:variant>
        <vt:i4>0</vt:i4>
      </vt:variant>
      <vt:variant>
        <vt:i4>0</vt:i4>
      </vt:variant>
      <vt:variant>
        <vt:i4>5</vt:i4>
      </vt:variant>
      <vt:variant>
        <vt:lpwstr>https://ttja.ee/media/1010/download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Peeter Lutsoja</dc:creator>
  <cp:keywords/>
  <dc:description/>
  <cp:lastModifiedBy>Peeter Lutsoja</cp:lastModifiedBy>
  <cp:revision>7</cp:revision>
  <dcterms:created xsi:type="dcterms:W3CDTF">2025-02-07T08:13:00Z</dcterms:created>
  <dcterms:modified xsi:type="dcterms:W3CDTF">2025-02-07T10:52:00Z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0x010100CB3169E43B55E645B7C5920CD3D7052D</vt:lpwstr>
  </property>
</Properties>
</file>