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1E4D" w14:textId="64A5F5C7" w:rsidR="00066BB9" w:rsidRPr="00A500BC" w:rsidRDefault="00066BB9" w:rsidP="00066BB9">
      <w:pPr>
        <w:widowControl w:val="0"/>
        <w:autoSpaceDE w:val="0"/>
        <w:autoSpaceDN w:val="0"/>
        <w:adjustRightInd w:val="0"/>
        <w:spacing w:after="0" w:line="240" w:lineRule="auto"/>
        <w:jc w:val="right"/>
        <w:rPr>
          <w:rFonts w:eastAsia="Times New Roman" w:cs="Times New Roman"/>
          <w:color w:val="7030A0"/>
          <w:sz w:val="20"/>
          <w:szCs w:val="20"/>
          <w:lang w:eastAsia="et-EE"/>
        </w:rPr>
      </w:pPr>
      <w:r w:rsidRPr="00A500BC">
        <w:rPr>
          <w:rFonts w:eastAsia="Times New Roman" w:cs="Times New Roman"/>
          <w:color w:val="7030A0"/>
          <w:sz w:val="20"/>
          <w:szCs w:val="20"/>
          <w:lang w:eastAsia="et-EE"/>
        </w:rPr>
        <w:t xml:space="preserve">                                                                                                                     </w:t>
      </w:r>
    </w:p>
    <w:p w14:paraId="300C5594" w14:textId="77777777" w:rsidR="00066BB9" w:rsidRPr="005B528F" w:rsidRDefault="00066BB9" w:rsidP="00066BB9">
      <w:pPr>
        <w:widowControl w:val="0"/>
        <w:autoSpaceDE w:val="0"/>
        <w:autoSpaceDN w:val="0"/>
        <w:adjustRightInd w:val="0"/>
        <w:spacing w:after="0" w:line="240" w:lineRule="auto"/>
        <w:jc w:val="right"/>
        <w:rPr>
          <w:rFonts w:eastAsia="Times New Roman" w:cs="Times New Roman"/>
          <w:sz w:val="20"/>
          <w:szCs w:val="20"/>
          <w:lang w:eastAsia="et-EE"/>
        </w:rPr>
      </w:pPr>
    </w:p>
    <w:p w14:paraId="25D26897" w14:textId="77777777" w:rsidR="00A500BC" w:rsidRPr="005B528F" w:rsidRDefault="00A500BC" w:rsidP="00A500BC">
      <w:pPr>
        <w:widowControl w:val="0"/>
        <w:autoSpaceDE w:val="0"/>
        <w:autoSpaceDN w:val="0"/>
        <w:adjustRightInd w:val="0"/>
        <w:spacing w:after="0" w:line="240" w:lineRule="auto"/>
        <w:jc w:val="right"/>
        <w:rPr>
          <w:sz w:val="20"/>
          <w:szCs w:val="20"/>
          <w:lang w:eastAsia="et-EE"/>
        </w:rPr>
      </w:pPr>
      <w:r w:rsidRPr="005B528F">
        <w:rPr>
          <w:sz w:val="20"/>
          <w:szCs w:val="20"/>
          <w:lang w:eastAsia="et-EE"/>
        </w:rPr>
        <w:t xml:space="preserve">Tarbijakaitse ja Tehnilise Järelevalve Ameti </w:t>
      </w:r>
    </w:p>
    <w:p w14:paraId="140325A0" w14:textId="6241EC48" w:rsidR="00A500BC" w:rsidRPr="00FB6C65" w:rsidRDefault="00A500BC" w:rsidP="00A500BC">
      <w:pPr>
        <w:widowControl w:val="0"/>
        <w:autoSpaceDE w:val="0"/>
        <w:autoSpaceDN w:val="0"/>
        <w:adjustRightInd w:val="0"/>
        <w:spacing w:after="0" w:line="240" w:lineRule="auto"/>
        <w:ind w:firstLine="720"/>
        <w:jc w:val="right"/>
        <w:rPr>
          <w:sz w:val="20"/>
          <w:szCs w:val="20"/>
          <w:lang w:eastAsia="et-EE"/>
        </w:rPr>
      </w:pPr>
      <w:r w:rsidRPr="00FB6C65">
        <w:rPr>
          <w:sz w:val="20"/>
          <w:szCs w:val="20"/>
          <w:lang w:eastAsia="et-EE"/>
        </w:rPr>
        <w:t>202</w:t>
      </w:r>
      <w:r w:rsidR="00686586" w:rsidRPr="00FB6C65">
        <w:rPr>
          <w:sz w:val="20"/>
          <w:szCs w:val="20"/>
          <w:lang w:eastAsia="et-EE"/>
        </w:rPr>
        <w:t>5</w:t>
      </w:r>
      <w:r w:rsidRPr="00FB6C65">
        <w:rPr>
          <w:sz w:val="20"/>
          <w:szCs w:val="20"/>
          <w:lang w:eastAsia="et-EE"/>
        </w:rPr>
        <w:t xml:space="preserve"> </w:t>
      </w:r>
      <w:r w:rsidR="00FB6C65" w:rsidRPr="00FB6C65">
        <w:rPr>
          <w:sz w:val="20"/>
          <w:szCs w:val="20"/>
          <w:lang w:eastAsia="et-EE"/>
        </w:rPr>
        <w:t>aasta</w:t>
      </w:r>
    </w:p>
    <w:p w14:paraId="57C72A83" w14:textId="77777777" w:rsidR="00A500BC" w:rsidRPr="005B528F" w:rsidRDefault="00A500BC" w:rsidP="00A500BC">
      <w:pPr>
        <w:widowControl w:val="0"/>
        <w:autoSpaceDE w:val="0"/>
        <w:autoSpaceDN w:val="0"/>
        <w:adjustRightInd w:val="0"/>
        <w:spacing w:after="0" w:line="240" w:lineRule="auto"/>
        <w:ind w:firstLine="720"/>
        <w:jc w:val="right"/>
        <w:rPr>
          <w:sz w:val="20"/>
          <w:szCs w:val="20"/>
          <w:lang w:eastAsia="et-EE"/>
        </w:rPr>
      </w:pPr>
      <w:r w:rsidRPr="005B528F">
        <w:rPr>
          <w:sz w:val="20"/>
          <w:szCs w:val="20"/>
          <w:lang w:eastAsia="et-EE"/>
        </w:rPr>
        <w:t xml:space="preserve">sidevõrgule kohaliku ja keskse </w:t>
      </w:r>
    </w:p>
    <w:p w14:paraId="0EB6D70F" w14:textId="77777777" w:rsidR="00A500BC" w:rsidRPr="005B528F" w:rsidRDefault="00A500BC" w:rsidP="00A500BC">
      <w:pPr>
        <w:widowControl w:val="0"/>
        <w:autoSpaceDE w:val="0"/>
        <w:autoSpaceDN w:val="0"/>
        <w:adjustRightInd w:val="0"/>
        <w:spacing w:after="0" w:line="240" w:lineRule="auto"/>
        <w:ind w:firstLine="720"/>
        <w:jc w:val="right"/>
        <w:rPr>
          <w:sz w:val="20"/>
          <w:szCs w:val="20"/>
          <w:lang w:eastAsia="et-EE"/>
        </w:rPr>
      </w:pPr>
      <w:r w:rsidRPr="005B528F">
        <w:rPr>
          <w:sz w:val="20"/>
          <w:szCs w:val="20"/>
          <w:lang w:eastAsia="et-EE"/>
        </w:rPr>
        <w:t xml:space="preserve">juurdepääsu hulgiturgudel </w:t>
      </w:r>
    </w:p>
    <w:p w14:paraId="17650A68" w14:textId="77777777" w:rsidR="00A500BC" w:rsidRPr="005B528F" w:rsidRDefault="00A500BC" w:rsidP="00A500BC">
      <w:pPr>
        <w:widowControl w:val="0"/>
        <w:autoSpaceDE w:val="0"/>
        <w:autoSpaceDN w:val="0"/>
        <w:adjustRightInd w:val="0"/>
        <w:spacing w:after="0" w:line="240" w:lineRule="auto"/>
        <w:ind w:firstLine="720"/>
        <w:jc w:val="right"/>
        <w:rPr>
          <w:sz w:val="20"/>
          <w:szCs w:val="20"/>
          <w:lang w:eastAsia="et-EE"/>
        </w:rPr>
      </w:pPr>
      <w:r w:rsidRPr="005B528F">
        <w:rPr>
          <w:sz w:val="20"/>
          <w:szCs w:val="20"/>
          <w:lang w:eastAsia="et-EE"/>
        </w:rPr>
        <w:t>märkimisväärse turujõuga ettevõtja</w:t>
      </w:r>
    </w:p>
    <w:p w14:paraId="1A4CF4DA" w14:textId="77777777" w:rsidR="00A500BC" w:rsidRPr="005B528F" w:rsidRDefault="00A500BC" w:rsidP="00A500BC">
      <w:pPr>
        <w:widowControl w:val="0"/>
        <w:autoSpaceDE w:val="0"/>
        <w:autoSpaceDN w:val="0"/>
        <w:adjustRightInd w:val="0"/>
        <w:spacing w:after="0" w:line="240" w:lineRule="auto"/>
        <w:ind w:firstLine="720"/>
        <w:jc w:val="right"/>
        <w:rPr>
          <w:sz w:val="20"/>
          <w:szCs w:val="20"/>
          <w:lang w:eastAsia="et-EE"/>
        </w:rPr>
      </w:pPr>
      <w:r w:rsidRPr="005B528F">
        <w:rPr>
          <w:sz w:val="20"/>
          <w:szCs w:val="20"/>
          <w:lang w:eastAsia="et-EE"/>
        </w:rPr>
        <w:t xml:space="preserve"> määramise ja määramata jätmise </w:t>
      </w:r>
    </w:p>
    <w:p w14:paraId="155A0419" w14:textId="77777777" w:rsidR="00A500BC" w:rsidRPr="005B528F" w:rsidRDefault="00A500BC" w:rsidP="00A500BC">
      <w:pPr>
        <w:widowControl w:val="0"/>
        <w:autoSpaceDE w:val="0"/>
        <w:autoSpaceDN w:val="0"/>
        <w:adjustRightInd w:val="0"/>
        <w:spacing w:after="0" w:line="240" w:lineRule="auto"/>
        <w:ind w:firstLine="720"/>
        <w:jc w:val="right"/>
        <w:rPr>
          <w:b/>
          <w:bCs/>
          <w:sz w:val="20"/>
          <w:szCs w:val="20"/>
          <w:lang w:eastAsia="et-EE"/>
        </w:rPr>
      </w:pPr>
      <w:r w:rsidRPr="005B528F">
        <w:rPr>
          <w:sz w:val="20"/>
          <w:szCs w:val="20"/>
          <w:lang w:eastAsia="et-EE"/>
        </w:rPr>
        <w:t>ning kohustuste kehtestamise</w:t>
      </w:r>
    </w:p>
    <w:p w14:paraId="395BEFB3" w14:textId="63B513C2" w:rsidR="00A500BC" w:rsidRPr="005B528F" w:rsidRDefault="00A500BC" w:rsidP="00A500BC">
      <w:pPr>
        <w:widowControl w:val="0"/>
        <w:autoSpaceDE w:val="0"/>
        <w:autoSpaceDN w:val="0"/>
        <w:adjustRightInd w:val="0"/>
        <w:spacing w:after="0" w:line="240" w:lineRule="auto"/>
        <w:jc w:val="right"/>
        <w:rPr>
          <w:sz w:val="20"/>
          <w:szCs w:val="20"/>
          <w:lang w:eastAsia="et-EE"/>
        </w:rPr>
      </w:pPr>
      <w:r w:rsidRPr="005B528F">
        <w:rPr>
          <w:sz w:val="20"/>
          <w:szCs w:val="20"/>
          <w:lang w:eastAsia="et-EE"/>
        </w:rPr>
        <w:t xml:space="preserve"> otsuse  </w:t>
      </w:r>
      <w:r w:rsidRPr="005B528F">
        <w:rPr>
          <w:b/>
          <w:sz w:val="20"/>
          <w:szCs w:val="20"/>
          <w:lang w:eastAsia="et-EE"/>
        </w:rPr>
        <w:t xml:space="preserve">                                                                                                                                                                         </w:t>
      </w:r>
    </w:p>
    <w:p w14:paraId="6DC915E1" w14:textId="3F57C94D" w:rsidR="00066BB9" w:rsidRPr="005B528F" w:rsidRDefault="00066BB9" w:rsidP="00822CBB">
      <w:pPr>
        <w:widowControl w:val="0"/>
        <w:autoSpaceDE w:val="0"/>
        <w:autoSpaceDN w:val="0"/>
        <w:adjustRightInd w:val="0"/>
        <w:spacing w:after="0" w:line="240" w:lineRule="auto"/>
        <w:jc w:val="right"/>
        <w:rPr>
          <w:rFonts w:eastAsia="Times New Roman" w:cs="Times New Roman"/>
          <w:sz w:val="20"/>
          <w:szCs w:val="20"/>
          <w:lang w:eastAsia="et-EE"/>
        </w:rPr>
      </w:pPr>
    </w:p>
    <w:p w14:paraId="3C9C0889" w14:textId="1DE18E52" w:rsidR="00066BB9" w:rsidRPr="005B528F" w:rsidRDefault="00066BB9" w:rsidP="00066BB9">
      <w:pPr>
        <w:widowControl w:val="0"/>
        <w:autoSpaceDE w:val="0"/>
        <w:autoSpaceDN w:val="0"/>
        <w:adjustRightInd w:val="0"/>
        <w:spacing w:after="0" w:line="240" w:lineRule="auto"/>
        <w:jc w:val="right"/>
        <w:rPr>
          <w:rFonts w:eastAsia="Times New Roman" w:cs="Times New Roman"/>
          <w:b/>
          <w:bCs/>
          <w:sz w:val="20"/>
          <w:szCs w:val="20"/>
          <w:lang w:eastAsia="et-EE"/>
        </w:rPr>
      </w:pPr>
      <w:r w:rsidRPr="005B528F">
        <w:rPr>
          <w:rFonts w:eastAsia="Times New Roman" w:cs="Times New Roman"/>
          <w:b/>
          <w:bCs/>
          <w:sz w:val="20"/>
          <w:szCs w:val="20"/>
          <w:lang w:eastAsia="et-EE"/>
        </w:rPr>
        <w:t xml:space="preserve">Lisa </w:t>
      </w:r>
      <w:r w:rsidR="00D34B57">
        <w:rPr>
          <w:rFonts w:eastAsia="Times New Roman" w:cs="Times New Roman"/>
          <w:b/>
          <w:bCs/>
          <w:sz w:val="20"/>
          <w:szCs w:val="20"/>
          <w:lang w:eastAsia="et-EE"/>
        </w:rPr>
        <w:t>3</w:t>
      </w:r>
    </w:p>
    <w:p w14:paraId="36A9296A" w14:textId="74EB51A7" w:rsidR="00066BB9" w:rsidRPr="005B528F" w:rsidRDefault="00066BB9" w:rsidP="00066BB9">
      <w:pPr>
        <w:spacing w:before="120" w:after="120"/>
        <w:rPr>
          <w:rFonts w:ascii="Calibri" w:eastAsia="Calibri" w:hAnsi="Calibri" w:cs="Times New Roman"/>
          <w:b/>
          <w:sz w:val="28"/>
          <w:szCs w:val="28"/>
        </w:rPr>
      </w:pPr>
    </w:p>
    <w:p w14:paraId="02A875AC" w14:textId="13B700A8" w:rsidR="00066BB9" w:rsidRPr="005B528F" w:rsidRDefault="00066BB9" w:rsidP="00066BB9">
      <w:pPr>
        <w:spacing w:before="120" w:after="120"/>
        <w:rPr>
          <w:rFonts w:ascii="Calibri" w:eastAsia="Calibri" w:hAnsi="Calibri" w:cs="Times New Roman"/>
          <w:b/>
          <w:sz w:val="28"/>
          <w:szCs w:val="28"/>
        </w:rPr>
      </w:pPr>
    </w:p>
    <w:p w14:paraId="6EA0F736" w14:textId="3038BCB8" w:rsidR="00066BB9" w:rsidRPr="005B528F" w:rsidRDefault="00066BB9" w:rsidP="00066BB9">
      <w:pPr>
        <w:spacing w:before="120" w:after="120"/>
        <w:rPr>
          <w:rFonts w:ascii="Calibri" w:eastAsia="Calibri" w:hAnsi="Calibri" w:cs="Times New Roman"/>
          <w:b/>
          <w:sz w:val="28"/>
          <w:szCs w:val="28"/>
        </w:rPr>
      </w:pPr>
    </w:p>
    <w:p w14:paraId="0BAC9A1E" w14:textId="77A11802" w:rsidR="00066BB9" w:rsidRPr="005B528F" w:rsidRDefault="00066BB9" w:rsidP="00066BB9">
      <w:pPr>
        <w:spacing w:before="120" w:after="120"/>
        <w:rPr>
          <w:rFonts w:ascii="Calibri" w:eastAsia="Calibri" w:hAnsi="Calibri" w:cs="Times New Roman"/>
          <w:b/>
          <w:sz w:val="28"/>
          <w:szCs w:val="28"/>
        </w:rPr>
      </w:pPr>
    </w:p>
    <w:p w14:paraId="7A22FDE2" w14:textId="77777777" w:rsidR="00066BB9" w:rsidRPr="005B528F" w:rsidRDefault="00066BB9" w:rsidP="00066BB9">
      <w:pPr>
        <w:spacing w:before="120" w:after="120"/>
        <w:rPr>
          <w:rFonts w:ascii="Calibri" w:eastAsia="Calibri" w:hAnsi="Calibri" w:cs="Times New Roman"/>
          <w:b/>
          <w:sz w:val="28"/>
          <w:szCs w:val="28"/>
        </w:rPr>
      </w:pPr>
    </w:p>
    <w:p w14:paraId="19EB0EA6" w14:textId="77777777" w:rsidR="00066BB9" w:rsidRPr="005B528F" w:rsidRDefault="00066BB9" w:rsidP="00066BB9">
      <w:pPr>
        <w:spacing w:before="120" w:after="120"/>
        <w:rPr>
          <w:rFonts w:ascii="Calibri" w:eastAsia="Calibri" w:hAnsi="Calibri" w:cs="Times New Roman"/>
          <w:b/>
          <w:sz w:val="28"/>
          <w:szCs w:val="28"/>
        </w:rPr>
      </w:pPr>
    </w:p>
    <w:p w14:paraId="2A37092D" w14:textId="0B447CC2" w:rsidR="00066BB9" w:rsidRPr="005B528F" w:rsidRDefault="00066BB9" w:rsidP="00A500BC">
      <w:pPr>
        <w:spacing w:before="120" w:after="120"/>
        <w:jc w:val="center"/>
        <w:rPr>
          <w:rFonts w:eastAsia="Calibri" w:cs="Times New Roman"/>
          <w:b/>
          <w:sz w:val="28"/>
          <w:szCs w:val="28"/>
        </w:rPr>
      </w:pPr>
      <w:r w:rsidRPr="005B528F">
        <w:rPr>
          <w:rFonts w:eastAsia="Calibri" w:cs="Times New Roman"/>
          <w:b/>
          <w:sz w:val="28"/>
          <w:szCs w:val="28"/>
        </w:rPr>
        <w:t xml:space="preserve">Otsuse kavandi riigisisesel konsulteerimisel esitatud                                                            </w:t>
      </w:r>
      <w:r w:rsidR="00A500BC" w:rsidRPr="005B528F">
        <w:rPr>
          <w:rFonts w:eastAsia="Calibri" w:cs="Times New Roman"/>
          <w:b/>
          <w:sz w:val="28"/>
          <w:szCs w:val="28"/>
        </w:rPr>
        <w:t>tagasiside ja sellega arvestamine</w:t>
      </w:r>
    </w:p>
    <w:p w14:paraId="5C5A310D" w14:textId="479070CE" w:rsidR="00066BB9" w:rsidRPr="005B528F" w:rsidRDefault="00066BB9">
      <w:r w:rsidRPr="005B528F">
        <w:br w:type="page"/>
      </w:r>
    </w:p>
    <w:bookmarkStart w:id="0" w:name="_Toc381948724" w:displacedByCustomXml="next"/>
    <w:sdt>
      <w:sdtPr>
        <w:rPr>
          <w:rFonts w:ascii="Times New Roman" w:eastAsiaTheme="minorEastAsia" w:hAnsi="Times New Roman" w:cstheme="minorBidi"/>
          <w:b w:val="0"/>
          <w:color w:val="7030A0"/>
          <w:sz w:val="24"/>
          <w:szCs w:val="24"/>
          <w:lang w:eastAsia="en-US"/>
        </w:rPr>
        <w:id w:val="-1219815285"/>
        <w:docPartObj>
          <w:docPartGallery w:val="Table of Contents"/>
          <w:docPartUnique/>
        </w:docPartObj>
      </w:sdtPr>
      <w:sdtEndPr/>
      <w:sdtContent>
        <w:p w14:paraId="75F376F1" w14:textId="19C5FDCB" w:rsidR="001F7908" w:rsidRPr="005B528F" w:rsidRDefault="001F7908">
          <w:pPr>
            <w:pStyle w:val="Sisukorrapealkiri"/>
            <w:rPr>
              <w:rStyle w:val="Pealkiri1Mrk"/>
              <w:color w:val="auto"/>
            </w:rPr>
          </w:pPr>
          <w:r w:rsidRPr="005B528F">
            <w:rPr>
              <w:rStyle w:val="Pealkiri1Mrk"/>
              <w:color w:val="auto"/>
            </w:rPr>
            <w:t>Sisukord</w:t>
          </w:r>
        </w:p>
        <w:p w14:paraId="3A7ED22C" w14:textId="3E516CAA" w:rsidR="00DF4C99" w:rsidRDefault="001F7908">
          <w:pPr>
            <w:pStyle w:val="SK1"/>
            <w:rPr>
              <w:rFonts w:asciiTheme="minorHAnsi" w:eastAsiaTheme="minorEastAsia" w:hAnsiTheme="minorHAnsi"/>
              <w:noProof/>
              <w:kern w:val="2"/>
              <w:sz w:val="22"/>
              <w:lang w:eastAsia="et-EE"/>
              <w14:ligatures w14:val="standardContextual"/>
            </w:rPr>
          </w:pPr>
          <w:r w:rsidRPr="005B528F">
            <w:fldChar w:fldCharType="begin"/>
          </w:r>
          <w:r w:rsidRPr="005B528F">
            <w:instrText xml:space="preserve"> TOC \o "1-3" \h \z \u </w:instrText>
          </w:r>
          <w:r w:rsidRPr="005B528F">
            <w:fldChar w:fldCharType="separate"/>
          </w:r>
          <w:hyperlink w:anchor="_Toc182488017" w:history="1">
            <w:r w:rsidR="00DF4C99" w:rsidRPr="00025AD6">
              <w:rPr>
                <w:rStyle w:val="Hperlink"/>
                <w:noProof/>
              </w:rPr>
              <w:t>Sissejuhatus</w:t>
            </w:r>
            <w:r w:rsidR="00DF4C99">
              <w:rPr>
                <w:noProof/>
                <w:webHidden/>
              </w:rPr>
              <w:tab/>
            </w:r>
            <w:r w:rsidR="00DF4C99">
              <w:rPr>
                <w:noProof/>
                <w:webHidden/>
              </w:rPr>
              <w:fldChar w:fldCharType="begin"/>
            </w:r>
            <w:r w:rsidR="00DF4C99">
              <w:rPr>
                <w:noProof/>
                <w:webHidden/>
              </w:rPr>
              <w:instrText xml:space="preserve"> PAGEREF _Toc182488017 \h </w:instrText>
            </w:r>
            <w:r w:rsidR="00DF4C99">
              <w:rPr>
                <w:noProof/>
                <w:webHidden/>
              </w:rPr>
            </w:r>
            <w:r w:rsidR="00DF4C99">
              <w:rPr>
                <w:noProof/>
                <w:webHidden/>
              </w:rPr>
              <w:fldChar w:fldCharType="separate"/>
            </w:r>
            <w:r w:rsidR="00DF4C99">
              <w:rPr>
                <w:noProof/>
                <w:webHidden/>
              </w:rPr>
              <w:t>4</w:t>
            </w:r>
            <w:r w:rsidR="00DF4C99">
              <w:rPr>
                <w:noProof/>
                <w:webHidden/>
              </w:rPr>
              <w:fldChar w:fldCharType="end"/>
            </w:r>
          </w:hyperlink>
        </w:p>
        <w:p w14:paraId="2E51A26D" w14:textId="34319A8F" w:rsidR="00DF4C99" w:rsidRDefault="00DF4C99">
          <w:pPr>
            <w:pStyle w:val="SK1"/>
            <w:rPr>
              <w:rFonts w:asciiTheme="minorHAnsi" w:eastAsiaTheme="minorEastAsia" w:hAnsiTheme="minorHAnsi"/>
              <w:noProof/>
              <w:kern w:val="2"/>
              <w:sz w:val="22"/>
              <w:lang w:eastAsia="et-EE"/>
              <w14:ligatures w14:val="standardContextual"/>
            </w:rPr>
          </w:pPr>
          <w:hyperlink w:anchor="_Toc182488018" w:history="1">
            <w:r w:rsidRPr="00025AD6">
              <w:rPr>
                <w:rStyle w:val="Hperlink"/>
                <w:noProof/>
              </w:rPr>
              <w:t>Tallinna Kesklinna ja Tallinna Kristiine linnaosade piiritlemine valguskaablivõrgu internetiühenduste A või B piirkonna jaeturule</w:t>
            </w:r>
            <w:r>
              <w:rPr>
                <w:noProof/>
                <w:webHidden/>
              </w:rPr>
              <w:tab/>
            </w:r>
            <w:r>
              <w:rPr>
                <w:noProof/>
                <w:webHidden/>
              </w:rPr>
              <w:fldChar w:fldCharType="begin"/>
            </w:r>
            <w:r>
              <w:rPr>
                <w:noProof/>
                <w:webHidden/>
              </w:rPr>
              <w:instrText xml:space="preserve"> PAGEREF _Toc182488018 \h </w:instrText>
            </w:r>
            <w:r>
              <w:rPr>
                <w:noProof/>
                <w:webHidden/>
              </w:rPr>
            </w:r>
            <w:r>
              <w:rPr>
                <w:noProof/>
                <w:webHidden/>
              </w:rPr>
              <w:fldChar w:fldCharType="separate"/>
            </w:r>
            <w:r>
              <w:rPr>
                <w:noProof/>
                <w:webHidden/>
              </w:rPr>
              <w:t>4</w:t>
            </w:r>
            <w:r>
              <w:rPr>
                <w:noProof/>
                <w:webHidden/>
              </w:rPr>
              <w:fldChar w:fldCharType="end"/>
            </w:r>
          </w:hyperlink>
        </w:p>
        <w:p w14:paraId="0CD0EB2B" w14:textId="0CA0214F"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19" w:history="1">
            <w:r w:rsidRPr="00025AD6">
              <w:rPr>
                <w:rStyle w:val="Hperlink"/>
                <w:noProof/>
              </w:rPr>
              <w:t>Telia</w:t>
            </w:r>
            <w:r>
              <w:rPr>
                <w:noProof/>
                <w:webHidden/>
              </w:rPr>
              <w:tab/>
            </w:r>
            <w:r>
              <w:rPr>
                <w:noProof/>
                <w:webHidden/>
              </w:rPr>
              <w:fldChar w:fldCharType="begin"/>
            </w:r>
            <w:r>
              <w:rPr>
                <w:noProof/>
                <w:webHidden/>
              </w:rPr>
              <w:instrText xml:space="preserve"> PAGEREF _Toc182488019 \h </w:instrText>
            </w:r>
            <w:r>
              <w:rPr>
                <w:noProof/>
                <w:webHidden/>
              </w:rPr>
            </w:r>
            <w:r>
              <w:rPr>
                <w:noProof/>
                <w:webHidden/>
              </w:rPr>
              <w:fldChar w:fldCharType="separate"/>
            </w:r>
            <w:r>
              <w:rPr>
                <w:noProof/>
                <w:webHidden/>
              </w:rPr>
              <w:t>4</w:t>
            </w:r>
            <w:r>
              <w:rPr>
                <w:noProof/>
                <w:webHidden/>
              </w:rPr>
              <w:fldChar w:fldCharType="end"/>
            </w:r>
          </w:hyperlink>
        </w:p>
        <w:p w14:paraId="45DA939B" w14:textId="2B35A853"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0" w:history="1">
            <w:r w:rsidRPr="00025AD6">
              <w:rPr>
                <w:rStyle w:val="Hperlink"/>
                <w:noProof/>
              </w:rPr>
              <w:t>TTJA</w:t>
            </w:r>
            <w:r>
              <w:rPr>
                <w:noProof/>
                <w:webHidden/>
              </w:rPr>
              <w:tab/>
            </w:r>
            <w:r>
              <w:rPr>
                <w:noProof/>
                <w:webHidden/>
              </w:rPr>
              <w:fldChar w:fldCharType="begin"/>
            </w:r>
            <w:r>
              <w:rPr>
                <w:noProof/>
                <w:webHidden/>
              </w:rPr>
              <w:instrText xml:space="preserve"> PAGEREF _Toc182488020 \h </w:instrText>
            </w:r>
            <w:r>
              <w:rPr>
                <w:noProof/>
                <w:webHidden/>
              </w:rPr>
            </w:r>
            <w:r>
              <w:rPr>
                <w:noProof/>
                <w:webHidden/>
              </w:rPr>
              <w:fldChar w:fldCharType="separate"/>
            </w:r>
            <w:r>
              <w:rPr>
                <w:noProof/>
                <w:webHidden/>
              </w:rPr>
              <w:t>5</w:t>
            </w:r>
            <w:r>
              <w:rPr>
                <w:noProof/>
                <w:webHidden/>
              </w:rPr>
              <w:fldChar w:fldCharType="end"/>
            </w:r>
          </w:hyperlink>
        </w:p>
        <w:p w14:paraId="6D5D89FB" w14:textId="24F9564F" w:rsidR="00DF4C99" w:rsidRDefault="00DF4C99">
          <w:pPr>
            <w:pStyle w:val="SK1"/>
            <w:rPr>
              <w:rFonts w:asciiTheme="minorHAnsi" w:eastAsiaTheme="minorEastAsia" w:hAnsiTheme="minorHAnsi"/>
              <w:noProof/>
              <w:kern w:val="2"/>
              <w:sz w:val="22"/>
              <w:lang w:eastAsia="et-EE"/>
              <w14:ligatures w14:val="standardContextual"/>
            </w:rPr>
          </w:pPr>
          <w:hyperlink w:anchor="_Toc182488021" w:history="1">
            <w:r w:rsidRPr="00025AD6">
              <w:rPr>
                <w:rStyle w:val="Hperlink"/>
                <w:noProof/>
              </w:rPr>
              <w:t>5G mobiilivõrgu teenused asendusteenusena valguskaablivõrgu teenustele</w:t>
            </w:r>
            <w:r>
              <w:rPr>
                <w:noProof/>
                <w:webHidden/>
              </w:rPr>
              <w:tab/>
            </w:r>
            <w:r>
              <w:rPr>
                <w:noProof/>
                <w:webHidden/>
              </w:rPr>
              <w:fldChar w:fldCharType="begin"/>
            </w:r>
            <w:r>
              <w:rPr>
                <w:noProof/>
                <w:webHidden/>
              </w:rPr>
              <w:instrText xml:space="preserve"> PAGEREF _Toc182488021 \h </w:instrText>
            </w:r>
            <w:r>
              <w:rPr>
                <w:noProof/>
                <w:webHidden/>
              </w:rPr>
            </w:r>
            <w:r>
              <w:rPr>
                <w:noProof/>
                <w:webHidden/>
              </w:rPr>
              <w:fldChar w:fldCharType="separate"/>
            </w:r>
            <w:r>
              <w:rPr>
                <w:noProof/>
                <w:webHidden/>
              </w:rPr>
              <w:t>6</w:t>
            </w:r>
            <w:r>
              <w:rPr>
                <w:noProof/>
                <w:webHidden/>
              </w:rPr>
              <w:fldChar w:fldCharType="end"/>
            </w:r>
          </w:hyperlink>
        </w:p>
        <w:p w14:paraId="388358DF" w14:textId="59B1633D"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2" w:history="1">
            <w:r w:rsidRPr="00025AD6">
              <w:rPr>
                <w:rStyle w:val="Hperlink"/>
                <w:noProof/>
              </w:rPr>
              <w:t>Telia</w:t>
            </w:r>
            <w:r>
              <w:rPr>
                <w:noProof/>
                <w:webHidden/>
              </w:rPr>
              <w:tab/>
            </w:r>
            <w:r>
              <w:rPr>
                <w:noProof/>
                <w:webHidden/>
              </w:rPr>
              <w:fldChar w:fldCharType="begin"/>
            </w:r>
            <w:r>
              <w:rPr>
                <w:noProof/>
                <w:webHidden/>
              </w:rPr>
              <w:instrText xml:space="preserve"> PAGEREF _Toc182488022 \h </w:instrText>
            </w:r>
            <w:r>
              <w:rPr>
                <w:noProof/>
                <w:webHidden/>
              </w:rPr>
            </w:r>
            <w:r>
              <w:rPr>
                <w:noProof/>
                <w:webHidden/>
              </w:rPr>
              <w:fldChar w:fldCharType="separate"/>
            </w:r>
            <w:r>
              <w:rPr>
                <w:noProof/>
                <w:webHidden/>
              </w:rPr>
              <w:t>6</w:t>
            </w:r>
            <w:r>
              <w:rPr>
                <w:noProof/>
                <w:webHidden/>
              </w:rPr>
              <w:fldChar w:fldCharType="end"/>
            </w:r>
          </w:hyperlink>
        </w:p>
        <w:p w14:paraId="21F53210" w14:textId="478D06FB"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3" w:history="1">
            <w:r w:rsidRPr="00025AD6">
              <w:rPr>
                <w:rStyle w:val="Hperlink"/>
                <w:noProof/>
              </w:rPr>
              <w:t>TTJA</w:t>
            </w:r>
            <w:r>
              <w:rPr>
                <w:noProof/>
                <w:webHidden/>
              </w:rPr>
              <w:tab/>
            </w:r>
            <w:r>
              <w:rPr>
                <w:noProof/>
                <w:webHidden/>
              </w:rPr>
              <w:fldChar w:fldCharType="begin"/>
            </w:r>
            <w:r>
              <w:rPr>
                <w:noProof/>
                <w:webHidden/>
              </w:rPr>
              <w:instrText xml:space="preserve"> PAGEREF _Toc182488023 \h </w:instrText>
            </w:r>
            <w:r>
              <w:rPr>
                <w:noProof/>
                <w:webHidden/>
              </w:rPr>
            </w:r>
            <w:r>
              <w:rPr>
                <w:noProof/>
                <w:webHidden/>
              </w:rPr>
              <w:fldChar w:fldCharType="separate"/>
            </w:r>
            <w:r>
              <w:rPr>
                <w:noProof/>
                <w:webHidden/>
              </w:rPr>
              <w:t>6</w:t>
            </w:r>
            <w:r>
              <w:rPr>
                <w:noProof/>
                <w:webHidden/>
              </w:rPr>
              <w:fldChar w:fldCharType="end"/>
            </w:r>
          </w:hyperlink>
        </w:p>
        <w:p w14:paraId="568E5B7D" w14:textId="2B0BC916" w:rsidR="00DF4C99" w:rsidRDefault="00DF4C99">
          <w:pPr>
            <w:pStyle w:val="SK1"/>
            <w:rPr>
              <w:rFonts w:asciiTheme="minorHAnsi" w:eastAsiaTheme="minorEastAsia" w:hAnsiTheme="minorHAnsi"/>
              <w:noProof/>
              <w:kern w:val="2"/>
              <w:sz w:val="22"/>
              <w:lang w:eastAsia="et-EE"/>
              <w14:ligatures w14:val="standardContextual"/>
            </w:rPr>
          </w:pPr>
          <w:hyperlink w:anchor="_Toc182488024" w:history="1">
            <w:r w:rsidRPr="00025AD6">
              <w:rPr>
                <w:rStyle w:val="Hperlink"/>
                <w:noProof/>
              </w:rPr>
              <w:t>Kohustuste rakendamise tähtajad</w:t>
            </w:r>
            <w:r>
              <w:rPr>
                <w:noProof/>
                <w:webHidden/>
              </w:rPr>
              <w:tab/>
            </w:r>
            <w:r>
              <w:rPr>
                <w:noProof/>
                <w:webHidden/>
              </w:rPr>
              <w:fldChar w:fldCharType="begin"/>
            </w:r>
            <w:r>
              <w:rPr>
                <w:noProof/>
                <w:webHidden/>
              </w:rPr>
              <w:instrText xml:space="preserve"> PAGEREF _Toc182488024 \h </w:instrText>
            </w:r>
            <w:r>
              <w:rPr>
                <w:noProof/>
                <w:webHidden/>
              </w:rPr>
            </w:r>
            <w:r>
              <w:rPr>
                <w:noProof/>
                <w:webHidden/>
              </w:rPr>
              <w:fldChar w:fldCharType="separate"/>
            </w:r>
            <w:r>
              <w:rPr>
                <w:noProof/>
                <w:webHidden/>
              </w:rPr>
              <w:t>7</w:t>
            </w:r>
            <w:r>
              <w:rPr>
                <w:noProof/>
                <w:webHidden/>
              </w:rPr>
              <w:fldChar w:fldCharType="end"/>
            </w:r>
          </w:hyperlink>
        </w:p>
        <w:p w14:paraId="2E58B5C9" w14:textId="42FE80A4"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5" w:history="1">
            <w:r w:rsidRPr="00025AD6">
              <w:rPr>
                <w:rStyle w:val="Hperlink"/>
                <w:noProof/>
              </w:rPr>
              <w:t>Telia</w:t>
            </w:r>
            <w:r>
              <w:rPr>
                <w:noProof/>
                <w:webHidden/>
              </w:rPr>
              <w:tab/>
            </w:r>
            <w:r>
              <w:rPr>
                <w:noProof/>
                <w:webHidden/>
              </w:rPr>
              <w:fldChar w:fldCharType="begin"/>
            </w:r>
            <w:r>
              <w:rPr>
                <w:noProof/>
                <w:webHidden/>
              </w:rPr>
              <w:instrText xml:space="preserve"> PAGEREF _Toc182488025 \h </w:instrText>
            </w:r>
            <w:r>
              <w:rPr>
                <w:noProof/>
                <w:webHidden/>
              </w:rPr>
            </w:r>
            <w:r>
              <w:rPr>
                <w:noProof/>
                <w:webHidden/>
              </w:rPr>
              <w:fldChar w:fldCharType="separate"/>
            </w:r>
            <w:r>
              <w:rPr>
                <w:noProof/>
                <w:webHidden/>
              </w:rPr>
              <w:t>7</w:t>
            </w:r>
            <w:r>
              <w:rPr>
                <w:noProof/>
                <w:webHidden/>
              </w:rPr>
              <w:fldChar w:fldCharType="end"/>
            </w:r>
          </w:hyperlink>
        </w:p>
        <w:p w14:paraId="1C429EA9" w14:textId="349FA6EF"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6" w:history="1">
            <w:r w:rsidRPr="00025AD6">
              <w:rPr>
                <w:rStyle w:val="Hperlink"/>
                <w:noProof/>
              </w:rPr>
              <w:t>TTJA</w:t>
            </w:r>
            <w:r>
              <w:rPr>
                <w:noProof/>
                <w:webHidden/>
              </w:rPr>
              <w:tab/>
            </w:r>
            <w:r>
              <w:rPr>
                <w:noProof/>
                <w:webHidden/>
              </w:rPr>
              <w:fldChar w:fldCharType="begin"/>
            </w:r>
            <w:r>
              <w:rPr>
                <w:noProof/>
                <w:webHidden/>
              </w:rPr>
              <w:instrText xml:space="preserve"> PAGEREF _Toc182488026 \h </w:instrText>
            </w:r>
            <w:r>
              <w:rPr>
                <w:noProof/>
                <w:webHidden/>
              </w:rPr>
            </w:r>
            <w:r>
              <w:rPr>
                <w:noProof/>
                <w:webHidden/>
              </w:rPr>
              <w:fldChar w:fldCharType="separate"/>
            </w:r>
            <w:r>
              <w:rPr>
                <w:noProof/>
                <w:webHidden/>
              </w:rPr>
              <w:t>7</w:t>
            </w:r>
            <w:r>
              <w:rPr>
                <w:noProof/>
                <w:webHidden/>
              </w:rPr>
              <w:fldChar w:fldCharType="end"/>
            </w:r>
          </w:hyperlink>
        </w:p>
        <w:p w14:paraId="42CD8D8A" w14:textId="6129A9AC" w:rsidR="00DF4C99" w:rsidRDefault="00DF4C99">
          <w:pPr>
            <w:pStyle w:val="SK1"/>
            <w:rPr>
              <w:rFonts w:asciiTheme="minorHAnsi" w:eastAsiaTheme="minorEastAsia" w:hAnsiTheme="minorHAnsi"/>
              <w:noProof/>
              <w:kern w:val="2"/>
              <w:sz w:val="22"/>
              <w:lang w:eastAsia="et-EE"/>
              <w14:ligatures w14:val="standardContextual"/>
            </w:rPr>
          </w:pPr>
          <w:hyperlink w:anchor="_Toc182488027" w:history="1">
            <w:r w:rsidRPr="00025AD6">
              <w:rPr>
                <w:rStyle w:val="Hperlink"/>
                <w:noProof/>
              </w:rPr>
              <w:t>Remondi kõrvaldamise tarkvarasüsteemile juurdepääs</w:t>
            </w:r>
            <w:r>
              <w:rPr>
                <w:noProof/>
                <w:webHidden/>
              </w:rPr>
              <w:tab/>
            </w:r>
            <w:r>
              <w:rPr>
                <w:noProof/>
                <w:webHidden/>
              </w:rPr>
              <w:fldChar w:fldCharType="begin"/>
            </w:r>
            <w:r>
              <w:rPr>
                <w:noProof/>
                <w:webHidden/>
              </w:rPr>
              <w:instrText xml:space="preserve"> PAGEREF _Toc182488027 \h </w:instrText>
            </w:r>
            <w:r>
              <w:rPr>
                <w:noProof/>
                <w:webHidden/>
              </w:rPr>
            </w:r>
            <w:r>
              <w:rPr>
                <w:noProof/>
                <w:webHidden/>
              </w:rPr>
              <w:fldChar w:fldCharType="separate"/>
            </w:r>
            <w:r>
              <w:rPr>
                <w:noProof/>
                <w:webHidden/>
              </w:rPr>
              <w:t>7</w:t>
            </w:r>
            <w:r>
              <w:rPr>
                <w:noProof/>
                <w:webHidden/>
              </w:rPr>
              <w:fldChar w:fldCharType="end"/>
            </w:r>
          </w:hyperlink>
        </w:p>
        <w:p w14:paraId="62BBC04C" w14:textId="6789C69A"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8" w:history="1">
            <w:r w:rsidRPr="00025AD6">
              <w:rPr>
                <w:rStyle w:val="Hperlink"/>
                <w:noProof/>
              </w:rPr>
              <w:t>Telia</w:t>
            </w:r>
            <w:r>
              <w:rPr>
                <w:noProof/>
                <w:webHidden/>
              </w:rPr>
              <w:tab/>
            </w:r>
            <w:r>
              <w:rPr>
                <w:noProof/>
                <w:webHidden/>
              </w:rPr>
              <w:fldChar w:fldCharType="begin"/>
            </w:r>
            <w:r>
              <w:rPr>
                <w:noProof/>
                <w:webHidden/>
              </w:rPr>
              <w:instrText xml:space="preserve"> PAGEREF _Toc182488028 \h </w:instrText>
            </w:r>
            <w:r>
              <w:rPr>
                <w:noProof/>
                <w:webHidden/>
              </w:rPr>
            </w:r>
            <w:r>
              <w:rPr>
                <w:noProof/>
                <w:webHidden/>
              </w:rPr>
              <w:fldChar w:fldCharType="separate"/>
            </w:r>
            <w:r>
              <w:rPr>
                <w:noProof/>
                <w:webHidden/>
              </w:rPr>
              <w:t>7</w:t>
            </w:r>
            <w:r>
              <w:rPr>
                <w:noProof/>
                <w:webHidden/>
              </w:rPr>
              <w:fldChar w:fldCharType="end"/>
            </w:r>
          </w:hyperlink>
        </w:p>
        <w:p w14:paraId="57CD034B" w14:textId="3C0BE463"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29" w:history="1">
            <w:r w:rsidRPr="00025AD6">
              <w:rPr>
                <w:rStyle w:val="Hperlink"/>
                <w:noProof/>
              </w:rPr>
              <w:t>TTJA</w:t>
            </w:r>
            <w:r>
              <w:rPr>
                <w:noProof/>
                <w:webHidden/>
              </w:rPr>
              <w:tab/>
            </w:r>
            <w:r>
              <w:rPr>
                <w:noProof/>
                <w:webHidden/>
              </w:rPr>
              <w:fldChar w:fldCharType="begin"/>
            </w:r>
            <w:r>
              <w:rPr>
                <w:noProof/>
                <w:webHidden/>
              </w:rPr>
              <w:instrText xml:space="preserve"> PAGEREF _Toc182488029 \h </w:instrText>
            </w:r>
            <w:r>
              <w:rPr>
                <w:noProof/>
                <w:webHidden/>
              </w:rPr>
            </w:r>
            <w:r>
              <w:rPr>
                <w:noProof/>
                <w:webHidden/>
              </w:rPr>
              <w:fldChar w:fldCharType="separate"/>
            </w:r>
            <w:r>
              <w:rPr>
                <w:noProof/>
                <w:webHidden/>
              </w:rPr>
              <w:t>8</w:t>
            </w:r>
            <w:r>
              <w:rPr>
                <w:noProof/>
                <w:webHidden/>
              </w:rPr>
              <w:fldChar w:fldCharType="end"/>
            </w:r>
          </w:hyperlink>
        </w:p>
        <w:p w14:paraId="6F042C5C" w14:textId="24AE5B01" w:rsidR="00DF4C99" w:rsidRDefault="00DF4C99">
          <w:pPr>
            <w:pStyle w:val="SK1"/>
            <w:rPr>
              <w:rFonts w:asciiTheme="minorHAnsi" w:eastAsiaTheme="minorEastAsia" w:hAnsiTheme="minorHAnsi"/>
              <w:noProof/>
              <w:kern w:val="2"/>
              <w:sz w:val="22"/>
              <w:lang w:eastAsia="et-EE"/>
              <w14:ligatures w14:val="standardContextual"/>
            </w:rPr>
          </w:pPr>
          <w:hyperlink w:anchor="_Toc182488030" w:history="1">
            <w:r w:rsidRPr="00025AD6">
              <w:rPr>
                <w:rStyle w:val="Hperlink"/>
                <w:noProof/>
              </w:rPr>
              <w:t>Telia muud ettepanekud</w:t>
            </w:r>
            <w:r>
              <w:rPr>
                <w:noProof/>
                <w:webHidden/>
              </w:rPr>
              <w:tab/>
            </w:r>
            <w:r>
              <w:rPr>
                <w:noProof/>
                <w:webHidden/>
              </w:rPr>
              <w:fldChar w:fldCharType="begin"/>
            </w:r>
            <w:r>
              <w:rPr>
                <w:noProof/>
                <w:webHidden/>
              </w:rPr>
              <w:instrText xml:space="preserve"> PAGEREF _Toc182488030 \h </w:instrText>
            </w:r>
            <w:r>
              <w:rPr>
                <w:noProof/>
                <w:webHidden/>
              </w:rPr>
            </w:r>
            <w:r>
              <w:rPr>
                <w:noProof/>
                <w:webHidden/>
              </w:rPr>
              <w:fldChar w:fldCharType="separate"/>
            </w:r>
            <w:r>
              <w:rPr>
                <w:noProof/>
                <w:webHidden/>
              </w:rPr>
              <w:t>8</w:t>
            </w:r>
            <w:r>
              <w:rPr>
                <w:noProof/>
                <w:webHidden/>
              </w:rPr>
              <w:fldChar w:fldCharType="end"/>
            </w:r>
          </w:hyperlink>
        </w:p>
        <w:p w14:paraId="0E26B6A4" w14:textId="1A02B498"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1" w:history="1">
            <w:r w:rsidRPr="00025AD6">
              <w:rPr>
                <w:rStyle w:val="Hperlink"/>
                <w:noProof/>
              </w:rPr>
              <w:t>Telia – ADSLx võrgu asendamine VDSLx vektoringi võrguga</w:t>
            </w:r>
            <w:r>
              <w:rPr>
                <w:noProof/>
                <w:webHidden/>
              </w:rPr>
              <w:tab/>
            </w:r>
            <w:r>
              <w:rPr>
                <w:noProof/>
                <w:webHidden/>
              </w:rPr>
              <w:fldChar w:fldCharType="begin"/>
            </w:r>
            <w:r>
              <w:rPr>
                <w:noProof/>
                <w:webHidden/>
              </w:rPr>
              <w:instrText xml:space="preserve"> PAGEREF _Toc182488031 \h </w:instrText>
            </w:r>
            <w:r>
              <w:rPr>
                <w:noProof/>
                <w:webHidden/>
              </w:rPr>
            </w:r>
            <w:r>
              <w:rPr>
                <w:noProof/>
                <w:webHidden/>
              </w:rPr>
              <w:fldChar w:fldCharType="separate"/>
            </w:r>
            <w:r>
              <w:rPr>
                <w:noProof/>
                <w:webHidden/>
              </w:rPr>
              <w:t>8</w:t>
            </w:r>
            <w:r>
              <w:rPr>
                <w:noProof/>
                <w:webHidden/>
              </w:rPr>
              <w:fldChar w:fldCharType="end"/>
            </w:r>
          </w:hyperlink>
        </w:p>
        <w:p w14:paraId="7E3976BC" w14:textId="72E3BF32"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2" w:history="1">
            <w:r w:rsidRPr="00025AD6">
              <w:rPr>
                <w:rStyle w:val="Hperlink"/>
                <w:noProof/>
              </w:rPr>
              <w:t>TTJA</w:t>
            </w:r>
            <w:r>
              <w:rPr>
                <w:noProof/>
                <w:webHidden/>
              </w:rPr>
              <w:tab/>
            </w:r>
            <w:r>
              <w:rPr>
                <w:noProof/>
                <w:webHidden/>
              </w:rPr>
              <w:fldChar w:fldCharType="begin"/>
            </w:r>
            <w:r>
              <w:rPr>
                <w:noProof/>
                <w:webHidden/>
              </w:rPr>
              <w:instrText xml:space="preserve"> PAGEREF _Toc182488032 \h </w:instrText>
            </w:r>
            <w:r>
              <w:rPr>
                <w:noProof/>
                <w:webHidden/>
              </w:rPr>
            </w:r>
            <w:r>
              <w:rPr>
                <w:noProof/>
                <w:webHidden/>
              </w:rPr>
              <w:fldChar w:fldCharType="separate"/>
            </w:r>
            <w:r>
              <w:rPr>
                <w:noProof/>
                <w:webHidden/>
              </w:rPr>
              <w:t>8</w:t>
            </w:r>
            <w:r>
              <w:rPr>
                <w:noProof/>
                <w:webHidden/>
              </w:rPr>
              <w:fldChar w:fldCharType="end"/>
            </w:r>
          </w:hyperlink>
        </w:p>
        <w:p w14:paraId="7D8CFD3C" w14:textId="2246A2A5"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3" w:history="1">
            <w:r w:rsidRPr="00025AD6">
              <w:rPr>
                <w:rStyle w:val="Hperlink"/>
                <w:noProof/>
              </w:rPr>
              <w:t>Telia – Kavandi joonisel internetiühenduste kuutasude täpsustamine</w:t>
            </w:r>
            <w:r>
              <w:rPr>
                <w:noProof/>
                <w:webHidden/>
              </w:rPr>
              <w:tab/>
            </w:r>
            <w:r>
              <w:rPr>
                <w:noProof/>
                <w:webHidden/>
              </w:rPr>
              <w:fldChar w:fldCharType="begin"/>
            </w:r>
            <w:r>
              <w:rPr>
                <w:noProof/>
                <w:webHidden/>
              </w:rPr>
              <w:instrText xml:space="preserve"> PAGEREF _Toc182488033 \h </w:instrText>
            </w:r>
            <w:r>
              <w:rPr>
                <w:noProof/>
                <w:webHidden/>
              </w:rPr>
            </w:r>
            <w:r>
              <w:rPr>
                <w:noProof/>
                <w:webHidden/>
              </w:rPr>
              <w:fldChar w:fldCharType="separate"/>
            </w:r>
            <w:r>
              <w:rPr>
                <w:noProof/>
                <w:webHidden/>
              </w:rPr>
              <w:t>8</w:t>
            </w:r>
            <w:r>
              <w:rPr>
                <w:noProof/>
                <w:webHidden/>
              </w:rPr>
              <w:fldChar w:fldCharType="end"/>
            </w:r>
          </w:hyperlink>
        </w:p>
        <w:p w14:paraId="24DBD937" w14:textId="6F15DB55"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4" w:history="1">
            <w:r w:rsidRPr="00025AD6">
              <w:rPr>
                <w:rStyle w:val="Hperlink"/>
                <w:noProof/>
              </w:rPr>
              <w:t>TTJA</w:t>
            </w:r>
            <w:r>
              <w:rPr>
                <w:noProof/>
                <w:webHidden/>
              </w:rPr>
              <w:tab/>
            </w:r>
            <w:r>
              <w:rPr>
                <w:noProof/>
                <w:webHidden/>
              </w:rPr>
              <w:fldChar w:fldCharType="begin"/>
            </w:r>
            <w:r>
              <w:rPr>
                <w:noProof/>
                <w:webHidden/>
              </w:rPr>
              <w:instrText xml:space="preserve"> PAGEREF _Toc182488034 \h </w:instrText>
            </w:r>
            <w:r>
              <w:rPr>
                <w:noProof/>
                <w:webHidden/>
              </w:rPr>
            </w:r>
            <w:r>
              <w:rPr>
                <w:noProof/>
                <w:webHidden/>
              </w:rPr>
              <w:fldChar w:fldCharType="separate"/>
            </w:r>
            <w:r>
              <w:rPr>
                <w:noProof/>
                <w:webHidden/>
              </w:rPr>
              <w:t>9</w:t>
            </w:r>
            <w:r>
              <w:rPr>
                <w:noProof/>
                <w:webHidden/>
              </w:rPr>
              <w:fldChar w:fldCharType="end"/>
            </w:r>
          </w:hyperlink>
        </w:p>
        <w:p w14:paraId="2128D48C" w14:textId="1E8FCD40"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5" w:history="1">
            <w:r w:rsidRPr="00025AD6">
              <w:rPr>
                <w:rStyle w:val="Hperlink"/>
                <w:noProof/>
              </w:rPr>
              <w:t>Telia – Kavandi joonisel internetiühenduste kuutasude täpsustamine</w:t>
            </w:r>
            <w:r>
              <w:rPr>
                <w:noProof/>
                <w:webHidden/>
              </w:rPr>
              <w:tab/>
            </w:r>
            <w:r>
              <w:rPr>
                <w:noProof/>
                <w:webHidden/>
              </w:rPr>
              <w:fldChar w:fldCharType="begin"/>
            </w:r>
            <w:r>
              <w:rPr>
                <w:noProof/>
                <w:webHidden/>
              </w:rPr>
              <w:instrText xml:space="preserve"> PAGEREF _Toc182488035 \h </w:instrText>
            </w:r>
            <w:r>
              <w:rPr>
                <w:noProof/>
                <w:webHidden/>
              </w:rPr>
            </w:r>
            <w:r>
              <w:rPr>
                <w:noProof/>
                <w:webHidden/>
              </w:rPr>
              <w:fldChar w:fldCharType="separate"/>
            </w:r>
            <w:r>
              <w:rPr>
                <w:noProof/>
                <w:webHidden/>
              </w:rPr>
              <w:t>9</w:t>
            </w:r>
            <w:r>
              <w:rPr>
                <w:noProof/>
                <w:webHidden/>
              </w:rPr>
              <w:fldChar w:fldCharType="end"/>
            </w:r>
          </w:hyperlink>
        </w:p>
        <w:p w14:paraId="366EAFDD" w14:textId="02F98233"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6" w:history="1">
            <w:r w:rsidRPr="00025AD6">
              <w:rPr>
                <w:rStyle w:val="Hperlink"/>
                <w:noProof/>
              </w:rPr>
              <w:t>TTJA</w:t>
            </w:r>
            <w:r>
              <w:rPr>
                <w:noProof/>
                <w:webHidden/>
              </w:rPr>
              <w:tab/>
            </w:r>
            <w:r>
              <w:rPr>
                <w:noProof/>
                <w:webHidden/>
              </w:rPr>
              <w:fldChar w:fldCharType="begin"/>
            </w:r>
            <w:r>
              <w:rPr>
                <w:noProof/>
                <w:webHidden/>
              </w:rPr>
              <w:instrText xml:space="preserve"> PAGEREF _Toc182488036 \h </w:instrText>
            </w:r>
            <w:r>
              <w:rPr>
                <w:noProof/>
                <w:webHidden/>
              </w:rPr>
            </w:r>
            <w:r>
              <w:rPr>
                <w:noProof/>
                <w:webHidden/>
              </w:rPr>
              <w:fldChar w:fldCharType="separate"/>
            </w:r>
            <w:r>
              <w:rPr>
                <w:noProof/>
                <w:webHidden/>
              </w:rPr>
              <w:t>9</w:t>
            </w:r>
            <w:r>
              <w:rPr>
                <w:noProof/>
                <w:webHidden/>
              </w:rPr>
              <w:fldChar w:fldCharType="end"/>
            </w:r>
          </w:hyperlink>
        </w:p>
        <w:p w14:paraId="4F5D832E" w14:textId="685F7493" w:rsidR="00DF4C99" w:rsidRDefault="00DF4C99">
          <w:pPr>
            <w:pStyle w:val="SK1"/>
            <w:rPr>
              <w:rFonts w:asciiTheme="minorHAnsi" w:eastAsiaTheme="minorEastAsia" w:hAnsiTheme="minorHAnsi"/>
              <w:noProof/>
              <w:kern w:val="2"/>
              <w:sz w:val="22"/>
              <w:lang w:eastAsia="et-EE"/>
              <w14:ligatures w14:val="standardContextual"/>
            </w:rPr>
          </w:pPr>
          <w:hyperlink w:anchor="_Toc182488037" w:history="1">
            <w:r w:rsidRPr="00025AD6">
              <w:rPr>
                <w:rStyle w:val="Hperlink"/>
                <w:noProof/>
              </w:rPr>
              <w:t>Konkurentsi kriteeriumid jaeturu A ja B piirkonna eristamisel</w:t>
            </w:r>
            <w:r>
              <w:rPr>
                <w:noProof/>
                <w:webHidden/>
              </w:rPr>
              <w:tab/>
            </w:r>
            <w:r>
              <w:rPr>
                <w:noProof/>
                <w:webHidden/>
              </w:rPr>
              <w:fldChar w:fldCharType="begin"/>
            </w:r>
            <w:r>
              <w:rPr>
                <w:noProof/>
                <w:webHidden/>
              </w:rPr>
              <w:instrText xml:space="preserve"> PAGEREF _Toc182488037 \h </w:instrText>
            </w:r>
            <w:r>
              <w:rPr>
                <w:noProof/>
                <w:webHidden/>
              </w:rPr>
            </w:r>
            <w:r>
              <w:rPr>
                <w:noProof/>
                <w:webHidden/>
              </w:rPr>
              <w:fldChar w:fldCharType="separate"/>
            </w:r>
            <w:r>
              <w:rPr>
                <w:noProof/>
                <w:webHidden/>
              </w:rPr>
              <w:t>9</w:t>
            </w:r>
            <w:r>
              <w:rPr>
                <w:noProof/>
                <w:webHidden/>
              </w:rPr>
              <w:fldChar w:fldCharType="end"/>
            </w:r>
          </w:hyperlink>
        </w:p>
        <w:p w14:paraId="517E6A01" w14:textId="752D3D4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8" w:history="1">
            <w:r w:rsidRPr="00025AD6">
              <w:rPr>
                <w:rStyle w:val="Hperlink"/>
                <w:noProof/>
              </w:rPr>
              <w:t>Elisa</w:t>
            </w:r>
            <w:r>
              <w:rPr>
                <w:noProof/>
                <w:webHidden/>
              </w:rPr>
              <w:tab/>
            </w:r>
            <w:r>
              <w:rPr>
                <w:noProof/>
                <w:webHidden/>
              </w:rPr>
              <w:fldChar w:fldCharType="begin"/>
            </w:r>
            <w:r>
              <w:rPr>
                <w:noProof/>
                <w:webHidden/>
              </w:rPr>
              <w:instrText xml:space="preserve"> PAGEREF _Toc182488038 \h </w:instrText>
            </w:r>
            <w:r>
              <w:rPr>
                <w:noProof/>
                <w:webHidden/>
              </w:rPr>
            </w:r>
            <w:r>
              <w:rPr>
                <w:noProof/>
                <w:webHidden/>
              </w:rPr>
              <w:fldChar w:fldCharType="separate"/>
            </w:r>
            <w:r>
              <w:rPr>
                <w:noProof/>
                <w:webHidden/>
              </w:rPr>
              <w:t>9</w:t>
            </w:r>
            <w:r>
              <w:rPr>
                <w:noProof/>
                <w:webHidden/>
              </w:rPr>
              <w:fldChar w:fldCharType="end"/>
            </w:r>
          </w:hyperlink>
        </w:p>
        <w:p w14:paraId="79B59096" w14:textId="71F5D65A"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39" w:history="1">
            <w:r w:rsidRPr="00025AD6">
              <w:rPr>
                <w:rStyle w:val="Hperlink"/>
                <w:noProof/>
              </w:rPr>
              <w:t>TTJA</w:t>
            </w:r>
            <w:r>
              <w:rPr>
                <w:noProof/>
                <w:webHidden/>
              </w:rPr>
              <w:tab/>
            </w:r>
            <w:r>
              <w:rPr>
                <w:noProof/>
                <w:webHidden/>
              </w:rPr>
              <w:fldChar w:fldCharType="begin"/>
            </w:r>
            <w:r>
              <w:rPr>
                <w:noProof/>
                <w:webHidden/>
              </w:rPr>
              <w:instrText xml:space="preserve"> PAGEREF _Toc182488039 \h </w:instrText>
            </w:r>
            <w:r>
              <w:rPr>
                <w:noProof/>
                <w:webHidden/>
              </w:rPr>
            </w:r>
            <w:r>
              <w:rPr>
                <w:noProof/>
                <w:webHidden/>
              </w:rPr>
              <w:fldChar w:fldCharType="separate"/>
            </w:r>
            <w:r>
              <w:rPr>
                <w:noProof/>
                <w:webHidden/>
              </w:rPr>
              <w:t>11</w:t>
            </w:r>
            <w:r>
              <w:rPr>
                <w:noProof/>
                <w:webHidden/>
              </w:rPr>
              <w:fldChar w:fldCharType="end"/>
            </w:r>
          </w:hyperlink>
        </w:p>
        <w:p w14:paraId="4578BDBB" w14:textId="0CC6B84E" w:rsidR="00DF4C99" w:rsidRDefault="00DF4C99">
          <w:pPr>
            <w:pStyle w:val="SK1"/>
            <w:rPr>
              <w:rFonts w:asciiTheme="minorHAnsi" w:eastAsiaTheme="minorEastAsia" w:hAnsiTheme="minorHAnsi"/>
              <w:noProof/>
              <w:kern w:val="2"/>
              <w:sz w:val="22"/>
              <w:lang w:eastAsia="et-EE"/>
              <w14:ligatures w14:val="standardContextual"/>
            </w:rPr>
          </w:pPr>
          <w:hyperlink w:anchor="_Toc182488040" w:history="1">
            <w:r w:rsidRPr="00025AD6">
              <w:rPr>
                <w:rStyle w:val="Hperlink"/>
                <w:noProof/>
              </w:rPr>
              <w:t>Juurdepääsu kohustus Telia vaskkaabel kliendiliinile sh virtuaalselt eraldatud vaskkaabel kliendiliinile</w:t>
            </w:r>
            <w:r>
              <w:rPr>
                <w:noProof/>
                <w:webHidden/>
              </w:rPr>
              <w:tab/>
            </w:r>
            <w:r>
              <w:rPr>
                <w:noProof/>
                <w:webHidden/>
              </w:rPr>
              <w:fldChar w:fldCharType="begin"/>
            </w:r>
            <w:r>
              <w:rPr>
                <w:noProof/>
                <w:webHidden/>
              </w:rPr>
              <w:instrText xml:space="preserve"> PAGEREF _Toc182488040 \h </w:instrText>
            </w:r>
            <w:r>
              <w:rPr>
                <w:noProof/>
                <w:webHidden/>
              </w:rPr>
            </w:r>
            <w:r>
              <w:rPr>
                <w:noProof/>
                <w:webHidden/>
              </w:rPr>
              <w:fldChar w:fldCharType="separate"/>
            </w:r>
            <w:r>
              <w:rPr>
                <w:noProof/>
                <w:webHidden/>
              </w:rPr>
              <w:t>19</w:t>
            </w:r>
            <w:r>
              <w:rPr>
                <w:noProof/>
                <w:webHidden/>
              </w:rPr>
              <w:fldChar w:fldCharType="end"/>
            </w:r>
          </w:hyperlink>
        </w:p>
        <w:p w14:paraId="441396DC" w14:textId="3AEB5CCF"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1" w:history="1">
            <w:r w:rsidRPr="00025AD6">
              <w:rPr>
                <w:rStyle w:val="Hperlink"/>
                <w:noProof/>
              </w:rPr>
              <w:t>Elisa</w:t>
            </w:r>
            <w:r>
              <w:rPr>
                <w:noProof/>
                <w:webHidden/>
              </w:rPr>
              <w:tab/>
            </w:r>
            <w:r>
              <w:rPr>
                <w:noProof/>
                <w:webHidden/>
              </w:rPr>
              <w:fldChar w:fldCharType="begin"/>
            </w:r>
            <w:r>
              <w:rPr>
                <w:noProof/>
                <w:webHidden/>
              </w:rPr>
              <w:instrText xml:space="preserve"> PAGEREF _Toc182488041 \h </w:instrText>
            </w:r>
            <w:r>
              <w:rPr>
                <w:noProof/>
                <w:webHidden/>
              </w:rPr>
            </w:r>
            <w:r>
              <w:rPr>
                <w:noProof/>
                <w:webHidden/>
              </w:rPr>
              <w:fldChar w:fldCharType="separate"/>
            </w:r>
            <w:r>
              <w:rPr>
                <w:noProof/>
                <w:webHidden/>
              </w:rPr>
              <w:t>19</w:t>
            </w:r>
            <w:r>
              <w:rPr>
                <w:noProof/>
                <w:webHidden/>
              </w:rPr>
              <w:fldChar w:fldCharType="end"/>
            </w:r>
          </w:hyperlink>
        </w:p>
        <w:p w14:paraId="3E8F4D4A" w14:textId="64D6073E"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2" w:history="1">
            <w:r w:rsidRPr="00025AD6">
              <w:rPr>
                <w:rStyle w:val="Hperlink"/>
                <w:noProof/>
              </w:rPr>
              <w:t>TTJA</w:t>
            </w:r>
            <w:r>
              <w:rPr>
                <w:noProof/>
                <w:webHidden/>
              </w:rPr>
              <w:tab/>
            </w:r>
            <w:r>
              <w:rPr>
                <w:noProof/>
                <w:webHidden/>
              </w:rPr>
              <w:fldChar w:fldCharType="begin"/>
            </w:r>
            <w:r>
              <w:rPr>
                <w:noProof/>
                <w:webHidden/>
              </w:rPr>
              <w:instrText xml:space="preserve"> PAGEREF _Toc182488042 \h </w:instrText>
            </w:r>
            <w:r>
              <w:rPr>
                <w:noProof/>
                <w:webHidden/>
              </w:rPr>
            </w:r>
            <w:r>
              <w:rPr>
                <w:noProof/>
                <w:webHidden/>
              </w:rPr>
              <w:fldChar w:fldCharType="separate"/>
            </w:r>
            <w:r>
              <w:rPr>
                <w:noProof/>
                <w:webHidden/>
              </w:rPr>
              <w:t>23</w:t>
            </w:r>
            <w:r>
              <w:rPr>
                <w:noProof/>
                <w:webHidden/>
              </w:rPr>
              <w:fldChar w:fldCharType="end"/>
            </w:r>
          </w:hyperlink>
        </w:p>
        <w:p w14:paraId="1A94E1C8" w14:textId="2E557BF4" w:rsidR="00DF4C99" w:rsidRDefault="00DF4C99">
          <w:pPr>
            <w:pStyle w:val="SK1"/>
            <w:rPr>
              <w:rFonts w:asciiTheme="minorHAnsi" w:eastAsiaTheme="minorEastAsia" w:hAnsiTheme="minorHAnsi"/>
              <w:noProof/>
              <w:kern w:val="2"/>
              <w:sz w:val="22"/>
              <w:lang w:eastAsia="et-EE"/>
              <w14:ligatures w14:val="standardContextual"/>
            </w:rPr>
          </w:pPr>
          <w:hyperlink w:anchor="_Toc182488043" w:history="1">
            <w:r w:rsidRPr="00025AD6">
              <w:rPr>
                <w:rStyle w:val="Hperlink"/>
                <w:noProof/>
              </w:rPr>
              <w:t>Juurdepääsu kohustus Telia valguskaabli alamkliendiliinile</w:t>
            </w:r>
            <w:r>
              <w:rPr>
                <w:noProof/>
                <w:webHidden/>
              </w:rPr>
              <w:tab/>
            </w:r>
            <w:r>
              <w:rPr>
                <w:noProof/>
                <w:webHidden/>
              </w:rPr>
              <w:fldChar w:fldCharType="begin"/>
            </w:r>
            <w:r>
              <w:rPr>
                <w:noProof/>
                <w:webHidden/>
              </w:rPr>
              <w:instrText xml:space="preserve"> PAGEREF _Toc182488043 \h </w:instrText>
            </w:r>
            <w:r>
              <w:rPr>
                <w:noProof/>
                <w:webHidden/>
              </w:rPr>
            </w:r>
            <w:r>
              <w:rPr>
                <w:noProof/>
                <w:webHidden/>
              </w:rPr>
              <w:fldChar w:fldCharType="separate"/>
            </w:r>
            <w:r>
              <w:rPr>
                <w:noProof/>
                <w:webHidden/>
              </w:rPr>
              <w:t>24</w:t>
            </w:r>
            <w:r>
              <w:rPr>
                <w:noProof/>
                <w:webHidden/>
              </w:rPr>
              <w:fldChar w:fldCharType="end"/>
            </w:r>
          </w:hyperlink>
        </w:p>
        <w:p w14:paraId="5CA67D96" w14:textId="1748D30D"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4" w:history="1">
            <w:r w:rsidRPr="00025AD6">
              <w:rPr>
                <w:rStyle w:val="Hperlink"/>
                <w:noProof/>
              </w:rPr>
              <w:t>Elisa</w:t>
            </w:r>
            <w:r>
              <w:rPr>
                <w:noProof/>
                <w:webHidden/>
              </w:rPr>
              <w:tab/>
            </w:r>
            <w:r>
              <w:rPr>
                <w:noProof/>
                <w:webHidden/>
              </w:rPr>
              <w:fldChar w:fldCharType="begin"/>
            </w:r>
            <w:r>
              <w:rPr>
                <w:noProof/>
                <w:webHidden/>
              </w:rPr>
              <w:instrText xml:space="preserve"> PAGEREF _Toc182488044 \h </w:instrText>
            </w:r>
            <w:r>
              <w:rPr>
                <w:noProof/>
                <w:webHidden/>
              </w:rPr>
            </w:r>
            <w:r>
              <w:rPr>
                <w:noProof/>
                <w:webHidden/>
              </w:rPr>
              <w:fldChar w:fldCharType="separate"/>
            </w:r>
            <w:r>
              <w:rPr>
                <w:noProof/>
                <w:webHidden/>
              </w:rPr>
              <w:t>24</w:t>
            </w:r>
            <w:r>
              <w:rPr>
                <w:noProof/>
                <w:webHidden/>
              </w:rPr>
              <w:fldChar w:fldCharType="end"/>
            </w:r>
          </w:hyperlink>
        </w:p>
        <w:p w14:paraId="7A2CCBB7" w14:textId="14BF57EB"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5" w:history="1">
            <w:r w:rsidRPr="00025AD6">
              <w:rPr>
                <w:rStyle w:val="Hperlink"/>
                <w:noProof/>
              </w:rPr>
              <w:t>TTJA</w:t>
            </w:r>
            <w:r>
              <w:rPr>
                <w:noProof/>
                <w:webHidden/>
              </w:rPr>
              <w:tab/>
            </w:r>
            <w:r>
              <w:rPr>
                <w:noProof/>
                <w:webHidden/>
              </w:rPr>
              <w:fldChar w:fldCharType="begin"/>
            </w:r>
            <w:r>
              <w:rPr>
                <w:noProof/>
                <w:webHidden/>
              </w:rPr>
              <w:instrText xml:space="preserve"> PAGEREF _Toc182488045 \h </w:instrText>
            </w:r>
            <w:r>
              <w:rPr>
                <w:noProof/>
                <w:webHidden/>
              </w:rPr>
            </w:r>
            <w:r>
              <w:rPr>
                <w:noProof/>
                <w:webHidden/>
              </w:rPr>
              <w:fldChar w:fldCharType="separate"/>
            </w:r>
            <w:r>
              <w:rPr>
                <w:noProof/>
                <w:webHidden/>
              </w:rPr>
              <w:t>26</w:t>
            </w:r>
            <w:r>
              <w:rPr>
                <w:noProof/>
                <w:webHidden/>
              </w:rPr>
              <w:fldChar w:fldCharType="end"/>
            </w:r>
          </w:hyperlink>
        </w:p>
        <w:p w14:paraId="23901EB9" w14:textId="0C9F2736" w:rsidR="00DF4C99" w:rsidRDefault="00DF4C99">
          <w:pPr>
            <w:pStyle w:val="SK1"/>
            <w:rPr>
              <w:rFonts w:asciiTheme="minorHAnsi" w:eastAsiaTheme="minorEastAsia" w:hAnsiTheme="minorHAnsi"/>
              <w:noProof/>
              <w:kern w:val="2"/>
              <w:sz w:val="22"/>
              <w:lang w:eastAsia="et-EE"/>
              <w14:ligatures w14:val="standardContextual"/>
            </w:rPr>
          </w:pPr>
          <w:hyperlink w:anchor="_Toc182488046" w:history="1">
            <w:r w:rsidRPr="00025AD6">
              <w:rPr>
                <w:rStyle w:val="Hperlink"/>
                <w:noProof/>
              </w:rPr>
              <w:t>Telia virtuaalselt eraldatud valguskaablile juurdepääsu tingimused – juurdepääsupunkt, tehnilised omandused, maksumus ja kasutusvalmidus</w:t>
            </w:r>
            <w:r>
              <w:rPr>
                <w:noProof/>
                <w:webHidden/>
              </w:rPr>
              <w:tab/>
            </w:r>
            <w:r>
              <w:rPr>
                <w:noProof/>
                <w:webHidden/>
              </w:rPr>
              <w:fldChar w:fldCharType="begin"/>
            </w:r>
            <w:r>
              <w:rPr>
                <w:noProof/>
                <w:webHidden/>
              </w:rPr>
              <w:instrText xml:space="preserve"> PAGEREF _Toc182488046 \h </w:instrText>
            </w:r>
            <w:r>
              <w:rPr>
                <w:noProof/>
                <w:webHidden/>
              </w:rPr>
            </w:r>
            <w:r>
              <w:rPr>
                <w:noProof/>
                <w:webHidden/>
              </w:rPr>
              <w:fldChar w:fldCharType="separate"/>
            </w:r>
            <w:r>
              <w:rPr>
                <w:noProof/>
                <w:webHidden/>
              </w:rPr>
              <w:t>27</w:t>
            </w:r>
            <w:r>
              <w:rPr>
                <w:noProof/>
                <w:webHidden/>
              </w:rPr>
              <w:fldChar w:fldCharType="end"/>
            </w:r>
          </w:hyperlink>
        </w:p>
        <w:p w14:paraId="6AF760C4" w14:textId="18D4E67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7" w:history="1">
            <w:r w:rsidRPr="00025AD6">
              <w:rPr>
                <w:rStyle w:val="Hperlink"/>
                <w:noProof/>
              </w:rPr>
              <w:t>Elisa</w:t>
            </w:r>
            <w:r>
              <w:rPr>
                <w:noProof/>
                <w:webHidden/>
              </w:rPr>
              <w:tab/>
            </w:r>
            <w:r>
              <w:rPr>
                <w:noProof/>
                <w:webHidden/>
              </w:rPr>
              <w:fldChar w:fldCharType="begin"/>
            </w:r>
            <w:r>
              <w:rPr>
                <w:noProof/>
                <w:webHidden/>
              </w:rPr>
              <w:instrText xml:space="preserve"> PAGEREF _Toc182488047 \h </w:instrText>
            </w:r>
            <w:r>
              <w:rPr>
                <w:noProof/>
                <w:webHidden/>
              </w:rPr>
            </w:r>
            <w:r>
              <w:rPr>
                <w:noProof/>
                <w:webHidden/>
              </w:rPr>
              <w:fldChar w:fldCharType="separate"/>
            </w:r>
            <w:r>
              <w:rPr>
                <w:noProof/>
                <w:webHidden/>
              </w:rPr>
              <w:t>27</w:t>
            </w:r>
            <w:r>
              <w:rPr>
                <w:noProof/>
                <w:webHidden/>
              </w:rPr>
              <w:fldChar w:fldCharType="end"/>
            </w:r>
          </w:hyperlink>
        </w:p>
        <w:p w14:paraId="2F483CEF" w14:textId="2148406B"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8" w:history="1">
            <w:r w:rsidRPr="00025AD6">
              <w:rPr>
                <w:rStyle w:val="Hperlink"/>
                <w:noProof/>
              </w:rPr>
              <w:t>Telia</w:t>
            </w:r>
            <w:r>
              <w:rPr>
                <w:noProof/>
                <w:webHidden/>
              </w:rPr>
              <w:tab/>
            </w:r>
            <w:r>
              <w:rPr>
                <w:noProof/>
                <w:webHidden/>
              </w:rPr>
              <w:fldChar w:fldCharType="begin"/>
            </w:r>
            <w:r>
              <w:rPr>
                <w:noProof/>
                <w:webHidden/>
              </w:rPr>
              <w:instrText xml:space="preserve"> PAGEREF _Toc182488048 \h </w:instrText>
            </w:r>
            <w:r>
              <w:rPr>
                <w:noProof/>
                <w:webHidden/>
              </w:rPr>
            </w:r>
            <w:r>
              <w:rPr>
                <w:noProof/>
                <w:webHidden/>
              </w:rPr>
              <w:fldChar w:fldCharType="separate"/>
            </w:r>
            <w:r>
              <w:rPr>
                <w:noProof/>
                <w:webHidden/>
              </w:rPr>
              <w:t>30</w:t>
            </w:r>
            <w:r>
              <w:rPr>
                <w:noProof/>
                <w:webHidden/>
              </w:rPr>
              <w:fldChar w:fldCharType="end"/>
            </w:r>
          </w:hyperlink>
        </w:p>
        <w:p w14:paraId="01566EE0" w14:textId="7593B79A"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49" w:history="1">
            <w:r w:rsidRPr="00025AD6">
              <w:rPr>
                <w:rStyle w:val="Hperlink"/>
                <w:noProof/>
              </w:rPr>
              <w:t>TTJA</w:t>
            </w:r>
            <w:r>
              <w:rPr>
                <w:noProof/>
                <w:webHidden/>
              </w:rPr>
              <w:tab/>
            </w:r>
            <w:r>
              <w:rPr>
                <w:noProof/>
                <w:webHidden/>
              </w:rPr>
              <w:fldChar w:fldCharType="begin"/>
            </w:r>
            <w:r>
              <w:rPr>
                <w:noProof/>
                <w:webHidden/>
              </w:rPr>
              <w:instrText xml:space="preserve"> PAGEREF _Toc182488049 \h </w:instrText>
            </w:r>
            <w:r>
              <w:rPr>
                <w:noProof/>
                <w:webHidden/>
              </w:rPr>
            </w:r>
            <w:r>
              <w:rPr>
                <w:noProof/>
                <w:webHidden/>
              </w:rPr>
              <w:fldChar w:fldCharType="separate"/>
            </w:r>
            <w:r>
              <w:rPr>
                <w:noProof/>
                <w:webHidden/>
              </w:rPr>
              <w:t>30</w:t>
            </w:r>
            <w:r>
              <w:rPr>
                <w:noProof/>
                <w:webHidden/>
              </w:rPr>
              <w:fldChar w:fldCharType="end"/>
            </w:r>
          </w:hyperlink>
        </w:p>
        <w:p w14:paraId="6BE836E1" w14:textId="3C549E81" w:rsidR="00DF4C99" w:rsidRDefault="00DF4C99">
          <w:pPr>
            <w:pStyle w:val="SK3"/>
            <w:tabs>
              <w:tab w:val="right" w:leader="dot" w:pos="9062"/>
            </w:tabs>
            <w:rPr>
              <w:rFonts w:asciiTheme="minorHAnsi" w:eastAsiaTheme="minorEastAsia" w:hAnsiTheme="minorHAnsi"/>
              <w:noProof/>
              <w:kern w:val="2"/>
              <w:sz w:val="22"/>
              <w:lang w:eastAsia="et-EE"/>
              <w14:ligatures w14:val="standardContextual"/>
            </w:rPr>
          </w:pPr>
          <w:hyperlink w:anchor="_Toc182488050" w:history="1">
            <w:r w:rsidRPr="00025AD6">
              <w:rPr>
                <w:rStyle w:val="Hperlink"/>
                <w:noProof/>
              </w:rPr>
              <w:t>Juurdepääsupunkt virtuaalselt eraldatud kliendiliinile juurdepääsul</w:t>
            </w:r>
            <w:r>
              <w:rPr>
                <w:noProof/>
                <w:webHidden/>
              </w:rPr>
              <w:tab/>
            </w:r>
            <w:r>
              <w:rPr>
                <w:noProof/>
                <w:webHidden/>
              </w:rPr>
              <w:fldChar w:fldCharType="begin"/>
            </w:r>
            <w:r>
              <w:rPr>
                <w:noProof/>
                <w:webHidden/>
              </w:rPr>
              <w:instrText xml:space="preserve"> PAGEREF _Toc182488050 \h </w:instrText>
            </w:r>
            <w:r>
              <w:rPr>
                <w:noProof/>
                <w:webHidden/>
              </w:rPr>
            </w:r>
            <w:r>
              <w:rPr>
                <w:noProof/>
                <w:webHidden/>
              </w:rPr>
              <w:fldChar w:fldCharType="separate"/>
            </w:r>
            <w:r>
              <w:rPr>
                <w:noProof/>
                <w:webHidden/>
              </w:rPr>
              <w:t>30</w:t>
            </w:r>
            <w:r>
              <w:rPr>
                <w:noProof/>
                <w:webHidden/>
              </w:rPr>
              <w:fldChar w:fldCharType="end"/>
            </w:r>
          </w:hyperlink>
        </w:p>
        <w:p w14:paraId="468E35B9" w14:textId="3FEB2FDC" w:rsidR="00DF4C99" w:rsidRDefault="00DF4C99">
          <w:pPr>
            <w:pStyle w:val="SK3"/>
            <w:tabs>
              <w:tab w:val="right" w:leader="dot" w:pos="9062"/>
            </w:tabs>
            <w:rPr>
              <w:rFonts w:asciiTheme="minorHAnsi" w:eastAsiaTheme="minorEastAsia" w:hAnsiTheme="minorHAnsi"/>
              <w:noProof/>
              <w:kern w:val="2"/>
              <w:sz w:val="22"/>
              <w:lang w:eastAsia="et-EE"/>
              <w14:ligatures w14:val="standardContextual"/>
            </w:rPr>
          </w:pPr>
          <w:hyperlink w:anchor="_Toc182488051" w:history="1">
            <w:r w:rsidRPr="00025AD6">
              <w:rPr>
                <w:rStyle w:val="Hperlink"/>
                <w:noProof/>
              </w:rPr>
              <w:t>Virtuaalselt eraldatud kliendiliinile juurdepääsu tehnilised parameetrid</w:t>
            </w:r>
            <w:r>
              <w:rPr>
                <w:noProof/>
                <w:webHidden/>
              </w:rPr>
              <w:tab/>
            </w:r>
            <w:r>
              <w:rPr>
                <w:noProof/>
                <w:webHidden/>
              </w:rPr>
              <w:fldChar w:fldCharType="begin"/>
            </w:r>
            <w:r>
              <w:rPr>
                <w:noProof/>
                <w:webHidden/>
              </w:rPr>
              <w:instrText xml:space="preserve"> PAGEREF _Toc182488051 \h </w:instrText>
            </w:r>
            <w:r>
              <w:rPr>
                <w:noProof/>
                <w:webHidden/>
              </w:rPr>
            </w:r>
            <w:r>
              <w:rPr>
                <w:noProof/>
                <w:webHidden/>
              </w:rPr>
              <w:fldChar w:fldCharType="separate"/>
            </w:r>
            <w:r>
              <w:rPr>
                <w:noProof/>
                <w:webHidden/>
              </w:rPr>
              <w:t>31</w:t>
            </w:r>
            <w:r>
              <w:rPr>
                <w:noProof/>
                <w:webHidden/>
              </w:rPr>
              <w:fldChar w:fldCharType="end"/>
            </w:r>
          </w:hyperlink>
        </w:p>
        <w:p w14:paraId="58AFD372" w14:textId="1EE0621D" w:rsidR="00DF4C99" w:rsidRDefault="00DF4C99">
          <w:pPr>
            <w:pStyle w:val="SK3"/>
            <w:tabs>
              <w:tab w:val="right" w:leader="dot" w:pos="9062"/>
            </w:tabs>
            <w:rPr>
              <w:rFonts w:asciiTheme="minorHAnsi" w:eastAsiaTheme="minorEastAsia" w:hAnsiTheme="minorHAnsi"/>
              <w:noProof/>
              <w:kern w:val="2"/>
              <w:sz w:val="22"/>
              <w:lang w:eastAsia="et-EE"/>
              <w14:ligatures w14:val="standardContextual"/>
            </w:rPr>
          </w:pPr>
          <w:hyperlink w:anchor="_Toc182488052" w:history="1">
            <w:r w:rsidRPr="00025AD6">
              <w:rPr>
                <w:rStyle w:val="Hperlink"/>
                <w:noProof/>
              </w:rPr>
              <w:t>Virtuaalselt eraldatud kliendiliinile juurdepääsu hind</w:t>
            </w:r>
            <w:r>
              <w:rPr>
                <w:noProof/>
                <w:webHidden/>
              </w:rPr>
              <w:tab/>
            </w:r>
            <w:r>
              <w:rPr>
                <w:noProof/>
                <w:webHidden/>
              </w:rPr>
              <w:fldChar w:fldCharType="begin"/>
            </w:r>
            <w:r>
              <w:rPr>
                <w:noProof/>
                <w:webHidden/>
              </w:rPr>
              <w:instrText xml:space="preserve"> PAGEREF _Toc182488052 \h </w:instrText>
            </w:r>
            <w:r>
              <w:rPr>
                <w:noProof/>
                <w:webHidden/>
              </w:rPr>
            </w:r>
            <w:r>
              <w:rPr>
                <w:noProof/>
                <w:webHidden/>
              </w:rPr>
              <w:fldChar w:fldCharType="separate"/>
            </w:r>
            <w:r>
              <w:rPr>
                <w:noProof/>
                <w:webHidden/>
              </w:rPr>
              <w:t>32</w:t>
            </w:r>
            <w:r>
              <w:rPr>
                <w:noProof/>
                <w:webHidden/>
              </w:rPr>
              <w:fldChar w:fldCharType="end"/>
            </w:r>
          </w:hyperlink>
        </w:p>
        <w:p w14:paraId="6C4FA310" w14:textId="77D77CCE" w:rsidR="00DF4C99" w:rsidRDefault="00DF4C99">
          <w:pPr>
            <w:pStyle w:val="SK3"/>
            <w:tabs>
              <w:tab w:val="right" w:leader="dot" w:pos="9062"/>
            </w:tabs>
            <w:rPr>
              <w:rFonts w:asciiTheme="minorHAnsi" w:eastAsiaTheme="minorEastAsia" w:hAnsiTheme="minorHAnsi"/>
              <w:noProof/>
              <w:kern w:val="2"/>
              <w:sz w:val="22"/>
              <w:lang w:eastAsia="et-EE"/>
              <w14:ligatures w14:val="standardContextual"/>
            </w:rPr>
          </w:pPr>
          <w:hyperlink w:anchor="_Toc182488053" w:history="1">
            <w:r w:rsidRPr="00025AD6">
              <w:rPr>
                <w:rStyle w:val="Hperlink"/>
                <w:noProof/>
              </w:rPr>
              <w:t>Viide BERECi seisukohale virtuaalselt eraldatud kliendiliinile juurdepääsu kohustuse osas</w:t>
            </w:r>
            <w:r>
              <w:rPr>
                <w:noProof/>
                <w:webHidden/>
              </w:rPr>
              <w:tab/>
            </w:r>
            <w:r>
              <w:rPr>
                <w:noProof/>
                <w:webHidden/>
              </w:rPr>
              <w:fldChar w:fldCharType="begin"/>
            </w:r>
            <w:r>
              <w:rPr>
                <w:noProof/>
                <w:webHidden/>
              </w:rPr>
              <w:instrText xml:space="preserve"> PAGEREF _Toc182488053 \h </w:instrText>
            </w:r>
            <w:r>
              <w:rPr>
                <w:noProof/>
                <w:webHidden/>
              </w:rPr>
            </w:r>
            <w:r>
              <w:rPr>
                <w:noProof/>
                <w:webHidden/>
              </w:rPr>
              <w:fldChar w:fldCharType="separate"/>
            </w:r>
            <w:r>
              <w:rPr>
                <w:noProof/>
                <w:webHidden/>
              </w:rPr>
              <w:t>32</w:t>
            </w:r>
            <w:r>
              <w:rPr>
                <w:noProof/>
                <w:webHidden/>
              </w:rPr>
              <w:fldChar w:fldCharType="end"/>
            </w:r>
          </w:hyperlink>
        </w:p>
        <w:p w14:paraId="462F972C" w14:textId="254AF338" w:rsidR="00DF4C99" w:rsidRDefault="00DF4C99">
          <w:pPr>
            <w:pStyle w:val="SK1"/>
            <w:rPr>
              <w:rFonts w:asciiTheme="minorHAnsi" w:eastAsiaTheme="minorEastAsia" w:hAnsiTheme="minorHAnsi"/>
              <w:noProof/>
              <w:kern w:val="2"/>
              <w:sz w:val="22"/>
              <w:lang w:eastAsia="et-EE"/>
              <w14:ligatures w14:val="standardContextual"/>
            </w:rPr>
          </w:pPr>
          <w:hyperlink w:anchor="_Toc182488054" w:history="1">
            <w:r w:rsidRPr="00025AD6">
              <w:rPr>
                <w:rStyle w:val="Hperlink"/>
                <w:noProof/>
              </w:rPr>
              <w:t>Asendusteenuste järjekord sidekaablitaristus sidekaabli vaba paigalduskoha puudumise korral</w:t>
            </w:r>
            <w:r>
              <w:rPr>
                <w:noProof/>
                <w:webHidden/>
              </w:rPr>
              <w:tab/>
            </w:r>
            <w:r>
              <w:rPr>
                <w:noProof/>
                <w:webHidden/>
              </w:rPr>
              <w:fldChar w:fldCharType="begin"/>
            </w:r>
            <w:r>
              <w:rPr>
                <w:noProof/>
                <w:webHidden/>
              </w:rPr>
              <w:instrText xml:space="preserve"> PAGEREF _Toc182488054 \h </w:instrText>
            </w:r>
            <w:r>
              <w:rPr>
                <w:noProof/>
                <w:webHidden/>
              </w:rPr>
            </w:r>
            <w:r>
              <w:rPr>
                <w:noProof/>
                <w:webHidden/>
              </w:rPr>
              <w:fldChar w:fldCharType="separate"/>
            </w:r>
            <w:r>
              <w:rPr>
                <w:noProof/>
                <w:webHidden/>
              </w:rPr>
              <w:t>32</w:t>
            </w:r>
            <w:r>
              <w:rPr>
                <w:noProof/>
                <w:webHidden/>
              </w:rPr>
              <w:fldChar w:fldCharType="end"/>
            </w:r>
          </w:hyperlink>
        </w:p>
        <w:p w14:paraId="2AC73E4A" w14:textId="37D5BCDE"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55" w:history="1">
            <w:r w:rsidRPr="00025AD6">
              <w:rPr>
                <w:rStyle w:val="Hperlink"/>
                <w:noProof/>
              </w:rPr>
              <w:t>Elisa</w:t>
            </w:r>
            <w:r>
              <w:rPr>
                <w:noProof/>
                <w:webHidden/>
              </w:rPr>
              <w:tab/>
            </w:r>
            <w:r>
              <w:rPr>
                <w:noProof/>
                <w:webHidden/>
              </w:rPr>
              <w:fldChar w:fldCharType="begin"/>
            </w:r>
            <w:r>
              <w:rPr>
                <w:noProof/>
                <w:webHidden/>
              </w:rPr>
              <w:instrText xml:space="preserve"> PAGEREF _Toc182488055 \h </w:instrText>
            </w:r>
            <w:r>
              <w:rPr>
                <w:noProof/>
                <w:webHidden/>
              </w:rPr>
            </w:r>
            <w:r>
              <w:rPr>
                <w:noProof/>
                <w:webHidden/>
              </w:rPr>
              <w:fldChar w:fldCharType="separate"/>
            </w:r>
            <w:r>
              <w:rPr>
                <w:noProof/>
                <w:webHidden/>
              </w:rPr>
              <w:t>33</w:t>
            </w:r>
            <w:r>
              <w:rPr>
                <w:noProof/>
                <w:webHidden/>
              </w:rPr>
              <w:fldChar w:fldCharType="end"/>
            </w:r>
          </w:hyperlink>
        </w:p>
        <w:p w14:paraId="38AD656A" w14:textId="01B72CBB"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56" w:history="1">
            <w:r w:rsidRPr="00025AD6">
              <w:rPr>
                <w:rStyle w:val="Hperlink"/>
                <w:noProof/>
              </w:rPr>
              <w:t>TTJA</w:t>
            </w:r>
            <w:r>
              <w:rPr>
                <w:noProof/>
                <w:webHidden/>
              </w:rPr>
              <w:tab/>
            </w:r>
            <w:r>
              <w:rPr>
                <w:noProof/>
                <w:webHidden/>
              </w:rPr>
              <w:fldChar w:fldCharType="begin"/>
            </w:r>
            <w:r>
              <w:rPr>
                <w:noProof/>
                <w:webHidden/>
              </w:rPr>
              <w:instrText xml:space="preserve"> PAGEREF _Toc182488056 \h </w:instrText>
            </w:r>
            <w:r>
              <w:rPr>
                <w:noProof/>
                <w:webHidden/>
              </w:rPr>
            </w:r>
            <w:r>
              <w:rPr>
                <w:noProof/>
                <w:webHidden/>
              </w:rPr>
              <w:fldChar w:fldCharType="separate"/>
            </w:r>
            <w:r>
              <w:rPr>
                <w:noProof/>
                <w:webHidden/>
              </w:rPr>
              <w:t>34</w:t>
            </w:r>
            <w:r>
              <w:rPr>
                <w:noProof/>
                <w:webHidden/>
              </w:rPr>
              <w:fldChar w:fldCharType="end"/>
            </w:r>
          </w:hyperlink>
        </w:p>
        <w:p w14:paraId="6F1866C0" w14:textId="69E4AC2A" w:rsidR="00DF4C99" w:rsidRDefault="00DF4C99">
          <w:pPr>
            <w:pStyle w:val="SK1"/>
            <w:rPr>
              <w:rFonts w:asciiTheme="minorHAnsi" w:eastAsiaTheme="minorEastAsia" w:hAnsiTheme="minorHAnsi"/>
              <w:noProof/>
              <w:kern w:val="2"/>
              <w:sz w:val="22"/>
              <w:lang w:eastAsia="et-EE"/>
              <w14:ligatures w14:val="standardContextual"/>
            </w:rPr>
          </w:pPr>
          <w:hyperlink w:anchor="_Toc182488057" w:history="1">
            <w:r w:rsidRPr="00025AD6">
              <w:rPr>
                <w:rStyle w:val="Hperlink"/>
                <w:noProof/>
              </w:rPr>
              <w:t>Era- ja äriklientide internetiühenduste analüüs</w:t>
            </w:r>
            <w:r>
              <w:rPr>
                <w:noProof/>
                <w:webHidden/>
              </w:rPr>
              <w:tab/>
            </w:r>
            <w:r>
              <w:rPr>
                <w:noProof/>
                <w:webHidden/>
              </w:rPr>
              <w:fldChar w:fldCharType="begin"/>
            </w:r>
            <w:r>
              <w:rPr>
                <w:noProof/>
                <w:webHidden/>
              </w:rPr>
              <w:instrText xml:space="preserve"> PAGEREF _Toc182488057 \h </w:instrText>
            </w:r>
            <w:r>
              <w:rPr>
                <w:noProof/>
                <w:webHidden/>
              </w:rPr>
            </w:r>
            <w:r>
              <w:rPr>
                <w:noProof/>
                <w:webHidden/>
              </w:rPr>
              <w:fldChar w:fldCharType="separate"/>
            </w:r>
            <w:r>
              <w:rPr>
                <w:noProof/>
                <w:webHidden/>
              </w:rPr>
              <w:t>35</w:t>
            </w:r>
            <w:r>
              <w:rPr>
                <w:noProof/>
                <w:webHidden/>
              </w:rPr>
              <w:fldChar w:fldCharType="end"/>
            </w:r>
          </w:hyperlink>
        </w:p>
        <w:p w14:paraId="162ACC63" w14:textId="32B0D80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58" w:history="1">
            <w:r w:rsidRPr="00025AD6">
              <w:rPr>
                <w:rStyle w:val="Hperlink"/>
                <w:noProof/>
              </w:rPr>
              <w:t>Elisa</w:t>
            </w:r>
            <w:r>
              <w:rPr>
                <w:noProof/>
                <w:webHidden/>
              </w:rPr>
              <w:tab/>
            </w:r>
            <w:r>
              <w:rPr>
                <w:noProof/>
                <w:webHidden/>
              </w:rPr>
              <w:fldChar w:fldCharType="begin"/>
            </w:r>
            <w:r>
              <w:rPr>
                <w:noProof/>
                <w:webHidden/>
              </w:rPr>
              <w:instrText xml:space="preserve"> PAGEREF _Toc182488058 \h </w:instrText>
            </w:r>
            <w:r>
              <w:rPr>
                <w:noProof/>
                <w:webHidden/>
              </w:rPr>
            </w:r>
            <w:r>
              <w:rPr>
                <w:noProof/>
                <w:webHidden/>
              </w:rPr>
              <w:fldChar w:fldCharType="separate"/>
            </w:r>
            <w:r>
              <w:rPr>
                <w:noProof/>
                <w:webHidden/>
              </w:rPr>
              <w:t>35</w:t>
            </w:r>
            <w:r>
              <w:rPr>
                <w:noProof/>
                <w:webHidden/>
              </w:rPr>
              <w:fldChar w:fldCharType="end"/>
            </w:r>
          </w:hyperlink>
        </w:p>
        <w:p w14:paraId="02EFB687" w14:textId="26FAD413"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59" w:history="1">
            <w:r w:rsidRPr="00025AD6">
              <w:rPr>
                <w:rStyle w:val="Hperlink"/>
                <w:noProof/>
              </w:rPr>
              <w:t>TTJA</w:t>
            </w:r>
            <w:r>
              <w:rPr>
                <w:noProof/>
                <w:webHidden/>
              </w:rPr>
              <w:tab/>
            </w:r>
            <w:r>
              <w:rPr>
                <w:noProof/>
                <w:webHidden/>
              </w:rPr>
              <w:fldChar w:fldCharType="begin"/>
            </w:r>
            <w:r>
              <w:rPr>
                <w:noProof/>
                <w:webHidden/>
              </w:rPr>
              <w:instrText xml:space="preserve"> PAGEREF _Toc182488059 \h </w:instrText>
            </w:r>
            <w:r>
              <w:rPr>
                <w:noProof/>
                <w:webHidden/>
              </w:rPr>
            </w:r>
            <w:r>
              <w:rPr>
                <w:noProof/>
                <w:webHidden/>
              </w:rPr>
              <w:fldChar w:fldCharType="separate"/>
            </w:r>
            <w:r>
              <w:rPr>
                <w:noProof/>
                <w:webHidden/>
              </w:rPr>
              <w:t>36</w:t>
            </w:r>
            <w:r>
              <w:rPr>
                <w:noProof/>
                <w:webHidden/>
              </w:rPr>
              <w:fldChar w:fldCharType="end"/>
            </w:r>
          </w:hyperlink>
        </w:p>
        <w:p w14:paraId="413A143D" w14:textId="238C84F1" w:rsidR="00DF4C99" w:rsidRDefault="00DF4C99">
          <w:pPr>
            <w:pStyle w:val="SK1"/>
            <w:rPr>
              <w:rFonts w:asciiTheme="minorHAnsi" w:eastAsiaTheme="minorEastAsia" w:hAnsiTheme="minorHAnsi"/>
              <w:noProof/>
              <w:kern w:val="2"/>
              <w:sz w:val="22"/>
              <w:lang w:eastAsia="et-EE"/>
              <w14:ligatures w14:val="standardContextual"/>
            </w:rPr>
          </w:pPr>
          <w:hyperlink w:anchor="_Toc182488060" w:history="1">
            <w:r w:rsidRPr="00025AD6">
              <w:rPr>
                <w:rStyle w:val="Hperlink"/>
                <w:noProof/>
              </w:rPr>
              <w:t>Elisa muud ettepanekud</w:t>
            </w:r>
            <w:r>
              <w:rPr>
                <w:noProof/>
                <w:webHidden/>
              </w:rPr>
              <w:tab/>
            </w:r>
            <w:r>
              <w:rPr>
                <w:noProof/>
                <w:webHidden/>
              </w:rPr>
              <w:fldChar w:fldCharType="begin"/>
            </w:r>
            <w:r>
              <w:rPr>
                <w:noProof/>
                <w:webHidden/>
              </w:rPr>
              <w:instrText xml:space="preserve"> PAGEREF _Toc182488060 \h </w:instrText>
            </w:r>
            <w:r>
              <w:rPr>
                <w:noProof/>
                <w:webHidden/>
              </w:rPr>
            </w:r>
            <w:r>
              <w:rPr>
                <w:noProof/>
                <w:webHidden/>
              </w:rPr>
              <w:fldChar w:fldCharType="separate"/>
            </w:r>
            <w:r>
              <w:rPr>
                <w:noProof/>
                <w:webHidden/>
              </w:rPr>
              <w:t>37</w:t>
            </w:r>
            <w:r>
              <w:rPr>
                <w:noProof/>
                <w:webHidden/>
              </w:rPr>
              <w:fldChar w:fldCharType="end"/>
            </w:r>
          </w:hyperlink>
        </w:p>
        <w:p w14:paraId="6C272EAB" w14:textId="5666BF4B"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1" w:history="1">
            <w:r w:rsidRPr="00025AD6">
              <w:rPr>
                <w:rStyle w:val="Hperlink"/>
                <w:noProof/>
              </w:rPr>
              <w:t>Elisa – kohaliku ja keskse juurdepääsu asendatavus</w:t>
            </w:r>
            <w:r>
              <w:rPr>
                <w:noProof/>
                <w:webHidden/>
              </w:rPr>
              <w:tab/>
            </w:r>
            <w:r>
              <w:rPr>
                <w:noProof/>
                <w:webHidden/>
              </w:rPr>
              <w:fldChar w:fldCharType="begin"/>
            </w:r>
            <w:r>
              <w:rPr>
                <w:noProof/>
                <w:webHidden/>
              </w:rPr>
              <w:instrText xml:space="preserve"> PAGEREF _Toc182488061 \h </w:instrText>
            </w:r>
            <w:r>
              <w:rPr>
                <w:noProof/>
                <w:webHidden/>
              </w:rPr>
            </w:r>
            <w:r>
              <w:rPr>
                <w:noProof/>
                <w:webHidden/>
              </w:rPr>
              <w:fldChar w:fldCharType="separate"/>
            </w:r>
            <w:r>
              <w:rPr>
                <w:noProof/>
                <w:webHidden/>
              </w:rPr>
              <w:t>37</w:t>
            </w:r>
            <w:r>
              <w:rPr>
                <w:noProof/>
                <w:webHidden/>
              </w:rPr>
              <w:fldChar w:fldCharType="end"/>
            </w:r>
          </w:hyperlink>
        </w:p>
        <w:p w14:paraId="3636440B" w14:textId="6DF131B8"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2" w:history="1">
            <w:r w:rsidRPr="00025AD6">
              <w:rPr>
                <w:rStyle w:val="Hperlink"/>
                <w:noProof/>
              </w:rPr>
              <w:t>TTJA</w:t>
            </w:r>
            <w:r>
              <w:rPr>
                <w:noProof/>
                <w:webHidden/>
              </w:rPr>
              <w:tab/>
            </w:r>
            <w:r>
              <w:rPr>
                <w:noProof/>
                <w:webHidden/>
              </w:rPr>
              <w:fldChar w:fldCharType="begin"/>
            </w:r>
            <w:r>
              <w:rPr>
                <w:noProof/>
                <w:webHidden/>
              </w:rPr>
              <w:instrText xml:space="preserve"> PAGEREF _Toc182488062 \h </w:instrText>
            </w:r>
            <w:r>
              <w:rPr>
                <w:noProof/>
                <w:webHidden/>
              </w:rPr>
            </w:r>
            <w:r>
              <w:rPr>
                <w:noProof/>
                <w:webHidden/>
              </w:rPr>
              <w:fldChar w:fldCharType="separate"/>
            </w:r>
            <w:r>
              <w:rPr>
                <w:noProof/>
                <w:webHidden/>
              </w:rPr>
              <w:t>37</w:t>
            </w:r>
            <w:r>
              <w:rPr>
                <w:noProof/>
                <w:webHidden/>
              </w:rPr>
              <w:fldChar w:fldCharType="end"/>
            </w:r>
          </w:hyperlink>
        </w:p>
        <w:p w14:paraId="5ADD1F74" w14:textId="18A6170D"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3" w:history="1">
            <w:r w:rsidRPr="00025AD6">
              <w:rPr>
                <w:rStyle w:val="Hperlink"/>
                <w:noProof/>
              </w:rPr>
              <w:t>Elisa – konsulteerimine Konkurentsiametiga</w:t>
            </w:r>
            <w:r>
              <w:rPr>
                <w:noProof/>
                <w:webHidden/>
              </w:rPr>
              <w:tab/>
            </w:r>
            <w:r>
              <w:rPr>
                <w:noProof/>
                <w:webHidden/>
              </w:rPr>
              <w:fldChar w:fldCharType="begin"/>
            </w:r>
            <w:r>
              <w:rPr>
                <w:noProof/>
                <w:webHidden/>
              </w:rPr>
              <w:instrText xml:space="preserve"> PAGEREF _Toc182488063 \h </w:instrText>
            </w:r>
            <w:r>
              <w:rPr>
                <w:noProof/>
                <w:webHidden/>
              </w:rPr>
            </w:r>
            <w:r>
              <w:rPr>
                <w:noProof/>
                <w:webHidden/>
              </w:rPr>
              <w:fldChar w:fldCharType="separate"/>
            </w:r>
            <w:r>
              <w:rPr>
                <w:noProof/>
                <w:webHidden/>
              </w:rPr>
              <w:t>37</w:t>
            </w:r>
            <w:r>
              <w:rPr>
                <w:noProof/>
                <w:webHidden/>
              </w:rPr>
              <w:fldChar w:fldCharType="end"/>
            </w:r>
          </w:hyperlink>
        </w:p>
        <w:p w14:paraId="700C8D97" w14:textId="3DCB537A"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4" w:history="1">
            <w:r w:rsidRPr="00025AD6">
              <w:rPr>
                <w:rStyle w:val="Hperlink"/>
                <w:noProof/>
              </w:rPr>
              <w:t>TTJA</w:t>
            </w:r>
            <w:r>
              <w:rPr>
                <w:noProof/>
                <w:webHidden/>
              </w:rPr>
              <w:tab/>
            </w:r>
            <w:r>
              <w:rPr>
                <w:noProof/>
                <w:webHidden/>
              </w:rPr>
              <w:fldChar w:fldCharType="begin"/>
            </w:r>
            <w:r>
              <w:rPr>
                <w:noProof/>
                <w:webHidden/>
              </w:rPr>
              <w:instrText xml:space="preserve"> PAGEREF _Toc182488064 \h </w:instrText>
            </w:r>
            <w:r>
              <w:rPr>
                <w:noProof/>
                <w:webHidden/>
              </w:rPr>
            </w:r>
            <w:r>
              <w:rPr>
                <w:noProof/>
                <w:webHidden/>
              </w:rPr>
              <w:fldChar w:fldCharType="separate"/>
            </w:r>
            <w:r>
              <w:rPr>
                <w:noProof/>
                <w:webHidden/>
              </w:rPr>
              <w:t>37</w:t>
            </w:r>
            <w:r>
              <w:rPr>
                <w:noProof/>
                <w:webHidden/>
              </w:rPr>
              <w:fldChar w:fldCharType="end"/>
            </w:r>
          </w:hyperlink>
        </w:p>
        <w:p w14:paraId="2CA0BBA3" w14:textId="6B93D6D5"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5" w:history="1">
            <w:r w:rsidRPr="00025AD6">
              <w:rPr>
                <w:rStyle w:val="Hperlink"/>
                <w:noProof/>
              </w:rPr>
              <w:t>Elisa – valguskaabli vaba mahu defineerimine</w:t>
            </w:r>
            <w:r>
              <w:rPr>
                <w:noProof/>
                <w:webHidden/>
              </w:rPr>
              <w:tab/>
            </w:r>
            <w:r>
              <w:rPr>
                <w:noProof/>
                <w:webHidden/>
              </w:rPr>
              <w:fldChar w:fldCharType="begin"/>
            </w:r>
            <w:r>
              <w:rPr>
                <w:noProof/>
                <w:webHidden/>
              </w:rPr>
              <w:instrText xml:space="preserve"> PAGEREF _Toc182488065 \h </w:instrText>
            </w:r>
            <w:r>
              <w:rPr>
                <w:noProof/>
                <w:webHidden/>
              </w:rPr>
            </w:r>
            <w:r>
              <w:rPr>
                <w:noProof/>
                <w:webHidden/>
              </w:rPr>
              <w:fldChar w:fldCharType="separate"/>
            </w:r>
            <w:r>
              <w:rPr>
                <w:noProof/>
                <w:webHidden/>
              </w:rPr>
              <w:t>37</w:t>
            </w:r>
            <w:r>
              <w:rPr>
                <w:noProof/>
                <w:webHidden/>
              </w:rPr>
              <w:fldChar w:fldCharType="end"/>
            </w:r>
          </w:hyperlink>
        </w:p>
        <w:p w14:paraId="2D4B37B4" w14:textId="7135917F"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6" w:history="1">
            <w:r w:rsidRPr="00025AD6">
              <w:rPr>
                <w:rStyle w:val="Hperlink"/>
                <w:noProof/>
              </w:rPr>
              <w:t>TTJA</w:t>
            </w:r>
            <w:r>
              <w:rPr>
                <w:noProof/>
                <w:webHidden/>
              </w:rPr>
              <w:tab/>
            </w:r>
            <w:r>
              <w:rPr>
                <w:noProof/>
                <w:webHidden/>
              </w:rPr>
              <w:fldChar w:fldCharType="begin"/>
            </w:r>
            <w:r>
              <w:rPr>
                <w:noProof/>
                <w:webHidden/>
              </w:rPr>
              <w:instrText xml:space="preserve"> PAGEREF _Toc182488066 \h </w:instrText>
            </w:r>
            <w:r>
              <w:rPr>
                <w:noProof/>
                <w:webHidden/>
              </w:rPr>
            </w:r>
            <w:r>
              <w:rPr>
                <w:noProof/>
                <w:webHidden/>
              </w:rPr>
              <w:fldChar w:fldCharType="separate"/>
            </w:r>
            <w:r>
              <w:rPr>
                <w:noProof/>
                <w:webHidden/>
              </w:rPr>
              <w:t>38</w:t>
            </w:r>
            <w:r>
              <w:rPr>
                <w:noProof/>
                <w:webHidden/>
              </w:rPr>
              <w:fldChar w:fldCharType="end"/>
            </w:r>
          </w:hyperlink>
        </w:p>
        <w:p w14:paraId="39A4C5EA" w14:textId="429540ED"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7" w:history="1">
            <w:r w:rsidRPr="00025AD6">
              <w:rPr>
                <w:rStyle w:val="Hperlink"/>
                <w:noProof/>
              </w:rPr>
              <w:t>Elisa – hulgituru 1 teenuse definitsioon kohustuste osas</w:t>
            </w:r>
            <w:r>
              <w:rPr>
                <w:noProof/>
                <w:webHidden/>
              </w:rPr>
              <w:tab/>
            </w:r>
            <w:r>
              <w:rPr>
                <w:noProof/>
                <w:webHidden/>
              </w:rPr>
              <w:fldChar w:fldCharType="begin"/>
            </w:r>
            <w:r>
              <w:rPr>
                <w:noProof/>
                <w:webHidden/>
              </w:rPr>
              <w:instrText xml:space="preserve"> PAGEREF _Toc182488067 \h </w:instrText>
            </w:r>
            <w:r>
              <w:rPr>
                <w:noProof/>
                <w:webHidden/>
              </w:rPr>
            </w:r>
            <w:r>
              <w:rPr>
                <w:noProof/>
                <w:webHidden/>
              </w:rPr>
              <w:fldChar w:fldCharType="separate"/>
            </w:r>
            <w:r>
              <w:rPr>
                <w:noProof/>
                <w:webHidden/>
              </w:rPr>
              <w:t>38</w:t>
            </w:r>
            <w:r>
              <w:rPr>
                <w:noProof/>
                <w:webHidden/>
              </w:rPr>
              <w:fldChar w:fldCharType="end"/>
            </w:r>
          </w:hyperlink>
        </w:p>
        <w:p w14:paraId="01496D77" w14:textId="552EC0A7"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8" w:history="1">
            <w:r w:rsidRPr="00025AD6">
              <w:rPr>
                <w:rStyle w:val="Hperlink"/>
                <w:noProof/>
              </w:rPr>
              <w:t>TTJA</w:t>
            </w:r>
            <w:r>
              <w:rPr>
                <w:noProof/>
                <w:webHidden/>
              </w:rPr>
              <w:tab/>
            </w:r>
            <w:r>
              <w:rPr>
                <w:noProof/>
                <w:webHidden/>
              </w:rPr>
              <w:fldChar w:fldCharType="begin"/>
            </w:r>
            <w:r>
              <w:rPr>
                <w:noProof/>
                <w:webHidden/>
              </w:rPr>
              <w:instrText xml:space="preserve"> PAGEREF _Toc182488068 \h </w:instrText>
            </w:r>
            <w:r>
              <w:rPr>
                <w:noProof/>
                <w:webHidden/>
              </w:rPr>
            </w:r>
            <w:r>
              <w:rPr>
                <w:noProof/>
                <w:webHidden/>
              </w:rPr>
              <w:fldChar w:fldCharType="separate"/>
            </w:r>
            <w:r>
              <w:rPr>
                <w:noProof/>
                <w:webHidden/>
              </w:rPr>
              <w:t>38</w:t>
            </w:r>
            <w:r>
              <w:rPr>
                <w:noProof/>
                <w:webHidden/>
              </w:rPr>
              <w:fldChar w:fldCharType="end"/>
            </w:r>
          </w:hyperlink>
        </w:p>
        <w:p w14:paraId="78F91E55" w14:textId="74A743B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69" w:history="1">
            <w:r w:rsidRPr="00025AD6">
              <w:rPr>
                <w:rStyle w:val="Hperlink"/>
                <w:noProof/>
              </w:rPr>
              <w:t>Elisa – ESS § 64 lõige 2 punkti 3 rakendamise kontroll</w:t>
            </w:r>
            <w:r>
              <w:rPr>
                <w:noProof/>
                <w:webHidden/>
              </w:rPr>
              <w:tab/>
            </w:r>
            <w:r>
              <w:rPr>
                <w:noProof/>
                <w:webHidden/>
              </w:rPr>
              <w:fldChar w:fldCharType="begin"/>
            </w:r>
            <w:r>
              <w:rPr>
                <w:noProof/>
                <w:webHidden/>
              </w:rPr>
              <w:instrText xml:space="preserve"> PAGEREF _Toc182488069 \h </w:instrText>
            </w:r>
            <w:r>
              <w:rPr>
                <w:noProof/>
                <w:webHidden/>
              </w:rPr>
            </w:r>
            <w:r>
              <w:rPr>
                <w:noProof/>
                <w:webHidden/>
              </w:rPr>
              <w:fldChar w:fldCharType="separate"/>
            </w:r>
            <w:r>
              <w:rPr>
                <w:noProof/>
                <w:webHidden/>
              </w:rPr>
              <w:t>39</w:t>
            </w:r>
            <w:r>
              <w:rPr>
                <w:noProof/>
                <w:webHidden/>
              </w:rPr>
              <w:fldChar w:fldCharType="end"/>
            </w:r>
          </w:hyperlink>
        </w:p>
        <w:p w14:paraId="080D9440" w14:textId="6E48D84A"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0" w:history="1">
            <w:r w:rsidRPr="00025AD6">
              <w:rPr>
                <w:rStyle w:val="Hperlink"/>
                <w:noProof/>
              </w:rPr>
              <w:t>TTJA</w:t>
            </w:r>
            <w:r>
              <w:rPr>
                <w:noProof/>
                <w:webHidden/>
              </w:rPr>
              <w:tab/>
            </w:r>
            <w:r>
              <w:rPr>
                <w:noProof/>
                <w:webHidden/>
              </w:rPr>
              <w:fldChar w:fldCharType="begin"/>
            </w:r>
            <w:r>
              <w:rPr>
                <w:noProof/>
                <w:webHidden/>
              </w:rPr>
              <w:instrText xml:space="preserve"> PAGEREF _Toc182488070 \h </w:instrText>
            </w:r>
            <w:r>
              <w:rPr>
                <w:noProof/>
                <w:webHidden/>
              </w:rPr>
            </w:r>
            <w:r>
              <w:rPr>
                <w:noProof/>
                <w:webHidden/>
              </w:rPr>
              <w:fldChar w:fldCharType="separate"/>
            </w:r>
            <w:r>
              <w:rPr>
                <w:noProof/>
                <w:webHidden/>
              </w:rPr>
              <w:t>39</w:t>
            </w:r>
            <w:r>
              <w:rPr>
                <w:noProof/>
                <w:webHidden/>
              </w:rPr>
              <w:fldChar w:fldCharType="end"/>
            </w:r>
          </w:hyperlink>
        </w:p>
        <w:p w14:paraId="0BFD1386" w14:textId="36B82ABD"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1" w:history="1">
            <w:r w:rsidRPr="00025AD6">
              <w:rPr>
                <w:rStyle w:val="Hperlink"/>
                <w:noProof/>
              </w:rPr>
              <w:t>Elisa – ärisaladuse mõiste defineerimine</w:t>
            </w:r>
            <w:r>
              <w:rPr>
                <w:noProof/>
                <w:webHidden/>
              </w:rPr>
              <w:tab/>
            </w:r>
            <w:r>
              <w:rPr>
                <w:noProof/>
                <w:webHidden/>
              </w:rPr>
              <w:fldChar w:fldCharType="begin"/>
            </w:r>
            <w:r>
              <w:rPr>
                <w:noProof/>
                <w:webHidden/>
              </w:rPr>
              <w:instrText xml:space="preserve"> PAGEREF _Toc182488071 \h </w:instrText>
            </w:r>
            <w:r>
              <w:rPr>
                <w:noProof/>
                <w:webHidden/>
              </w:rPr>
            </w:r>
            <w:r>
              <w:rPr>
                <w:noProof/>
                <w:webHidden/>
              </w:rPr>
              <w:fldChar w:fldCharType="separate"/>
            </w:r>
            <w:r>
              <w:rPr>
                <w:noProof/>
                <w:webHidden/>
              </w:rPr>
              <w:t>39</w:t>
            </w:r>
            <w:r>
              <w:rPr>
                <w:noProof/>
                <w:webHidden/>
              </w:rPr>
              <w:fldChar w:fldCharType="end"/>
            </w:r>
          </w:hyperlink>
        </w:p>
        <w:p w14:paraId="06E2BEF8" w14:textId="6EE2887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2" w:history="1">
            <w:r w:rsidRPr="00025AD6">
              <w:rPr>
                <w:rStyle w:val="Hperlink"/>
                <w:noProof/>
              </w:rPr>
              <w:t>TTJA</w:t>
            </w:r>
            <w:r>
              <w:rPr>
                <w:noProof/>
                <w:webHidden/>
              </w:rPr>
              <w:tab/>
            </w:r>
            <w:r>
              <w:rPr>
                <w:noProof/>
                <w:webHidden/>
              </w:rPr>
              <w:fldChar w:fldCharType="begin"/>
            </w:r>
            <w:r>
              <w:rPr>
                <w:noProof/>
                <w:webHidden/>
              </w:rPr>
              <w:instrText xml:space="preserve"> PAGEREF _Toc182488072 \h </w:instrText>
            </w:r>
            <w:r>
              <w:rPr>
                <w:noProof/>
                <w:webHidden/>
              </w:rPr>
            </w:r>
            <w:r>
              <w:rPr>
                <w:noProof/>
                <w:webHidden/>
              </w:rPr>
              <w:fldChar w:fldCharType="separate"/>
            </w:r>
            <w:r>
              <w:rPr>
                <w:noProof/>
                <w:webHidden/>
              </w:rPr>
              <w:t>39</w:t>
            </w:r>
            <w:r>
              <w:rPr>
                <w:noProof/>
                <w:webHidden/>
              </w:rPr>
              <w:fldChar w:fldCharType="end"/>
            </w:r>
          </w:hyperlink>
        </w:p>
        <w:p w14:paraId="43C4E7EA" w14:textId="1DFDFC1E"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3" w:history="1">
            <w:r w:rsidRPr="00025AD6">
              <w:rPr>
                <w:rStyle w:val="Hperlink"/>
                <w:noProof/>
              </w:rPr>
              <w:t>Elisa – resolutiivosa ja põhjendava osa kooskõla</w:t>
            </w:r>
            <w:r>
              <w:rPr>
                <w:noProof/>
                <w:webHidden/>
              </w:rPr>
              <w:tab/>
            </w:r>
            <w:r>
              <w:rPr>
                <w:noProof/>
                <w:webHidden/>
              </w:rPr>
              <w:fldChar w:fldCharType="begin"/>
            </w:r>
            <w:r>
              <w:rPr>
                <w:noProof/>
                <w:webHidden/>
              </w:rPr>
              <w:instrText xml:space="preserve"> PAGEREF _Toc182488073 \h </w:instrText>
            </w:r>
            <w:r>
              <w:rPr>
                <w:noProof/>
                <w:webHidden/>
              </w:rPr>
            </w:r>
            <w:r>
              <w:rPr>
                <w:noProof/>
                <w:webHidden/>
              </w:rPr>
              <w:fldChar w:fldCharType="separate"/>
            </w:r>
            <w:r>
              <w:rPr>
                <w:noProof/>
                <w:webHidden/>
              </w:rPr>
              <w:t>40</w:t>
            </w:r>
            <w:r>
              <w:rPr>
                <w:noProof/>
                <w:webHidden/>
              </w:rPr>
              <w:fldChar w:fldCharType="end"/>
            </w:r>
          </w:hyperlink>
        </w:p>
        <w:p w14:paraId="7401E235" w14:textId="09E7B2F4"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4" w:history="1">
            <w:r w:rsidRPr="00025AD6">
              <w:rPr>
                <w:rStyle w:val="Hperlink"/>
                <w:noProof/>
              </w:rPr>
              <w:t>TTJA</w:t>
            </w:r>
            <w:r>
              <w:rPr>
                <w:noProof/>
                <w:webHidden/>
              </w:rPr>
              <w:tab/>
            </w:r>
            <w:r>
              <w:rPr>
                <w:noProof/>
                <w:webHidden/>
              </w:rPr>
              <w:fldChar w:fldCharType="begin"/>
            </w:r>
            <w:r>
              <w:rPr>
                <w:noProof/>
                <w:webHidden/>
              </w:rPr>
              <w:instrText xml:space="preserve"> PAGEREF _Toc182488074 \h </w:instrText>
            </w:r>
            <w:r>
              <w:rPr>
                <w:noProof/>
                <w:webHidden/>
              </w:rPr>
            </w:r>
            <w:r>
              <w:rPr>
                <w:noProof/>
                <w:webHidden/>
              </w:rPr>
              <w:fldChar w:fldCharType="separate"/>
            </w:r>
            <w:r>
              <w:rPr>
                <w:noProof/>
                <w:webHidden/>
              </w:rPr>
              <w:t>40</w:t>
            </w:r>
            <w:r>
              <w:rPr>
                <w:noProof/>
                <w:webHidden/>
              </w:rPr>
              <w:fldChar w:fldCharType="end"/>
            </w:r>
          </w:hyperlink>
        </w:p>
        <w:p w14:paraId="0750022B" w14:textId="5F4332D4" w:rsidR="00DF4C99" w:rsidRDefault="00DF4C99">
          <w:pPr>
            <w:pStyle w:val="SK1"/>
            <w:rPr>
              <w:rFonts w:asciiTheme="minorHAnsi" w:eastAsiaTheme="minorEastAsia" w:hAnsiTheme="minorHAnsi"/>
              <w:noProof/>
              <w:kern w:val="2"/>
              <w:sz w:val="22"/>
              <w:lang w:eastAsia="et-EE"/>
              <w14:ligatures w14:val="standardContextual"/>
            </w:rPr>
          </w:pPr>
          <w:hyperlink w:anchor="_Toc182488075" w:history="1">
            <w:r w:rsidRPr="00025AD6">
              <w:rPr>
                <w:rStyle w:val="Hperlink"/>
                <w:noProof/>
              </w:rPr>
              <w:t>Ärisaladused ja nende mitte avaldamise mõju turuanalüüsiga tutvumisele</w:t>
            </w:r>
            <w:r>
              <w:rPr>
                <w:noProof/>
                <w:webHidden/>
              </w:rPr>
              <w:tab/>
            </w:r>
            <w:r>
              <w:rPr>
                <w:noProof/>
                <w:webHidden/>
              </w:rPr>
              <w:fldChar w:fldCharType="begin"/>
            </w:r>
            <w:r>
              <w:rPr>
                <w:noProof/>
                <w:webHidden/>
              </w:rPr>
              <w:instrText xml:space="preserve"> PAGEREF _Toc182488075 \h </w:instrText>
            </w:r>
            <w:r>
              <w:rPr>
                <w:noProof/>
                <w:webHidden/>
              </w:rPr>
            </w:r>
            <w:r>
              <w:rPr>
                <w:noProof/>
                <w:webHidden/>
              </w:rPr>
              <w:fldChar w:fldCharType="separate"/>
            </w:r>
            <w:r>
              <w:rPr>
                <w:noProof/>
                <w:webHidden/>
              </w:rPr>
              <w:t>40</w:t>
            </w:r>
            <w:r>
              <w:rPr>
                <w:noProof/>
                <w:webHidden/>
              </w:rPr>
              <w:fldChar w:fldCharType="end"/>
            </w:r>
          </w:hyperlink>
        </w:p>
        <w:p w14:paraId="236FE94A" w14:textId="6CA0CA85"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6" w:history="1">
            <w:r w:rsidRPr="00025AD6">
              <w:rPr>
                <w:rStyle w:val="Hperlink"/>
                <w:noProof/>
              </w:rPr>
              <w:t>Tele2</w:t>
            </w:r>
            <w:r>
              <w:rPr>
                <w:noProof/>
                <w:webHidden/>
              </w:rPr>
              <w:tab/>
            </w:r>
            <w:r>
              <w:rPr>
                <w:noProof/>
                <w:webHidden/>
              </w:rPr>
              <w:fldChar w:fldCharType="begin"/>
            </w:r>
            <w:r>
              <w:rPr>
                <w:noProof/>
                <w:webHidden/>
              </w:rPr>
              <w:instrText xml:space="preserve"> PAGEREF _Toc182488076 \h </w:instrText>
            </w:r>
            <w:r>
              <w:rPr>
                <w:noProof/>
                <w:webHidden/>
              </w:rPr>
            </w:r>
            <w:r>
              <w:rPr>
                <w:noProof/>
                <w:webHidden/>
              </w:rPr>
              <w:fldChar w:fldCharType="separate"/>
            </w:r>
            <w:r>
              <w:rPr>
                <w:noProof/>
                <w:webHidden/>
              </w:rPr>
              <w:t>40</w:t>
            </w:r>
            <w:r>
              <w:rPr>
                <w:noProof/>
                <w:webHidden/>
              </w:rPr>
              <w:fldChar w:fldCharType="end"/>
            </w:r>
          </w:hyperlink>
        </w:p>
        <w:p w14:paraId="1755822B" w14:textId="096BC6C1"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7" w:history="1">
            <w:r w:rsidRPr="00025AD6">
              <w:rPr>
                <w:rStyle w:val="Hperlink"/>
                <w:noProof/>
              </w:rPr>
              <w:t>TTJA</w:t>
            </w:r>
            <w:r>
              <w:rPr>
                <w:noProof/>
                <w:webHidden/>
              </w:rPr>
              <w:tab/>
            </w:r>
            <w:r>
              <w:rPr>
                <w:noProof/>
                <w:webHidden/>
              </w:rPr>
              <w:fldChar w:fldCharType="begin"/>
            </w:r>
            <w:r>
              <w:rPr>
                <w:noProof/>
                <w:webHidden/>
              </w:rPr>
              <w:instrText xml:space="preserve"> PAGEREF _Toc182488077 \h </w:instrText>
            </w:r>
            <w:r>
              <w:rPr>
                <w:noProof/>
                <w:webHidden/>
              </w:rPr>
            </w:r>
            <w:r>
              <w:rPr>
                <w:noProof/>
                <w:webHidden/>
              </w:rPr>
              <w:fldChar w:fldCharType="separate"/>
            </w:r>
            <w:r>
              <w:rPr>
                <w:noProof/>
                <w:webHidden/>
              </w:rPr>
              <w:t>40</w:t>
            </w:r>
            <w:r>
              <w:rPr>
                <w:noProof/>
                <w:webHidden/>
              </w:rPr>
              <w:fldChar w:fldCharType="end"/>
            </w:r>
          </w:hyperlink>
        </w:p>
        <w:p w14:paraId="466F6DA2" w14:textId="7E52C02C" w:rsidR="00DF4C99" w:rsidRDefault="00DF4C99">
          <w:pPr>
            <w:pStyle w:val="SK1"/>
            <w:rPr>
              <w:rFonts w:asciiTheme="minorHAnsi" w:eastAsiaTheme="minorEastAsia" w:hAnsiTheme="minorHAnsi"/>
              <w:noProof/>
              <w:kern w:val="2"/>
              <w:sz w:val="22"/>
              <w:lang w:eastAsia="et-EE"/>
              <w14:ligatures w14:val="standardContextual"/>
            </w:rPr>
          </w:pPr>
          <w:hyperlink w:anchor="_Toc182488078" w:history="1">
            <w:r w:rsidRPr="00025AD6">
              <w:rPr>
                <w:rStyle w:val="Hperlink"/>
                <w:noProof/>
              </w:rPr>
              <w:t>Hulgiturgude segmenteerimise põhjendatus</w:t>
            </w:r>
            <w:r>
              <w:rPr>
                <w:noProof/>
                <w:webHidden/>
              </w:rPr>
              <w:tab/>
            </w:r>
            <w:r>
              <w:rPr>
                <w:noProof/>
                <w:webHidden/>
              </w:rPr>
              <w:fldChar w:fldCharType="begin"/>
            </w:r>
            <w:r>
              <w:rPr>
                <w:noProof/>
                <w:webHidden/>
              </w:rPr>
              <w:instrText xml:space="preserve"> PAGEREF _Toc182488078 \h </w:instrText>
            </w:r>
            <w:r>
              <w:rPr>
                <w:noProof/>
                <w:webHidden/>
              </w:rPr>
            </w:r>
            <w:r>
              <w:rPr>
                <w:noProof/>
                <w:webHidden/>
              </w:rPr>
              <w:fldChar w:fldCharType="separate"/>
            </w:r>
            <w:r>
              <w:rPr>
                <w:noProof/>
                <w:webHidden/>
              </w:rPr>
              <w:t>41</w:t>
            </w:r>
            <w:r>
              <w:rPr>
                <w:noProof/>
                <w:webHidden/>
              </w:rPr>
              <w:fldChar w:fldCharType="end"/>
            </w:r>
          </w:hyperlink>
        </w:p>
        <w:p w14:paraId="3BCDBAAA" w14:textId="12692D0F" w:rsidR="00DF4C99" w:rsidRDefault="00DF4C99">
          <w:pPr>
            <w:pStyle w:val="SK2"/>
            <w:tabs>
              <w:tab w:val="right" w:leader="dot" w:pos="9062"/>
            </w:tabs>
            <w:rPr>
              <w:rFonts w:asciiTheme="minorHAnsi" w:eastAsiaTheme="minorEastAsia" w:hAnsiTheme="minorHAnsi"/>
              <w:noProof/>
              <w:kern w:val="2"/>
              <w:sz w:val="22"/>
              <w:lang w:eastAsia="et-EE"/>
              <w14:ligatures w14:val="standardContextual"/>
            </w:rPr>
          </w:pPr>
          <w:hyperlink w:anchor="_Toc182488079" w:history="1">
            <w:r w:rsidRPr="00025AD6">
              <w:rPr>
                <w:rStyle w:val="Hperlink"/>
                <w:noProof/>
              </w:rPr>
              <w:t>Tele2</w:t>
            </w:r>
            <w:r>
              <w:rPr>
                <w:noProof/>
                <w:webHidden/>
              </w:rPr>
              <w:tab/>
            </w:r>
            <w:r>
              <w:rPr>
                <w:noProof/>
                <w:webHidden/>
              </w:rPr>
              <w:fldChar w:fldCharType="begin"/>
            </w:r>
            <w:r>
              <w:rPr>
                <w:noProof/>
                <w:webHidden/>
              </w:rPr>
              <w:instrText xml:space="preserve"> PAGEREF _Toc182488079 \h </w:instrText>
            </w:r>
            <w:r>
              <w:rPr>
                <w:noProof/>
                <w:webHidden/>
              </w:rPr>
            </w:r>
            <w:r>
              <w:rPr>
                <w:noProof/>
                <w:webHidden/>
              </w:rPr>
              <w:fldChar w:fldCharType="separate"/>
            </w:r>
            <w:r>
              <w:rPr>
                <w:noProof/>
                <w:webHidden/>
              </w:rPr>
              <w:t>41</w:t>
            </w:r>
            <w:r>
              <w:rPr>
                <w:noProof/>
                <w:webHidden/>
              </w:rPr>
              <w:fldChar w:fldCharType="end"/>
            </w:r>
          </w:hyperlink>
        </w:p>
        <w:p w14:paraId="1826F7EF" w14:textId="5E7EEB4A" w:rsidR="001F7908" w:rsidRPr="00A500BC" w:rsidRDefault="001F7908">
          <w:pPr>
            <w:rPr>
              <w:color w:val="7030A0"/>
            </w:rPr>
          </w:pPr>
          <w:r w:rsidRPr="005B528F">
            <w:rPr>
              <w:b/>
              <w:bCs/>
            </w:rPr>
            <w:fldChar w:fldCharType="end"/>
          </w:r>
        </w:p>
      </w:sdtContent>
    </w:sdt>
    <w:p w14:paraId="770C6D1E" w14:textId="77777777" w:rsidR="001F7908" w:rsidRPr="00A500BC" w:rsidRDefault="001F7908">
      <w:pPr>
        <w:rPr>
          <w:rFonts w:eastAsia="Times New Roman" w:cstheme="majorBidi"/>
          <w:color w:val="7030A0"/>
          <w:sz w:val="28"/>
          <w:szCs w:val="32"/>
        </w:rPr>
      </w:pPr>
      <w:r w:rsidRPr="00A500BC">
        <w:rPr>
          <w:rFonts w:eastAsia="Times New Roman"/>
          <w:color w:val="7030A0"/>
        </w:rPr>
        <w:br w:type="page"/>
      </w:r>
    </w:p>
    <w:p w14:paraId="6C910CD4" w14:textId="77777777" w:rsidR="00FF59AC" w:rsidRPr="00855D4F" w:rsidRDefault="00FF59AC" w:rsidP="00855D4F">
      <w:pPr>
        <w:pStyle w:val="Pealkiri1"/>
      </w:pPr>
      <w:bookmarkStart w:id="1" w:name="_Toc182488017"/>
      <w:r w:rsidRPr="00855D4F">
        <w:lastRenderedPageBreak/>
        <w:t>Sissejuhatus</w:t>
      </w:r>
      <w:bookmarkEnd w:id="1"/>
    </w:p>
    <w:p w14:paraId="13A62125" w14:textId="77777777" w:rsidR="00FF59AC" w:rsidRDefault="00FF59AC" w:rsidP="00FF59AC">
      <w:pPr>
        <w:jc w:val="both"/>
        <w:rPr>
          <w:rFonts w:cs="Times New Roman"/>
          <w:bCs/>
          <w:szCs w:val="24"/>
        </w:rPr>
      </w:pPr>
    </w:p>
    <w:p w14:paraId="6752534B" w14:textId="07983227" w:rsidR="00FF59AC" w:rsidRPr="00121A25" w:rsidRDefault="00FF59AC" w:rsidP="00FF59AC">
      <w:pPr>
        <w:jc w:val="both"/>
        <w:rPr>
          <w:rFonts w:cs="Times New Roman"/>
          <w:bCs/>
          <w:szCs w:val="24"/>
        </w:rPr>
      </w:pPr>
      <w:r w:rsidRPr="00121A25">
        <w:rPr>
          <w:rFonts w:cs="Times New Roman"/>
          <w:bCs/>
          <w:szCs w:val="24"/>
        </w:rPr>
        <w:t>TTJA viis 202</w:t>
      </w:r>
      <w:r>
        <w:rPr>
          <w:rFonts w:cs="Times New Roman"/>
          <w:bCs/>
          <w:szCs w:val="24"/>
        </w:rPr>
        <w:t>4</w:t>
      </w:r>
      <w:r w:rsidRPr="00121A25">
        <w:rPr>
          <w:rFonts w:cs="Times New Roman"/>
          <w:bCs/>
          <w:szCs w:val="24"/>
        </w:rPr>
        <w:t xml:space="preserve"> aasta</w:t>
      </w:r>
      <w:r>
        <w:rPr>
          <w:rFonts w:cs="Times New Roman"/>
          <w:bCs/>
          <w:szCs w:val="24"/>
        </w:rPr>
        <w:t xml:space="preserve"> </w:t>
      </w:r>
      <w:r w:rsidR="00FE538E">
        <w:rPr>
          <w:rFonts w:cs="Times New Roman"/>
          <w:bCs/>
          <w:szCs w:val="24"/>
        </w:rPr>
        <w:t>septembris</w:t>
      </w:r>
      <w:r w:rsidRPr="00121A25">
        <w:rPr>
          <w:rFonts w:cs="Times New Roman"/>
          <w:bCs/>
          <w:szCs w:val="24"/>
        </w:rPr>
        <w:t xml:space="preserve"> läbi </w:t>
      </w:r>
      <w:r w:rsidR="00FE538E" w:rsidRPr="00FE538E">
        <w:rPr>
          <w:rFonts w:cs="Times New Roman"/>
          <w:bCs/>
          <w:szCs w:val="24"/>
        </w:rPr>
        <w:t xml:space="preserve">sidevõrgule kohaliku ja keskse juurdepääsu hulgiturgudel </w:t>
      </w:r>
      <w:r w:rsidR="003F00B8">
        <w:rPr>
          <w:rFonts w:cs="Times New Roman"/>
          <w:bCs/>
          <w:szCs w:val="24"/>
        </w:rPr>
        <w:t>valdkonnaspetsiifilise regulatsiooni kehtestamise</w:t>
      </w:r>
      <w:r w:rsidR="00FE538E" w:rsidRPr="00FE538E">
        <w:rPr>
          <w:rFonts w:cs="Times New Roman"/>
          <w:bCs/>
          <w:szCs w:val="24"/>
        </w:rPr>
        <w:t xml:space="preserve"> otsuse kavandi</w:t>
      </w:r>
      <w:r w:rsidR="00FE538E">
        <w:rPr>
          <w:rFonts w:cs="Times New Roman"/>
          <w:bCs/>
          <w:szCs w:val="24"/>
        </w:rPr>
        <w:t xml:space="preserve"> </w:t>
      </w:r>
      <w:r w:rsidRPr="00121A25">
        <w:rPr>
          <w:rFonts w:cs="Times New Roman"/>
          <w:bCs/>
          <w:szCs w:val="24"/>
        </w:rPr>
        <w:t>riigisisese konsultatsiooni</w:t>
      </w:r>
      <w:r w:rsidRPr="00121A25">
        <w:rPr>
          <w:rStyle w:val="Allmrkuseviide"/>
          <w:rFonts w:cs="Times New Roman"/>
          <w:bCs/>
          <w:szCs w:val="24"/>
        </w:rPr>
        <w:footnoteReference w:id="2"/>
      </w:r>
      <w:r w:rsidR="001E5D0E">
        <w:rPr>
          <w:rFonts w:cs="Times New Roman"/>
          <w:bCs/>
          <w:szCs w:val="24"/>
        </w:rPr>
        <w:t xml:space="preserve"> (edaspidi ka TTJA </w:t>
      </w:r>
      <w:r w:rsidR="00650002">
        <w:rPr>
          <w:rFonts w:cs="Times New Roman"/>
          <w:bCs/>
          <w:szCs w:val="24"/>
        </w:rPr>
        <w:t xml:space="preserve">2024 </w:t>
      </w:r>
      <w:r w:rsidR="00C022BE">
        <w:rPr>
          <w:rFonts w:cs="Times New Roman"/>
          <w:bCs/>
          <w:szCs w:val="24"/>
        </w:rPr>
        <w:t>hulgituru 1 ja 3b otsuse kavand)</w:t>
      </w:r>
      <w:r w:rsidRPr="00121A25">
        <w:rPr>
          <w:rFonts w:cs="Times New Roman"/>
          <w:bCs/>
          <w:szCs w:val="24"/>
        </w:rPr>
        <w:t xml:space="preserve">. </w:t>
      </w:r>
      <w:r w:rsidR="00BF6859">
        <w:rPr>
          <w:rFonts w:cs="Times New Roman"/>
          <w:bCs/>
          <w:szCs w:val="24"/>
        </w:rPr>
        <w:t xml:space="preserve">Kavand sisaldas nimetatud </w:t>
      </w:r>
      <w:r w:rsidR="00102CC9">
        <w:rPr>
          <w:rFonts w:cs="Times New Roman"/>
          <w:bCs/>
          <w:szCs w:val="24"/>
        </w:rPr>
        <w:t xml:space="preserve">hulgiturgude </w:t>
      </w:r>
      <w:r w:rsidR="00BF6859" w:rsidRPr="00121A25">
        <w:rPr>
          <w:rFonts w:cs="Times New Roman"/>
          <w:bCs/>
          <w:szCs w:val="24"/>
        </w:rPr>
        <w:t>piiritlemis</w:t>
      </w:r>
      <w:r w:rsidR="006F0FAD">
        <w:rPr>
          <w:rFonts w:cs="Times New Roman"/>
          <w:bCs/>
          <w:szCs w:val="24"/>
        </w:rPr>
        <w:t>t</w:t>
      </w:r>
      <w:r w:rsidR="00BF6859" w:rsidRPr="00121A25">
        <w:rPr>
          <w:rFonts w:cs="Times New Roman"/>
          <w:bCs/>
          <w:szCs w:val="24"/>
        </w:rPr>
        <w:t>, konkurentsi analüüsi, märkimisväärse turujõuga ettevõtja määramis</w:t>
      </w:r>
      <w:r w:rsidR="006F0FAD">
        <w:rPr>
          <w:rFonts w:cs="Times New Roman"/>
          <w:bCs/>
          <w:szCs w:val="24"/>
        </w:rPr>
        <w:t>t</w:t>
      </w:r>
      <w:r w:rsidR="00BF6859" w:rsidRPr="00121A25">
        <w:rPr>
          <w:rFonts w:cs="Times New Roman"/>
          <w:bCs/>
          <w:szCs w:val="24"/>
        </w:rPr>
        <w:t xml:space="preserve"> ja kohustuste kehtestamis</w:t>
      </w:r>
      <w:r w:rsidR="006F0FAD">
        <w:rPr>
          <w:rFonts w:cs="Times New Roman"/>
          <w:bCs/>
          <w:szCs w:val="24"/>
        </w:rPr>
        <w:t>t</w:t>
      </w:r>
      <w:r w:rsidR="00102CC9">
        <w:rPr>
          <w:rFonts w:cs="Times New Roman"/>
          <w:bCs/>
          <w:szCs w:val="24"/>
        </w:rPr>
        <w:t>.</w:t>
      </w:r>
      <w:r w:rsidR="00BF6859" w:rsidRPr="00121A25">
        <w:rPr>
          <w:rFonts w:cs="Times New Roman"/>
          <w:bCs/>
          <w:szCs w:val="24"/>
        </w:rPr>
        <w:t xml:space="preserve"> </w:t>
      </w:r>
      <w:r w:rsidRPr="00121A25">
        <w:rPr>
          <w:rFonts w:cs="Times New Roman"/>
          <w:bCs/>
          <w:szCs w:val="24"/>
        </w:rPr>
        <w:t>Konsultatsiooni</w:t>
      </w:r>
      <w:r w:rsidR="00102CC9">
        <w:rPr>
          <w:rFonts w:cs="Times New Roman"/>
          <w:bCs/>
          <w:szCs w:val="24"/>
        </w:rPr>
        <w:t>l</w:t>
      </w:r>
      <w:r w:rsidRPr="00121A25">
        <w:rPr>
          <w:rFonts w:cs="Times New Roman"/>
          <w:bCs/>
          <w:szCs w:val="24"/>
        </w:rPr>
        <w:t xml:space="preserve"> esitasid oma arvamuse Telia Eesti AS</w:t>
      </w:r>
      <w:r w:rsidRPr="00121A25">
        <w:rPr>
          <w:rStyle w:val="Allmrkuseviide"/>
          <w:rFonts w:cs="Times New Roman"/>
          <w:szCs w:val="24"/>
        </w:rPr>
        <w:footnoteReference w:id="3"/>
      </w:r>
      <w:r w:rsidRPr="00121A25">
        <w:rPr>
          <w:rFonts w:cs="Times New Roman"/>
          <w:bCs/>
          <w:szCs w:val="24"/>
        </w:rPr>
        <w:t>, Elisa Eesti AS</w:t>
      </w:r>
      <w:r w:rsidRPr="00121A25">
        <w:rPr>
          <w:rStyle w:val="Allmrkuseviide"/>
          <w:rFonts w:cs="Times New Roman"/>
          <w:bCs/>
          <w:szCs w:val="24"/>
        </w:rPr>
        <w:footnoteReference w:id="4"/>
      </w:r>
      <w:r w:rsidRPr="00121A25">
        <w:rPr>
          <w:rFonts w:cs="Times New Roman"/>
          <w:bCs/>
          <w:szCs w:val="24"/>
        </w:rPr>
        <w:t>, Tele2 Eesti AS</w:t>
      </w:r>
      <w:r w:rsidRPr="00121A25">
        <w:rPr>
          <w:rStyle w:val="Allmrkuseviide"/>
          <w:rFonts w:cs="Times New Roman"/>
          <w:bCs/>
          <w:szCs w:val="24"/>
        </w:rPr>
        <w:footnoteReference w:id="5"/>
      </w:r>
      <w:r w:rsidRPr="00121A25">
        <w:rPr>
          <w:rFonts w:cs="Times New Roman"/>
          <w:bCs/>
          <w:szCs w:val="24"/>
        </w:rPr>
        <w:t xml:space="preserve"> ja Konkurentsiamet</w:t>
      </w:r>
      <w:r w:rsidRPr="00121A25">
        <w:rPr>
          <w:rStyle w:val="Allmrkuseviide"/>
          <w:rFonts w:cs="Times New Roman"/>
          <w:bCs/>
          <w:szCs w:val="24"/>
        </w:rPr>
        <w:footnoteReference w:id="6"/>
      </w:r>
      <w:r w:rsidRPr="00121A25">
        <w:rPr>
          <w:rFonts w:cs="Times New Roman"/>
          <w:bCs/>
          <w:szCs w:val="24"/>
        </w:rPr>
        <w:t>.</w:t>
      </w:r>
    </w:p>
    <w:p w14:paraId="5C524FB1" w14:textId="7D61EBBB" w:rsidR="00FF59AC" w:rsidRDefault="00FF59AC" w:rsidP="00FF59AC">
      <w:pPr>
        <w:jc w:val="both"/>
        <w:rPr>
          <w:rFonts w:cs="Times New Roman"/>
          <w:bCs/>
          <w:szCs w:val="24"/>
        </w:rPr>
      </w:pPr>
      <w:r w:rsidRPr="00121A25">
        <w:rPr>
          <w:rFonts w:cs="Times New Roman"/>
          <w:bCs/>
          <w:szCs w:val="24"/>
        </w:rPr>
        <w:t>Järgnevalt on toodud konsultatsiooni</w:t>
      </w:r>
      <w:r w:rsidR="00102CC9">
        <w:rPr>
          <w:rFonts w:cs="Times New Roman"/>
          <w:bCs/>
          <w:szCs w:val="24"/>
        </w:rPr>
        <w:t>l</w:t>
      </w:r>
      <w:r w:rsidRPr="00121A25">
        <w:rPr>
          <w:rFonts w:cs="Times New Roman"/>
          <w:bCs/>
          <w:szCs w:val="24"/>
        </w:rPr>
        <w:t xml:space="preserve"> </w:t>
      </w:r>
      <w:r w:rsidR="00083965">
        <w:rPr>
          <w:rFonts w:cs="Times New Roman"/>
          <w:bCs/>
          <w:szCs w:val="24"/>
        </w:rPr>
        <w:t>esitatud</w:t>
      </w:r>
      <w:r w:rsidRPr="00121A25">
        <w:rPr>
          <w:rFonts w:cs="Times New Roman"/>
          <w:bCs/>
          <w:szCs w:val="24"/>
        </w:rPr>
        <w:t xml:space="preserve"> arvamused koos TTJA selgituste ja seisukohtadega.</w:t>
      </w:r>
    </w:p>
    <w:p w14:paraId="30C05AB4" w14:textId="77777777" w:rsidR="00A221BB" w:rsidRDefault="00A221BB" w:rsidP="00FF59AC">
      <w:pPr>
        <w:jc w:val="both"/>
        <w:rPr>
          <w:rFonts w:cs="Times New Roman"/>
          <w:bCs/>
          <w:szCs w:val="24"/>
        </w:rPr>
      </w:pPr>
    </w:p>
    <w:p w14:paraId="065A7C60" w14:textId="2157D892" w:rsidR="00D81BD1" w:rsidRPr="003E0184" w:rsidRDefault="00950FD0" w:rsidP="003E0184">
      <w:pPr>
        <w:pStyle w:val="Pealkiri1"/>
      </w:pPr>
      <w:bookmarkStart w:id="3" w:name="_Toc182488018"/>
      <w:r w:rsidRPr="003E0184">
        <w:t>Tallinna</w:t>
      </w:r>
      <w:r w:rsidR="00046E3E" w:rsidRPr="003E0184">
        <w:t xml:space="preserve"> Kesklinna ja </w:t>
      </w:r>
      <w:r w:rsidR="00C26A62" w:rsidRPr="003E0184">
        <w:t>Tallinna Kristiine linnaosade piiritlemine</w:t>
      </w:r>
      <w:r w:rsidR="003E0184">
        <w:t xml:space="preserve"> valguskaablivõrgu </w:t>
      </w:r>
      <w:r w:rsidR="00B65528">
        <w:t>internetiühenduste</w:t>
      </w:r>
      <w:r w:rsidR="00C26A62" w:rsidRPr="003E0184">
        <w:t xml:space="preserve"> A või B </w:t>
      </w:r>
      <w:r w:rsidR="003E0184" w:rsidRPr="003E0184">
        <w:t>piirkon</w:t>
      </w:r>
      <w:r w:rsidR="006E3DBD">
        <w:t>n</w:t>
      </w:r>
      <w:r w:rsidR="003E0184" w:rsidRPr="003E0184">
        <w:t>a</w:t>
      </w:r>
      <w:r w:rsidR="006E3DBD">
        <w:t xml:space="preserve"> jaeturule</w:t>
      </w:r>
      <w:bookmarkEnd w:id="3"/>
    </w:p>
    <w:p w14:paraId="6AAF047F" w14:textId="77777777" w:rsidR="003E0184" w:rsidRDefault="003E0184" w:rsidP="00FF59AC">
      <w:pPr>
        <w:jc w:val="both"/>
        <w:rPr>
          <w:rFonts w:cs="Times New Roman"/>
          <w:bCs/>
          <w:szCs w:val="24"/>
        </w:rPr>
      </w:pPr>
    </w:p>
    <w:p w14:paraId="27B33C2C" w14:textId="279DC840" w:rsidR="003E0184" w:rsidRDefault="00750156" w:rsidP="00750156">
      <w:pPr>
        <w:pStyle w:val="Pealkiri2"/>
      </w:pPr>
      <w:bookmarkStart w:id="4" w:name="_Toc182488019"/>
      <w:r>
        <w:t>Telia</w:t>
      </w:r>
      <w:bookmarkEnd w:id="4"/>
    </w:p>
    <w:p w14:paraId="40E2EC15" w14:textId="77777777" w:rsidR="008432B6" w:rsidRDefault="008432B6" w:rsidP="008432B6">
      <w:pPr>
        <w:jc w:val="both"/>
        <w:rPr>
          <w:rFonts w:cs="Times New Roman"/>
          <w:bCs/>
          <w:szCs w:val="24"/>
        </w:rPr>
      </w:pPr>
    </w:p>
    <w:p w14:paraId="5917B9A0" w14:textId="25CB0A25" w:rsidR="008432B6" w:rsidRPr="00CF5799" w:rsidRDefault="00A520E1" w:rsidP="008432B6">
      <w:pPr>
        <w:jc w:val="both"/>
        <w:rPr>
          <w:rFonts w:cs="Times New Roman"/>
          <w:bCs/>
          <w:szCs w:val="24"/>
        </w:rPr>
      </w:pPr>
      <w:r>
        <w:rPr>
          <w:rFonts w:cs="Times New Roman"/>
          <w:bCs/>
          <w:szCs w:val="24"/>
        </w:rPr>
        <w:t>Telia</w:t>
      </w:r>
      <w:r w:rsidR="008432B6"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008432B6" w:rsidRPr="00CF5799">
        <w:rPr>
          <w:rFonts w:cs="Times New Roman"/>
          <w:bCs/>
          <w:szCs w:val="24"/>
        </w:rPr>
        <w:t>järgmist:</w:t>
      </w:r>
    </w:p>
    <w:p w14:paraId="169C7FFE" w14:textId="77777777" w:rsidR="008432B6" w:rsidRDefault="008432B6" w:rsidP="009C1889">
      <w:pPr>
        <w:jc w:val="both"/>
        <w:rPr>
          <w:rFonts w:cs="Times New Roman"/>
          <w:i/>
          <w:iCs/>
          <w:szCs w:val="24"/>
        </w:rPr>
      </w:pPr>
    </w:p>
    <w:p w14:paraId="48221F3D" w14:textId="2A5193B6" w:rsidR="009C1889" w:rsidRPr="009C1889" w:rsidRDefault="009C1889" w:rsidP="009C1889">
      <w:pPr>
        <w:jc w:val="both"/>
        <w:rPr>
          <w:rFonts w:cs="Times New Roman"/>
          <w:i/>
          <w:iCs/>
          <w:szCs w:val="24"/>
        </w:rPr>
      </w:pPr>
      <w:r w:rsidRPr="009C1889">
        <w:rPr>
          <w:rFonts w:cs="Times New Roman"/>
          <w:i/>
          <w:iCs/>
          <w:szCs w:val="24"/>
        </w:rPr>
        <w:t xml:space="preserve">1.1 Jaeturu geograafiline piiritlemine  </w:t>
      </w:r>
    </w:p>
    <w:p w14:paraId="29155E10" w14:textId="23E25C60" w:rsidR="009C1889" w:rsidRPr="009C1889" w:rsidRDefault="009C1889" w:rsidP="009C1889">
      <w:pPr>
        <w:jc w:val="both"/>
        <w:rPr>
          <w:rFonts w:cs="Times New Roman"/>
          <w:bCs/>
          <w:i/>
          <w:iCs/>
          <w:szCs w:val="24"/>
        </w:rPr>
      </w:pPr>
      <w:r w:rsidRPr="009C1889">
        <w:rPr>
          <w:rFonts w:cs="Times New Roman"/>
          <w:bCs/>
          <w:i/>
          <w:iCs/>
          <w:szCs w:val="24"/>
        </w:rPr>
        <w:t xml:space="preserve"> Peame üldjoontes asjakohaseks jaeturu geograafilist piiritlemist ja Eesti jagamist 48 erinevaks geograafiliseks üksuseks  sellele järgnevalt A ja B piirkondadeks.  </w:t>
      </w:r>
    </w:p>
    <w:p w14:paraId="5BE63878" w14:textId="24F5550E" w:rsidR="009C1889" w:rsidRPr="009C1889" w:rsidRDefault="009C1889" w:rsidP="009C1889">
      <w:pPr>
        <w:jc w:val="both"/>
        <w:rPr>
          <w:rFonts w:cs="Times New Roman"/>
          <w:bCs/>
          <w:i/>
          <w:iCs/>
          <w:szCs w:val="24"/>
        </w:rPr>
      </w:pPr>
      <w:r w:rsidRPr="009C1889">
        <w:rPr>
          <w:rFonts w:cs="Times New Roman"/>
          <w:bCs/>
          <w:i/>
          <w:iCs/>
          <w:szCs w:val="24"/>
        </w:rPr>
        <w:t xml:space="preserve">Ühtlasi peame samas põhjendatuks jaeturu piiritlemise osas järgneva muudatuse tegemist: turuotsuse kavandi analüüsi  (lisa 1) punkti 2.3.7. (Valguskaabelvõrgu jae internetiühenduste tooteturu geograafilise piirkonna piiritlemine) ning B-piirkonna näitajate kohaselt on arusaamatu, miks B-piirkonna hulka on lisatud lisaks Tallinna Nõmme ja Pirita linnaosale ka Kristiine ja Kesklinna linnaosa. Telia arvates on võimalik eristada asustustihedust ja konkurentsitingimusi Tallinna puhul üksnes Nõmme ja Pirita linnaosas, mida on võimalik lugeda B-piirkonna hulka kuuluvaks. Muus osa kuulub Tallinn tervikuna A-piirkonna alla.  </w:t>
      </w:r>
    </w:p>
    <w:p w14:paraId="733C0823" w14:textId="393AEF26" w:rsidR="009C1889" w:rsidRPr="009C1889" w:rsidRDefault="009C1889" w:rsidP="009C1889">
      <w:pPr>
        <w:jc w:val="both"/>
        <w:rPr>
          <w:rFonts w:cs="Times New Roman"/>
          <w:bCs/>
          <w:i/>
          <w:iCs/>
          <w:szCs w:val="24"/>
        </w:rPr>
      </w:pPr>
      <w:r w:rsidRPr="009C1889">
        <w:rPr>
          <w:rFonts w:cs="Times New Roman"/>
          <w:bCs/>
          <w:i/>
          <w:iCs/>
          <w:szCs w:val="24"/>
        </w:rPr>
        <w:t xml:space="preserve">Kristiine ja Kesklinna linnaosades ei erine elanike tihedus, sidevõrkude olemasolu ega ka konkurentsi olukord jaeturul olulisel määral Tallinna muude linnaosade vastavatest näitajatest (erandiks on vaid aedlinnad Nõmme ja Pirita). Arvestades Kristiine ja Kesklinna linnaosa iseloomustavaid näitajaid (sh suurt kortermajade osakaalu), ei saa väita, et neis piirkondades puuduks jaeturul perspektiivne konkurents. Järelikult ei vasta need linnaosad piirkonna B </w:t>
      </w:r>
      <w:r w:rsidRPr="009C1889">
        <w:rPr>
          <w:rFonts w:cs="Times New Roman"/>
          <w:bCs/>
          <w:i/>
          <w:iCs/>
          <w:szCs w:val="24"/>
        </w:rPr>
        <w:lastRenderedPageBreak/>
        <w:t xml:space="preserve">tunnustele (piirkonnas B oluliseks tunnuseks on TTJA enda hinnangul asjaolu, et vastavas piirkonnas puudub jaeturul perspektiivne konkurents). </w:t>
      </w:r>
    </w:p>
    <w:p w14:paraId="61110EDD" w14:textId="77777777" w:rsidR="009C1889" w:rsidRPr="009C1889" w:rsidRDefault="009C1889" w:rsidP="009C1889">
      <w:pPr>
        <w:jc w:val="both"/>
        <w:rPr>
          <w:rFonts w:cs="Times New Roman"/>
          <w:bCs/>
          <w:i/>
          <w:iCs/>
          <w:szCs w:val="24"/>
        </w:rPr>
      </w:pPr>
      <w:r w:rsidRPr="009C1889">
        <w:rPr>
          <w:rFonts w:cs="Times New Roman"/>
          <w:bCs/>
          <w:i/>
          <w:iCs/>
          <w:szCs w:val="24"/>
        </w:rPr>
        <w:t xml:space="preserve">  </w:t>
      </w:r>
    </w:p>
    <w:p w14:paraId="667420B4" w14:textId="77777777" w:rsidR="009C1889" w:rsidRPr="009C1889" w:rsidRDefault="009C1889" w:rsidP="009C1889">
      <w:pPr>
        <w:jc w:val="both"/>
        <w:rPr>
          <w:rFonts w:cs="Times New Roman"/>
          <w:bCs/>
          <w:i/>
          <w:iCs/>
          <w:szCs w:val="24"/>
        </w:rPr>
      </w:pPr>
      <w:r w:rsidRPr="009C1889">
        <w:rPr>
          <w:rFonts w:cs="Times New Roman"/>
          <w:bCs/>
          <w:i/>
          <w:iCs/>
          <w:szCs w:val="24"/>
        </w:rPr>
        <w:t xml:space="preserve">Üheks ühetaolise konkurentsitingimuste tekkimise eelduseks on elanike asustustihedus ning seetõttu on TTJA jaotanud  turuotsuse kavandi lisaks 1 oleva analüüsidokumendis Tallinna üksusteks linnaosade haldusüksuste alusel, kuna linnaosade elanike tihedus on märkimisväärselt erinev. Analüüsis on esitatud näide, et peamiselt kortermajadega Mustamäe, Lasnamäe ja Kristiine linnaosades on üle 4000 elanikku km2 kohta ja peamiselt eramutega Nõmme ja Pirita linnaosades on ca 1000 elanikku km2 kohta. Seega nendib ka TTJA ise, et sisuliselt erinevad Tallinnas kaks piirkonda (Nõmme ja Pirita), kus on peamiselt eramud. Mujal Tallinnas on tingimused ühesugused. </w:t>
      </w:r>
    </w:p>
    <w:p w14:paraId="7377D8E1" w14:textId="77777777" w:rsidR="009C1889" w:rsidRPr="009C1889" w:rsidRDefault="009C1889" w:rsidP="009C1889">
      <w:pPr>
        <w:jc w:val="both"/>
        <w:rPr>
          <w:rFonts w:cs="Times New Roman"/>
          <w:bCs/>
          <w:i/>
          <w:iCs/>
          <w:szCs w:val="24"/>
        </w:rPr>
      </w:pPr>
      <w:r w:rsidRPr="009C1889">
        <w:rPr>
          <w:rFonts w:cs="Times New Roman"/>
          <w:bCs/>
          <w:i/>
          <w:iCs/>
          <w:szCs w:val="24"/>
        </w:rPr>
        <w:t xml:space="preserve">Mõistame, et Pirita ja Nõmme linnosas võib eramajade kõrge osakaalu tõttu olla konkurentsiolukord teistsugune, mistõttu võiks Tallinnast äärmisel juhul eraldada need kaks linnaosa (Nõmme ja Pirita). Muus osas ei ole Tallinna teiste linnaosade suhtes täiendav </w:t>
      </w:r>
      <w:proofErr w:type="spellStart"/>
      <w:r w:rsidRPr="009C1889">
        <w:rPr>
          <w:rFonts w:cs="Times New Roman"/>
          <w:bCs/>
          <w:i/>
          <w:iCs/>
          <w:szCs w:val="24"/>
        </w:rPr>
        <w:t>ex</w:t>
      </w:r>
      <w:proofErr w:type="spellEnd"/>
      <w:r w:rsidRPr="009C1889">
        <w:rPr>
          <w:rFonts w:cs="Times New Roman"/>
          <w:bCs/>
          <w:i/>
          <w:iCs/>
          <w:szCs w:val="24"/>
        </w:rPr>
        <w:t xml:space="preserve"> </w:t>
      </w:r>
      <w:proofErr w:type="spellStart"/>
      <w:r w:rsidRPr="009C1889">
        <w:rPr>
          <w:rFonts w:cs="Times New Roman"/>
          <w:bCs/>
          <w:i/>
          <w:iCs/>
          <w:szCs w:val="24"/>
        </w:rPr>
        <w:t>ante</w:t>
      </w:r>
      <w:proofErr w:type="spellEnd"/>
      <w:r w:rsidRPr="009C1889">
        <w:rPr>
          <w:rFonts w:cs="Times New Roman"/>
          <w:bCs/>
          <w:i/>
          <w:iCs/>
          <w:szCs w:val="24"/>
        </w:rPr>
        <w:t xml:space="preserve"> regulatsioon põhjendatud. Selline lähenemine aitab vältida ka segadust selles osas, miks samade tänavate erinevates lõikudes ja/või naabermajade puhul väidetakse, et neis on erinev konkurentsikeskkond. </w:t>
      </w:r>
    </w:p>
    <w:p w14:paraId="36935A56" w14:textId="77777777" w:rsidR="009C1889" w:rsidRPr="009C1889" w:rsidRDefault="009C1889" w:rsidP="009C1889">
      <w:pPr>
        <w:jc w:val="both"/>
        <w:rPr>
          <w:rFonts w:cs="Times New Roman"/>
          <w:bCs/>
          <w:i/>
          <w:iCs/>
          <w:szCs w:val="24"/>
        </w:rPr>
      </w:pPr>
      <w:r w:rsidRPr="009C1889">
        <w:rPr>
          <w:rFonts w:cs="Times New Roman"/>
          <w:bCs/>
          <w:i/>
          <w:iCs/>
          <w:szCs w:val="24"/>
        </w:rPr>
        <w:t xml:space="preserve">Käesolev  turuotsus avaldab Eesti sideturu olukorrale ja ettevõtete tegevusele mõju väga pika perioodi ehk järgneva 5 aasta vältel ning seega on oluline hinnata turuotsuse analüüsis olukorda ka tulevikuperspektiive silmas pidades. Antud juhul ei ole adekvaatselt põhjendatud seisukoht, et Kristiine ja Kesklinna vaates puudub ilma </w:t>
      </w:r>
      <w:proofErr w:type="spellStart"/>
      <w:r w:rsidRPr="009C1889">
        <w:rPr>
          <w:rFonts w:cs="Times New Roman"/>
          <w:bCs/>
          <w:i/>
          <w:iCs/>
          <w:szCs w:val="24"/>
        </w:rPr>
        <w:t>ex</w:t>
      </w:r>
      <w:proofErr w:type="spellEnd"/>
      <w:r w:rsidRPr="009C1889">
        <w:rPr>
          <w:rFonts w:cs="Times New Roman"/>
          <w:bCs/>
          <w:i/>
          <w:iCs/>
          <w:szCs w:val="24"/>
        </w:rPr>
        <w:t xml:space="preserve"> </w:t>
      </w:r>
      <w:proofErr w:type="spellStart"/>
      <w:r w:rsidRPr="009C1889">
        <w:rPr>
          <w:rFonts w:cs="Times New Roman"/>
          <w:bCs/>
          <w:i/>
          <w:iCs/>
          <w:szCs w:val="24"/>
        </w:rPr>
        <w:t>ante</w:t>
      </w:r>
      <w:proofErr w:type="spellEnd"/>
      <w:r w:rsidRPr="009C1889">
        <w:rPr>
          <w:rFonts w:cs="Times New Roman"/>
          <w:bCs/>
          <w:i/>
          <w:iCs/>
          <w:szCs w:val="24"/>
        </w:rPr>
        <w:t xml:space="preserve"> regulatsioonita järgmise turuotsuseni perspektiivne konkurents. Seetõttu peame äärmiselt oluliseks ja igati asjakohaseks lugeda turuotsuse kavandis geograafiliste üksuste piiritlemisel kõrge konkurentsiga A piirkondadeks samuti Tallinna Kesklinna ja Tallinna Kristiine linnaosad. </w:t>
      </w:r>
    </w:p>
    <w:p w14:paraId="725363A1" w14:textId="77777777" w:rsidR="00750156" w:rsidRDefault="00750156" w:rsidP="00FF59AC">
      <w:pPr>
        <w:jc w:val="both"/>
        <w:rPr>
          <w:rFonts w:cs="Times New Roman"/>
          <w:bCs/>
          <w:szCs w:val="24"/>
        </w:rPr>
      </w:pPr>
    </w:p>
    <w:p w14:paraId="2804C2C5" w14:textId="5472270B" w:rsidR="006E3DBD" w:rsidRDefault="009C1889" w:rsidP="009C1889">
      <w:pPr>
        <w:pStyle w:val="Pealkiri2"/>
      </w:pPr>
      <w:bookmarkStart w:id="5" w:name="_Toc182488020"/>
      <w:r>
        <w:t>TTJA</w:t>
      </w:r>
      <w:bookmarkEnd w:id="5"/>
    </w:p>
    <w:p w14:paraId="455492CB" w14:textId="77777777" w:rsidR="009C1889" w:rsidRDefault="009C1889" w:rsidP="00FF59AC">
      <w:pPr>
        <w:jc w:val="both"/>
        <w:rPr>
          <w:rFonts w:cs="Times New Roman"/>
          <w:bCs/>
          <w:szCs w:val="24"/>
        </w:rPr>
      </w:pPr>
    </w:p>
    <w:p w14:paraId="3E146BA5" w14:textId="14415F9F" w:rsidR="00FE2354" w:rsidRDefault="008E593C" w:rsidP="008E593C">
      <w:pPr>
        <w:jc w:val="both"/>
        <w:rPr>
          <w:rFonts w:cs="Times New Roman"/>
          <w:bCs/>
          <w:szCs w:val="24"/>
        </w:rPr>
      </w:pPr>
      <w:r w:rsidRPr="008E593C">
        <w:rPr>
          <w:rFonts w:cs="Times New Roman"/>
          <w:bCs/>
          <w:szCs w:val="24"/>
        </w:rPr>
        <w:t xml:space="preserve">TTJA ei nõustu Telia ettepanekuga, kuna geograafilise üksuse </w:t>
      </w:r>
      <w:r w:rsidR="00E56A4D">
        <w:rPr>
          <w:rFonts w:cs="Times New Roman"/>
          <w:bCs/>
          <w:szCs w:val="24"/>
        </w:rPr>
        <w:t xml:space="preserve">valguskaablivõrgu </w:t>
      </w:r>
      <w:r w:rsidR="00CA0E88">
        <w:rPr>
          <w:rFonts w:cs="Times New Roman"/>
          <w:bCs/>
          <w:szCs w:val="24"/>
        </w:rPr>
        <w:t xml:space="preserve">internetiühenduste </w:t>
      </w:r>
      <w:r w:rsidRPr="008E593C">
        <w:rPr>
          <w:rFonts w:cs="Times New Roman"/>
          <w:bCs/>
          <w:szCs w:val="24"/>
        </w:rPr>
        <w:t>A piirkon</w:t>
      </w:r>
      <w:r w:rsidR="00CA0E88">
        <w:rPr>
          <w:rFonts w:cs="Times New Roman"/>
          <w:bCs/>
          <w:szCs w:val="24"/>
        </w:rPr>
        <w:t>n</w:t>
      </w:r>
      <w:r w:rsidRPr="008E593C">
        <w:rPr>
          <w:rFonts w:cs="Times New Roman"/>
          <w:bCs/>
          <w:szCs w:val="24"/>
        </w:rPr>
        <w:t>a</w:t>
      </w:r>
      <w:r w:rsidR="00CA0E88">
        <w:rPr>
          <w:rFonts w:cs="Times New Roman"/>
          <w:bCs/>
          <w:szCs w:val="24"/>
        </w:rPr>
        <w:t xml:space="preserve"> jaeturule</w:t>
      </w:r>
      <w:r w:rsidRPr="008E593C">
        <w:rPr>
          <w:rFonts w:cs="Times New Roman"/>
          <w:bCs/>
          <w:szCs w:val="24"/>
        </w:rPr>
        <w:t xml:space="preserve"> kaasamise alused ei piirdu ainult elanike keskmise asustustihedusega, vaid tuleb võtta arvesse ka teised kriteeriumid ja lävendid nagu vähemalt kahe (2) sidevõrgu kättesaadavusega elu- ja mitteeluruumide osakaal (vähemalt 40%) ja Telia jae internetiühenduse klientide osakaal (alla 50%). Kristiines ja Kesklinnas ei ole täidetud </w:t>
      </w:r>
      <w:r w:rsidR="00E2276A" w:rsidRPr="008E593C">
        <w:rPr>
          <w:rFonts w:cs="Times New Roman"/>
          <w:bCs/>
          <w:szCs w:val="24"/>
        </w:rPr>
        <w:t>kriteerium</w:t>
      </w:r>
      <w:r w:rsidR="00E2276A">
        <w:rPr>
          <w:rFonts w:cs="Times New Roman"/>
          <w:bCs/>
          <w:szCs w:val="24"/>
        </w:rPr>
        <w:t>, et</w:t>
      </w:r>
      <w:r w:rsidR="00E2276A" w:rsidRPr="008E593C">
        <w:rPr>
          <w:rFonts w:cs="Times New Roman"/>
          <w:bCs/>
          <w:szCs w:val="24"/>
        </w:rPr>
        <w:t xml:space="preserve"> </w:t>
      </w:r>
      <w:r w:rsidRPr="008E593C">
        <w:rPr>
          <w:rFonts w:cs="Times New Roman"/>
          <w:bCs/>
          <w:szCs w:val="24"/>
        </w:rPr>
        <w:t>Telia jae internetiühenduse klientide osakaalu</w:t>
      </w:r>
      <w:r w:rsidR="00E2276A">
        <w:rPr>
          <w:rFonts w:cs="Times New Roman"/>
          <w:bCs/>
          <w:szCs w:val="24"/>
        </w:rPr>
        <w:t xml:space="preserve"> peab olema </w:t>
      </w:r>
      <w:r w:rsidR="004D0BEE">
        <w:rPr>
          <w:rFonts w:cs="Times New Roman"/>
          <w:bCs/>
          <w:szCs w:val="24"/>
        </w:rPr>
        <w:t>alla 50%-i</w:t>
      </w:r>
      <w:r w:rsidRPr="008E593C">
        <w:rPr>
          <w:rFonts w:cs="Times New Roman"/>
          <w:bCs/>
          <w:szCs w:val="24"/>
        </w:rPr>
        <w:t xml:space="preserve">, Kristiines vastavalt </w:t>
      </w:r>
      <w:r w:rsidR="00922656">
        <w:rPr>
          <w:rFonts w:cs="Times New Roman"/>
          <w:bCs/>
          <w:szCs w:val="24"/>
        </w:rPr>
        <w:t>…*</w:t>
      </w:r>
      <w:r w:rsidRPr="008E593C">
        <w:rPr>
          <w:rFonts w:cs="Times New Roman"/>
          <w:bCs/>
          <w:szCs w:val="24"/>
        </w:rPr>
        <w:t xml:space="preserve">% ja Kesklinnas </w:t>
      </w:r>
      <w:r w:rsidR="00922656">
        <w:rPr>
          <w:rFonts w:cs="Times New Roman"/>
          <w:bCs/>
          <w:szCs w:val="24"/>
        </w:rPr>
        <w:t>…*</w:t>
      </w:r>
      <w:r w:rsidRPr="008E593C">
        <w:rPr>
          <w:rFonts w:cs="Times New Roman"/>
          <w:bCs/>
          <w:szCs w:val="24"/>
        </w:rPr>
        <w:t>%</w:t>
      </w:r>
      <w:r w:rsidR="00DA4709">
        <w:rPr>
          <w:rFonts w:cs="Times New Roman"/>
          <w:bCs/>
          <w:szCs w:val="24"/>
        </w:rPr>
        <w:t xml:space="preserve"> (aastal 2023)</w:t>
      </w:r>
      <w:r w:rsidR="00142C9A">
        <w:rPr>
          <w:rFonts w:cs="Times New Roman"/>
          <w:bCs/>
          <w:szCs w:val="24"/>
        </w:rPr>
        <w:t>.</w:t>
      </w:r>
      <w:r w:rsidR="00846E92">
        <w:rPr>
          <w:rFonts w:cs="Times New Roman"/>
          <w:bCs/>
          <w:szCs w:val="24"/>
        </w:rPr>
        <w:t xml:space="preserve"> Vastav</w:t>
      </w:r>
      <w:r w:rsidR="0019214E">
        <w:rPr>
          <w:rFonts w:cs="Times New Roman"/>
          <w:bCs/>
          <w:szCs w:val="24"/>
        </w:rPr>
        <w:t>ad Telia turuosad</w:t>
      </w:r>
      <w:r w:rsidR="00846E92">
        <w:rPr>
          <w:rFonts w:cs="Times New Roman"/>
          <w:bCs/>
          <w:szCs w:val="24"/>
        </w:rPr>
        <w:t xml:space="preserve"> on küll </w:t>
      </w:r>
      <w:r w:rsidR="00922656">
        <w:rPr>
          <w:rFonts w:cs="Times New Roman"/>
          <w:bCs/>
          <w:szCs w:val="24"/>
        </w:rPr>
        <w:t>…*</w:t>
      </w:r>
      <w:r w:rsidR="00846E92">
        <w:rPr>
          <w:rFonts w:cs="Times New Roman"/>
          <w:bCs/>
          <w:szCs w:val="24"/>
        </w:rPr>
        <w:t xml:space="preserve">, kuid </w:t>
      </w:r>
      <w:r w:rsidR="0019214E">
        <w:rPr>
          <w:rFonts w:cs="Times New Roman"/>
          <w:bCs/>
          <w:szCs w:val="24"/>
        </w:rPr>
        <w:t xml:space="preserve">mitte </w:t>
      </w:r>
      <w:r w:rsidR="00571046">
        <w:rPr>
          <w:rFonts w:cs="Times New Roman"/>
          <w:bCs/>
          <w:szCs w:val="24"/>
        </w:rPr>
        <w:t xml:space="preserve">tempos, et </w:t>
      </w:r>
      <w:r w:rsidR="0080693D">
        <w:rPr>
          <w:rFonts w:cs="Times New Roman"/>
          <w:bCs/>
          <w:szCs w:val="24"/>
        </w:rPr>
        <w:t xml:space="preserve">saaks </w:t>
      </w:r>
      <w:r w:rsidR="00571046">
        <w:rPr>
          <w:rFonts w:cs="Times New Roman"/>
          <w:bCs/>
          <w:szCs w:val="24"/>
        </w:rPr>
        <w:t>eeldada</w:t>
      </w:r>
      <w:r w:rsidR="0080693D">
        <w:rPr>
          <w:rFonts w:cs="Times New Roman"/>
          <w:bCs/>
          <w:szCs w:val="24"/>
        </w:rPr>
        <w:t>, et järgmise turuanalüüsi kestval perioodil need suure tõenäosusega vähenevad alla 50%-i.</w:t>
      </w:r>
    </w:p>
    <w:p w14:paraId="4406861F" w14:textId="7C2B3FD7" w:rsidR="008E593C" w:rsidRPr="0080693D" w:rsidRDefault="004D0BEE" w:rsidP="008E593C">
      <w:pPr>
        <w:jc w:val="both"/>
        <w:rPr>
          <w:rFonts w:cs="Times New Roman"/>
          <w:b/>
          <w:szCs w:val="24"/>
        </w:rPr>
      </w:pPr>
      <w:r w:rsidRPr="0080693D">
        <w:rPr>
          <w:rFonts w:cs="Times New Roman"/>
          <w:b/>
          <w:szCs w:val="24"/>
        </w:rPr>
        <w:t>Seega kuna Telia oma</w:t>
      </w:r>
      <w:r w:rsidR="006066F9" w:rsidRPr="0080693D">
        <w:rPr>
          <w:rFonts w:cs="Times New Roman"/>
          <w:b/>
          <w:szCs w:val="24"/>
        </w:rPr>
        <w:t>b</w:t>
      </w:r>
      <w:r w:rsidRPr="0080693D">
        <w:rPr>
          <w:rFonts w:cs="Times New Roman"/>
          <w:b/>
          <w:szCs w:val="24"/>
        </w:rPr>
        <w:t xml:space="preserve"> </w:t>
      </w:r>
      <w:r w:rsidR="00AF76AE" w:rsidRPr="0080693D">
        <w:rPr>
          <w:rFonts w:cs="Times New Roman"/>
          <w:b/>
          <w:szCs w:val="24"/>
        </w:rPr>
        <w:t xml:space="preserve">50%-st märkimisväärselt </w:t>
      </w:r>
      <w:r w:rsidRPr="0080693D">
        <w:rPr>
          <w:rFonts w:cs="Times New Roman"/>
          <w:b/>
          <w:szCs w:val="24"/>
        </w:rPr>
        <w:t>suur</w:t>
      </w:r>
      <w:r w:rsidR="00AF76AE" w:rsidRPr="0080693D">
        <w:rPr>
          <w:rFonts w:cs="Times New Roman"/>
          <w:b/>
          <w:szCs w:val="24"/>
        </w:rPr>
        <w:t>ema</w:t>
      </w:r>
      <w:r w:rsidRPr="0080693D">
        <w:rPr>
          <w:rFonts w:cs="Times New Roman"/>
          <w:b/>
          <w:szCs w:val="24"/>
        </w:rPr>
        <w:t>t osakaalu</w:t>
      </w:r>
      <w:r w:rsidR="00AF76AE" w:rsidRPr="0080693D">
        <w:rPr>
          <w:rFonts w:cs="Times New Roman"/>
          <w:b/>
          <w:szCs w:val="24"/>
        </w:rPr>
        <w:t xml:space="preserve"> </w:t>
      </w:r>
      <w:r w:rsidR="00DA4709" w:rsidRPr="0080693D">
        <w:rPr>
          <w:rFonts w:cs="Times New Roman"/>
          <w:b/>
          <w:szCs w:val="24"/>
        </w:rPr>
        <w:t xml:space="preserve">valguskaablivõrgu </w:t>
      </w:r>
      <w:r w:rsidR="00AF76AE" w:rsidRPr="0080693D">
        <w:rPr>
          <w:rFonts w:cs="Times New Roman"/>
          <w:b/>
          <w:szCs w:val="24"/>
        </w:rPr>
        <w:t>internetiühenduste jaeturu</w:t>
      </w:r>
      <w:r w:rsidR="00DA4709" w:rsidRPr="0080693D">
        <w:rPr>
          <w:rFonts w:cs="Times New Roman"/>
          <w:b/>
          <w:szCs w:val="24"/>
        </w:rPr>
        <w:t>l</w:t>
      </w:r>
      <w:r w:rsidRPr="0080693D">
        <w:rPr>
          <w:rFonts w:cs="Times New Roman"/>
          <w:b/>
          <w:szCs w:val="24"/>
        </w:rPr>
        <w:t xml:space="preserve"> nimetatud linnaosades, siis ei saa väita, et vastavad linnaosad kalduvad</w:t>
      </w:r>
      <w:r w:rsidR="007E3139" w:rsidRPr="0080693D">
        <w:rPr>
          <w:rFonts w:cs="Times New Roman"/>
          <w:b/>
          <w:szCs w:val="24"/>
        </w:rPr>
        <w:t xml:space="preserve"> püsiva ja jätkusuutliku konkurentsi poole ja nendes linnaosades tuleks kaaluda hulgiturgudel 1 ja 3b </w:t>
      </w:r>
      <w:r w:rsidR="00035F6C" w:rsidRPr="0080693D">
        <w:rPr>
          <w:rFonts w:cs="Times New Roman"/>
          <w:b/>
          <w:szCs w:val="24"/>
        </w:rPr>
        <w:t>valdkonnaspetsiifilise regulatsiooni mitte kehtestamist</w:t>
      </w:r>
      <w:r w:rsidR="00B31E29" w:rsidRPr="0080693D">
        <w:rPr>
          <w:rFonts w:cs="Times New Roman"/>
          <w:b/>
          <w:szCs w:val="24"/>
        </w:rPr>
        <w:t xml:space="preserve">. </w:t>
      </w:r>
    </w:p>
    <w:p w14:paraId="14C8F7ED" w14:textId="77777777" w:rsidR="009C1889" w:rsidRDefault="009C1889" w:rsidP="00FF59AC">
      <w:pPr>
        <w:jc w:val="both"/>
        <w:rPr>
          <w:rFonts w:cs="Times New Roman"/>
          <w:bCs/>
          <w:szCs w:val="24"/>
        </w:rPr>
      </w:pPr>
    </w:p>
    <w:p w14:paraId="3455C3A9" w14:textId="53875922" w:rsidR="0069258E" w:rsidRPr="003E0184" w:rsidRDefault="00EE0C8A" w:rsidP="0069258E">
      <w:pPr>
        <w:pStyle w:val="Pealkiri1"/>
      </w:pPr>
      <w:bookmarkStart w:id="6" w:name="_Toc182488021"/>
      <w:r>
        <w:lastRenderedPageBreak/>
        <w:t>5G mobiilivõrgu teenused</w:t>
      </w:r>
      <w:r w:rsidR="001F55EA">
        <w:t xml:space="preserve"> asendusteenusena valguskaablivõrgu teenustele</w:t>
      </w:r>
      <w:bookmarkEnd w:id="6"/>
    </w:p>
    <w:p w14:paraId="594009A1" w14:textId="77777777" w:rsidR="0069258E" w:rsidRDefault="0069258E" w:rsidP="0069258E">
      <w:pPr>
        <w:jc w:val="both"/>
        <w:rPr>
          <w:rFonts w:cs="Times New Roman"/>
          <w:bCs/>
          <w:szCs w:val="24"/>
        </w:rPr>
      </w:pPr>
    </w:p>
    <w:p w14:paraId="08BE3A29" w14:textId="77777777" w:rsidR="0069258E" w:rsidRDefault="0069258E" w:rsidP="0069258E">
      <w:pPr>
        <w:pStyle w:val="Pealkiri2"/>
      </w:pPr>
      <w:bookmarkStart w:id="7" w:name="_Toc182488022"/>
      <w:r>
        <w:t>Telia</w:t>
      </w:r>
      <w:bookmarkEnd w:id="7"/>
    </w:p>
    <w:p w14:paraId="04C9F41D" w14:textId="77777777" w:rsidR="0069258E" w:rsidRDefault="0069258E" w:rsidP="0069258E">
      <w:pPr>
        <w:jc w:val="both"/>
        <w:rPr>
          <w:rFonts w:cs="Times New Roman"/>
          <w:bCs/>
          <w:szCs w:val="24"/>
        </w:rPr>
      </w:pPr>
    </w:p>
    <w:p w14:paraId="52A6BF5F" w14:textId="77777777" w:rsidR="0069258E" w:rsidRDefault="0069258E" w:rsidP="0069258E">
      <w:pPr>
        <w:jc w:val="both"/>
        <w:rPr>
          <w:rFonts w:cs="Times New Roman"/>
          <w:bCs/>
          <w:szCs w:val="24"/>
        </w:rPr>
      </w:pPr>
      <w:r>
        <w:rPr>
          <w:rFonts w:cs="Times New Roman"/>
          <w:bCs/>
          <w:szCs w:val="24"/>
        </w:rPr>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5D3DF4FE" w14:textId="77777777" w:rsidR="000834B9" w:rsidRPr="00CF5799" w:rsidRDefault="000834B9" w:rsidP="0069258E">
      <w:pPr>
        <w:jc w:val="both"/>
        <w:rPr>
          <w:rFonts w:cs="Times New Roman"/>
          <w:bCs/>
          <w:szCs w:val="24"/>
        </w:rPr>
      </w:pPr>
    </w:p>
    <w:p w14:paraId="7ABD7FDB" w14:textId="77777777" w:rsidR="000834B9" w:rsidRPr="0028309A" w:rsidRDefault="000834B9" w:rsidP="000834B9">
      <w:pPr>
        <w:jc w:val="both"/>
        <w:rPr>
          <w:rFonts w:cs="Times New Roman"/>
          <w:bCs/>
          <w:i/>
          <w:iCs/>
          <w:szCs w:val="24"/>
        </w:rPr>
      </w:pPr>
      <w:r w:rsidRPr="0028309A">
        <w:rPr>
          <w:rFonts w:cs="Times New Roman"/>
          <w:bCs/>
          <w:i/>
          <w:iCs/>
          <w:szCs w:val="24"/>
        </w:rPr>
        <w:t>1.2.</w:t>
      </w:r>
      <w:r w:rsidRPr="0028309A">
        <w:rPr>
          <w:rFonts w:cs="Times New Roman"/>
          <w:bCs/>
          <w:i/>
          <w:iCs/>
          <w:szCs w:val="24"/>
        </w:rPr>
        <w:tab/>
        <w:t xml:space="preserve">Turu piiritlemine  ja 5G optika asendusteenusena </w:t>
      </w:r>
    </w:p>
    <w:p w14:paraId="4EF907A8" w14:textId="00D96301" w:rsidR="000834B9" w:rsidRPr="0028309A" w:rsidRDefault="000834B9" w:rsidP="000834B9">
      <w:pPr>
        <w:jc w:val="both"/>
        <w:rPr>
          <w:rFonts w:cs="Times New Roman"/>
          <w:bCs/>
          <w:i/>
          <w:iCs/>
          <w:szCs w:val="24"/>
        </w:rPr>
      </w:pPr>
      <w:r w:rsidRPr="0028309A">
        <w:rPr>
          <w:rFonts w:cs="Times New Roman"/>
          <w:bCs/>
          <w:i/>
          <w:iCs/>
          <w:szCs w:val="24"/>
        </w:rPr>
        <w:t xml:space="preserve"> Leiame, et juba praegu on mobiilne internet faktiliselt kasutatav alternatiivne lahendus ka valguskaabli võrgul osutavale internetiteenusele. 5G katvuse laienemine ja sellega paralleelselt toimuvad muud tehnoloogilised arengud tõstavad järgnevate aastate jooksul mobiilside tehnoloogia kiirusparameetreid ja muid tehnilisi parameetreid veelgi. Seega on mobiilsidevõrgul põhinevad internetiteenused muutunud asendusteenuseks ka valguskaabelvõrgu tehnoloogiate põhistele internetiteenustele, mitte ainult vaskkaablivõrgus ja koaksiaalkaablivõrgus pakutavatele internetiühendustele nagu on viidatud käesolevas TTJA otsuse kavandis.   </w:t>
      </w:r>
    </w:p>
    <w:p w14:paraId="3345F628" w14:textId="7C427E28" w:rsidR="000834B9" w:rsidRPr="0028309A" w:rsidRDefault="000834B9" w:rsidP="000834B9">
      <w:pPr>
        <w:jc w:val="both"/>
        <w:rPr>
          <w:rFonts w:cs="Times New Roman"/>
          <w:bCs/>
          <w:i/>
          <w:iCs/>
          <w:szCs w:val="24"/>
        </w:rPr>
      </w:pPr>
      <w:r w:rsidRPr="0028309A">
        <w:rPr>
          <w:rFonts w:cs="Times New Roman"/>
          <w:bCs/>
          <w:i/>
          <w:iCs/>
          <w:szCs w:val="24"/>
        </w:rPr>
        <w:t xml:space="preserve"> Siinkohal tasub arvestada asjaoluga, et käesolevalt on kõige populaarsemaks ühenduskiiruseks ka valguskaabli baasil 100 Mbit/s ühendus. Juba täna ületavad 5G FWA keskmised kiirused eelnimetatut ja ka hinnatase on sarnane. Seega oleme seisukohal, et 5G põhine mobiilsideteenus on kujunenud juba täna asendusteenuseks. </w:t>
      </w:r>
    </w:p>
    <w:p w14:paraId="2E399B93" w14:textId="02411866" w:rsidR="000834B9" w:rsidRPr="0028309A" w:rsidRDefault="000834B9" w:rsidP="000834B9">
      <w:pPr>
        <w:jc w:val="both"/>
        <w:rPr>
          <w:rFonts w:cs="Times New Roman"/>
          <w:bCs/>
          <w:i/>
          <w:iCs/>
          <w:szCs w:val="24"/>
        </w:rPr>
      </w:pPr>
      <w:r w:rsidRPr="0028309A">
        <w:rPr>
          <w:rFonts w:cs="Times New Roman"/>
          <w:bCs/>
          <w:i/>
          <w:iCs/>
          <w:szCs w:val="24"/>
        </w:rPr>
        <w:t xml:space="preserve"> Toome eeltoodu iseloomustamiseks esile fakti, et Ericssoni poolt 19 riigis läbiviidud põhjalik lairiba juurdepääsu uuring 4G/5G mobiilivõrkude baasil ”</w:t>
      </w:r>
      <w:proofErr w:type="spellStart"/>
      <w:r w:rsidRPr="0028309A">
        <w:rPr>
          <w:rFonts w:cs="Times New Roman"/>
          <w:bCs/>
          <w:i/>
          <w:iCs/>
          <w:szCs w:val="24"/>
        </w:rPr>
        <w:t>Capturing</w:t>
      </w:r>
      <w:proofErr w:type="spellEnd"/>
      <w:r w:rsidRPr="0028309A">
        <w:rPr>
          <w:rFonts w:cs="Times New Roman"/>
          <w:bCs/>
          <w:i/>
          <w:iCs/>
          <w:szCs w:val="24"/>
        </w:rPr>
        <w:t xml:space="preserve"> </w:t>
      </w:r>
      <w:proofErr w:type="spellStart"/>
      <w:r w:rsidRPr="0028309A">
        <w:rPr>
          <w:rFonts w:cs="Times New Roman"/>
          <w:bCs/>
          <w:i/>
          <w:iCs/>
          <w:szCs w:val="24"/>
        </w:rPr>
        <w:t>the</w:t>
      </w:r>
      <w:proofErr w:type="spellEnd"/>
      <w:r w:rsidRPr="0028309A">
        <w:rPr>
          <w:rFonts w:cs="Times New Roman"/>
          <w:bCs/>
          <w:i/>
          <w:iCs/>
          <w:szCs w:val="24"/>
        </w:rPr>
        <w:t xml:space="preserve"> 5G FWA </w:t>
      </w:r>
      <w:proofErr w:type="spellStart"/>
      <w:r w:rsidRPr="0028309A">
        <w:rPr>
          <w:rFonts w:cs="Times New Roman"/>
          <w:bCs/>
          <w:i/>
          <w:iCs/>
          <w:szCs w:val="24"/>
        </w:rPr>
        <w:t>opportunity</w:t>
      </w:r>
      <w:proofErr w:type="spellEnd"/>
      <w:r w:rsidRPr="0028309A">
        <w:rPr>
          <w:rFonts w:cs="Times New Roman"/>
          <w:bCs/>
          <w:i/>
          <w:iCs/>
          <w:szCs w:val="24"/>
        </w:rPr>
        <w:t xml:space="preserve">: A </w:t>
      </w:r>
      <w:proofErr w:type="spellStart"/>
      <w:r w:rsidRPr="0028309A">
        <w:rPr>
          <w:rFonts w:cs="Times New Roman"/>
          <w:bCs/>
          <w:i/>
          <w:iCs/>
          <w:szCs w:val="24"/>
        </w:rPr>
        <w:t>household</w:t>
      </w:r>
      <w:proofErr w:type="spellEnd"/>
      <w:r w:rsidRPr="0028309A">
        <w:rPr>
          <w:rFonts w:cs="Times New Roman"/>
          <w:bCs/>
          <w:i/>
          <w:iCs/>
          <w:szCs w:val="24"/>
        </w:rPr>
        <w:t xml:space="preserve"> </w:t>
      </w:r>
      <w:proofErr w:type="spellStart"/>
      <w:r w:rsidRPr="0028309A">
        <w:rPr>
          <w:rFonts w:cs="Times New Roman"/>
          <w:bCs/>
          <w:i/>
          <w:iCs/>
          <w:szCs w:val="24"/>
        </w:rPr>
        <w:t>view</w:t>
      </w:r>
      <w:proofErr w:type="spellEnd"/>
      <w:r w:rsidRPr="0028309A">
        <w:rPr>
          <w:rFonts w:cs="Times New Roman"/>
          <w:bCs/>
          <w:i/>
          <w:iCs/>
          <w:szCs w:val="24"/>
        </w:rPr>
        <w:t xml:space="preserve">”   näitab, et 7 (seitse) leibkonda 10 (kümnest) käsitlevad oma ostuotsuste tegemisel 5G </w:t>
      </w:r>
      <w:proofErr w:type="spellStart"/>
      <w:r w:rsidRPr="0028309A">
        <w:rPr>
          <w:rFonts w:cs="Times New Roman"/>
          <w:bCs/>
          <w:i/>
          <w:iCs/>
          <w:szCs w:val="24"/>
        </w:rPr>
        <w:t>FWA´d</w:t>
      </w:r>
      <w:proofErr w:type="spellEnd"/>
      <w:r w:rsidRPr="0028309A">
        <w:rPr>
          <w:rFonts w:cs="Times New Roman"/>
          <w:bCs/>
          <w:i/>
          <w:iCs/>
          <w:szCs w:val="24"/>
        </w:rPr>
        <w:t xml:space="preserve"> täieliku asendajana varasemale ühenduvusteenusele. . </w:t>
      </w:r>
    </w:p>
    <w:p w14:paraId="46384864" w14:textId="73122779" w:rsidR="006A67DA" w:rsidRPr="0028309A" w:rsidRDefault="000834B9" w:rsidP="000834B9">
      <w:pPr>
        <w:jc w:val="both"/>
        <w:rPr>
          <w:rFonts w:cs="Times New Roman"/>
          <w:bCs/>
          <w:i/>
          <w:iCs/>
          <w:szCs w:val="24"/>
        </w:rPr>
      </w:pPr>
      <w:r w:rsidRPr="0028309A">
        <w:rPr>
          <w:rFonts w:cs="Times New Roman"/>
          <w:bCs/>
          <w:i/>
          <w:iCs/>
          <w:szCs w:val="24"/>
        </w:rPr>
        <w:t>Mainitud uuring põhineb 23 700 intervjuul, kes esindavad üle maailma 370 miljonit majapidamist.</w:t>
      </w:r>
    </w:p>
    <w:p w14:paraId="7B1C0282" w14:textId="77777777" w:rsidR="006A67DA" w:rsidRDefault="006A67DA" w:rsidP="00FF59AC">
      <w:pPr>
        <w:jc w:val="both"/>
        <w:rPr>
          <w:rFonts w:cs="Times New Roman"/>
          <w:bCs/>
          <w:szCs w:val="24"/>
        </w:rPr>
      </w:pPr>
    </w:p>
    <w:p w14:paraId="55CA85E5" w14:textId="3D9184E9" w:rsidR="0028309A" w:rsidRPr="00EF0869" w:rsidRDefault="0028309A" w:rsidP="00EF0869">
      <w:pPr>
        <w:pStyle w:val="Pealkiri2"/>
      </w:pPr>
      <w:bookmarkStart w:id="8" w:name="_Toc182488023"/>
      <w:r w:rsidRPr="00EF0869">
        <w:t>TTJA</w:t>
      </w:r>
      <w:bookmarkEnd w:id="8"/>
    </w:p>
    <w:p w14:paraId="52607493" w14:textId="77777777" w:rsidR="0028309A" w:rsidRDefault="0028309A" w:rsidP="00FF59AC">
      <w:pPr>
        <w:jc w:val="both"/>
        <w:rPr>
          <w:rFonts w:cs="Times New Roman"/>
          <w:bCs/>
          <w:szCs w:val="24"/>
        </w:rPr>
      </w:pPr>
    </w:p>
    <w:p w14:paraId="62D70240" w14:textId="0E325488" w:rsidR="00E26C40" w:rsidRDefault="00EF0869" w:rsidP="00FF59AC">
      <w:pPr>
        <w:jc w:val="both"/>
        <w:rPr>
          <w:rFonts w:cs="Times New Roman"/>
          <w:bCs/>
          <w:szCs w:val="24"/>
        </w:rPr>
      </w:pPr>
      <w:r>
        <w:rPr>
          <w:rFonts w:cs="Times New Roman"/>
          <w:bCs/>
          <w:szCs w:val="24"/>
        </w:rPr>
        <w:t xml:space="preserve">Telia viidatud Ericsoni uuring käsitleb ainult erakliente. Samas hulgiturgudele 1 ja 3b järgnevad jaeturgudele on kaasatud ka äriklientidele masstootena pakutavad standardsed </w:t>
      </w:r>
      <w:r w:rsidR="006A210F">
        <w:rPr>
          <w:rFonts w:cs="Times New Roman"/>
          <w:bCs/>
          <w:szCs w:val="24"/>
        </w:rPr>
        <w:t>internetiühendused. Äriklientidel on üldjuhul suuremad nõudmised internet</w:t>
      </w:r>
      <w:r w:rsidR="00E26C40">
        <w:rPr>
          <w:rFonts w:cs="Times New Roman"/>
          <w:bCs/>
          <w:szCs w:val="24"/>
        </w:rPr>
        <w:t>i</w:t>
      </w:r>
      <w:r w:rsidR="006A210F">
        <w:rPr>
          <w:rFonts w:cs="Times New Roman"/>
          <w:bCs/>
          <w:szCs w:val="24"/>
        </w:rPr>
        <w:t xml:space="preserve">ühenduse kvaliteedile kui erakliendil. </w:t>
      </w:r>
    </w:p>
    <w:p w14:paraId="727303A0" w14:textId="147B1B4D" w:rsidR="00407F9D" w:rsidRDefault="006A210F" w:rsidP="00FF59AC">
      <w:pPr>
        <w:jc w:val="both"/>
        <w:rPr>
          <w:rFonts w:cs="Times New Roman"/>
          <w:bCs/>
          <w:szCs w:val="24"/>
        </w:rPr>
      </w:pPr>
      <w:r>
        <w:rPr>
          <w:rFonts w:cs="Times New Roman"/>
          <w:bCs/>
          <w:szCs w:val="24"/>
        </w:rPr>
        <w:t>Eeltoodust tulenevalt ja võttes arvesse</w:t>
      </w:r>
      <w:r w:rsidR="00BB2DCE">
        <w:rPr>
          <w:rFonts w:cs="Times New Roman"/>
          <w:bCs/>
          <w:szCs w:val="24"/>
        </w:rPr>
        <w:t xml:space="preserve"> käesoleva otsuse koostamise ajal 5G mobiilivõrgu baasil masstootena pakutavate standardsete internetiühenduste </w:t>
      </w:r>
      <w:r w:rsidR="00A30AA1">
        <w:rPr>
          <w:rFonts w:cs="Times New Roman"/>
          <w:bCs/>
          <w:szCs w:val="24"/>
        </w:rPr>
        <w:t>kvaliteeti, puuduvad sümmeetrilised kiirused ja väga suure läbilaskevõimega (</w:t>
      </w:r>
      <w:r w:rsidR="00905D33">
        <w:rPr>
          <w:rFonts w:cs="Times New Roman"/>
          <w:bCs/>
          <w:szCs w:val="24"/>
        </w:rPr>
        <w:t xml:space="preserve">=&gt; 1000 Mbit/s) </w:t>
      </w:r>
      <w:r w:rsidR="00A30AA1">
        <w:rPr>
          <w:rFonts w:cs="Times New Roman"/>
          <w:bCs/>
          <w:szCs w:val="24"/>
        </w:rPr>
        <w:t>ühendused</w:t>
      </w:r>
      <w:r w:rsidR="00905D33">
        <w:rPr>
          <w:rFonts w:cs="Times New Roman"/>
          <w:bCs/>
          <w:szCs w:val="24"/>
        </w:rPr>
        <w:t xml:space="preserve">, ei pea TTJA põhjendatuks </w:t>
      </w:r>
      <w:r w:rsidR="0082070C">
        <w:rPr>
          <w:rFonts w:cs="Times New Roman"/>
          <w:bCs/>
          <w:szCs w:val="24"/>
        </w:rPr>
        <w:t xml:space="preserve">käsitleda 5G mobiilivõrgu internetiühendusi asendustootena valguskaablivõrgu </w:t>
      </w:r>
      <w:r w:rsidR="00B9218A">
        <w:rPr>
          <w:rFonts w:cs="Times New Roman"/>
          <w:bCs/>
          <w:szCs w:val="24"/>
        </w:rPr>
        <w:t xml:space="preserve">internetiühendustele. </w:t>
      </w:r>
      <w:r w:rsidR="00CB5175">
        <w:rPr>
          <w:rFonts w:cs="Times New Roman"/>
          <w:bCs/>
          <w:szCs w:val="24"/>
        </w:rPr>
        <w:t xml:space="preserve">Võttes arvesse tehnoloogiate kiiret arengut ei saa välistada, et </w:t>
      </w:r>
      <w:r w:rsidR="004A223D">
        <w:rPr>
          <w:rFonts w:cs="Times New Roman"/>
          <w:bCs/>
          <w:szCs w:val="24"/>
        </w:rPr>
        <w:t xml:space="preserve">järgmisel turuanalüüsil on olukord muutunud ja 5G mobiilivõrgu teenused suudavad pakkuda piisavat asendust valguskaablivõrgu teenustele, kuid </w:t>
      </w:r>
      <w:r w:rsidR="00A014C8">
        <w:rPr>
          <w:rFonts w:cs="Times New Roman"/>
          <w:bCs/>
          <w:szCs w:val="24"/>
        </w:rPr>
        <w:t>käesoleval ajal puuduvad selleks piisava</w:t>
      </w:r>
      <w:r w:rsidR="00754668">
        <w:rPr>
          <w:rFonts w:cs="Times New Roman"/>
          <w:bCs/>
          <w:szCs w:val="24"/>
        </w:rPr>
        <w:t>lt usaldusväärsed</w:t>
      </w:r>
      <w:r w:rsidR="00E26C40">
        <w:rPr>
          <w:rFonts w:cs="Times New Roman"/>
          <w:bCs/>
          <w:szCs w:val="24"/>
        </w:rPr>
        <w:t xml:space="preserve"> ja põhjendatud</w:t>
      </w:r>
      <w:r w:rsidR="00A014C8">
        <w:rPr>
          <w:rFonts w:cs="Times New Roman"/>
          <w:bCs/>
          <w:szCs w:val="24"/>
        </w:rPr>
        <w:t xml:space="preserve"> tõendid</w:t>
      </w:r>
      <w:r w:rsidR="00E26C40">
        <w:rPr>
          <w:rFonts w:cs="Times New Roman"/>
          <w:bCs/>
          <w:szCs w:val="24"/>
        </w:rPr>
        <w:t>.</w:t>
      </w:r>
    </w:p>
    <w:p w14:paraId="3BEEFEC8" w14:textId="0A26564E" w:rsidR="007218E0" w:rsidRPr="003E0184" w:rsidRDefault="00E56071" w:rsidP="007218E0">
      <w:pPr>
        <w:pStyle w:val="Pealkiri1"/>
      </w:pPr>
      <w:bookmarkStart w:id="9" w:name="_Toc182488024"/>
      <w:r>
        <w:lastRenderedPageBreak/>
        <w:t>Kohustuste rakendamise tähtajad</w:t>
      </w:r>
      <w:bookmarkEnd w:id="9"/>
    </w:p>
    <w:p w14:paraId="5AB104DD" w14:textId="77777777" w:rsidR="007218E0" w:rsidRDefault="007218E0" w:rsidP="007218E0">
      <w:pPr>
        <w:jc w:val="both"/>
        <w:rPr>
          <w:rFonts w:cs="Times New Roman"/>
          <w:bCs/>
          <w:szCs w:val="24"/>
        </w:rPr>
      </w:pPr>
    </w:p>
    <w:p w14:paraId="541473B1" w14:textId="77777777" w:rsidR="007218E0" w:rsidRDefault="007218E0" w:rsidP="007218E0">
      <w:pPr>
        <w:pStyle w:val="Pealkiri2"/>
      </w:pPr>
      <w:bookmarkStart w:id="10" w:name="_Toc182488025"/>
      <w:r>
        <w:t>Telia</w:t>
      </w:r>
      <w:bookmarkEnd w:id="10"/>
    </w:p>
    <w:p w14:paraId="2FA72C3C" w14:textId="77777777" w:rsidR="007218E0" w:rsidRDefault="007218E0" w:rsidP="007218E0">
      <w:pPr>
        <w:jc w:val="both"/>
        <w:rPr>
          <w:rFonts w:cs="Times New Roman"/>
          <w:bCs/>
          <w:szCs w:val="24"/>
        </w:rPr>
      </w:pPr>
    </w:p>
    <w:p w14:paraId="3B58D8F5" w14:textId="77777777" w:rsidR="007218E0" w:rsidRDefault="007218E0" w:rsidP="007218E0">
      <w:pPr>
        <w:jc w:val="both"/>
        <w:rPr>
          <w:rFonts w:cs="Times New Roman"/>
          <w:bCs/>
          <w:szCs w:val="24"/>
        </w:rPr>
      </w:pPr>
      <w:r>
        <w:rPr>
          <w:rFonts w:cs="Times New Roman"/>
          <w:bCs/>
          <w:szCs w:val="24"/>
        </w:rPr>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579C7963" w14:textId="1B1CB3C3" w:rsidR="003B33D9" w:rsidRDefault="003B33D9" w:rsidP="00FF59AC">
      <w:pPr>
        <w:jc w:val="both"/>
        <w:rPr>
          <w:rFonts w:cs="Times New Roman"/>
          <w:bCs/>
          <w:i/>
          <w:iCs/>
          <w:szCs w:val="24"/>
        </w:rPr>
      </w:pPr>
      <w:r w:rsidRPr="003B33D9">
        <w:rPr>
          <w:rFonts w:cs="Times New Roman"/>
          <w:bCs/>
          <w:i/>
          <w:iCs/>
          <w:szCs w:val="24"/>
        </w:rPr>
        <w:t>2.2.</w:t>
      </w:r>
      <w:r w:rsidRPr="003B33D9">
        <w:rPr>
          <w:rFonts w:cs="Times New Roman"/>
          <w:bCs/>
          <w:i/>
          <w:iCs/>
          <w:szCs w:val="24"/>
        </w:rPr>
        <w:tab/>
        <w:t>Tulemusnäitajad, teenustaseme kokkulepped ja garantiid</w:t>
      </w:r>
    </w:p>
    <w:p w14:paraId="1D958ECD" w14:textId="3A2C7BF7" w:rsidR="00EF0869" w:rsidRDefault="003C5073" w:rsidP="00FF59AC">
      <w:pPr>
        <w:jc w:val="both"/>
        <w:rPr>
          <w:rFonts w:cs="Times New Roman"/>
          <w:bCs/>
          <w:i/>
          <w:iCs/>
          <w:szCs w:val="24"/>
        </w:rPr>
      </w:pPr>
      <w:r w:rsidRPr="00800CD5">
        <w:rPr>
          <w:rFonts w:cs="Times New Roman"/>
          <w:bCs/>
          <w:i/>
          <w:iCs/>
          <w:szCs w:val="24"/>
        </w:rPr>
        <w:t xml:space="preserve">Turuotsuse kavandi lisaks 1 oleva analüüsidokumendi p 7.4.10 mittediskrimineerimise nõuete kehtestamisel näeb Telia peamise probleemina tähtaega, mille jooksul peavad olema välja töötatud uute kohustuste kehtestamisega kaasnevad meetodid tulemusnäitajate kogumiseks, täiendavad teenustaseme kokkulepped ja garantiid. Peame vajalikuks vastava tähtaja pikendamist (konkreetne ettepanek on esitatud kirja punktis 2.4).   </w:t>
      </w:r>
    </w:p>
    <w:p w14:paraId="1BCDC454" w14:textId="77777777" w:rsidR="002E7522" w:rsidRPr="002E7522" w:rsidRDefault="002E7522" w:rsidP="002E7522">
      <w:pPr>
        <w:jc w:val="both"/>
        <w:rPr>
          <w:rFonts w:cs="Times New Roman"/>
          <w:bCs/>
          <w:i/>
          <w:iCs/>
          <w:szCs w:val="24"/>
        </w:rPr>
      </w:pPr>
      <w:r w:rsidRPr="002E7522">
        <w:rPr>
          <w:rFonts w:cs="Times New Roman"/>
          <w:bCs/>
          <w:i/>
          <w:iCs/>
          <w:szCs w:val="24"/>
        </w:rPr>
        <w:t>2.4.</w:t>
      </w:r>
      <w:r w:rsidRPr="002E7522">
        <w:rPr>
          <w:rFonts w:cs="Times New Roman"/>
          <w:bCs/>
          <w:i/>
          <w:iCs/>
          <w:szCs w:val="24"/>
        </w:rPr>
        <w:tab/>
        <w:t xml:space="preserve">Uute kohustustega seotud tähtajad  </w:t>
      </w:r>
    </w:p>
    <w:p w14:paraId="308C3327" w14:textId="332E5676" w:rsidR="002E7522" w:rsidRPr="002E7522" w:rsidRDefault="002E7522" w:rsidP="002E7522">
      <w:pPr>
        <w:jc w:val="both"/>
        <w:rPr>
          <w:rFonts w:cs="Times New Roman"/>
          <w:bCs/>
          <w:i/>
          <w:iCs/>
          <w:szCs w:val="24"/>
        </w:rPr>
      </w:pPr>
      <w:r w:rsidRPr="002E7522">
        <w:rPr>
          <w:rFonts w:cs="Times New Roman"/>
          <w:bCs/>
          <w:i/>
          <w:iCs/>
          <w:szCs w:val="24"/>
        </w:rPr>
        <w:t xml:space="preserve"> Mitmed uued kavandatavad kohustused, sh VULA, näidispakkumiste uuendamine, tulemusnäitajate meetodi ja garantiide kirjeldus, nõuavad täiendavaid tegevusi, uusi teenusetingimusi, sh IT arendusi ning on kokkuvõttes Telia jaoks koormavad ja väga mahukad.  </w:t>
      </w:r>
    </w:p>
    <w:p w14:paraId="5F86C6DE" w14:textId="4369CFD0" w:rsidR="002E7522" w:rsidRPr="002E7522" w:rsidRDefault="002E7522" w:rsidP="002E7522">
      <w:pPr>
        <w:jc w:val="both"/>
        <w:rPr>
          <w:rFonts w:cs="Times New Roman"/>
          <w:bCs/>
          <w:i/>
          <w:iCs/>
          <w:szCs w:val="24"/>
        </w:rPr>
      </w:pPr>
      <w:r w:rsidRPr="002E7522">
        <w:rPr>
          <w:rFonts w:cs="Times New Roman"/>
          <w:bCs/>
          <w:i/>
          <w:iCs/>
          <w:szCs w:val="24"/>
        </w:rPr>
        <w:t xml:space="preserve"> Turuotsuse kavandi kohaselt tuleks kohustatud ettevõtjal  asuda kõiki  vastavaid muudatusi teostama väga lühikeses ajaraamistikus ja samaaegselt. Sealhulgas on vajalik suure osa kohustuste täitmiseks muuta protsesse ja töökorraldust, luua /muuta teenusega seotud dokumentatsiooni ning teha hulgaliselt IT arendusi.  </w:t>
      </w:r>
    </w:p>
    <w:p w14:paraId="129837F1" w14:textId="67974152" w:rsidR="002E7522" w:rsidRPr="002E7522" w:rsidRDefault="002E7522" w:rsidP="002E7522">
      <w:pPr>
        <w:jc w:val="both"/>
        <w:rPr>
          <w:rFonts w:cs="Times New Roman"/>
          <w:bCs/>
          <w:i/>
          <w:iCs/>
          <w:szCs w:val="24"/>
        </w:rPr>
      </w:pPr>
      <w:r w:rsidRPr="002E7522">
        <w:rPr>
          <w:rFonts w:cs="Times New Roman"/>
          <w:bCs/>
          <w:i/>
          <w:iCs/>
          <w:szCs w:val="24"/>
        </w:rPr>
        <w:t xml:space="preserve"> Seega on Telia ettepanek pikendada turuotsuse kavandi punktides 7.7 ja 8.7 kavandatavaid tähtaegasid vähemalt otsuse vastu võtmise kalendripäevale järgneva viienda kuu 1. kalendripäevani  </w:t>
      </w:r>
    </w:p>
    <w:p w14:paraId="476C0189" w14:textId="4E5A09ED" w:rsidR="002E7522" w:rsidRPr="00800CD5" w:rsidRDefault="002E7522" w:rsidP="002E7522">
      <w:pPr>
        <w:jc w:val="both"/>
        <w:rPr>
          <w:rFonts w:cs="Times New Roman"/>
          <w:bCs/>
          <w:i/>
          <w:iCs/>
          <w:szCs w:val="24"/>
        </w:rPr>
      </w:pPr>
      <w:r w:rsidRPr="002E7522">
        <w:rPr>
          <w:rFonts w:cs="Times New Roman"/>
          <w:bCs/>
          <w:i/>
          <w:iCs/>
          <w:szCs w:val="24"/>
        </w:rPr>
        <w:t xml:space="preserve"> Neid kohustusi,  ning kohustustele, mille täitmine eeldab IT arendusi ja/või uue teenuse loomist (näit VULA, kui vastavat kohustust turuotsusest ei eemaldata), siis peab kohustuses antav tähtaeg olema vähemalt 9 kuud.</w:t>
      </w:r>
    </w:p>
    <w:p w14:paraId="5F61CC51" w14:textId="77777777" w:rsidR="007218E0" w:rsidRDefault="007218E0" w:rsidP="00FF59AC">
      <w:pPr>
        <w:jc w:val="both"/>
        <w:rPr>
          <w:rFonts w:cs="Times New Roman"/>
          <w:bCs/>
          <w:szCs w:val="24"/>
        </w:rPr>
      </w:pPr>
    </w:p>
    <w:p w14:paraId="443B4AA7" w14:textId="3B3D0C49" w:rsidR="00800CD5" w:rsidRDefault="005E62AF" w:rsidP="00B174A8">
      <w:pPr>
        <w:pStyle w:val="Pealkiri2"/>
      </w:pPr>
      <w:bookmarkStart w:id="11" w:name="_Toc182488026"/>
      <w:r>
        <w:t>TTJA</w:t>
      </w:r>
      <w:bookmarkEnd w:id="11"/>
      <w:r>
        <w:t xml:space="preserve"> </w:t>
      </w:r>
    </w:p>
    <w:p w14:paraId="4B9F32D9" w14:textId="77777777" w:rsidR="00B174A8" w:rsidRDefault="00B174A8" w:rsidP="00FF59AC">
      <w:pPr>
        <w:jc w:val="both"/>
        <w:rPr>
          <w:rFonts w:cs="Times New Roman"/>
          <w:bCs/>
          <w:szCs w:val="24"/>
        </w:rPr>
      </w:pPr>
    </w:p>
    <w:p w14:paraId="34F84724" w14:textId="2700252F" w:rsidR="005E62AF" w:rsidRDefault="005E62AF" w:rsidP="00FF59AC">
      <w:pPr>
        <w:jc w:val="both"/>
        <w:rPr>
          <w:rFonts w:cs="Times New Roman"/>
          <w:bCs/>
          <w:szCs w:val="24"/>
        </w:rPr>
      </w:pPr>
      <w:r>
        <w:rPr>
          <w:rFonts w:cs="Times New Roman"/>
          <w:bCs/>
          <w:szCs w:val="24"/>
        </w:rPr>
        <w:t xml:space="preserve">TTJA peab Telia </w:t>
      </w:r>
      <w:r w:rsidR="00265CF2">
        <w:rPr>
          <w:rFonts w:cs="Times New Roman"/>
          <w:bCs/>
          <w:szCs w:val="24"/>
        </w:rPr>
        <w:t xml:space="preserve">ettepanekut tähtaegade pikendamise osas põhjendatuks ja pikendab neid vastavalt. </w:t>
      </w:r>
    </w:p>
    <w:p w14:paraId="521C28B0" w14:textId="77777777" w:rsidR="00B174A8" w:rsidRDefault="00B174A8" w:rsidP="00FF59AC">
      <w:pPr>
        <w:jc w:val="both"/>
        <w:rPr>
          <w:rFonts w:cs="Times New Roman"/>
          <w:bCs/>
          <w:szCs w:val="24"/>
        </w:rPr>
      </w:pPr>
    </w:p>
    <w:p w14:paraId="5A39F41B" w14:textId="5F1E4B8A" w:rsidR="00F1620A" w:rsidRPr="003E0184" w:rsidRDefault="00F4188E" w:rsidP="00F1620A">
      <w:pPr>
        <w:pStyle w:val="Pealkiri1"/>
      </w:pPr>
      <w:bookmarkStart w:id="12" w:name="_Toc182488027"/>
      <w:r>
        <w:t>Remondi kõrvaldamise tarkvarasüsteemile juurdepääs</w:t>
      </w:r>
      <w:bookmarkEnd w:id="12"/>
    </w:p>
    <w:p w14:paraId="7C56A07F" w14:textId="77777777" w:rsidR="00F1620A" w:rsidRDefault="00F1620A" w:rsidP="00F1620A">
      <w:pPr>
        <w:jc w:val="both"/>
        <w:rPr>
          <w:rFonts w:cs="Times New Roman"/>
          <w:bCs/>
          <w:szCs w:val="24"/>
        </w:rPr>
      </w:pPr>
    </w:p>
    <w:p w14:paraId="22582F89" w14:textId="77777777" w:rsidR="00F1620A" w:rsidRDefault="00F1620A" w:rsidP="00F1620A">
      <w:pPr>
        <w:pStyle w:val="Pealkiri2"/>
      </w:pPr>
      <w:bookmarkStart w:id="13" w:name="_Toc182488028"/>
      <w:r>
        <w:t>Telia</w:t>
      </w:r>
      <w:bookmarkEnd w:id="13"/>
    </w:p>
    <w:p w14:paraId="2C2456F0" w14:textId="77777777" w:rsidR="00F1620A" w:rsidRDefault="00F1620A" w:rsidP="00F1620A">
      <w:pPr>
        <w:jc w:val="both"/>
        <w:rPr>
          <w:rFonts w:cs="Times New Roman"/>
          <w:bCs/>
          <w:szCs w:val="24"/>
        </w:rPr>
      </w:pPr>
    </w:p>
    <w:p w14:paraId="0928098F" w14:textId="77777777" w:rsidR="00F1620A" w:rsidRDefault="00F1620A" w:rsidP="00F1620A">
      <w:pPr>
        <w:jc w:val="both"/>
        <w:rPr>
          <w:rFonts w:cs="Times New Roman"/>
          <w:bCs/>
          <w:szCs w:val="24"/>
        </w:rPr>
      </w:pPr>
      <w:r>
        <w:rPr>
          <w:rFonts w:cs="Times New Roman"/>
          <w:bCs/>
          <w:szCs w:val="24"/>
        </w:rPr>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79FAEC99" w14:textId="77777777" w:rsidR="00E12AC8" w:rsidRPr="00E12AC8" w:rsidRDefault="00E12AC8" w:rsidP="00E12AC8">
      <w:pPr>
        <w:jc w:val="both"/>
        <w:rPr>
          <w:rFonts w:cs="Times New Roman"/>
          <w:bCs/>
          <w:i/>
          <w:iCs/>
          <w:szCs w:val="24"/>
        </w:rPr>
      </w:pPr>
      <w:r w:rsidRPr="00E12AC8">
        <w:rPr>
          <w:rFonts w:cs="Times New Roman"/>
          <w:bCs/>
          <w:i/>
          <w:iCs/>
          <w:szCs w:val="24"/>
        </w:rPr>
        <w:t>2.3.</w:t>
      </w:r>
      <w:r w:rsidRPr="00E12AC8">
        <w:rPr>
          <w:rFonts w:cs="Times New Roman"/>
          <w:bCs/>
          <w:i/>
          <w:iCs/>
          <w:szCs w:val="24"/>
        </w:rPr>
        <w:tab/>
        <w:t xml:space="preserve">Juurdepääsukohustus hoolduse, remondi ja rikete kõrvaldamise tarkvarasüsteemile </w:t>
      </w:r>
    </w:p>
    <w:p w14:paraId="6546A58B" w14:textId="1D0DE601" w:rsidR="00E12AC8" w:rsidRPr="00E12AC8" w:rsidRDefault="00E12AC8" w:rsidP="00E12AC8">
      <w:pPr>
        <w:jc w:val="both"/>
        <w:rPr>
          <w:rFonts w:cs="Times New Roman"/>
          <w:bCs/>
          <w:i/>
          <w:iCs/>
          <w:szCs w:val="24"/>
        </w:rPr>
      </w:pPr>
      <w:r w:rsidRPr="00E12AC8">
        <w:rPr>
          <w:rFonts w:cs="Times New Roman"/>
          <w:bCs/>
          <w:i/>
          <w:iCs/>
          <w:szCs w:val="24"/>
        </w:rPr>
        <w:lastRenderedPageBreak/>
        <w:t xml:space="preserve"> Turuotsuse kavandi lisa 1 analüüsidokumendis (p 8.3.5.) on varasemalt kehtinud kohustust täiendatud uute kohustustega, näiteks on punkti 5 täiendatud  rikete kõrvaldamise tarkvarasüsteemidele juurdepääsu võimaldamise kohustusega. </w:t>
      </w:r>
    </w:p>
    <w:p w14:paraId="6249A9E6" w14:textId="77777777" w:rsidR="00E12AC8" w:rsidRPr="00E12AC8" w:rsidRDefault="00E12AC8" w:rsidP="00E12AC8">
      <w:pPr>
        <w:jc w:val="both"/>
        <w:rPr>
          <w:rFonts w:cs="Times New Roman"/>
          <w:bCs/>
          <w:i/>
          <w:iCs/>
          <w:szCs w:val="24"/>
        </w:rPr>
      </w:pPr>
      <w:r w:rsidRPr="00E12AC8">
        <w:rPr>
          <w:rFonts w:cs="Times New Roman"/>
          <w:bCs/>
          <w:i/>
          <w:iCs/>
          <w:szCs w:val="24"/>
        </w:rPr>
        <w:t xml:space="preserve">Leiame, et täiendavalt lisatud kohustus tuleks turuotsuse kavandist (p 8.3.5. p 5)) eemaldada, sest vajalikud tugisüsteemid ja tarkvarasüsteemid on juba kohustuses nimetatud ning Telial ei ole rikete kõrvaldamiseks eraldiseisvat tarkvarasüsteemi.  </w:t>
      </w:r>
    </w:p>
    <w:p w14:paraId="68693416" w14:textId="3D18E5C4" w:rsidR="00B174A8" w:rsidRPr="00E12AC8" w:rsidRDefault="00E12AC8" w:rsidP="00E12AC8">
      <w:pPr>
        <w:jc w:val="both"/>
        <w:rPr>
          <w:rFonts w:cs="Times New Roman"/>
          <w:bCs/>
          <w:i/>
          <w:iCs/>
          <w:szCs w:val="24"/>
        </w:rPr>
      </w:pPr>
      <w:r w:rsidRPr="00E12AC8">
        <w:rPr>
          <w:rFonts w:cs="Times New Roman"/>
          <w:bCs/>
          <w:i/>
          <w:iCs/>
          <w:szCs w:val="24"/>
        </w:rPr>
        <w:t xml:space="preserve"> Selgitame, et Telial puuduvad sellised tarkvarasüsteemid, mille suhtes soovitakse turuotsuse kavandi p 8.3.5. punkti 5 kohaselt täiendavaid kohustusi kehtestada. Leiame, et selles tulenevalt on sellise kohustuse kehtestamine eksitav ja ebaõigeid ootusi tekitav. Telial on olemas operatiivne rikete teavitamise ja rikete info koordineerimise ja lahendamisele suunamise kanal, milleks on Telia Juhtimiskeskus, kuhu suundub erinevate osapoolte  esitatud rikkeinfo. See on keskne telefoni/e-posti põhine lahendus ja mõeldud kõigile osapooltele. Sinna koondub info ning jagatakse laiali ja suunatakse õigesse kanalisse</w:t>
      </w:r>
    </w:p>
    <w:p w14:paraId="511E30BF" w14:textId="77777777" w:rsidR="00F1620A" w:rsidRDefault="00F1620A" w:rsidP="00FF59AC">
      <w:pPr>
        <w:jc w:val="both"/>
        <w:rPr>
          <w:rFonts w:cs="Times New Roman"/>
          <w:bCs/>
          <w:szCs w:val="24"/>
        </w:rPr>
      </w:pPr>
    </w:p>
    <w:p w14:paraId="10FD20FF" w14:textId="217B5AFE" w:rsidR="00CA2155" w:rsidRDefault="00CA2155" w:rsidP="00F4188E">
      <w:pPr>
        <w:pStyle w:val="Pealkiri2"/>
      </w:pPr>
      <w:bookmarkStart w:id="14" w:name="_Toc182488029"/>
      <w:r w:rsidRPr="00EC0D9C">
        <w:t>TTJA</w:t>
      </w:r>
      <w:bookmarkEnd w:id="14"/>
    </w:p>
    <w:p w14:paraId="44589733" w14:textId="77777777" w:rsidR="0026128F" w:rsidRPr="0026128F" w:rsidRDefault="0026128F" w:rsidP="0026128F"/>
    <w:p w14:paraId="09089F35" w14:textId="2E0FEB04" w:rsidR="00CA2155" w:rsidRDefault="00A33F72" w:rsidP="00FF59AC">
      <w:pPr>
        <w:jc w:val="both"/>
        <w:rPr>
          <w:rFonts w:cs="Times New Roman"/>
          <w:bCs/>
          <w:szCs w:val="24"/>
        </w:rPr>
      </w:pPr>
      <w:r>
        <w:rPr>
          <w:rFonts w:cs="Times New Roman"/>
          <w:bCs/>
          <w:szCs w:val="24"/>
        </w:rPr>
        <w:t xml:space="preserve">TTJA </w:t>
      </w:r>
      <w:r w:rsidR="00A579A4">
        <w:rPr>
          <w:rFonts w:cs="Times New Roman"/>
          <w:bCs/>
          <w:szCs w:val="24"/>
        </w:rPr>
        <w:t xml:space="preserve">konsulteerimis sideettevõtjatega </w:t>
      </w:r>
      <w:r>
        <w:rPr>
          <w:rFonts w:cs="Times New Roman"/>
          <w:bCs/>
          <w:szCs w:val="24"/>
        </w:rPr>
        <w:t xml:space="preserve">ja </w:t>
      </w:r>
      <w:r w:rsidR="005F3197">
        <w:rPr>
          <w:rFonts w:cs="Times New Roman"/>
          <w:bCs/>
          <w:szCs w:val="24"/>
        </w:rPr>
        <w:t>nõustub Teliaga, et rikete kõrvaldamise juurdepääsu kohustus on ülearun</w:t>
      </w:r>
      <w:r w:rsidR="0088767B">
        <w:rPr>
          <w:rFonts w:cs="Times New Roman"/>
          <w:bCs/>
          <w:szCs w:val="24"/>
        </w:rPr>
        <w:t>e</w:t>
      </w:r>
      <w:r w:rsidR="00B8287F">
        <w:rPr>
          <w:rFonts w:cs="Times New Roman"/>
          <w:bCs/>
          <w:szCs w:val="24"/>
        </w:rPr>
        <w:t xml:space="preserve"> ja mittevajalik</w:t>
      </w:r>
      <w:r w:rsidR="00EC0D9C">
        <w:rPr>
          <w:rFonts w:cs="Times New Roman"/>
          <w:bCs/>
          <w:szCs w:val="24"/>
        </w:rPr>
        <w:t xml:space="preserve">. Telial on </w:t>
      </w:r>
      <w:r w:rsidR="00B8287F">
        <w:rPr>
          <w:rFonts w:cs="Times New Roman"/>
          <w:bCs/>
          <w:szCs w:val="24"/>
        </w:rPr>
        <w:t xml:space="preserve">olemas </w:t>
      </w:r>
      <w:r w:rsidR="00904334">
        <w:rPr>
          <w:rFonts w:cs="Times New Roman"/>
          <w:bCs/>
          <w:szCs w:val="24"/>
        </w:rPr>
        <w:t>rikete korraldamiseks tõhus süsteem mis põhineb telefoni ja e-posti lahendustel.</w:t>
      </w:r>
      <w:r w:rsidR="00EC0D9C">
        <w:rPr>
          <w:rFonts w:cs="Times New Roman"/>
          <w:bCs/>
          <w:szCs w:val="24"/>
        </w:rPr>
        <w:t xml:space="preserve"> TTJA eemaldab vastava kohustuse.</w:t>
      </w:r>
    </w:p>
    <w:p w14:paraId="72329649" w14:textId="77777777" w:rsidR="00340372" w:rsidRDefault="00340372" w:rsidP="00FF59AC">
      <w:pPr>
        <w:jc w:val="both"/>
        <w:rPr>
          <w:rFonts w:cs="Times New Roman"/>
          <w:bCs/>
          <w:szCs w:val="24"/>
        </w:rPr>
      </w:pPr>
    </w:p>
    <w:p w14:paraId="23039FBB" w14:textId="6DF569DD" w:rsidR="00EB6759" w:rsidRPr="003E0184" w:rsidRDefault="00885A1B" w:rsidP="00EB6759">
      <w:pPr>
        <w:pStyle w:val="Pealkiri1"/>
      </w:pPr>
      <w:bookmarkStart w:id="15" w:name="_Toc182488030"/>
      <w:r>
        <w:t xml:space="preserve">Telia muud </w:t>
      </w:r>
      <w:r w:rsidR="00E273D8">
        <w:t>ette</w:t>
      </w:r>
      <w:r>
        <w:t>panekud</w:t>
      </w:r>
      <w:bookmarkEnd w:id="15"/>
    </w:p>
    <w:p w14:paraId="5D137E48" w14:textId="77777777" w:rsidR="00EB6759" w:rsidRDefault="00EB6759" w:rsidP="00EB6759">
      <w:pPr>
        <w:jc w:val="both"/>
        <w:rPr>
          <w:rFonts w:cs="Times New Roman"/>
          <w:bCs/>
          <w:szCs w:val="24"/>
        </w:rPr>
      </w:pPr>
    </w:p>
    <w:p w14:paraId="4FE07695" w14:textId="610F667F" w:rsidR="00EB6759" w:rsidRDefault="00EB6759" w:rsidP="00EB6759">
      <w:pPr>
        <w:pStyle w:val="Pealkiri2"/>
      </w:pPr>
      <w:bookmarkStart w:id="16" w:name="_Toc182488031"/>
      <w:r>
        <w:t>Telia</w:t>
      </w:r>
      <w:r w:rsidR="000157F2">
        <w:t xml:space="preserve"> </w:t>
      </w:r>
      <w:r w:rsidR="00821E35">
        <w:t xml:space="preserve">– </w:t>
      </w:r>
      <w:proofErr w:type="spellStart"/>
      <w:r w:rsidR="00821E35">
        <w:t>ADSLx</w:t>
      </w:r>
      <w:proofErr w:type="spellEnd"/>
      <w:r w:rsidR="00821E35">
        <w:t xml:space="preserve"> võrgu asendamine </w:t>
      </w:r>
      <w:proofErr w:type="spellStart"/>
      <w:r w:rsidR="00821E35">
        <w:t>VDSLx</w:t>
      </w:r>
      <w:proofErr w:type="spellEnd"/>
      <w:r w:rsidR="00821E35">
        <w:t xml:space="preserve"> vektoringi võrguga</w:t>
      </w:r>
      <w:bookmarkEnd w:id="16"/>
    </w:p>
    <w:p w14:paraId="71321794" w14:textId="77777777" w:rsidR="00EB6759" w:rsidRDefault="00EB6759" w:rsidP="00EB6759">
      <w:pPr>
        <w:jc w:val="both"/>
        <w:rPr>
          <w:rFonts w:cs="Times New Roman"/>
          <w:bCs/>
          <w:szCs w:val="24"/>
        </w:rPr>
      </w:pPr>
    </w:p>
    <w:p w14:paraId="29BF86B9" w14:textId="77777777" w:rsidR="00EB6759" w:rsidRDefault="00EB6759" w:rsidP="00EB6759">
      <w:pPr>
        <w:jc w:val="both"/>
        <w:rPr>
          <w:rFonts w:cs="Times New Roman"/>
          <w:bCs/>
          <w:szCs w:val="24"/>
        </w:rPr>
      </w:pPr>
      <w:r>
        <w:rPr>
          <w:rFonts w:cs="Times New Roman"/>
          <w:bCs/>
          <w:szCs w:val="24"/>
        </w:rPr>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33AFE908" w14:textId="73691596" w:rsidR="00C3573E" w:rsidRDefault="00C3573E" w:rsidP="00C3573E">
      <w:pPr>
        <w:jc w:val="both"/>
        <w:rPr>
          <w:rFonts w:cs="Times New Roman"/>
          <w:bCs/>
          <w:szCs w:val="24"/>
        </w:rPr>
      </w:pPr>
      <w:r w:rsidRPr="00C3573E">
        <w:rPr>
          <w:rFonts w:cs="Times New Roman"/>
          <w:bCs/>
          <w:szCs w:val="24"/>
        </w:rPr>
        <w:t>•</w:t>
      </w:r>
      <w:r w:rsidRPr="00C3573E">
        <w:rPr>
          <w:rFonts w:cs="Times New Roman"/>
          <w:bCs/>
          <w:szCs w:val="24"/>
        </w:rPr>
        <w:tab/>
      </w:r>
      <w:r w:rsidRPr="00D44AFF">
        <w:rPr>
          <w:rFonts w:cs="Times New Roman"/>
          <w:bCs/>
          <w:i/>
          <w:iCs/>
          <w:szCs w:val="24"/>
        </w:rPr>
        <w:t xml:space="preserve">Turuotsuse kavandis (vt  lisa 1 analüüsidokumendi lk.29, p.2.2.3.1, lk. 39, p.2.2.4.9., lk.89. p.5.1.1.3.)  on väljendatud arvamust, nagu asendaks Telia </w:t>
      </w:r>
      <w:proofErr w:type="spellStart"/>
      <w:r w:rsidRPr="00D44AFF">
        <w:rPr>
          <w:rFonts w:cs="Times New Roman"/>
          <w:bCs/>
          <w:i/>
          <w:iCs/>
          <w:szCs w:val="24"/>
        </w:rPr>
        <w:t>ADSLx</w:t>
      </w:r>
      <w:proofErr w:type="spellEnd"/>
      <w:r w:rsidRPr="00D44AFF">
        <w:rPr>
          <w:rFonts w:cs="Times New Roman"/>
          <w:bCs/>
          <w:i/>
          <w:iCs/>
          <w:szCs w:val="24"/>
        </w:rPr>
        <w:t xml:space="preserve"> võrgu </w:t>
      </w:r>
      <w:proofErr w:type="spellStart"/>
      <w:r w:rsidRPr="00D44AFF">
        <w:rPr>
          <w:rFonts w:cs="Times New Roman"/>
          <w:bCs/>
          <w:i/>
          <w:iCs/>
          <w:szCs w:val="24"/>
        </w:rPr>
        <w:t>VDSLx</w:t>
      </w:r>
      <w:proofErr w:type="spellEnd"/>
      <w:r w:rsidRPr="00D44AFF">
        <w:rPr>
          <w:rFonts w:cs="Times New Roman"/>
          <w:bCs/>
          <w:i/>
          <w:iCs/>
          <w:szCs w:val="24"/>
        </w:rPr>
        <w:t xml:space="preserve"> vektoringi võrguga. See  ei ole tänases analüüsidokumendis enam asjakohane ega õige väide. Telia lõpetas 2023.a. vaskvõrgu ja sellel lairiba tehnoloogiate alase arendustegevuse. Telia tänane lairiba arengusuund on valguskaablivõrgu tehnoloogiad ja FWA 4G/5G mobiilivõrgus.</w:t>
      </w:r>
      <w:r w:rsidRPr="00C3573E">
        <w:rPr>
          <w:rFonts w:cs="Times New Roman"/>
          <w:bCs/>
          <w:szCs w:val="24"/>
        </w:rPr>
        <w:t xml:space="preserve"> </w:t>
      </w:r>
    </w:p>
    <w:p w14:paraId="14D673B2" w14:textId="1D6F311B" w:rsidR="00821E35" w:rsidRDefault="00FF5A96" w:rsidP="00FF5A96">
      <w:pPr>
        <w:pStyle w:val="Pealkiri2"/>
      </w:pPr>
      <w:bookmarkStart w:id="17" w:name="_Toc182488032"/>
      <w:r>
        <w:t>TTJA</w:t>
      </w:r>
      <w:bookmarkEnd w:id="17"/>
    </w:p>
    <w:p w14:paraId="3057AECE" w14:textId="77777777" w:rsidR="00FF5A96" w:rsidRDefault="00FF5A96" w:rsidP="00C3573E">
      <w:pPr>
        <w:jc w:val="both"/>
        <w:rPr>
          <w:rFonts w:cs="Times New Roman"/>
          <w:bCs/>
          <w:szCs w:val="24"/>
        </w:rPr>
      </w:pPr>
    </w:p>
    <w:p w14:paraId="5837539F" w14:textId="2B898369" w:rsidR="00FF5A96" w:rsidRDefault="004E17D0" w:rsidP="00C3573E">
      <w:pPr>
        <w:jc w:val="both"/>
        <w:rPr>
          <w:rFonts w:cs="Times New Roman"/>
          <w:bCs/>
          <w:szCs w:val="24"/>
        </w:rPr>
      </w:pPr>
      <w:r>
        <w:rPr>
          <w:rFonts w:cs="Times New Roman"/>
          <w:bCs/>
          <w:szCs w:val="24"/>
        </w:rPr>
        <w:t xml:space="preserve">TTJA </w:t>
      </w:r>
      <w:r w:rsidR="00BB3608">
        <w:rPr>
          <w:rFonts w:cs="Times New Roman"/>
          <w:bCs/>
          <w:szCs w:val="24"/>
        </w:rPr>
        <w:t xml:space="preserve">täiendab turu analüüsi vajadusel, kuid enamus viidatud kohtades on juba </w:t>
      </w:r>
      <w:r w:rsidR="00A071D7">
        <w:rPr>
          <w:rFonts w:cs="Times New Roman"/>
          <w:bCs/>
          <w:szCs w:val="24"/>
        </w:rPr>
        <w:t>viid</w:t>
      </w:r>
      <w:r w:rsidR="00100402">
        <w:rPr>
          <w:rFonts w:cs="Times New Roman"/>
          <w:bCs/>
          <w:szCs w:val="24"/>
        </w:rPr>
        <w:t>a</w:t>
      </w:r>
      <w:r w:rsidR="00A071D7">
        <w:rPr>
          <w:rFonts w:cs="Times New Roman"/>
          <w:bCs/>
          <w:szCs w:val="24"/>
        </w:rPr>
        <w:t>tud et tu</w:t>
      </w:r>
      <w:r w:rsidR="00100402">
        <w:rPr>
          <w:rFonts w:cs="Times New Roman"/>
          <w:bCs/>
          <w:szCs w:val="24"/>
        </w:rPr>
        <w:t xml:space="preserve">levikus </w:t>
      </w:r>
      <w:r w:rsidR="003968F2">
        <w:rPr>
          <w:rFonts w:cs="Times New Roman"/>
          <w:bCs/>
          <w:szCs w:val="24"/>
        </w:rPr>
        <w:t>asenda</w:t>
      </w:r>
      <w:r w:rsidR="00D40FF6">
        <w:rPr>
          <w:rFonts w:cs="Times New Roman"/>
          <w:bCs/>
          <w:szCs w:val="24"/>
        </w:rPr>
        <w:t>b</w:t>
      </w:r>
      <w:r w:rsidR="003968F2">
        <w:rPr>
          <w:rFonts w:cs="Times New Roman"/>
          <w:bCs/>
          <w:szCs w:val="24"/>
        </w:rPr>
        <w:t xml:space="preserve"> vana vaskpaar ja </w:t>
      </w:r>
      <w:r w:rsidR="00FD00B8">
        <w:rPr>
          <w:rFonts w:cs="Times New Roman"/>
          <w:bCs/>
          <w:szCs w:val="24"/>
        </w:rPr>
        <w:t>VDSL2 vektoring võrku</w:t>
      </w:r>
      <w:r w:rsidR="00FA7204">
        <w:rPr>
          <w:rFonts w:cs="Times New Roman"/>
          <w:bCs/>
          <w:szCs w:val="24"/>
        </w:rPr>
        <w:t xml:space="preserve"> mobiilside või valgus</w:t>
      </w:r>
      <w:r w:rsidR="005470DF">
        <w:rPr>
          <w:rFonts w:cs="Times New Roman"/>
          <w:bCs/>
          <w:szCs w:val="24"/>
        </w:rPr>
        <w:t>kaabe lahendused.</w:t>
      </w:r>
      <w:r w:rsidR="00FD00B8">
        <w:rPr>
          <w:rFonts w:cs="Times New Roman"/>
          <w:bCs/>
          <w:szCs w:val="24"/>
        </w:rPr>
        <w:t xml:space="preserve">  </w:t>
      </w:r>
    </w:p>
    <w:p w14:paraId="4CB683F3" w14:textId="77777777" w:rsidR="00821E35" w:rsidRDefault="00821E35" w:rsidP="00C3573E">
      <w:pPr>
        <w:jc w:val="both"/>
        <w:rPr>
          <w:rFonts w:cs="Times New Roman"/>
          <w:bCs/>
          <w:szCs w:val="24"/>
        </w:rPr>
      </w:pPr>
    </w:p>
    <w:p w14:paraId="4F14CB44" w14:textId="3C9FC073" w:rsidR="0053046B" w:rsidRDefault="0053046B" w:rsidP="0053046B">
      <w:pPr>
        <w:pStyle w:val="Pealkiri2"/>
      </w:pPr>
      <w:bookmarkStart w:id="18" w:name="_Toc182488033"/>
      <w:r>
        <w:t xml:space="preserve">Telia – </w:t>
      </w:r>
      <w:r w:rsidR="0090277B">
        <w:t>Kavandi joonisel i</w:t>
      </w:r>
      <w:r w:rsidR="008A465B">
        <w:t xml:space="preserve">nternetiühenduste </w:t>
      </w:r>
      <w:r w:rsidR="0090277B">
        <w:t xml:space="preserve">kuutasude </w:t>
      </w:r>
      <w:r w:rsidR="00BF30D9">
        <w:t>täpsustamine</w:t>
      </w:r>
      <w:bookmarkEnd w:id="18"/>
    </w:p>
    <w:p w14:paraId="07A57C0F" w14:textId="77777777" w:rsidR="00D44AFF" w:rsidRDefault="00D44AFF" w:rsidP="00D44AFF"/>
    <w:p w14:paraId="06E7F60F" w14:textId="77777777" w:rsidR="00D44AFF" w:rsidRDefault="00D44AFF" w:rsidP="00D44AFF">
      <w:pPr>
        <w:jc w:val="both"/>
        <w:rPr>
          <w:rFonts w:cs="Times New Roman"/>
          <w:bCs/>
          <w:szCs w:val="24"/>
        </w:rPr>
      </w:pPr>
      <w:r>
        <w:rPr>
          <w:rFonts w:cs="Times New Roman"/>
          <w:bCs/>
          <w:szCs w:val="24"/>
        </w:rPr>
        <w:lastRenderedPageBreak/>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5B0FC43B" w14:textId="77777777" w:rsidR="00D44AFF" w:rsidRPr="00D44AFF" w:rsidRDefault="00D44AFF" w:rsidP="00D44AFF"/>
    <w:p w14:paraId="4D042287" w14:textId="65A3C33B" w:rsidR="00C3573E" w:rsidRDefault="00C3573E" w:rsidP="00C3573E">
      <w:pPr>
        <w:jc w:val="both"/>
        <w:rPr>
          <w:rFonts w:cs="Times New Roman"/>
          <w:bCs/>
          <w:szCs w:val="24"/>
        </w:rPr>
      </w:pPr>
      <w:r w:rsidRPr="00C3573E">
        <w:rPr>
          <w:rFonts w:cs="Times New Roman"/>
          <w:bCs/>
          <w:szCs w:val="24"/>
        </w:rPr>
        <w:t>•</w:t>
      </w:r>
      <w:r w:rsidRPr="00D44AFF">
        <w:rPr>
          <w:rFonts w:cs="Times New Roman"/>
          <w:bCs/>
          <w:i/>
          <w:iCs/>
          <w:szCs w:val="24"/>
        </w:rPr>
        <w:tab/>
        <w:t>Turuotsuse kavandi lisa 1 analüüsidokumendi Joonis 11 (lk 45) on kiiruste 300-500 Mbit/s juures on märgitud kogemata hoopis Telia 1 Gbit/s hind, mitte aga 300-500 Mbit/s hind. Telia erakliendi 300 Mbit/s kehtiv hind on 29.16 EUR (+ KM) ja 500Mbit/s õige hind on 35 €+KM, mitte 73€ nagu joonisel 11 näidatud on.</w:t>
      </w:r>
      <w:r w:rsidRPr="00C3573E">
        <w:rPr>
          <w:rFonts w:cs="Times New Roman"/>
          <w:bCs/>
          <w:szCs w:val="24"/>
        </w:rPr>
        <w:t xml:space="preserve">  </w:t>
      </w:r>
    </w:p>
    <w:p w14:paraId="037929DB" w14:textId="77777777" w:rsidR="00D44AFF" w:rsidRDefault="00D44AFF" w:rsidP="00C3573E">
      <w:pPr>
        <w:jc w:val="both"/>
        <w:rPr>
          <w:rFonts w:cs="Times New Roman"/>
          <w:bCs/>
          <w:szCs w:val="24"/>
        </w:rPr>
      </w:pPr>
    </w:p>
    <w:p w14:paraId="327067EF" w14:textId="77777777" w:rsidR="004C074B" w:rsidRDefault="004C074B" w:rsidP="004C074B">
      <w:pPr>
        <w:pStyle w:val="Pealkiri2"/>
      </w:pPr>
      <w:bookmarkStart w:id="19" w:name="_Toc182488034"/>
      <w:r>
        <w:t>TTJA</w:t>
      </w:r>
      <w:bookmarkEnd w:id="19"/>
    </w:p>
    <w:p w14:paraId="5EAD1E4D" w14:textId="77777777" w:rsidR="004C074B" w:rsidRDefault="004C074B" w:rsidP="00C3573E">
      <w:pPr>
        <w:jc w:val="both"/>
        <w:rPr>
          <w:rFonts w:cs="Times New Roman"/>
          <w:bCs/>
          <w:szCs w:val="24"/>
        </w:rPr>
      </w:pPr>
    </w:p>
    <w:p w14:paraId="504F1E2D" w14:textId="36254E77" w:rsidR="004C074B" w:rsidRDefault="004C074B" w:rsidP="00C3573E">
      <w:pPr>
        <w:jc w:val="both"/>
        <w:rPr>
          <w:rFonts w:cs="Times New Roman"/>
          <w:bCs/>
          <w:szCs w:val="24"/>
        </w:rPr>
      </w:pPr>
      <w:r>
        <w:rPr>
          <w:rFonts w:cs="Times New Roman"/>
          <w:bCs/>
          <w:szCs w:val="24"/>
        </w:rPr>
        <w:t xml:space="preserve">TTJA </w:t>
      </w:r>
      <w:r w:rsidR="00E85655">
        <w:rPr>
          <w:rFonts w:cs="Times New Roman"/>
          <w:bCs/>
          <w:szCs w:val="24"/>
        </w:rPr>
        <w:t>parandas joonis</w:t>
      </w:r>
      <w:r w:rsidR="004F6621">
        <w:rPr>
          <w:rFonts w:cs="Times New Roman"/>
          <w:bCs/>
          <w:szCs w:val="24"/>
        </w:rPr>
        <w:t>el</w:t>
      </w:r>
      <w:r w:rsidR="00E85655">
        <w:rPr>
          <w:rFonts w:cs="Times New Roman"/>
          <w:bCs/>
          <w:szCs w:val="24"/>
        </w:rPr>
        <w:t xml:space="preserve"> 11 </w:t>
      </w:r>
      <w:r w:rsidR="004F6621">
        <w:rPr>
          <w:rFonts w:cs="Times New Roman"/>
          <w:bCs/>
          <w:szCs w:val="24"/>
        </w:rPr>
        <w:t>Telia viidatud ebatäpsused.</w:t>
      </w:r>
    </w:p>
    <w:p w14:paraId="6D8CF0DD" w14:textId="77777777" w:rsidR="00016C94" w:rsidRDefault="00016C94" w:rsidP="00C3573E">
      <w:pPr>
        <w:jc w:val="both"/>
        <w:rPr>
          <w:rFonts w:cs="Times New Roman"/>
          <w:bCs/>
          <w:szCs w:val="24"/>
        </w:rPr>
      </w:pPr>
    </w:p>
    <w:p w14:paraId="4990D810" w14:textId="77777777" w:rsidR="0054651C" w:rsidRDefault="0054651C" w:rsidP="0054651C">
      <w:pPr>
        <w:pStyle w:val="Pealkiri2"/>
      </w:pPr>
      <w:bookmarkStart w:id="20" w:name="_Toc182488035"/>
      <w:r>
        <w:t>Telia – Kavandi joonisel internetiühenduste kuutasude täpsustamine</w:t>
      </w:r>
      <w:bookmarkEnd w:id="20"/>
    </w:p>
    <w:p w14:paraId="54BDAD76" w14:textId="77777777" w:rsidR="0054651C" w:rsidRDefault="0054651C" w:rsidP="0054651C"/>
    <w:p w14:paraId="0BB464EF" w14:textId="77777777" w:rsidR="0054651C" w:rsidRDefault="0054651C" w:rsidP="0054651C">
      <w:pPr>
        <w:jc w:val="both"/>
        <w:rPr>
          <w:rFonts w:cs="Times New Roman"/>
          <w:bCs/>
          <w:szCs w:val="24"/>
        </w:rPr>
      </w:pPr>
      <w:r>
        <w:rPr>
          <w:rFonts w:cs="Times New Roman"/>
          <w:bCs/>
          <w:szCs w:val="24"/>
        </w:rPr>
        <w:t>Telia</w:t>
      </w:r>
      <w:r w:rsidRPr="00CF5799">
        <w:rPr>
          <w:rFonts w:cs="Times New Roman"/>
          <w:bCs/>
          <w:szCs w:val="24"/>
        </w:rPr>
        <w:t xml:space="preserve"> kirjutas oma </w:t>
      </w:r>
      <w:r w:rsidRPr="00A520E1">
        <w:rPr>
          <w:rFonts w:cs="Times New Roman"/>
          <w:bCs/>
          <w:szCs w:val="24"/>
        </w:rPr>
        <w:t xml:space="preserve">30.09.2024 </w:t>
      </w:r>
      <w:r>
        <w:rPr>
          <w:rFonts w:cs="Times New Roman"/>
          <w:bCs/>
          <w:szCs w:val="24"/>
        </w:rPr>
        <w:t xml:space="preserve">kirjas </w:t>
      </w:r>
      <w:r w:rsidRPr="00A520E1">
        <w:rPr>
          <w:rFonts w:cs="Times New Roman"/>
          <w:bCs/>
          <w:szCs w:val="24"/>
        </w:rPr>
        <w:t xml:space="preserve">nr EC.1-5.3/942-3 </w:t>
      </w:r>
      <w:r w:rsidRPr="00CF5799">
        <w:rPr>
          <w:rFonts w:cs="Times New Roman"/>
          <w:bCs/>
          <w:szCs w:val="24"/>
        </w:rPr>
        <w:t>järgmist:</w:t>
      </w:r>
    </w:p>
    <w:p w14:paraId="5F9809FF" w14:textId="32AD79AC" w:rsidR="00EB6759" w:rsidRPr="0054651C" w:rsidRDefault="00C3573E" w:rsidP="00C3573E">
      <w:pPr>
        <w:jc w:val="both"/>
        <w:rPr>
          <w:rFonts w:cs="Times New Roman"/>
          <w:bCs/>
          <w:i/>
          <w:iCs/>
          <w:szCs w:val="24"/>
        </w:rPr>
      </w:pPr>
      <w:r w:rsidRPr="0054651C">
        <w:rPr>
          <w:rFonts w:cs="Times New Roman"/>
          <w:bCs/>
          <w:i/>
          <w:iCs/>
          <w:szCs w:val="24"/>
        </w:rPr>
        <w:t>•</w:t>
      </w:r>
      <w:r w:rsidRPr="0054651C">
        <w:rPr>
          <w:rFonts w:cs="Times New Roman"/>
          <w:bCs/>
          <w:i/>
          <w:iCs/>
          <w:szCs w:val="24"/>
        </w:rPr>
        <w:tab/>
        <w:t>Turuotsuse kavandi lisa 1 analüüsidokumendis on lk 104 ja veel mõnes kohas analüüsis kasutatud väljendit “</w:t>
      </w:r>
      <w:proofErr w:type="spellStart"/>
      <w:r w:rsidRPr="0054651C">
        <w:rPr>
          <w:rFonts w:cs="Times New Roman"/>
          <w:bCs/>
          <w:i/>
          <w:iCs/>
          <w:szCs w:val="24"/>
        </w:rPr>
        <w:t>paketteenus</w:t>
      </w:r>
      <w:proofErr w:type="spellEnd"/>
      <w:r w:rsidRPr="0054651C">
        <w:rPr>
          <w:rFonts w:cs="Times New Roman"/>
          <w:bCs/>
          <w:i/>
          <w:iCs/>
          <w:szCs w:val="24"/>
        </w:rPr>
        <w:t xml:space="preserve">”. Tegelikult ei paku Telia tänasel päeval analüüsis kirjeldatud teenuseid pakettidena, neid  teenuseid on võimalik tellida eraldiseisvalt. Samuti ei kirjelda tegelikkust asjakohaselt nn kompleksteenustele viitav osa analüüsist (nt lk 105). Telia ei müü neid teenuseid nn komplektis ning tarbijatel on võimalik nt nii TV teenust kui ka teisi teenuseid eraldiseisvalt tellida, muuta ja neist loobuda.  </w:t>
      </w:r>
    </w:p>
    <w:p w14:paraId="15777657" w14:textId="77777777" w:rsidR="00EB6759" w:rsidRDefault="00EB6759" w:rsidP="00FF59AC">
      <w:pPr>
        <w:jc w:val="both"/>
        <w:rPr>
          <w:rFonts w:cs="Times New Roman"/>
          <w:bCs/>
          <w:szCs w:val="24"/>
        </w:rPr>
      </w:pPr>
    </w:p>
    <w:p w14:paraId="21C3521E" w14:textId="77777777" w:rsidR="00A859C0" w:rsidRDefault="00A859C0" w:rsidP="00A859C0">
      <w:pPr>
        <w:pStyle w:val="Pealkiri2"/>
      </w:pPr>
      <w:bookmarkStart w:id="21" w:name="_Toc182488036"/>
      <w:r>
        <w:t>TTJA</w:t>
      </w:r>
      <w:bookmarkEnd w:id="21"/>
    </w:p>
    <w:p w14:paraId="5D321925" w14:textId="77777777" w:rsidR="00A859C0" w:rsidRDefault="00A859C0" w:rsidP="00A859C0">
      <w:pPr>
        <w:jc w:val="both"/>
        <w:rPr>
          <w:rFonts w:cs="Times New Roman"/>
          <w:bCs/>
          <w:szCs w:val="24"/>
        </w:rPr>
      </w:pPr>
    </w:p>
    <w:p w14:paraId="4A9359AC" w14:textId="265BA869" w:rsidR="00706A69" w:rsidRDefault="00706A69" w:rsidP="00A859C0">
      <w:pPr>
        <w:jc w:val="both"/>
        <w:rPr>
          <w:rFonts w:cs="Times New Roman"/>
        </w:rPr>
      </w:pPr>
      <w:r w:rsidRPr="247804EB">
        <w:rPr>
          <w:rFonts w:cs="Times New Roman"/>
        </w:rPr>
        <w:t xml:space="preserve">TTJA täiendab </w:t>
      </w:r>
      <w:r w:rsidR="00A53C6C" w:rsidRPr="247804EB">
        <w:rPr>
          <w:rFonts w:cs="Times New Roman"/>
        </w:rPr>
        <w:t xml:space="preserve">Telia kohta esitatud </w:t>
      </w:r>
      <w:r w:rsidR="008F300A" w:rsidRPr="247804EB">
        <w:rPr>
          <w:rFonts w:cs="Times New Roman"/>
        </w:rPr>
        <w:t xml:space="preserve">seisukohti </w:t>
      </w:r>
      <w:r w:rsidR="00562422" w:rsidRPr="247804EB">
        <w:rPr>
          <w:rFonts w:cs="Times New Roman"/>
        </w:rPr>
        <w:t>Telia v</w:t>
      </w:r>
      <w:r w:rsidR="005F295C" w:rsidRPr="247804EB">
        <w:rPr>
          <w:rFonts w:cs="Times New Roman"/>
        </w:rPr>
        <w:t>äitega</w:t>
      </w:r>
      <w:r w:rsidR="006A42ED" w:rsidRPr="247804EB">
        <w:rPr>
          <w:rFonts w:cs="Times New Roman"/>
        </w:rPr>
        <w:t xml:space="preserve"> et</w:t>
      </w:r>
      <w:r w:rsidR="00665C06" w:rsidRPr="247804EB">
        <w:rPr>
          <w:rFonts w:cs="Times New Roman"/>
        </w:rPr>
        <w:t xml:space="preserve"> </w:t>
      </w:r>
      <w:r w:rsidR="003336BD" w:rsidRPr="247804EB">
        <w:rPr>
          <w:rFonts w:cs="Times New Roman"/>
        </w:rPr>
        <w:t>„</w:t>
      </w:r>
      <w:r w:rsidR="003336BD" w:rsidRPr="247804EB">
        <w:rPr>
          <w:rFonts w:cs="Times New Roman"/>
          <w:i/>
        </w:rPr>
        <w:t>Telia tarbijate on võimalik nt nii TV teenust kui ka teisi teenuseid eraldiseisvalt tellida, muuta ja neist loobuda“</w:t>
      </w:r>
      <w:r w:rsidR="005F295C" w:rsidRPr="247804EB">
        <w:rPr>
          <w:rFonts w:cs="Times New Roman"/>
        </w:rPr>
        <w:t xml:space="preserve">, kuid ei nõustu </w:t>
      </w:r>
      <w:r w:rsidR="005844E3" w:rsidRPr="247804EB">
        <w:rPr>
          <w:rFonts w:cs="Times New Roman"/>
        </w:rPr>
        <w:t xml:space="preserve">Telia seisukohaga et Telia </w:t>
      </w:r>
      <w:r w:rsidR="00587C07" w:rsidRPr="247804EB">
        <w:rPr>
          <w:rFonts w:cs="Times New Roman"/>
        </w:rPr>
        <w:t>osutab ainult üksik teenuse</w:t>
      </w:r>
      <w:r w:rsidR="00067CD6">
        <w:rPr>
          <w:rFonts w:cs="Times New Roman"/>
        </w:rPr>
        <w:t>id</w:t>
      </w:r>
      <w:r w:rsidR="00587C07" w:rsidRPr="247804EB">
        <w:rPr>
          <w:rFonts w:cs="Times New Roman"/>
        </w:rPr>
        <w:t xml:space="preserve">. </w:t>
      </w:r>
      <w:r w:rsidR="00956623" w:rsidRPr="247804EB">
        <w:rPr>
          <w:rFonts w:cs="Times New Roman"/>
        </w:rPr>
        <w:t xml:space="preserve">Telia arvetel ja </w:t>
      </w:r>
      <w:r w:rsidR="005E28E9" w:rsidRPr="247804EB">
        <w:rPr>
          <w:rFonts w:cs="Times New Roman"/>
        </w:rPr>
        <w:t>ka</w:t>
      </w:r>
      <w:r w:rsidR="005E28E9" w:rsidRPr="30F55109">
        <w:rPr>
          <w:rFonts w:cs="Times New Roman"/>
        </w:rPr>
        <w:t xml:space="preserve"> </w:t>
      </w:r>
      <w:r w:rsidR="7D86F034" w:rsidRPr="30F55109">
        <w:rPr>
          <w:rFonts w:cs="Times New Roman"/>
        </w:rPr>
        <w:t>tema</w:t>
      </w:r>
      <w:r w:rsidR="005E28E9" w:rsidRPr="247804EB">
        <w:rPr>
          <w:rFonts w:cs="Times New Roman"/>
        </w:rPr>
        <w:t xml:space="preserve"> kodulehe </w:t>
      </w:r>
      <w:r w:rsidR="00216A03" w:rsidRPr="247804EB">
        <w:rPr>
          <w:rFonts w:cs="Times New Roman"/>
        </w:rPr>
        <w:t xml:space="preserve">pakutakse klientidele endiselt </w:t>
      </w:r>
      <w:r w:rsidR="006A42ED" w:rsidRPr="30F55109">
        <w:rPr>
          <w:rFonts w:cs="Times New Roman"/>
        </w:rPr>
        <w:t>pake</w:t>
      </w:r>
      <w:r w:rsidR="00AC50C3" w:rsidRPr="30F55109">
        <w:rPr>
          <w:rFonts w:cs="Times New Roman"/>
        </w:rPr>
        <w:t>t</w:t>
      </w:r>
      <w:r w:rsidR="5E5BB071" w:rsidRPr="30F55109">
        <w:rPr>
          <w:rFonts w:cs="Times New Roman"/>
        </w:rPr>
        <w:t>t</w:t>
      </w:r>
      <w:r w:rsidR="006A42ED" w:rsidRPr="247804EB">
        <w:rPr>
          <w:rFonts w:cs="Times New Roman"/>
        </w:rPr>
        <w:t xml:space="preserve"> teenuseid</w:t>
      </w:r>
      <w:r w:rsidR="008E0F21" w:rsidRPr="247804EB">
        <w:rPr>
          <w:rFonts w:cs="Times New Roman"/>
        </w:rPr>
        <w:t>.</w:t>
      </w:r>
    </w:p>
    <w:p w14:paraId="65FB8EE2" w14:textId="12AA54F2" w:rsidR="00A859C0" w:rsidRDefault="00A859C0" w:rsidP="00A859C0">
      <w:pPr>
        <w:jc w:val="both"/>
        <w:rPr>
          <w:rFonts w:cs="Times New Roman"/>
          <w:bCs/>
          <w:szCs w:val="24"/>
        </w:rPr>
      </w:pPr>
    </w:p>
    <w:p w14:paraId="4DE29FE1" w14:textId="77777777" w:rsidR="0054651C" w:rsidRDefault="0054651C" w:rsidP="00FF59AC">
      <w:pPr>
        <w:jc w:val="both"/>
        <w:rPr>
          <w:rFonts w:cs="Times New Roman"/>
          <w:bCs/>
          <w:szCs w:val="24"/>
        </w:rPr>
      </w:pPr>
    </w:p>
    <w:p w14:paraId="23CF0CC9" w14:textId="489C43F7" w:rsidR="00396E75" w:rsidRPr="00396E75" w:rsidRDefault="00F16B2F" w:rsidP="00396E75">
      <w:pPr>
        <w:pStyle w:val="Pealkiri1"/>
      </w:pPr>
      <w:bookmarkStart w:id="22" w:name="_Toc182488037"/>
      <w:r>
        <w:t>Konkurentsi kriteeriumid j</w:t>
      </w:r>
      <w:r w:rsidR="00B72826">
        <w:t xml:space="preserve">aeturu </w:t>
      </w:r>
      <w:r w:rsidR="00196DAA">
        <w:t xml:space="preserve">A ja B piirkonna </w:t>
      </w:r>
      <w:r w:rsidR="0030030F">
        <w:t>eristamise</w:t>
      </w:r>
      <w:r>
        <w:t>l</w:t>
      </w:r>
      <w:bookmarkEnd w:id="22"/>
    </w:p>
    <w:p w14:paraId="19A17E98" w14:textId="77777777" w:rsidR="006644D8" w:rsidRDefault="006644D8" w:rsidP="00FF59AC">
      <w:pPr>
        <w:jc w:val="both"/>
        <w:rPr>
          <w:rFonts w:cs="Times New Roman"/>
          <w:bCs/>
          <w:szCs w:val="24"/>
        </w:rPr>
      </w:pPr>
    </w:p>
    <w:p w14:paraId="17C1F549" w14:textId="79E70DA1" w:rsidR="006644D8" w:rsidRPr="00B72826" w:rsidRDefault="00C708BC" w:rsidP="00394620">
      <w:pPr>
        <w:pStyle w:val="Pealkiri2"/>
      </w:pPr>
      <w:bookmarkStart w:id="23" w:name="_Toc182488038"/>
      <w:r w:rsidRPr="00B72826">
        <w:t>Elisa</w:t>
      </w:r>
      <w:bookmarkEnd w:id="23"/>
    </w:p>
    <w:p w14:paraId="40BAB10C" w14:textId="77777777" w:rsidR="00C708BC" w:rsidRDefault="00C708BC" w:rsidP="006644D8">
      <w:pPr>
        <w:jc w:val="both"/>
        <w:rPr>
          <w:rFonts w:cs="Times New Roman"/>
          <w:i/>
          <w:iCs/>
          <w:szCs w:val="24"/>
        </w:rPr>
      </w:pPr>
    </w:p>
    <w:p w14:paraId="2965E0FF" w14:textId="356976AA" w:rsidR="00D97DF0" w:rsidRPr="00CF5799" w:rsidRDefault="00D97DF0" w:rsidP="00D97DF0">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6E406628" w14:textId="77777777" w:rsidR="00F301EC" w:rsidRPr="00D97DF0" w:rsidRDefault="00F301EC" w:rsidP="006644D8">
      <w:pPr>
        <w:jc w:val="both"/>
        <w:rPr>
          <w:rFonts w:cs="Times New Roman"/>
          <w:szCs w:val="24"/>
        </w:rPr>
      </w:pPr>
    </w:p>
    <w:p w14:paraId="34EDA1D9" w14:textId="388AD283" w:rsidR="006644D8" w:rsidRPr="006644D8" w:rsidRDefault="00396E75" w:rsidP="006644D8">
      <w:pPr>
        <w:jc w:val="both"/>
        <w:rPr>
          <w:rFonts w:cs="Times New Roman"/>
          <w:i/>
          <w:iCs/>
          <w:szCs w:val="24"/>
        </w:rPr>
      </w:pPr>
      <w:r>
        <w:rPr>
          <w:rFonts w:cs="Times New Roman"/>
          <w:i/>
          <w:iCs/>
          <w:szCs w:val="24"/>
        </w:rPr>
        <w:lastRenderedPageBreak/>
        <w:t xml:space="preserve">6.1 </w:t>
      </w:r>
      <w:r w:rsidR="006644D8" w:rsidRPr="006644D8">
        <w:rPr>
          <w:rFonts w:cs="Times New Roman"/>
          <w:i/>
          <w:iCs/>
          <w:szCs w:val="24"/>
        </w:rPr>
        <w:t xml:space="preserve">Tõhusa ja püsiva taristupõhise konkurentsi esinemise või puudumise, st piirkonna A ja B eristamise, kriteeriumite konkreetsed tasemed (Telia turuosa 50% ja vähemalt kahe võrguga kaetus 40%) on meelevaldsed, piisavalt põhjendamata ja ebaõiged </w:t>
      </w:r>
    </w:p>
    <w:p w14:paraId="16DFB2A1" w14:textId="39A44A47" w:rsidR="006644D8" w:rsidRPr="006644D8" w:rsidRDefault="006644D8" w:rsidP="006644D8">
      <w:pPr>
        <w:jc w:val="both"/>
        <w:rPr>
          <w:rFonts w:cs="Times New Roman"/>
          <w:i/>
          <w:iCs/>
          <w:szCs w:val="24"/>
        </w:rPr>
      </w:pPr>
      <w:r w:rsidRPr="006644D8">
        <w:rPr>
          <w:rFonts w:cs="Times New Roman"/>
          <w:i/>
          <w:iCs/>
          <w:szCs w:val="24"/>
        </w:rPr>
        <w:t xml:space="preserve"> Uues kavandis asub TTJA seisukohale, et mingi geograafiline ala kuulub „kõrge konkurentsiga“ piirkonda A ehk sellel geograafilisel alal esineb püsiv ja tõhus taristupõhine konkurents (mis on EL-i sidekoodeksi kohaselt ja seega ESS-i alusel nö piisava konkurentsi lävend) kui:  </w:t>
      </w:r>
    </w:p>
    <w:p w14:paraId="1ED47A38" w14:textId="77777777" w:rsidR="006644D8" w:rsidRPr="006644D8" w:rsidRDefault="006644D8" w:rsidP="006644D8">
      <w:pPr>
        <w:numPr>
          <w:ilvl w:val="0"/>
          <w:numId w:val="24"/>
        </w:numPr>
        <w:jc w:val="both"/>
        <w:rPr>
          <w:rFonts w:cs="Times New Roman"/>
          <w:i/>
          <w:iCs/>
          <w:szCs w:val="24"/>
        </w:rPr>
      </w:pPr>
      <w:r w:rsidRPr="006644D8">
        <w:rPr>
          <w:rFonts w:cs="Times New Roman"/>
          <w:i/>
          <w:iCs/>
          <w:szCs w:val="24"/>
        </w:rPr>
        <w:t xml:space="preserve">vähemalt kahe (2) erineva sideettevõtja internetiühenduse võimalusega (st püsivõrguga) kaetud elu- ja mitteeluruumide osakaal kõigist elu- ja mitteeluruumidest on 40%; ning </w:t>
      </w:r>
    </w:p>
    <w:p w14:paraId="586184DE" w14:textId="77777777" w:rsidR="006644D8" w:rsidRPr="006644D8" w:rsidRDefault="006644D8" w:rsidP="006644D8">
      <w:pPr>
        <w:numPr>
          <w:ilvl w:val="0"/>
          <w:numId w:val="24"/>
        </w:numPr>
        <w:jc w:val="both"/>
        <w:rPr>
          <w:rFonts w:cs="Times New Roman"/>
          <w:i/>
          <w:iCs/>
          <w:szCs w:val="24"/>
        </w:rPr>
      </w:pPr>
      <w:r w:rsidRPr="006644D8">
        <w:rPr>
          <w:rFonts w:cs="Times New Roman"/>
          <w:i/>
          <w:iCs/>
          <w:szCs w:val="24"/>
        </w:rPr>
        <w:t>MTE (Telia) era- ja äriklientide jae internetiühenduste osakaal kõigist era- ja äriklientide jae internetiühendustest on alla 50%.</w:t>
      </w:r>
      <w:r w:rsidRPr="006644D8">
        <w:rPr>
          <w:rFonts w:cs="Times New Roman"/>
          <w:i/>
          <w:iCs/>
          <w:szCs w:val="24"/>
          <w:vertAlign w:val="superscript"/>
        </w:rPr>
        <w:t>21</w:t>
      </w:r>
      <w:r w:rsidRPr="006644D8">
        <w:rPr>
          <w:rFonts w:cs="Times New Roman"/>
          <w:i/>
          <w:iCs/>
          <w:szCs w:val="24"/>
        </w:rPr>
        <w:t xml:space="preserve"> </w:t>
      </w:r>
    </w:p>
    <w:p w14:paraId="3469FF49" w14:textId="40FBADD2" w:rsidR="006644D8" w:rsidRPr="006644D8" w:rsidRDefault="006644D8" w:rsidP="006644D8">
      <w:pPr>
        <w:jc w:val="both"/>
        <w:rPr>
          <w:rFonts w:cs="Times New Roman"/>
          <w:i/>
          <w:iCs/>
          <w:szCs w:val="24"/>
        </w:rPr>
      </w:pPr>
      <w:r w:rsidRPr="006644D8">
        <w:rPr>
          <w:rFonts w:cs="Times New Roman"/>
          <w:i/>
          <w:iCs/>
          <w:szCs w:val="24"/>
        </w:rPr>
        <w:t xml:space="preserve"> Seega väidab TTJA, et juhul kui (a) </w:t>
      </w:r>
      <w:r w:rsidRPr="006644D8">
        <w:rPr>
          <w:rFonts w:cs="Times New Roman"/>
          <w:i/>
          <w:iCs/>
          <w:szCs w:val="24"/>
          <w:u w:val="single"/>
        </w:rPr>
        <w:t>pool</w:t>
      </w:r>
      <w:r w:rsidRPr="006644D8">
        <w:rPr>
          <w:rFonts w:cs="Times New Roman"/>
          <w:i/>
          <w:iCs/>
          <w:szCs w:val="24"/>
        </w:rPr>
        <w:t xml:space="preserve"> (50%-1) turu käibest või klientidest kuulub </w:t>
      </w:r>
      <w:r w:rsidRPr="006644D8">
        <w:rPr>
          <w:rFonts w:cs="Times New Roman"/>
          <w:i/>
          <w:iCs/>
          <w:szCs w:val="24"/>
          <w:u w:val="single"/>
        </w:rPr>
        <w:t>Teliale</w:t>
      </w:r>
      <w:r w:rsidRPr="006644D8">
        <w:rPr>
          <w:rFonts w:cs="Times New Roman"/>
          <w:i/>
          <w:iCs/>
          <w:szCs w:val="24"/>
        </w:rPr>
        <w:t xml:space="preserve"> ja (b) kolm viiendikku (60%-1) elu- ja äriruumidest on ühendatud vaid </w:t>
      </w:r>
      <w:r w:rsidRPr="006644D8">
        <w:rPr>
          <w:rFonts w:cs="Times New Roman"/>
          <w:i/>
          <w:iCs/>
          <w:szCs w:val="24"/>
          <w:u w:val="single"/>
        </w:rPr>
        <w:t>ühe</w:t>
      </w:r>
      <w:r w:rsidRPr="006644D8">
        <w:rPr>
          <w:rFonts w:cs="Times New Roman"/>
          <w:i/>
          <w:iCs/>
          <w:szCs w:val="24"/>
        </w:rPr>
        <w:t xml:space="preserve"> (Telia) püsivõrguga, siis on jaeturul (selles piirkonnas) tõhus ja püsiv taristupõhine konkurents. Päriselt? </w:t>
      </w:r>
    </w:p>
    <w:p w14:paraId="257EE55A" w14:textId="52CE9141" w:rsidR="006644D8" w:rsidRPr="006644D8" w:rsidRDefault="006644D8" w:rsidP="006644D8">
      <w:pPr>
        <w:jc w:val="both"/>
        <w:rPr>
          <w:rFonts w:cs="Times New Roman"/>
          <w:i/>
          <w:iCs/>
          <w:szCs w:val="24"/>
        </w:rPr>
      </w:pPr>
      <w:r w:rsidRPr="006644D8">
        <w:rPr>
          <w:rFonts w:cs="Times New Roman"/>
          <w:i/>
          <w:iCs/>
          <w:szCs w:val="24"/>
        </w:rPr>
        <w:t xml:space="preserve"> Selline seisukoht on sisuliselt väär ning põhineb Eesti ja EL-i konkurentsi- ja sideõiguse ebaõigel kohaldamisel või kohaldamata jätmisel. Selgitame. </w:t>
      </w:r>
    </w:p>
    <w:p w14:paraId="55ADF583" w14:textId="32360AA2" w:rsidR="006644D8" w:rsidRPr="006644D8" w:rsidRDefault="006644D8" w:rsidP="006644D8">
      <w:pPr>
        <w:jc w:val="both"/>
        <w:rPr>
          <w:rFonts w:cs="Times New Roman"/>
          <w:i/>
          <w:iCs/>
          <w:szCs w:val="24"/>
        </w:rPr>
      </w:pPr>
      <w:r w:rsidRPr="006644D8">
        <w:rPr>
          <w:rFonts w:cs="Times New Roman"/>
          <w:i/>
          <w:iCs/>
          <w:szCs w:val="24"/>
        </w:rPr>
        <w:t xml:space="preserve"> Uues kavandis sedastab TTJA õigesti, et: „Samuti loetakse jaeturu kõrgema konkurentsi taseme tunnuseks, et jaeturgudele eelnevatel hulgiturgude MTE </w:t>
      </w:r>
      <w:r w:rsidRPr="006644D8">
        <w:rPr>
          <w:rFonts w:cs="Times New Roman"/>
          <w:i/>
          <w:iCs/>
          <w:szCs w:val="24"/>
          <w:u w:val="single"/>
        </w:rPr>
        <w:t>ei omaks olulist turujõudu</w:t>
      </w:r>
      <w:r w:rsidRPr="006644D8">
        <w:rPr>
          <w:rFonts w:cs="Times New Roman"/>
          <w:i/>
          <w:iCs/>
          <w:szCs w:val="24"/>
        </w:rPr>
        <w:t xml:space="preserve"> jaeturul,“ kuid seejärel ebaõigesti või kontekstist välja rebituna, et: „tavapäraselt peetakse konkurentsiõiguses turujõu hindamises oluliseks lävendiks 50 %-st turuosa“ ning sellele tuginedes meelevaldselt, et: „kui hulgituru MTE [Telia] jaeklientide internetiühenduste </w:t>
      </w:r>
      <w:r w:rsidRPr="006644D8">
        <w:rPr>
          <w:rFonts w:cs="Times New Roman"/>
          <w:i/>
          <w:iCs/>
          <w:szCs w:val="24"/>
          <w:u w:val="single"/>
        </w:rPr>
        <w:t>turuosa on alla 50%, siis võib eeldada</w:t>
      </w:r>
      <w:r w:rsidRPr="006644D8">
        <w:rPr>
          <w:rFonts w:cs="Times New Roman"/>
          <w:i/>
          <w:iCs/>
          <w:szCs w:val="24"/>
        </w:rPr>
        <w:t>, et [</w:t>
      </w:r>
      <w:proofErr w:type="spellStart"/>
      <w:r w:rsidRPr="006644D8">
        <w:rPr>
          <w:rFonts w:cs="Times New Roman"/>
          <w:i/>
          <w:iCs/>
          <w:szCs w:val="24"/>
        </w:rPr>
        <w:t>ANO-del</w:t>
      </w:r>
      <w:proofErr w:type="spellEnd"/>
      <w:r w:rsidRPr="006644D8">
        <w:rPr>
          <w:rFonts w:cs="Times New Roman"/>
          <w:i/>
          <w:iCs/>
          <w:szCs w:val="24"/>
        </w:rPr>
        <w:t>] on olnud selles piirkonnas majanduslikult tasuv ja mõistlik rajada piisavas ulatuses hulgituru MTE [Telia] internetiühendustega konkureerivaid internetiühendusi oma või mõne teise operaatori (v.a. hulgituru MTE) sidevõrgu (nt operaatorneutraalse) sidevõrgu baasil ja puuduvad takistused kõrgema konkurentsi taseme olemasoluks.“</w:t>
      </w:r>
      <w:r w:rsidRPr="006644D8">
        <w:rPr>
          <w:rFonts w:cs="Times New Roman"/>
          <w:i/>
          <w:iCs/>
          <w:szCs w:val="24"/>
          <w:vertAlign w:val="superscript"/>
        </w:rPr>
        <w:t>22</w:t>
      </w:r>
      <w:r w:rsidRPr="006644D8">
        <w:rPr>
          <w:rFonts w:cs="Times New Roman"/>
          <w:i/>
          <w:iCs/>
          <w:szCs w:val="24"/>
        </w:rPr>
        <w:t xml:space="preserve"> </w:t>
      </w:r>
    </w:p>
    <w:p w14:paraId="47998E83" w14:textId="5F243122" w:rsidR="006644D8" w:rsidRPr="006644D8" w:rsidRDefault="006644D8" w:rsidP="006644D8">
      <w:pPr>
        <w:jc w:val="both"/>
        <w:rPr>
          <w:rFonts w:cs="Times New Roman"/>
          <w:i/>
          <w:iCs/>
          <w:szCs w:val="24"/>
        </w:rPr>
      </w:pPr>
      <w:r w:rsidRPr="006644D8">
        <w:rPr>
          <w:rFonts w:cs="Times New Roman"/>
          <w:i/>
          <w:iCs/>
          <w:szCs w:val="24"/>
        </w:rPr>
        <w:t xml:space="preserve"> See seisukoht põhineb (a) EL-i sidekoodeksi ja ESS-i ebaõigel kohaldamisel ning (b) ka Eesti konkurentsiõiguse ebaõigel kohaldamisel või sootuks kohaldamata jätmisel. Sellist asja alla 50% suuruse turuosa korral kohe kindlasti </w:t>
      </w:r>
      <w:r w:rsidRPr="006644D8">
        <w:rPr>
          <w:rFonts w:cs="Times New Roman"/>
          <w:i/>
          <w:iCs/>
          <w:szCs w:val="24"/>
          <w:u w:val="single"/>
        </w:rPr>
        <w:t>eeldada</w:t>
      </w:r>
      <w:r w:rsidRPr="006644D8">
        <w:rPr>
          <w:rFonts w:cs="Times New Roman"/>
          <w:i/>
          <w:iCs/>
          <w:szCs w:val="24"/>
        </w:rPr>
        <w:t xml:space="preserve"> küll ei saa. Vastupidi. </w:t>
      </w:r>
    </w:p>
    <w:p w14:paraId="1E42803D" w14:textId="2F074D80" w:rsidR="006644D8" w:rsidRPr="006644D8" w:rsidRDefault="006644D8" w:rsidP="006644D8">
      <w:pPr>
        <w:jc w:val="both"/>
        <w:rPr>
          <w:rFonts w:cs="Times New Roman"/>
          <w:i/>
          <w:iCs/>
          <w:szCs w:val="24"/>
        </w:rPr>
      </w:pPr>
      <w:r w:rsidRPr="006644D8">
        <w:rPr>
          <w:rFonts w:cs="Times New Roman"/>
          <w:i/>
          <w:iCs/>
          <w:szCs w:val="24"/>
        </w:rPr>
        <w:t xml:space="preserve"> TTJA on öelnud, et: „vastavalt turuanalüüsi ja märkimisväärse turujõu hindamise suuniste artiklis 75 viidatud Euroopa Kohtu kohtupraktikale loetakse väga suurt turuosa (üle 50%) iseenesest tõendiks turgu valitseva seisundi kohta, välja arvatud erandlike asjaolude korral.“</w:t>
      </w:r>
      <w:r w:rsidRPr="006644D8">
        <w:rPr>
          <w:rFonts w:cs="Times New Roman"/>
          <w:i/>
          <w:iCs/>
          <w:szCs w:val="24"/>
          <w:vertAlign w:val="superscript"/>
        </w:rPr>
        <w:t>23</w:t>
      </w:r>
      <w:r w:rsidRPr="006644D8">
        <w:rPr>
          <w:rFonts w:cs="Times New Roman"/>
          <w:i/>
          <w:iCs/>
          <w:szCs w:val="24"/>
        </w:rPr>
        <w:t xml:space="preserve"> </w:t>
      </w:r>
    </w:p>
    <w:p w14:paraId="0D471C46" w14:textId="02334764" w:rsidR="006644D8" w:rsidRPr="006644D8" w:rsidRDefault="006644D8" w:rsidP="006644D8">
      <w:pPr>
        <w:jc w:val="both"/>
        <w:rPr>
          <w:rFonts w:cs="Times New Roman"/>
          <w:i/>
          <w:iCs/>
          <w:szCs w:val="24"/>
        </w:rPr>
      </w:pPr>
      <w:r w:rsidRPr="006644D8">
        <w:rPr>
          <w:rFonts w:cs="Times New Roman"/>
          <w:i/>
          <w:iCs/>
          <w:szCs w:val="24"/>
        </w:rPr>
        <w:t xml:space="preserve"> Just nimelt, 50% turuosa on iseenesest – st muude asjaoludeta – tõend turgu valitseva seisundi esinemise kohta, v.a. siis kui on mingid väga erandlikud asjaolud. Teisisõnu, EL-i õiguse kohaselt on 50% turuosa tõend turgu valitseva seisundi </w:t>
      </w:r>
      <w:r w:rsidRPr="006644D8">
        <w:rPr>
          <w:rFonts w:cs="Times New Roman"/>
          <w:i/>
          <w:iCs/>
          <w:szCs w:val="24"/>
          <w:u w:val="single"/>
        </w:rPr>
        <w:t>esinemise</w:t>
      </w:r>
      <w:r w:rsidRPr="006644D8">
        <w:rPr>
          <w:rFonts w:cs="Times New Roman"/>
          <w:i/>
          <w:iCs/>
          <w:szCs w:val="24"/>
        </w:rPr>
        <w:t xml:space="preserve"> kohta, mitte tõend selle kohta, et alla 50% turuosa korral turgu valitsev seisund </w:t>
      </w:r>
      <w:r w:rsidRPr="006644D8">
        <w:rPr>
          <w:rFonts w:cs="Times New Roman"/>
          <w:i/>
          <w:iCs/>
          <w:szCs w:val="24"/>
          <w:u w:val="single"/>
        </w:rPr>
        <w:t>puudub</w:t>
      </w:r>
      <w:r w:rsidRPr="006644D8">
        <w:rPr>
          <w:rFonts w:cs="Times New Roman"/>
          <w:i/>
          <w:iCs/>
          <w:szCs w:val="24"/>
        </w:rPr>
        <w:t xml:space="preserve"> ja/või et alla 50% turuosa korral võib eeldada turgu valitseva seisundi puudumist. </w:t>
      </w:r>
    </w:p>
    <w:p w14:paraId="367BE817" w14:textId="262F43D6" w:rsidR="006644D8" w:rsidRPr="006644D8" w:rsidRDefault="006644D8" w:rsidP="006644D8">
      <w:pPr>
        <w:jc w:val="both"/>
        <w:rPr>
          <w:rFonts w:cs="Times New Roman"/>
          <w:i/>
          <w:iCs/>
          <w:szCs w:val="24"/>
        </w:rPr>
      </w:pPr>
      <w:r w:rsidRPr="006644D8">
        <w:rPr>
          <w:rFonts w:cs="Times New Roman"/>
          <w:i/>
          <w:iCs/>
          <w:szCs w:val="24"/>
        </w:rPr>
        <w:t xml:space="preserve"> TTJA aga kohaldab seda reeglit (õigust) just nii, et kui ettevõtja turuosa on 49%, siis turul kindlasti mingit turuvõimu ega -valitsejat ei ole ning esineb „püsiv ja tõhus konkurents“. See on vale. </w:t>
      </w:r>
    </w:p>
    <w:p w14:paraId="3204B46D" w14:textId="5E186C76" w:rsidR="006644D8" w:rsidRPr="006644D8" w:rsidRDefault="006644D8" w:rsidP="006644D8">
      <w:pPr>
        <w:jc w:val="both"/>
        <w:rPr>
          <w:rFonts w:cs="Times New Roman"/>
          <w:i/>
          <w:iCs/>
          <w:szCs w:val="24"/>
        </w:rPr>
      </w:pPr>
      <w:r w:rsidRPr="006644D8">
        <w:rPr>
          <w:rFonts w:cs="Times New Roman"/>
          <w:i/>
          <w:iCs/>
          <w:szCs w:val="24"/>
        </w:rPr>
        <w:lastRenderedPageBreak/>
        <w:t xml:space="preserve"> Järelikult on TTJA valesti kohaldanud EL-i konkurentsiõigust ja seega ka EL-i ja Eesti sideõigust, mis kohustab regulaatorit [konkurentsiõigus]. </w:t>
      </w:r>
    </w:p>
    <w:p w14:paraId="549D3D7B" w14:textId="3BD6A93F" w:rsidR="006644D8" w:rsidRPr="006644D8" w:rsidRDefault="006644D8" w:rsidP="006644D8">
      <w:pPr>
        <w:jc w:val="both"/>
        <w:rPr>
          <w:rFonts w:cs="Times New Roman"/>
          <w:i/>
          <w:iCs/>
          <w:szCs w:val="24"/>
        </w:rPr>
      </w:pPr>
      <w:r w:rsidRPr="006644D8">
        <w:rPr>
          <w:rFonts w:cs="Times New Roman"/>
          <w:i/>
          <w:iCs/>
          <w:szCs w:val="24"/>
        </w:rPr>
        <w:t xml:space="preserve"> Teiseks arvab TTJA, et: „ka konkurentsiseaduse § 13 lõike 1 alusel võib eeldada turgu valitseva seisundi omamist ettevõtja puhul, kellele kuulub konkreetsel kaubaturul vähemalt 50% käibest.“</w:t>
      </w:r>
      <w:r w:rsidRPr="006644D8">
        <w:rPr>
          <w:rFonts w:cs="Times New Roman"/>
          <w:i/>
          <w:iCs/>
          <w:szCs w:val="24"/>
          <w:vertAlign w:val="superscript"/>
        </w:rPr>
        <w:t>24</w:t>
      </w:r>
      <w:r w:rsidRPr="006644D8">
        <w:rPr>
          <w:rFonts w:cs="Times New Roman"/>
          <w:i/>
          <w:iCs/>
          <w:szCs w:val="24"/>
        </w:rPr>
        <w:t xml:space="preserve"> See on lihtsalt vale. </w:t>
      </w:r>
      <w:proofErr w:type="spellStart"/>
      <w:r w:rsidRPr="006644D8">
        <w:rPr>
          <w:rFonts w:cs="Times New Roman"/>
          <w:i/>
          <w:iCs/>
          <w:szCs w:val="24"/>
        </w:rPr>
        <w:t>KonkS</w:t>
      </w:r>
      <w:proofErr w:type="spellEnd"/>
      <w:r w:rsidRPr="006644D8">
        <w:rPr>
          <w:rFonts w:cs="Times New Roman"/>
          <w:i/>
          <w:iCs/>
          <w:szCs w:val="24"/>
        </w:rPr>
        <w:t xml:space="preserve"> § 13 lg 1 sätestab sõnaselgelt, et </w:t>
      </w:r>
      <w:r w:rsidRPr="006644D8">
        <w:rPr>
          <w:rFonts w:cs="Times New Roman"/>
          <w:i/>
          <w:iCs/>
          <w:szCs w:val="24"/>
          <w:u w:val="single"/>
        </w:rPr>
        <w:t>Eestis eeldatakse</w:t>
      </w:r>
      <w:r w:rsidRPr="006644D8">
        <w:rPr>
          <w:rFonts w:cs="Times New Roman"/>
          <w:i/>
          <w:iCs/>
          <w:szCs w:val="24"/>
        </w:rPr>
        <w:t xml:space="preserve"> turgu valitseva seisundi omamist kui ettevõtjale kuulub kaubaturul </w:t>
      </w:r>
      <w:r w:rsidRPr="006644D8">
        <w:rPr>
          <w:rFonts w:cs="Times New Roman"/>
          <w:i/>
          <w:iCs/>
          <w:szCs w:val="24"/>
          <w:u w:val="single"/>
        </w:rPr>
        <w:t>vähemalt 40 protsenti</w:t>
      </w:r>
      <w:r w:rsidRPr="006644D8">
        <w:rPr>
          <w:rFonts w:cs="Times New Roman"/>
          <w:i/>
          <w:iCs/>
          <w:szCs w:val="24"/>
        </w:rPr>
        <w:t xml:space="preserve"> käibest.  </w:t>
      </w:r>
    </w:p>
    <w:p w14:paraId="215302DF" w14:textId="77777777" w:rsidR="006644D8" w:rsidRPr="006644D8" w:rsidRDefault="006644D8" w:rsidP="006644D8">
      <w:pPr>
        <w:jc w:val="both"/>
        <w:rPr>
          <w:rFonts w:cs="Times New Roman"/>
          <w:i/>
          <w:iCs/>
          <w:szCs w:val="24"/>
        </w:rPr>
      </w:pPr>
      <w:r w:rsidRPr="006644D8">
        <w:rPr>
          <w:rFonts w:cs="Times New Roman"/>
          <w:i/>
          <w:iCs/>
          <w:szCs w:val="24"/>
        </w:rPr>
        <w:t xml:space="preserve">TTJA aga kohaldab seda reeglit (õigust) nii, et kui ettevõtja turuosa on 49%, siis turul kindlasti mingit turuvõimu ega -valitsejat ei ole ning esineb „püsiv ja tõhus konkurents“. </w:t>
      </w:r>
    </w:p>
    <w:p w14:paraId="49088AE3" w14:textId="5B722B1C" w:rsidR="006644D8" w:rsidRPr="006644D8" w:rsidRDefault="006644D8" w:rsidP="006644D8">
      <w:pPr>
        <w:jc w:val="both"/>
        <w:rPr>
          <w:rFonts w:cs="Times New Roman"/>
          <w:i/>
          <w:iCs/>
          <w:szCs w:val="24"/>
        </w:rPr>
      </w:pPr>
      <w:r w:rsidRPr="006644D8">
        <w:rPr>
          <w:rFonts w:cs="Times New Roman"/>
          <w:i/>
          <w:iCs/>
          <w:szCs w:val="24"/>
        </w:rPr>
        <w:t xml:space="preserve"> Järelikult on TTJA valesti kohaldanud ka Eesti konkurentsiõigust (</w:t>
      </w:r>
      <w:proofErr w:type="spellStart"/>
      <w:r w:rsidRPr="006644D8">
        <w:rPr>
          <w:rFonts w:cs="Times New Roman"/>
          <w:i/>
          <w:iCs/>
          <w:szCs w:val="24"/>
        </w:rPr>
        <w:t>KonkS-i</w:t>
      </w:r>
      <w:proofErr w:type="spellEnd"/>
      <w:r w:rsidRPr="006644D8">
        <w:rPr>
          <w:rFonts w:cs="Times New Roman"/>
          <w:i/>
          <w:iCs/>
          <w:szCs w:val="24"/>
        </w:rPr>
        <w:t xml:space="preserve">) või pigem isegi jätnud selle sootuks kohaldamata. See on vastuolus EL-i sidekoodeksi ja ESS-iga.  </w:t>
      </w:r>
    </w:p>
    <w:p w14:paraId="09A4194A" w14:textId="53DB584D" w:rsidR="006644D8" w:rsidRPr="006644D8" w:rsidRDefault="006644D8" w:rsidP="006644D8">
      <w:pPr>
        <w:jc w:val="both"/>
        <w:rPr>
          <w:rFonts w:cs="Times New Roman"/>
          <w:i/>
          <w:iCs/>
          <w:szCs w:val="24"/>
        </w:rPr>
      </w:pPr>
      <w:r w:rsidRPr="006644D8">
        <w:rPr>
          <w:rFonts w:cs="Times New Roman"/>
          <w:i/>
          <w:iCs/>
          <w:szCs w:val="24"/>
        </w:rPr>
        <w:t xml:space="preserve"> Oluline on tähele panna, et EL-i sidekoodeks ja ESS ei kehtesta mingit „oma“ konkurentsiõigust vaid kohustavad järgima ja kohaldama EL-i ja Eesti konkurentsiõigust – nii nagu see EL-i ja Eesti õigusest, sh õigusaktidest ja kohtupraktikast, tuleneb. TTJA püüab järjepidevalt luua mingit „oma“ konkurentsiõigust ja kujundada õigust tuvastatud faktidele sobivaks, mitte kohaldada EL-i ja Eesti konkurentsi- ning sideõigust tuvastatud faktidele. See ei ole õige. TTJA rolliks on </w:t>
      </w:r>
      <w:r w:rsidRPr="006644D8">
        <w:rPr>
          <w:rFonts w:cs="Times New Roman"/>
          <w:i/>
          <w:iCs/>
          <w:szCs w:val="24"/>
          <w:u w:val="single"/>
        </w:rPr>
        <w:t>kohaldada</w:t>
      </w:r>
      <w:r w:rsidRPr="006644D8">
        <w:rPr>
          <w:rFonts w:cs="Times New Roman"/>
          <w:i/>
          <w:iCs/>
          <w:szCs w:val="24"/>
        </w:rPr>
        <w:t xml:space="preserve"> Eesti ja EL-i õigusakte, mitte neid ise luua, st mitte asuda seadusandja rolli. </w:t>
      </w:r>
    </w:p>
    <w:p w14:paraId="5BE4C8A0" w14:textId="2AC8C5E7" w:rsidR="006644D8" w:rsidRPr="006644D8" w:rsidRDefault="006644D8" w:rsidP="006644D8">
      <w:pPr>
        <w:jc w:val="both"/>
        <w:rPr>
          <w:rFonts w:cs="Times New Roman"/>
          <w:i/>
          <w:iCs/>
          <w:szCs w:val="24"/>
        </w:rPr>
      </w:pPr>
      <w:r w:rsidRPr="006644D8">
        <w:rPr>
          <w:rFonts w:cs="Times New Roman"/>
          <w:i/>
          <w:iCs/>
          <w:szCs w:val="24"/>
        </w:rPr>
        <w:t xml:space="preserve"> Kolmandaks, väide, et piirkonnas esineb püsiv ja tõhus taristupõhine konkurents siis kui „tervelt“ kaks elu- ja äriruumi viiest (40%) on kaetud vähemalt kahe (2) püsivõrguga ja „ainult“ 60% elu- ja mitteeluruumidest ühe võrguga (ja MTE turuosa on ka „ainult“ 50%), näib täitsa „laest võetud“. </w:t>
      </w:r>
    </w:p>
    <w:p w14:paraId="243E5436" w14:textId="72124D28" w:rsidR="006644D8" w:rsidRPr="006644D8" w:rsidRDefault="006644D8" w:rsidP="006644D8">
      <w:pPr>
        <w:jc w:val="both"/>
        <w:rPr>
          <w:rFonts w:cs="Times New Roman"/>
          <w:i/>
          <w:iCs/>
          <w:szCs w:val="24"/>
        </w:rPr>
      </w:pPr>
      <w:r w:rsidRPr="006644D8">
        <w:rPr>
          <w:rFonts w:cs="Times New Roman"/>
          <w:i/>
          <w:iCs/>
          <w:szCs w:val="24"/>
        </w:rPr>
        <w:t xml:space="preserve"> TTJA enda viidatud tabelist nähtuvalt on mujal Euroopas reeglina (st viiel juhul kuuest) tuvastatud konkureeriv turg ainult siis kui ANO-de võrkude katvus kokku on 50-75% ning MTE võrgu katvus 25-50% ehk maksimaalselt 50% ja reeglina vähem.</w:t>
      </w:r>
      <w:r w:rsidRPr="006644D8">
        <w:rPr>
          <w:rFonts w:cs="Times New Roman"/>
          <w:i/>
          <w:iCs/>
          <w:szCs w:val="24"/>
          <w:vertAlign w:val="superscript"/>
        </w:rPr>
        <w:t>25</w:t>
      </w:r>
      <w:r w:rsidRPr="006644D8">
        <w:rPr>
          <w:rFonts w:cs="Times New Roman"/>
          <w:i/>
          <w:iCs/>
          <w:szCs w:val="24"/>
        </w:rPr>
        <w:t xml:space="preserve"> </w:t>
      </w:r>
    </w:p>
    <w:p w14:paraId="318B05A7" w14:textId="1DAC4F6E" w:rsidR="006644D8" w:rsidRPr="006644D8" w:rsidRDefault="006644D8" w:rsidP="006644D8">
      <w:pPr>
        <w:jc w:val="both"/>
        <w:rPr>
          <w:rFonts w:cs="Times New Roman"/>
          <w:i/>
          <w:iCs/>
          <w:szCs w:val="24"/>
        </w:rPr>
      </w:pPr>
      <w:r w:rsidRPr="006644D8">
        <w:rPr>
          <w:rFonts w:cs="Times New Roman"/>
          <w:i/>
          <w:iCs/>
          <w:szCs w:val="24"/>
        </w:rPr>
        <w:t xml:space="preserve"> Seega uus kavand ei sisalda midagi, mis toetaks TTJA järeldust, et juhul kui 40% mingi piirkonna elu- ja mitteeluruumidest on kaetud vähemalt kahe (2) püsivõrguga, siis esineb selles piirkonnas tõhus ja püsiv taristupõhine konkurents. </w:t>
      </w:r>
    </w:p>
    <w:p w14:paraId="3D64A598" w14:textId="77777777" w:rsidR="006644D8" w:rsidRPr="006644D8" w:rsidRDefault="006644D8" w:rsidP="006644D8">
      <w:pPr>
        <w:jc w:val="both"/>
        <w:rPr>
          <w:rFonts w:cs="Times New Roman"/>
          <w:i/>
          <w:iCs/>
          <w:szCs w:val="24"/>
        </w:rPr>
      </w:pPr>
      <w:r w:rsidRPr="006644D8">
        <w:rPr>
          <w:rFonts w:cs="Times New Roman"/>
          <w:i/>
          <w:iCs/>
          <w:szCs w:val="24"/>
        </w:rPr>
        <w:t xml:space="preserve">Seega, kokkuvõtvalt, tõhusa ja püsiva taristupõhise konkurentsi esinemist võiks eeldada vahest siis kui TTJA viidatud </w:t>
      </w:r>
      <w:r w:rsidRPr="006644D8">
        <w:rPr>
          <w:rFonts w:cs="Times New Roman"/>
          <w:i/>
          <w:iCs/>
          <w:szCs w:val="24"/>
          <w:u w:val="single"/>
        </w:rPr>
        <w:t>numbrid oleks vastupidi</w:t>
      </w:r>
      <w:r w:rsidRPr="006644D8">
        <w:rPr>
          <w:rFonts w:cs="Times New Roman"/>
          <w:i/>
          <w:iCs/>
          <w:szCs w:val="24"/>
        </w:rPr>
        <w:t xml:space="preserve">, st kui (a) Telia turuosa jaetasandil oleks alla 40% ja (b) kahe või enama püsivõrguga oleks ühendatud vähemalt 50% elu- ja äriruumidest, aga mitte mingil juhul selliselt nagu uus kavand hetkel ette näeb. Olukord, kus Teliale kuulub de facto pool turust (tegelikust käibest või klientidest) ning monopol 60%-s elu- ja äriruumides, ei ole püsiv ja tõhus taristupõhine konkurents. </w:t>
      </w:r>
    </w:p>
    <w:p w14:paraId="1BD77D46" w14:textId="77777777" w:rsidR="006644D8" w:rsidRDefault="006644D8" w:rsidP="00FF59AC">
      <w:pPr>
        <w:jc w:val="both"/>
        <w:rPr>
          <w:rFonts w:cs="Times New Roman"/>
          <w:bCs/>
          <w:szCs w:val="24"/>
        </w:rPr>
      </w:pPr>
    </w:p>
    <w:p w14:paraId="509D2283" w14:textId="78B7C6A1" w:rsidR="00A221BB" w:rsidRPr="0033141A" w:rsidRDefault="0033141A" w:rsidP="00E265D7">
      <w:pPr>
        <w:pStyle w:val="Pealkiri2"/>
      </w:pPr>
      <w:bookmarkStart w:id="24" w:name="_Toc182488039"/>
      <w:r w:rsidRPr="0033141A">
        <w:t>TTJA</w:t>
      </w:r>
      <w:bookmarkEnd w:id="24"/>
    </w:p>
    <w:p w14:paraId="161F56DB" w14:textId="77777777" w:rsidR="00E265D7" w:rsidRDefault="00E265D7" w:rsidP="00FF59AC">
      <w:pPr>
        <w:jc w:val="both"/>
        <w:rPr>
          <w:rFonts w:cs="Times New Roman"/>
          <w:bCs/>
          <w:szCs w:val="24"/>
        </w:rPr>
      </w:pPr>
    </w:p>
    <w:p w14:paraId="27C5C61B" w14:textId="7ED28235" w:rsidR="0033141A" w:rsidRDefault="0033141A" w:rsidP="00FF59AC">
      <w:pPr>
        <w:jc w:val="both"/>
        <w:rPr>
          <w:rFonts w:cs="Times New Roman"/>
          <w:bCs/>
          <w:szCs w:val="24"/>
        </w:rPr>
      </w:pPr>
      <w:r>
        <w:rPr>
          <w:rFonts w:cs="Times New Roman"/>
          <w:bCs/>
          <w:szCs w:val="24"/>
        </w:rPr>
        <w:t xml:space="preserve">Elisa </w:t>
      </w:r>
      <w:r w:rsidR="007703AB">
        <w:rPr>
          <w:rFonts w:cs="Times New Roman"/>
          <w:bCs/>
          <w:szCs w:val="24"/>
        </w:rPr>
        <w:t>esitas</w:t>
      </w:r>
      <w:r>
        <w:rPr>
          <w:rFonts w:cs="Times New Roman"/>
          <w:bCs/>
          <w:szCs w:val="24"/>
        </w:rPr>
        <w:t xml:space="preserve"> eeltoodud tagasisides</w:t>
      </w:r>
      <w:r w:rsidR="00E265D7">
        <w:rPr>
          <w:rFonts w:cs="Times New Roman"/>
          <w:bCs/>
          <w:szCs w:val="24"/>
        </w:rPr>
        <w:t xml:space="preserve"> kokkuvõtvalt</w:t>
      </w:r>
      <w:r>
        <w:rPr>
          <w:rFonts w:cs="Times New Roman"/>
          <w:bCs/>
          <w:szCs w:val="24"/>
        </w:rPr>
        <w:t xml:space="preserve"> </w:t>
      </w:r>
      <w:r w:rsidR="007703AB">
        <w:rPr>
          <w:rFonts w:cs="Times New Roman"/>
          <w:bCs/>
          <w:szCs w:val="24"/>
        </w:rPr>
        <w:t>arvamuse</w:t>
      </w:r>
      <w:r>
        <w:rPr>
          <w:rFonts w:cs="Times New Roman"/>
          <w:bCs/>
          <w:szCs w:val="24"/>
        </w:rPr>
        <w:t xml:space="preserve">, et </w:t>
      </w:r>
      <w:r w:rsidR="007675E4">
        <w:rPr>
          <w:rFonts w:cs="Times New Roman"/>
          <w:bCs/>
          <w:szCs w:val="24"/>
        </w:rPr>
        <w:t xml:space="preserve">TTJA 2024 </w:t>
      </w:r>
      <w:r w:rsidR="00D60DD7">
        <w:rPr>
          <w:rFonts w:cs="Times New Roman"/>
          <w:bCs/>
          <w:szCs w:val="24"/>
        </w:rPr>
        <w:t xml:space="preserve">hulgituru 1 ja 3b otsuse kavandis </w:t>
      </w:r>
      <w:r w:rsidR="005A2E72">
        <w:rPr>
          <w:rFonts w:cs="Times New Roman"/>
          <w:bCs/>
          <w:szCs w:val="24"/>
        </w:rPr>
        <w:t>geograafilis</w:t>
      </w:r>
      <w:r w:rsidR="00B84A5D">
        <w:rPr>
          <w:rFonts w:cs="Times New Roman"/>
          <w:bCs/>
          <w:szCs w:val="24"/>
        </w:rPr>
        <w:t>t</w:t>
      </w:r>
      <w:r w:rsidR="005A2E72">
        <w:rPr>
          <w:rFonts w:cs="Times New Roman"/>
          <w:bCs/>
          <w:szCs w:val="24"/>
        </w:rPr>
        <w:t>e üksus</w:t>
      </w:r>
      <w:r w:rsidR="00DE671C">
        <w:rPr>
          <w:rFonts w:cs="Times New Roman"/>
          <w:bCs/>
          <w:szCs w:val="24"/>
        </w:rPr>
        <w:t xml:space="preserve">te </w:t>
      </w:r>
      <w:r w:rsidR="008D0D89">
        <w:rPr>
          <w:rFonts w:cs="Times New Roman"/>
          <w:bCs/>
          <w:szCs w:val="24"/>
        </w:rPr>
        <w:t xml:space="preserve">kõrgema </w:t>
      </w:r>
      <w:r w:rsidR="00FA1F6A">
        <w:rPr>
          <w:rFonts w:cs="Times New Roman"/>
          <w:bCs/>
          <w:szCs w:val="24"/>
        </w:rPr>
        <w:t xml:space="preserve">konkurentsi </w:t>
      </w:r>
      <w:r w:rsidR="00FD59F5">
        <w:rPr>
          <w:rFonts w:cs="Times New Roman"/>
          <w:bCs/>
          <w:szCs w:val="24"/>
        </w:rPr>
        <w:t xml:space="preserve">taseme </w:t>
      </w:r>
      <w:r w:rsidR="009E4C12">
        <w:rPr>
          <w:rFonts w:cs="Times New Roman"/>
          <w:bCs/>
          <w:szCs w:val="24"/>
        </w:rPr>
        <w:t>hindamise</w:t>
      </w:r>
      <w:r w:rsidR="00B84A5D">
        <w:rPr>
          <w:rFonts w:cs="Times New Roman"/>
          <w:bCs/>
          <w:szCs w:val="24"/>
        </w:rPr>
        <w:t>l</w:t>
      </w:r>
      <w:r w:rsidR="009E4C12">
        <w:rPr>
          <w:rFonts w:cs="Times New Roman"/>
          <w:bCs/>
          <w:szCs w:val="24"/>
        </w:rPr>
        <w:t xml:space="preserve"> ja eristamise</w:t>
      </w:r>
      <w:r w:rsidR="00B84A5D">
        <w:rPr>
          <w:rFonts w:cs="Times New Roman"/>
          <w:bCs/>
          <w:szCs w:val="24"/>
        </w:rPr>
        <w:t>l</w:t>
      </w:r>
      <w:r w:rsidR="009E4C12">
        <w:rPr>
          <w:rFonts w:cs="Times New Roman"/>
          <w:bCs/>
          <w:szCs w:val="24"/>
        </w:rPr>
        <w:t xml:space="preserve"> </w:t>
      </w:r>
      <w:r w:rsidR="00B3400E">
        <w:rPr>
          <w:rFonts w:cs="Times New Roman"/>
          <w:bCs/>
          <w:szCs w:val="24"/>
        </w:rPr>
        <w:t>kasutatud</w:t>
      </w:r>
      <w:r w:rsidR="00452382">
        <w:rPr>
          <w:rFonts w:cs="Times New Roman"/>
          <w:bCs/>
          <w:szCs w:val="24"/>
        </w:rPr>
        <w:t xml:space="preserve"> kahe kumulatiivse</w:t>
      </w:r>
      <w:r w:rsidR="00B3400E">
        <w:rPr>
          <w:rFonts w:cs="Times New Roman"/>
          <w:bCs/>
          <w:szCs w:val="24"/>
        </w:rPr>
        <w:t xml:space="preserve"> </w:t>
      </w:r>
      <w:r w:rsidR="005978ED">
        <w:rPr>
          <w:rFonts w:cs="Times New Roman"/>
          <w:bCs/>
          <w:szCs w:val="24"/>
        </w:rPr>
        <w:t>kriteeriumi</w:t>
      </w:r>
      <w:r w:rsidR="009A5169">
        <w:rPr>
          <w:rFonts w:cs="Times New Roman"/>
          <w:bCs/>
          <w:szCs w:val="24"/>
        </w:rPr>
        <w:t xml:space="preserve"> (kriteerium 1</w:t>
      </w:r>
      <w:r w:rsidR="0076188A">
        <w:rPr>
          <w:rFonts w:cs="Times New Roman"/>
          <w:bCs/>
          <w:szCs w:val="24"/>
        </w:rPr>
        <w:t>:</w:t>
      </w:r>
      <w:r w:rsidR="009A5169">
        <w:rPr>
          <w:rFonts w:cs="Times New Roman"/>
          <w:bCs/>
          <w:szCs w:val="24"/>
        </w:rPr>
        <w:t xml:space="preserve"> Telia jaetasandi turuosa</w:t>
      </w:r>
      <w:r w:rsidR="00276928">
        <w:rPr>
          <w:rFonts w:cs="Times New Roman"/>
          <w:bCs/>
          <w:szCs w:val="24"/>
        </w:rPr>
        <w:t xml:space="preserve"> määr</w:t>
      </w:r>
      <w:r w:rsidR="007363E2">
        <w:rPr>
          <w:rFonts w:cs="Times New Roman"/>
          <w:bCs/>
          <w:szCs w:val="24"/>
        </w:rPr>
        <w:t xml:space="preserve"> alla 50%</w:t>
      </w:r>
      <w:r w:rsidR="007363E2">
        <w:rPr>
          <w:rFonts w:cs="Times New Roman"/>
          <w:bCs/>
          <w:szCs w:val="24"/>
        </w:rPr>
        <w:noBreakHyphen/>
        <w:t>i</w:t>
      </w:r>
      <w:r w:rsidR="0076188A">
        <w:rPr>
          <w:rFonts w:cs="Times New Roman"/>
          <w:bCs/>
          <w:szCs w:val="24"/>
        </w:rPr>
        <w:t>,</w:t>
      </w:r>
      <w:r w:rsidR="009A5169">
        <w:rPr>
          <w:rFonts w:cs="Times New Roman"/>
          <w:bCs/>
          <w:szCs w:val="24"/>
        </w:rPr>
        <w:t xml:space="preserve"> kriteerium 2</w:t>
      </w:r>
      <w:r w:rsidR="0076188A">
        <w:rPr>
          <w:rFonts w:cs="Times New Roman"/>
          <w:bCs/>
          <w:szCs w:val="24"/>
        </w:rPr>
        <w:t>:</w:t>
      </w:r>
      <w:r w:rsidR="009A5169">
        <w:rPr>
          <w:rFonts w:cs="Times New Roman"/>
          <w:bCs/>
          <w:szCs w:val="24"/>
        </w:rPr>
        <w:t xml:space="preserve"> </w:t>
      </w:r>
      <w:r w:rsidR="00BD51A0">
        <w:rPr>
          <w:rFonts w:cs="Times New Roman"/>
          <w:bCs/>
          <w:szCs w:val="24"/>
        </w:rPr>
        <w:t xml:space="preserve">kahe internetiühendusega </w:t>
      </w:r>
      <w:r w:rsidR="006625F2">
        <w:rPr>
          <w:rFonts w:cs="Times New Roman"/>
          <w:bCs/>
          <w:szCs w:val="24"/>
        </w:rPr>
        <w:t>kaetud elu- ja mitteeluruumid</w:t>
      </w:r>
      <w:r w:rsidR="00276928">
        <w:rPr>
          <w:rFonts w:cs="Times New Roman"/>
          <w:bCs/>
          <w:szCs w:val="24"/>
        </w:rPr>
        <w:t>e määr</w:t>
      </w:r>
      <w:r w:rsidR="007363E2">
        <w:rPr>
          <w:rFonts w:cs="Times New Roman"/>
          <w:bCs/>
          <w:szCs w:val="24"/>
        </w:rPr>
        <w:t xml:space="preserve"> vähemalt 40%</w:t>
      </w:r>
      <w:r w:rsidR="007363E2">
        <w:rPr>
          <w:rFonts w:cs="Times New Roman"/>
          <w:bCs/>
          <w:szCs w:val="24"/>
        </w:rPr>
        <w:noBreakHyphen/>
        <w:t>i</w:t>
      </w:r>
      <w:r w:rsidR="008E0F7A">
        <w:rPr>
          <w:rFonts w:cs="Times New Roman"/>
          <w:bCs/>
          <w:szCs w:val="24"/>
        </w:rPr>
        <w:t>)</w:t>
      </w:r>
      <w:r w:rsidR="005978ED">
        <w:rPr>
          <w:rFonts w:cs="Times New Roman"/>
          <w:bCs/>
          <w:szCs w:val="24"/>
        </w:rPr>
        <w:t xml:space="preserve"> </w:t>
      </w:r>
      <w:r w:rsidR="00853CBE">
        <w:rPr>
          <w:rFonts w:cs="Times New Roman"/>
          <w:bCs/>
          <w:szCs w:val="24"/>
        </w:rPr>
        <w:lastRenderedPageBreak/>
        <w:t xml:space="preserve">lävendid </w:t>
      </w:r>
      <w:r w:rsidR="003C5543">
        <w:rPr>
          <w:rFonts w:cs="Times New Roman"/>
          <w:bCs/>
          <w:szCs w:val="24"/>
        </w:rPr>
        <w:t xml:space="preserve">põhinevad </w:t>
      </w:r>
      <w:r w:rsidR="003C5543" w:rsidRPr="00DA771A">
        <w:rPr>
          <w:rFonts w:cs="Times New Roman"/>
          <w:bCs/>
          <w:szCs w:val="24"/>
        </w:rPr>
        <w:t xml:space="preserve">EL-i sidekoodeksi ja ESS-i ebaõigel kohaldamisel ning ka Eesti konkurentsiõiguse </w:t>
      </w:r>
      <w:r w:rsidR="00F003A1" w:rsidRPr="00DA771A">
        <w:rPr>
          <w:rFonts w:cs="Times New Roman"/>
          <w:bCs/>
          <w:szCs w:val="24"/>
        </w:rPr>
        <w:t>ebaõigel kohaldamisel või sootuks kohaldamata</w:t>
      </w:r>
      <w:r w:rsidR="008E0F7A">
        <w:rPr>
          <w:rFonts w:cs="Times New Roman"/>
          <w:bCs/>
          <w:szCs w:val="24"/>
        </w:rPr>
        <w:t>.</w:t>
      </w:r>
    </w:p>
    <w:p w14:paraId="33FC4BC5" w14:textId="60246059" w:rsidR="00306022" w:rsidRDefault="00306022" w:rsidP="00306022">
      <w:pPr>
        <w:jc w:val="both"/>
      </w:pPr>
      <w:r>
        <w:t xml:space="preserve">Sissejuhatavalt selgitame, et otsuse kavandis toodud termineid „kõrgema konkurentsi </w:t>
      </w:r>
      <w:r w:rsidR="007363E2">
        <w:t>tunnustega</w:t>
      </w:r>
      <w:r>
        <w:t xml:space="preserve"> geograafiline üksus“ ja „madalama konkurentsi t</w:t>
      </w:r>
      <w:r w:rsidR="007363E2">
        <w:t>unnustega</w:t>
      </w:r>
      <w:r>
        <w:t xml:space="preserve"> geograafiline üksus“ kasutatakse eesmärgiga võrrelda geograafiliste üksustes eksisteerivaid konkurentsi tasemeid ning need ei tähenda, et kõrgema </w:t>
      </w:r>
      <w:r w:rsidR="007363E2">
        <w:t xml:space="preserve">konkurentsi </w:t>
      </w:r>
      <w:r>
        <w:t>t</w:t>
      </w:r>
      <w:r w:rsidR="007363E2">
        <w:t>unnustega</w:t>
      </w:r>
      <w:r>
        <w:t xml:space="preserve"> geograafilises üksuses valitseb väga tõhus ja kõrge konkurents või madalama </w:t>
      </w:r>
      <w:r w:rsidR="007363E2">
        <w:t>konkurentsi tunnustega</w:t>
      </w:r>
      <w:r>
        <w:t xml:space="preserve"> geograafilises üksuses konkurents puudub täielikult. Täpsem oleks kasutada termini „kõrgema konkurentsi </w:t>
      </w:r>
      <w:r w:rsidR="007363E2">
        <w:t xml:space="preserve">tunnusega </w:t>
      </w:r>
      <w:r>
        <w:t xml:space="preserve">geograafiline üksus“ asemel terminit „geograafiline üksus, mis pigem kaldub tõhusa </w:t>
      </w:r>
      <w:r w:rsidR="00CC23CE">
        <w:t xml:space="preserve">ja jätkusuutliku </w:t>
      </w:r>
      <w:r>
        <w:t xml:space="preserve">konkurentsi poole ja mille puhul tuleks võimalusel peale täiendavat analüüsi (kolme kriteeriumi test) loobuda/mitte rakendada valdkonnaspetsiifilist regulatsiooni hulgiteenuste tasandil“ ja termini „madalama konkurentsi </w:t>
      </w:r>
      <w:r w:rsidR="007363E2">
        <w:t>tunnustega</w:t>
      </w:r>
      <w:r>
        <w:t xml:space="preserve"> geograafilise üksus“ asemel terminit „geograafiline üksus, mis pigem ei kaldu tõhusa </w:t>
      </w:r>
      <w:r w:rsidR="00CC23CE">
        <w:t xml:space="preserve">ja jätkusuutliku </w:t>
      </w:r>
      <w:r>
        <w:t xml:space="preserve">konkurentsi poole ja mille puhul tuleks võimalusel peale täiendavat analüüsi (kolme kriteeriumi test) rakendada valdkonnaspetsiifilist regulatsiooni hulgiteenuste tasandil“, kuid selliste terminite rakendamine teeks analüüsi kohmakaks ja raskesti jälgitavaks. TTJA lisab vastava selgituse ka otsuse eelnõu lisa </w:t>
      </w:r>
      <w:r w:rsidR="00204E06">
        <w:t>1</w:t>
      </w:r>
      <w:r>
        <w:t xml:space="preserve"> </w:t>
      </w:r>
      <w:r w:rsidR="00735C9A">
        <w:t>ptk.-</w:t>
      </w:r>
      <w:r>
        <w:t>i</w:t>
      </w:r>
      <w:r w:rsidR="009E3561" w:rsidRPr="009E3561">
        <w:t xml:space="preserve"> </w:t>
      </w:r>
      <w:r w:rsidR="009E3561">
        <w:t xml:space="preserve"> </w:t>
      </w:r>
      <w:r w:rsidR="009E3561" w:rsidRPr="009E3561">
        <w:t>2.3.3</w:t>
      </w:r>
      <w:r w:rsidR="009E3561">
        <w:t xml:space="preserve"> „</w:t>
      </w:r>
      <w:r w:rsidR="009E3561" w:rsidRPr="009E3561">
        <w:t>Geograafilistes üksuste konkurentsitingimuste hindamise ning eristamise näitajad ja lävendid</w:t>
      </w:r>
      <w:r w:rsidR="009E3561">
        <w:t>“</w:t>
      </w:r>
      <w:r>
        <w:t>.</w:t>
      </w:r>
    </w:p>
    <w:p w14:paraId="70F3933D" w14:textId="2BBFB7B4" w:rsidR="00306022" w:rsidRDefault="00306022" w:rsidP="00306022">
      <w:pPr>
        <w:jc w:val="both"/>
      </w:pPr>
      <w:r>
        <w:t>Jaeturu geograafiliste üksuste piiritlemine on esitatud otsuse kavandis 2.3.2 „</w:t>
      </w:r>
      <w:r w:rsidRPr="003B4FBC">
        <w:rPr>
          <w:i/>
          <w:iCs/>
        </w:rPr>
        <w:t>Geograafiliste üksuste piiritlemine</w:t>
      </w:r>
      <w:r>
        <w:t>“ (Eesti maismaa territoorium jagati 48-ks geograafiliseks üksuseks). Seejärel on otsuse kavandi peatükis 2.3.3 „</w:t>
      </w:r>
      <w:r w:rsidRPr="003B4FBC">
        <w:rPr>
          <w:i/>
          <w:iCs/>
        </w:rPr>
        <w:t xml:space="preserve">Geograafilistes üksuste konkurentsitingimuste hindamise </w:t>
      </w:r>
      <w:r>
        <w:rPr>
          <w:i/>
          <w:iCs/>
        </w:rPr>
        <w:t>ning</w:t>
      </w:r>
      <w:r w:rsidRPr="003B4FBC">
        <w:rPr>
          <w:i/>
          <w:iCs/>
        </w:rPr>
        <w:t xml:space="preserve"> eristamise näitajad </w:t>
      </w:r>
      <w:r>
        <w:rPr>
          <w:i/>
          <w:iCs/>
        </w:rPr>
        <w:t>ja</w:t>
      </w:r>
      <w:r w:rsidRPr="003B4FBC">
        <w:rPr>
          <w:i/>
          <w:iCs/>
        </w:rPr>
        <w:t xml:space="preserve"> lävendid</w:t>
      </w:r>
      <w:r>
        <w:t xml:space="preserve">“ esitatud konkurentsi hindamise näitajad ja lävendid, mille alusel </w:t>
      </w:r>
      <w:r w:rsidR="007363E2">
        <w:t xml:space="preserve">koondatakse sarnased üksused ja </w:t>
      </w:r>
      <w:r>
        <w:t>an</w:t>
      </w:r>
      <w:r w:rsidR="007363E2">
        <w:t>t</w:t>
      </w:r>
      <w:r>
        <w:t>a</w:t>
      </w:r>
      <w:r w:rsidR="007363E2">
        <w:t>kse</w:t>
      </w:r>
      <w:r>
        <w:t xml:space="preserve"> esialgne hinnang, kas jaetur</w:t>
      </w:r>
      <w:r w:rsidR="007363E2">
        <w:t>u</w:t>
      </w:r>
      <w:r>
        <w:t xml:space="preserve"> geograafilise üksuses kaldub tõhusa </w:t>
      </w:r>
      <w:r w:rsidR="007E69E4">
        <w:t xml:space="preserve">ja jätkusuutliku </w:t>
      </w:r>
      <w:r>
        <w:t>konkurentsi poole või mitte (sh eelnimetatud kriteerium</w:t>
      </w:r>
      <w:r w:rsidR="007363E2">
        <w:t>ite</w:t>
      </w:r>
      <w:r>
        <w:t xml:space="preserve"> 1 ja 2</w:t>
      </w:r>
      <w:r w:rsidR="007363E2">
        <w:t xml:space="preserve"> alusel</w:t>
      </w:r>
      <w:r>
        <w:t>). Järgnevalt on peatükis 2.3.</w:t>
      </w:r>
      <w:r w:rsidR="007363E2">
        <w:t>4</w:t>
      </w:r>
      <w:r w:rsidRPr="003928D9">
        <w:t xml:space="preserve"> </w:t>
      </w:r>
      <w:r>
        <w:t>„</w:t>
      </w:r>
      <w:bookmarkStart w:id="25" w:name="_Hlk171334676"/>
      <w:bookmarkStart w:id="26" w:name="_Toc170888954"/>
      <w:bookmarkStart w:id="27" w:name="_Toc174710739"/>
      <w:bookmarkStart w:id="28" w:name="_Hlk150854436"/>
      <w:r w:rsidR="007363E2" w:rsidRPr="007363E2">
        <w:rPr>
          <w:bCs/>
          <w:i/>
          <w:iCs/>
        </w:rPr>
        <w:t xml:space="preserve">Vaskkaabli- ja mobiilsidevõrgu jae internetiühenduste tooteturu </w:t>
      </w:r>
      <w:bookmarkEnd w:id="25"/>
      <w:r w:rsidR="007363E2" w:rsidRPr="007363E2">
        <w:rPr>
          <w:bCs/>
          <w:i/>
          <w:iCs/>
        </w:rPr>
        <w:t>geograafilise üksuste rühmitamine ja geograafilise piirkonna piiritlemine</w:t>
      </w:r>
      <w:bookmarkEnd w:id="26"/>
      <w:bookmarkEnd w:id="27"/>
      <w:bookmarkEnd w:id="28"/>
      <w:r>
        <w:t>“ ja peatükis 2.3.</w:t>
      </w:r>
      <w:r w:rsidR="007363E2">
        <w:t>5</w:t>
      </w:r>
      <w:r>
        <w:t xml:space="preserve"> „</w:t>
      </w:r>
      <w:r w:rsidR="007363E2" w:rsidRPr="007363E2">
        <w:rPr>
          <w:i/>
          <w:iCs/>
        </w:rPr>
        <w:t>Valguskaabelvõrgu jae internetiühenduste tooteturu geograafiliste üksuste rühmitamine ja geograafilise piirkonna piiritlemine</w:t>
      </w:r>
      <w:r>
        <w:t xml:space="preserve">“ rakendatud nimetatud </w:t>
      </w:r>
      <w:r w:rsidR="002163C7">
        <w:t xml:space="preserve">eelnimetatud </w:t>
      </w:r>
      <w:r w:rsidR="007363E2">
        <w:t>kriteeriume</w:t>
      </w:r>
      <w:r w:rsidR="002163C7">
        <w:t xml:space="preserve"> 1 ja 2</w:t>
      </w:r>
      <w:r>
        <w:t xml:space="preserve"> eesmärgiga </w:t>
      </w:r>
      <w:r w:rsidR="002163C7">
        <w:t xml:space="preserve">eristada ja </w:t>
      </w:r>
      <w:r>
        <w:t xml:space="preserve">koondada sarnaste konkurentsi näitajate ja lävendidega geograafilised üksused vastavalt kas „kõrgema konkurentsi </w:t>
      </w:r>
      <w:r w:rsidR="002163C7">
        <w:t>tunnustega</w:t>
      </w:r>
      <w:r>
        <w:t xml:space="preserve"> geograafilise piirkonda“ (nimetatakse ka A piirkond) või „madalama konkurentsi </w:t>
      </w:r>
      <w:r w:rsidR="002163C7">
        <w:t>tunnustega</w:t>
      </w:r>
      <w:r>
        <w:t xml:space="preserve"> geograafilisse piirkonda“ (nimetatakse ka B piirkond). A piirkonnas on geograafilised üksused, kus jaeturg pigem kaldub tõhusa </w:t>
      </w:r>
      <w:r w:rsidR="009B7EF3">
        <w:t xml:space="preserve">ja jätkusuutliku </w:t>
      </w:r>
      <w:r>
        <w:t xml:space="preserve">konkurentsi poole </w:t>
      </w:r>
      <w:r w:rsidRPr="0080563C">
        <w:t>ja mille puhul tuleks võimalusel peale täiendavat analüüsi (kolme kriteeriumi test) loobuda/mitte rakendada valdkonnaspetsiifilist regulatsiooni hulgiteenuste tasandil</w:t>
      </w:r>
      <w:r>
        <w:t xml:space="preserve">. B piirkonnas on geograafilised üksused, kus jaeturg pigem ei kaldu tõhusa </w:t>
      </w:r>
      <w:r w:rsidR="009B7EF3">
        <w:t xml:space="preserve">ja jätkusuutliku </w:t>
      </w:r>
      <w:r>
        <w:t>konkurentsi poole ja mille puhul tuleks võimalusel peale täiendavat analüüsi (kolme kriteeriumi test) rakendada valdkonnaspetsiifilist regulatsiooni hulgiteenuste tasandil. Peatükis 3. „Jaeturgude konkurentsi analüüs“ (koos alampeatükkidega), antakse täiendav hinnang selle kohta, kas vastavates geograafiliste piirkondades tuleks kaaluda valdkonnaspetsiifilist regulatsiooni rakendamist või mitte sideettevõtjate turuosade, turule sisenemise tõkete ja tasakaalustava ostujõu alusel. Lõplik valdkonnaspetsiifilise regulatsiooni põhjendatuse analüüs (sh kolme kriteeriumi test) viiakse läbi otsuse kavandi peatükis 5.1 „</w:t>
      </w:r>
      <w:r w:rsidRPr="001436C2">
        <w:rPr>
          <w:i/>
          <w:iCs/>
        </w:rPr>
        <w:t>Hulgituru 1 analüüs jaetasandil</w:t>
      </w:r>
      <w:r>
        <w:t>“ (koos alampeatükkidega) ja peatükis 6.1 „</w:t>
      </w:r>
      <w:r w:rsidRPr="001436C2">
        <w:rPr>
          <w:i/>
          <w:iCs/>
        </w:rPr>
        <w:t>Hulgituru 3b analüüs jaetasandil</w:t>
      </w:r>
      <w:r>
        <w:t xml:space="preserve">“ (koos alampeatükkidega) ning jõutakse järeldusele, et </w:t>
      </w:r>
    </w:p>
    <w:p w14:paraId="4B6480B9" w14:textId="1C3B3F17" w:rsidR="00306022" w:rsidRDefault="00306022" w:rsidP="00306022">
      <w:pPr>
        <w:pStyle w:val="Loendilik"/>
        <w:numPr>
          <w:ilvl w:val="0"/>
          <w:numId w:val="28"/>
        </w:numPr>
        <w:jc w:val="both"/>
      </w:pPr>
      <w:r>
        <w:lastRenderedPageBreak/>
        <w:t>valguskaabelvõrgu B piirkonna internetiühenduste jaeturul</w:t>
      </w:r>
      <w:r w:rsidR="002163C7">
        <w:t xml:space="preserve">, mis koondab </w:t>
      </w:r>
      <w:r>
        <w:t xml:space="preserve">madalama konkurentsi </w:t>
      </w:r>
      <w:r w:rsidR="002163C7">
        <w:t>tunnustega</w:t>
      </w:r>
      <w:r>
        <w:t xml:space="preserve"> geograafilistes üksuse</w:t>
      </w:r>
      <w:r w:rsidR="002163C7">
        <w:t>d,</w:t>
      </w:r>
      <w:r>
        <w:t xml:space="preserve"> puudub piisavalt tõhus konkurents, mistõttu on neile eelnevatel hulgiturgudel 1 ja 3b valdkonnaspetsiifilist regulatsiooni rakendamise edasine analüüs (MTE tuvastamine ja määratlemine ning asjakohaste kohustuste kehtestamine) põhjendatud, </w:t>
      </w:r>
    </w:p>
    <w:p w14:paraId="69AB12E5" w14:textId="2AA43B78" w:rsidR="00306022" w:rsidRDefault="00306022" w:rsidP="00306022">
      <w:pPr>
        <w:pStyle w:val="Loendilik"/>
        <w:numPr>
          <w:ilvl w:val="0"/>
          <w:numId w:val="28"/>
        </w:numPr>
        <w:jc w:val="both"/>
      </w:pPr>
      <w:r>
        <w:t>valguskaablivõrgu internetiühenduste A piirkonna jaeturul, samuti vaskkaabli- ja mobiilsidevõrgu internetiühenduste üleriigilisel jaeturul</w:t>
      </w:r>
      <w:r w:rsidR="002163C7">
        <w:t>, mis koondavad</w:t>
      </w:r>
      <w:r>
        <w:t xml:space="preserve"> kõrgema konkurentsi </w:t>
      </w:r>
      <w:r w:rsidR="002163C7">
        <w:t>tunnustega</w:t>
      </w:r>
      <w:r>
        <w:t xml:space="preserve"> geograafilise</w:t>
      </w:r>
      <w:r w:rsidR="002163C7">
        <w:t>d</w:t>
      </w:r>
      <w:r>
        <w:t xml:space="preserve"> üksus</w:t>
      </w:r>
      <w:r w:rsidR="002163C7">
        <w:t>ed,</w:t>
      </w:r>
      <w:r>
        <w:t xml:space="preserve"> eksisteerib piisavalt tõhus</w:t>
      </w:r>
      <w:r w:rsidR="002163C7">
        <w:t xml:space="preserve"> sidevõrkude vaheline</w:t>
      </w:r>
      <w:r>
        <w:t xml:space="preserve"> konkurents, mistõttu ei ole neile eelnevatel hulgiturgudel 1 ja 3b valdkonnaspetsiifilist regulatsiooni rakendamise edasine analüüs (MTE tuvastamine ja määratlemine ning asjakohaste kohustuste kehtestamine) põhjendatud ning olemasoleva MTE tuleb MTE staatusest ja vastavatest kohustustest vabastada. </w:t>
      </w:r>
    </w:p>
    <w:p w14:paraId="71246F31" w14:textId="77777777" w:rsidR="00F53464" w:rsidRDefault="00F53464" w:rsidP="00FF59AC">
      <w:pPr>
        <w:jc w:val="both"/>
        <w:rPr>
          <w:rFonts w:cs="Times New Roman"/>
          <w:bCs/>
          <w:szCs w:val="24"/>
        </w:rPr>
      </w:pPr>
    </w:p>
    <w:p w14:paraId="296FDFFB" w14:textId="7AA594EB" w:rsidR="000813CC" w:rsidRPr="00DA600A" w:rsidRDefault="000327B3" w:rsidP="000813CC">
      <w:pPr>
        <w:jc w:val="both"/>
      </w:pPr>
      <w:r w:rsidRPr="00DA600A">
        <w:rPr>
          <w:u w:val="single"/>
        </w:rPr>
        <w:t>Valdkonnaspetsiifilise regulatsiooni eesmärgid</w:t>
      </w:r>
      <w:r w:rsidR="00DC256F" w:rsidRPr="00DA600A">
        <w:t>:</w:t>
      </w:r>
    </w:p>
    <w:p w14:paraId="523F9977" w14:textId="42E1D0CF" w:rsidR="000813CC" w:rsidRDefault="000813CC" w:rsidP="000813CC">
      <w:pPr>
        <w:jc w:val="both"/>
      </w:pPr>
      <w:r>
        <w:t xml:space="preserve">Geograafiliste üksuste </w:t>
      </w:r>
      <w:r w:rsidR="00B01997">
        <w:t>rühmitamiseks sarnaste konkurentsi tunnuste alusel tuleb nende</w:t>
      </w:r>
      <w:r>
        <w:t xml:space="preserve"> </w:t>
      </w:r>
      <w:r w:rsidR="00B01997">
        <w:t>tunnuste määratlemisel</w:t>
      </w:r>
      <w:r>
        <w:t xml:space="preserve"> leida tasakaal </w:t>
      </w:r>
      <w:r w:rsidRPr="00B7057B">
        <w:t xml:space="preserve">erinevate </w:t>
      </w:r>
      <w:r>
        <w:t xml:space="preserve">ESS § 134 välja toodud valdkonnaspetsiifilise regulatsiooni </w:t>
      </w:r>
      <w:r w:rsidRPr="00B7057B">
        <w:t>eesmärkide osas</w:t>
      </w:r>
      <w:r>
        <w:t>.</w:t>
      </w:r>
    </w:p>
    <w:p w14:paraId="6CEF445E" w14:textId="77777777" w:rsidR="000813CC" w:rsidRDefault="000813CC" w:rsidP="000813CC">
      <w:pPr>
        <w:jc w:val="both"/>
      </w:pPr>
      <w:r w:rsidRPr="00B7057B">
        <w:t xml:space="preserve"> </w:t>
      </w:r>
      <w:r>
        <w:t>ESS § 40</w:t>
      </w:r>
      <w:r w:rsidRPr="00B7057B">
        <w:t xml:space="preserve"> (4)</w:t>
      </w:r>
      <w:r>
        <w:t>:</w:t>
      </w:r>
      <w:r w:rsidRPr="00B7057B">
        <w:t xml:space="preserve"> Turgude valdkonnaspetsiifilist reguleerimist teostab </w:t>
      </w:r>
      <w:r>
        <w:t>TTJA</w:t>
      </w:r>
      <w:r w:rsidRPr="00B7057B">
        <w:t xml:space="preserve">. </w:t>
      </w:r>
      <w:r>
        <w:t>TTJA</w:t>
      </w:r>
      <w:r w:rsidRPr="00B7057B">
        <w:t xml:space="preserve"> peab järgima valdkonnaspetsiifiliste toimingute tegemisel ja meetmete rakendamisel käesoleva seaduse §-s 134 sätestatud üldisi eesmärke</w:t>
      </w:r>
      <w:r>
        <w:t>.</w:t>
      </w:r>
    </w:p>
    <w:p w14:paraId="321EB7B2" w14:textId="77777777" w:rsidR="000813CC" w:rsidRDefault="000813CC" w:rsidP="000813CC">
      <w:pPr>
        <w:jc w:val="both"/>
      </w:pPr>
      <w:r>
        <w:t xml:space="preserve">Üheks ESS § 134 eesmärgiks on suurendada taristupõhist konkurentsi, täpsemalt ESS § 134 lõike 1 kohaselt: </w:t>
      </w:r>
    </w:p>
    <w:p w14:paraId="5F79F0B8" w14:textId="77777777" w:rsidR="000813CC" w:rsidRPr="005958B8" w:rsidRDefault="000813CC" w:rsidP="000813CC">
      <w:pPr>
        <w:ind w:left="708"/>
        <w:jc w:val="both"/>
        <w:rPr>
          <w:i/>
          <w:iCs/>
        </w:rPr>
      </w:pPr>
      <w:r w:rsidRPr="005958B8">
        <w:rPr>
          <w:i/>
          <w:iCs/>
        </w:rPr>
        <w:t>Elektroonilise side valdkonna riikliku korralduse eesmärk on edendada konkurentsi elektroonilise side ja sellega seotud teenuste osutamisel. Nimetatud eesmärgi saavutamine tagatakse muu hulgas sellega, et:</w:t>
      </w:r>
    </w:p>
    <w:p w14:paraId="6414A081" w14:textId="77777777" w:rsidR="000813CC" w:rsidRPr="005958B8" w:rsidRDefault="000813CC" w:rsidP="000813CC">
      <w:pPr>
        <w:ind w:left="708" w:firstLine="57"/>
        <w:jc w:val="both"/>
        <w:rPr>
          <w:i/>
          <w:iCs/>
        </w:rPr>
      </w:pPr>
      <w:r w:rsidRPr="005958B8">
        <w:rPr>
          <w:i/>
          <w:iCs/>
        </w:rPr>
        <w:t xml:space="preserve">1) </w:t>
      </w:r>
      <w:r w:rsidRPr="004C3F9A">
        <w:rPr>
          <w:i/>
          <w:iCs/>
          <w:u w:val="single"/>
        </w:rPr>
        <w:t>kaitstakse kliente</w:t>
      </w:r>
      <w:r w:rsidRPr="005958B8">
        <w:rPr>
          <w:i/>
          <w:iCs/>
        </w:rPr>
        <w:t xml:space="preserve">, sealhulgas erivajadustega inimesi ja eakaid, </w:t>
      </w:r>
      <w:r w:rsidRPr="004C3F9A">
        <w:rPr>
          <w:i/>
          <w:iCs/>
          <w:u w:val="single"/>
        </w:rPr>
        <w:t>eelkõige teenuste valiku, kvaliteedi ja hinna osa</w:t>
      </w:r>
      <w:r w:rsidRPr="005958B8">
        <w:rPr>
          <w:i/>
          <w:iCs/>
        </w:rPr>
        <w:t>s;</w:t>
      </w:r>
    </w:p>
    <w:p w14:paraId="065E50A7" w14:textId="77777777" w:rsidR="000813CC" w:rsidRPr="005958B8" w:rsidRDefault="000813CC" w:rsidP="000813CC">
      <w:pPr>
        <w:jc w:val="both"/>
        <w:rPr>
          <w:i/>
          <w:iCs/>
        </w:rPr>
      </w:pPr>
      <w:r w:rsidRPr="005958B8">
        <w:rPr>
          <w:i/>
          <w:iCs/>
        </w:rPr>
        <w:t xml:space="preserve">  </w:t>
      </w:r>
      <w:r>
        <w:rPr>
          <w:i/>
          <w:iCs/>
        </w:rPr>
        <w:tab/>
      </w:r>
      <w:r w:rsidRPr="005958B8">
        <w:rPr>
          <w:i/>
          <w:iCs/>
        </w:rPr>
        <w:t xml:space="preserve">2) </w:t>
      </w:r>
      <w:r w:rsidRPr="004C3F9A">
        <w:rPr>
          <w:i/>
          <w:iCs/>
          <w:u w:val="single"/>
        </w:rPr>
        <w:t>tõkestatakse sideteenuste turgudel konkurentsi moonutamine või takistamine</w:t>
      </w:r>
      <w:r w:rsidRPr="005958B8">
        <w:rPr>
          <w:i/>
          <w:iCs/>
        </w:rPr>
        <w:t>;</w:t>
      </w:r>
    </w:p>
    <w:p w14:paraId="6B48DDB3" w14:textId="77777777" w:rsidR="000813CC" w:rsidRPr="005958B8" w:rsidRDefault="000813CC" w:rsidP="000813CC">
      <w:pPr>
        <w:ind w:firstLine="708"/>
        <w:jc w:val="both"/>
        <w:rPr>
          <w:i/>
          <w:iCs/>
        </w:rPr>
      </w:pPr>
      <w:r w:rsidRPr="005958B8">
        <w:rPr>
          <w:i/>
          <w:iCs/>
        </w:rPr>
        <w:t>…</w:t>
      </w:r>
    </w:p>
    <w:p w14:paraId="656DFD5B" w14:textId="77777777" w:rsidR="000813CC" w:rsidRDefault="000813CC" w:rsidP="000813CC">
      <w:pPr>
        <w:jc w:val="both"/>
      </w:pPr>
      <w:r>
        <w:t>Samuti on ESS § 134 sätestatud eesmärk, et tuleb toetada sidevõrkude loomist ja arendamist, täpsemalt ESS § 134 lõike 2 kohaselt:</w:t>
      </w:r>
    </w:p>
    <w:p w14:paraId="479D8A76" w14:textId="77777777" w:rsidR="000813CC" w:rsidRDefault="000813CC" w:rsidP="000813CC">
      <w:pPr>
        <w:ind w:left="708"/>
        <w:rPr>
          <w:i/>
          <w:iCs/>
        </w:rPr>
      </w:pPr>
      <w:r w:rsidRPr="004C3F9A">
        <w:rPr>
          <w:i/>
          <w:iCs/>
        </w:rPr>
        <w:t>Elektroonilise side valdkonna riikliku korralduse eesmärk on aidata kaasa sideteenuse turu arengule muu hulgas sellega, et:</w:t>
      </w:r>
      <w:r w:rsidRPr="004C3F9A">
        <w:rPr>
          <w:i/>
          <w:iCs/>
        </w:rPr>
        <w:br/>
        <w:t xml:space="preserve">  1) Euroopa Liidu sees kõrvaldatakse sideteenuste osutamise takistused, </w:t>
      </w:r>
      <w:r w:rsidRPr="000C1F1D">
        <w:rPr>
          <w:i/>
          <w:iCs/>
          <w:u w:val="single"/>
        </w:rPr>
        <w:t>sealhulgas sidevõrkude ja nendega seotud vahendite pakkumise takistused</w:t>
      </w:r>
      <w:r w:rsidRPr="004C3F9A">
        <w:rPr>
          <w:i/>
          <w:iCs/>
        </w:rPr>
        <w:t>;</w:t>
      </w:r>
      <w:r w:rsidRPr="004C3F9A">
        <w:rPr>
          <w:i/>
          <w:iCs/>
        </w:rPr>
        <w:br/>
        <w:t>  2) </w:t>
      </w:r>
      <w:r w:rsidRPr="000C1F1D">
        <w:rPr>
          <w:i/>
          <w:iCs/>
          <w:u w:val="single"/>
        </w:rPr>
        <w:t>toetatakse üleeuroopaliste sidevõrkude loomist ja arendamist</w:t>
      </w:r>
      <w:r w:rsidRPr="004C3F9A">
        <w:rPr>
          <w:i/>
          <w:iCs/>
        </w:rPr>
        <w:t xml:space="preserve"> ning üleeuroopaliste sideteenuste koostalitlusvõimet ja läbivühendatavust;</w:t>
      </w:r>
    </w:p>
    <w:p w14:paraId="01D5BB1F" w14:textId="77777777" w:rsidR="000813CC" w:rsidRPr="004C3F9A" w:rsidRDefault="000813CC" w:rsidP="000813CC">
      <w:pPr>
        <w:ind w:left="708"/>
        <w:rPr>
          <w:i/>
          <w:iCs/>
        </w:rPr>
      </w:pPr>
      <w:r>
        <w:rPr>
          <w:i/>
          <w:iCs/>
        </w:rPr>
        <w:t>…</w:t>
      </w:r>
    </w:p>
    <w:p w14:paraId="7F78371A" w14:textId="77777777" w:rsidR="000813CC" w:rsidRDefault="000813CC" w:rsidP="000813CC">
      <w:pPr>
        <w:jc w:val="both"/>
      </w:pPr>
      <w:r>
        <w:t>Ka ESS § 134 lõikes 4 on välja toodud erinevad põhimõtted, mida tuleb valdkonnaspetsiifilise regulatsiooni rakendamisel rakendada:</w:t>
      </w:r>
    </w:p>
    <w:p w14:paraId="41E6CC0B" w14:textId="77777777" w:rsidR="000813CC" w:rsidRPr="000C1F1D" w:rsidRDefault="000813CC" w:rsidP="000813CC">
      <w:pPr>
        <w:jc w:val="both"/>
        <w:rPr>
          <w:i/>
          <w:iCs/>
        </w:rPr>
      </w:pPr>
      <w:r>
        <w:rPr>
          <w:i/>
          <w:iCs/>
        </w:rPr>
        <w:lastRenderedPageBreak/>
        <w:t>ESS § 134 lõigetes 1-3 sätestatud</w:t>
      </w:r>
      <w:r w:rsidRPr="000C1F1D">
        <w:rPr>
          <w:i/>
          <w:iCs/>
        </w:rPr>
        <w:t xml:space="preserve"> elektroonilise side valdkonna riikliku korralduse eesmärkide saavutamisel järgitakse objektiivseid, läbipaistvaid, mittediskrimineerivaid ja proportsionaalseid reguleerimispõhimõtteid, muu hulgas:</w:t>
      </w:r>
    </w:p>
    <w:p w14:paraId="4E2EAC9E" w14:textId="77777777" w:rsidR="000813CC" w:rsidRPr="000C1F1D" w:rsidRDefault="000813CC" w:rsidP="000813CC">
      <w:pPr>
        <w:ind w:left="708" w:firstLine="57"/>
        <w:jc w:val="both"/>
        <w:rPr>
          <w:i/>
          <w:iCs/>
        </w:rPr>
      </w:pPr>
      <w:r w:rsidRPr="000C1F1D">
        <w:rPr>
          <w:i/>
          <w:iCs/>
        </w:rPr>
        <w:t>1) edendatakse regulatsiooni ettenähtavust, tagades ühetaolise regulatiivse lähenemise ka regulatsiooni muutmise järel;</w:t>
      </w:r>
    </w:p>
    <w:p w14:paraId="6FA11571" w14:textId="77777777" w:rsidR="000813CC" w:rsidRPr="000C1F1D" w:rsidRDefault="000813CC" w:rsidP="000813CC">
      <w:pPr>
        <w:ind w:left="708" w:firstLine="57"/>
        <w:jc w:val="both"/>
        <w:rPr>
          <w:i/>
          <w:iCs/>
        </w:rPr>
      </w:pPr>
      <w:r w:rsidRPr="000C1F1D">
        <w:rPr>
          <w:i/>
          <w:iCs/>
        </w:rPr>
        <w:t>2) tagatakse sideettevõtjate võrdne ja mittediskrimineeriv kohtlemine;</w:t>
      </w:r>
    </w:p>
    <w:p w14:paraId="11C08D69" w14:textId="77777777" w:rsidR="000813CC" w:rsidRPr="000C1F1D" w:rsidRDefault="000813CC" w:rsidP="000813CC">
      <w:pPr>
        <w:ind w:left="708" w:firstLine="57"/>
        <w:jc w:val="both"/>
        <w:rPr>
          <w:i/>
          <w:iCs/>
        </w:rPr>
      </w:pPr>
      <w:r w:rsidRPr="000C1F1D">
        <w:rPr>
          <w:i/>
          <w:iCs/>
        </w:rPr>
        <w:t xml:space="preserve">3) </w:t>
      </w:r>
      <w:r w:rsidRPr="000C1F1D">
        <w:rPr>
          <w:i/>
          <w:iCs/>
          <w:u w:val="single"/>
        </w:rPr>
        <w:t>edendatakse taristupõhist konkurentsi</w:t>
      </w:r>
      <w:r w:rsidRPr="000C1F1D">
        <w:rPr>
          <w:i/>
          <w:iCs/>
        </w:rPr>
        <w:t>;</w:t>
      </w:r>
    </w:p>
    <w:p w14:paraId="22FDA447" w14:textId="77777777" w:rsidR="000813CC" w:rsidRPr="000C1F1D" w:rsidRDefault="000813CC" w:rsidP="000813CC">
      <w:pPr>
        <w:ind w:left="708" w:firstLine="57"/>
        <w:jc w:val="both"/>
        <w:rPr>
          <w:i/>
          <w:iCs/>
        </w:rPr>
      </w:pPr>
      <w:r w:rsidRPr="000C1F1D">
        <w:rPr>
          <w:i/>
          <w:iCs/>
        </w:rPr>
        <w:t xml:space="preserve">4) </w:t>
      </w:r>
      <w:r w:rsidRPr="000C1F1D">
        <w:rPr>
          <w:i/>
          <w:iCs/>
          <w:u w:val="single"/>
        </w:rPr>
        <w:t>soodustatakse sidevõrkudesse ja muudesse elektroonilise side taristu objektidesse investeerimist, toetatakse uuendusi ning kaitstakse investeeringuid</w:t>
      </w:r>
      <w:r w:rsidRPr="000C1F1D">
        <w:rPr>
          <w:i/>
          <w:iCs/>
        </w:rPr>
        <w:t>;</w:t>
      </w:r>
    </w:p>
    <w:p w14:paraId="7793F4EE" w14:textId="77777777" w:rsidR="000813CC" w:rsidRPr="000C1F1D" w:rsidRDefault="000813CC" w:rsidP="000813CC">
      <w:pPr>
        <w:ind w:left="708" w:firstLine="57"/>
        <w:jc w:val="both"/>
        <w:rPr>
          <w:i/>
          <w:iCs/>
          <w:u w:val="single"/>
        </w:rPr>
      </w:pPr>
      <w:r w:rsidRPr="000C1F1D">
        <w:rPr>
          <w:i/>
          <w:iCs/>
        </w:rPr>
        <w:t xml:space="preserve">5) </w:t>
      </w:r>
      <w:r w:rsidRPr="000C1F1D">
        <w:rPr>
          <w:i/>
          <w:iCs/>
          <w:u w:val="single"/>
        </w:rPr>
        <w:t>arvestatakse valitsevat konkurentsi ja lõppkasutajate paiknemise eripära teenustele juurdepääsul;</w:t>
      </w:r>
    </w:p>
    <w:p w14:paraId="0228570F" w14:textId="77777777" w:rsidR="000813CC" w:rsidRPr="000C1F1D" w:rsidRDefault="000813CC" w:rsidP="000813CC">
      <w:pPr>
        <w:ind w:left="708" w:firstLine="57"/>
        <w:jc w:val="both"/>
        <w:rPr>
          <w:i/>
          <w:iCs/>
        </w:rPr>
      </w:pPr>
      <w:r w:rsidRPr="000C1F1D">
        <w:rPr>
          <w:i/>
          <w:iCs/>
        </w:rPr>
        <w:t xml:space="preserve">6) </w:t>
      </w:r>
      <w:r w:rsidRPr="000C1F1D">
        <w:rPr>
          <w:i/>
          <w:iCs/>
          <w:u w:val="single"/>
        </w:rPr>
        <w:t>kehtestatakse käesoleva seaduse viiendas peatükis sätestatud nõudeid ainult tõhusa ja jätkusuutliku konkurentsi puudumisel</w:t>
      </w:r>
      <w:r w:rsidRPr="000C1F1D">
        <w:rPr>
          <w:i/>
          <w:iCs/>
        </w:rPr>
        <w:t>.</w:t>
      </w:r>
    </w:p>
    <w:p w14:paraId="60A09305" w14:textId="77777777" w:rsidR="000813CC" w:rsidRPr="0031463C" w:rsidRDefault="000813CC" w:rsidP="000813CC">
      <w:pPr>
        <w:rPr>
          <w:rFonts w:cs="Times New Roman"/>
          <w:szCs w:val="24"/>
        </w:rPr>
      </w:pPr>
      <w:r>
        <w:rPr>
          <w:rFonts w:cs="Times New Roman"/>
          <w:szCs w:val="24"/>
        </w:rPr>
        <w:t xml:space="preserve">Lisaks on </w:t>
      </w:r>
      <w:r w:rsidRPr="0031463C">
        <w:rPr>
          <w:rFonts w:cs="Times New Roman"/>
          <w:szCs w:val="24"/>
        </w:rPr>
        <w:t>Majandus- ja kommunikatsiooniministeeriumi juhtimisel valminud „Eesti digiühiskonna 2030 arengukavas“</w:t>
      </w:r>
      <w:r w:rsidRPr="0031463C">
        <w:rPr>
          <w:rFonts w:cs="Times New Roman"/>
          <w:szCs w:val="24"/>
          <w:vertAlign w:val="superscript"/>
        </w:rPr>
        <w:footnoteReference w:id="7"/>
      </w:r>
      <w:r w:rsidRPr="0031463C">
        <w:rPr>
          <w:rFonts w:cs="Times New Roman"/>
          <w:szCs w:val="24"/>
        </w:rPr>
        <w:t xml:space="preserve"> seatud eesmärki, et 2030. aastaks on Eestis asukohast sõltumata kättesaadav ülikiire (vähemalt 100 Mbps) internetiühendus, mida saab tõsta kuni väga suure läbilasevõimega (1000 Mbps) kiiruseni.</w:t>
      </w:r>
    </w:p>
    <w:p w14:paraId="0B3505FB" w14:textId="77777777" w:rsidR="000813CC" w:rsidRDefault="000813CC" w:rsidP="000813CC">
      <w:r>
        <w:t>Eelnimetatud eesmärgid võivad</w:t>
      </w:r>
      <w:r w:rsidRPr="008877D2">
        <w:t xml:space="preserve"> üksteist toetada</w:t>
      </w:r>
      <w:r>
        <w:t>,</w:t>
      </w:r>
      <w:r w:rsidRPr="00B3262D">
        <w:t xml:space="preserve"> </w:t>
      </w:r>
      <w:r w:rsidRPr="008877D2">
        <w:t xml:space="preserve">kuid </w:t>
      </w:r>
      <w:r>
        <w:t>mitte tingimata</w:t>
      </w:r>
      <w:r w:rsidRPr="008877D2">
        <w:t xml:space="preserve"> alati. </w:t>
      </w:r>
      <w:r>
        <w:t>Näiteks</w:t>
      </w:r>
      <w:r w:rsidRPr="00B7057B">
        <w:t xml:space="preserve"> </w:t>
      </w:r>
      <w:r>
        <w:t>edendada</w:t>
      </w:r>
      <w:r w:rsidRPr="00B7057B">
        <w:t xml:space="preserve"> jaeturu</w:t>
      </w:r>
      <w:r>
        <w:t>l taristupõhist</w:t>
      </w:r>
      <w:r w:rsidRPr="00B7057B">
        <w:t xml:space="preserve"> konkurentsi</w:t>
      </w:r>
      <w:r>
        <w:t xml:space="preserve">, tähendab ideaalis pürgida olukorra poole, et jaeturul oleks palju oma sidevõrguga sideettevõtjaid ja kellegi turuosa ei ole märkimisväärselt kõrge (nt üle 40%-i). Samas kuna sidevõrkude ehitamine ja rajamine nõuab suuri investeeringuid, mille majanduslikuks tasuvuseks on oluline saavutada piisav mastaabi- ja tihendussääst, siis sageli just väikese turuosaga sideettevõtja ei oma piisavalt mastaabi- ja tihedussäästu, mille baasil jätkuvalt investeerida sidevõrkude rajamisse aina hõredama asustusega piirkondades, vaid pigem on seda võimelised kasumlikult teostama suurema turuosa ja suurema mastaabi- ja tihedussäästuga sideettevõtjad. </w:t>
      </w:r>
    </w:p>
    <w:p w14:paraId="0C332C87" w14:textId="3139B431" w:rsidR="000813CC" w:rsidRPr="001B2818" w:rsidRDefault="000813CC" w:rsidP="000813CC">
      <w:pPr>
        <w:rPr>
          <w:rFonts w:cs="Times New Roman"/>
          <w:szCs w:val="24"/>
          <w:u w:val="single"/>
        </w:rPr>
      </w:pPr>
      <w:r w:rsidRPr="001B2818">
        <w:rPr>
          <w:rFonts w:cs="Times New Roman"/>
          <w:szCs w:val="24"/>
          <w:u w:val="single"/>
        </w:rPr>
        <w:t xml:space="preserve">Eeltoodus tulenevalt tuleb geograafiliste üksuste konkurentsi </w:t>
      </w:r>
      <w:r w:rsidR="00B01997" w:rsidRPr="001B2818">
        <w:rPr>
          <w:rFonts w:cs="Times New Roman"/>
          <w:szCs w:val="24"/>
          <w:u w:val="single"/>
        </w:rPr>
        <w:t>tunnuste</w:t>
      </w:r>
      <w:r w:rsidRPr="001B2818">
        <w:rPr>
          <w:rFonts w:cs="Times New Roman"/>
          <w:szCs w:val="24"/>
          <w:u w:val="single"/>
        </w:rPr>
        <w:t xml:space="preserve"> määramisel</w:t>
      </w:r>
      <w:r w:rsidR="00B01997" w:rsidRPr="001B2818">
        <w:rPr>
          <w:rFonts w:cs="Times New Roman"/>
          <w:szCs w:val="24"/>
          <w:u w:val="single"/>
        </w:rPr>
        <w:t xml:space="preserve"> kasutavate konkurentsi näitajate ja lävendite korral</w:t>
      </w:r>
      <w:r w:rsidRPr="001B2818">
        <w:rPr>
          <w:rFonts w:cs="Times New Roman"/>
          <w:szCs w:val="24"/>
          <w:u w:val="single"/>
        </w:rPr>
        <w:t xml:space="preserve"> leida tasakaal erinevate valdkonnaspetsiifilise regulatsiooni eesmärkide vahel, mis võivad üksteist toetada, kuid mitte tingimata alati.</w:t>
      </w:r>
    </w:p>
    <w:p w14:paraId="6C6121E6" w14:textId="77777777" w:rsidR="00073B43" w:rsidRPr="00B3262D" w:rsidRDefault="00073B43" w:rsidP="000813CC">
      <w:pPr>
        <w:rPr>
          <w:rFonts w:cs="Times New Roman"/>
          <w:b/>
          <w:bCs/>
          <w:szCs w:val="24"/>
        </w:rPr>
      </w:pPr>
    </w:p>
    <w:p w14:paraId="455339E6" w14:textId="0CCA2E6E" w:rsidR="00073B43" w:rsidRPr="0026674B" w:rsidRDefault="00073B43" w:rsidP="00073B43">
      <w:pPr>
        <w:pStyle w:val="Loendilik"/>
        <w:numPr>
          <w:ilvl w:val="0"/>
          <w:numId w:val="25"/>
        </w:numPr>
        <w:jc w:val="both"/>
        <w:rPr>
          <w:rFonts w:cs="Times New Roman"/>
          <w:b/>
          <w:szCs w:val="24"/>
        </w:rPr>
      </w:pPr>
      <w:r w:rsidRPr="0026674B">
        <w:rPr>
          <w:rFonts w:cs="Times New Roman"/>
          <w:b/>
          <w:szCs w:val="24"/>
        </w:rPr>
        <w:t xml:space="preserve">Kriteerium </w:t>
      </w:r>
      <w:r>
        <w:rPr>
          <w:rFonts w:cs="Times New Roman"/>
          <w:b/>
          <w:szCs w:val="24"/>
        </w:rPr>
        <w:t>1</w:t>
      </w:r>
      <w:r w:rsidRPr="0026674B">
        <w:rPr>
          <w:rFonts w:cs="Times New Roman"/>
          <w:b/>
          <w:szCs w:val="24"/>
        </w:rPr>
        <w:t>: geograafili</w:t>
      </w:r>
      <w:r>
        <w:rPr>
          <w:rFonts w:cs="Times New Roman"/>
          <w:b/>
          <w:szCs w:val="24"/>
        </w:rPr>
        <w:t>n</w:t>
      </w:r>
      <w:r w:rsidRPr="0026674B">
        <w:rPr>
          <w:rFonts w:cs="Times New Roman"/>
          <w:b/>
          <w:szCs w:val="24"/>
        </w:rPr>
        <w:t>e üksus määratle</w:t>
      </w:r>
      <w:r>
        <w:rPr>
          <w:rFonts w:cs="Times New Roman"/>
          <w:b/>
          <w:szCs w:val="24"/>
        </w:rPr>
        <w:t>ta</w:t>
      </w:r>
      <w:r w:rsidRPr="0026674B">
        <w:rPr>
          <w:rFonts w:cs="Times New Roman"/>
          <w:b/>
          <w:szCs w:val="24"/>
        </w:rPr>
        <w:t>ks</w:t>
      </w:r>
      <w:r>
        <w:rPr>
          <w:rFonts w:cs="Times New Roman"/>
          <w:b/>
          <w:szCs w:val="24"/>
        </w:rPr>
        <w:t>e</w:t>
      </w:r>
      <w:r w:rsidRPr="0026674B">
        <w:rPr>
          <w:rFonts w:cs="Times New Roman"/>
          <w:b/>
          <w:szCs w:val="24"/>
        </w:rPr>
        <w:t xml:space="preserve"> kõrgema konkurentsi </w:t>
      </w:r>
      <w:r>
        <w:rPr>
          <w:rFonts w:cs="Times New Roman"/>
          <w:b/>
          <w:szCs w:val="24"/>
        </w:rPr>
        <w:t>tunnustega,</w:t>
      </w:r>
      <w:r w:rsidRPr="0026674B">
        <w:rPr>
          <w:rFonts w:cs="Times New Roman"/>
          <w:b/>
          <w:szCs w:val="24"/>
        </w:rPr>
        <w:t xml:space="preserve">  kui seal on vähemalt </w:t>
      </w:r>
      <w:bookmarkStart w:id="29" w:name="_Hlk119659292"/>
      <w:r w:rsidRPr="0026674B">
        <w:rPr>
          <w:rFonts w:cs="Times New Roman"/>
          <w:b/>
          <w:szCs w:val="24"/>
        </w:rPr>
        <w:t xml:space="preserve">kahe (2) erineva sideettevõtja internetiühenduse </w:t>
      </w:r>
      <w:r>
        <w:rPr>
          <w:rFonts w:cs="Times New Roman"/>
          <w:b/>
          <w:szCs w:val="24"/>
        </w:rPr>
        <w:t xml:space="preserve">kasutamise ehk liitumise </w:t>
      </w:r>
      <w:r w:rsidRPr="0026674B">
        <w:rPr>
          <w:rFonts w:cs="Times New Roman"/>
          <w:b/>
          <w:szCs w:val="24"/>
        </w:rPr>
        <w:t>võimalusega kaetud minimaalselt 40%</w:t>
      </w:r>
      <w:r>
        <w:rPr>
          <w:rFonts w:cs="Times New Roman"/>
          <w:b/>
          <w:szCs w:val="24"/>
        </w:rPr>
        <w:t xml:space="preserve"> </w:t>
      </w:r>
      <w:r w:rsidRPr="0026674B">
        <w:rPr>
          <w:rFonts w:cs="Times New Roman"/>
          <w:b/>
          <w:szCs w:val="24"/>
        </w:rPr>
        <w:t>elu- ja mitteeluruumide</w:t>
      </w:r>
      <w:r>
        <w:rPr>
          <w:rFonts w:cs="Times New Roman"/>
          <w:b/>
          <w:szCs w:val="24"/>
        </w:rPr>
        <w:t>st</w:t>
      </w:r>
      <w:bookmarkEnd w:id="29"/>
      <w:r>
        <w:rPr>
          <w:rFonts w:cs="Times New Roman"/>
          <w:b/>
          <w:szCs w:val="24"/>
        </w:rPr>
        <w:t>.</w:t>
      </w:r>
    </w:p>
    <w:p w14:paraId="24E1069F" w14:textId="77777777" w:rsidR="00073B43" w:rsidRDefault="00073B43" w:rsidP="00073B43">
      <w:pPr>
        <w:pStyle w:val="Loendilik"/>
        <w:jc w:val="both"/>
        <w:rPr>
          <w:rFonts w:cs="Times New Roman"/>
          <w:szCs w:val="24"/>
        </w:rPr>
      </w:pPr>
    </w:p>
    <w:p w14:paraId="67C7C1F9" w14:textId="4363E2AA" w:rsidR="00073B43" w:rsidRDefault="00073B43" w:rsidP="00073B43">
      <w:pPr>
        <w:jc w:val="both"/>
        <w:rPr>
          <w:rFonts w:cs="Times New Roman"/>
          <w:bCs/>
          <w:szCs w:val="24"/>
        </w:rPr>
      </w:pPr>
      <w:r w:rsidRPr="0026674B">
        <w:rPr>
          <w:rFonts w:cs="Times New Roman"/>
          <w:szCs w:val="24"/>
        </w:rPr>
        <w:t>Elisa hinnangul on see ebaõige, kuna k</w:t>
      </w:r>
      <w:r w:rsidRPr="0026674B">
        <w:rPr>
          <w:rFonts w:cs="Times New Roman"/>
          <w:bCs/>
          <w:szCs w:val="24"/>
        </w:rPr>
        <w:t xml:space="preserve">asutatud määr 40% ei ole piisavalt põhjendatud. </w:t>
      </w:r>
    </w:p>
    <w:p w14:paraId="756960D8" w14:textId="77777777" w:rsidR="00073B43" w:rsidRDefault="00073B43" w:rsidP="00073B43">
      <w:pPr>
        <w:jc w:val="both"/>
        <w:rPr>
          <w:rFonts w:cs="Times New Roman"/>
          <w:bCs/>
          <w:szCs w:val="24"/>
        </w:rPr>
      </w:pPr>
    </w:p>
    <w:p w14:paraId="66B5342E" w14:textId="77777777" w:rsidR="00073B43" w:rsidRPr="00A5674C" w:rsidRDefault="00073B43" w:rsidP="00073B43">
      <w:pPr>
        <w:jc w:val="both"/>
        <w:rPr>
          <w:rFonts w:cs="Times New Roman"/>
          <w:b/>
          <w:szCs w:val="24"/>
        </w:rPr>
      </w:pPr>
      <w:r w:rsidRPr="00A5674C">
        <w:rPr>
          <w:rFonts w:cs="Times New Roman"/>
          <w:b/>
          <w:szCs w:val="24"/>
        </w:rPr>
        <w:lastRenderedPageBreak/>
        <w:t>TTJA</w:t>
      </w:r>
      <w:r>
        <w:rPr>
          <w:rFonts w:cs="Times New Roman"/>
          <w:b/>
          <w:szCs w:val="24"/>
        </w:rPr>
        <w:t xml:space="preserve"> selgitused</w:t>
      </w:r>
    </w:p>
    <w:p w14:paraId="509FB056" w14:textId="5B2FDCA8" w:rsidR="00073B43" w:rsidRDefault="00073B43" w:rsidP="00073B43">
      <w:r>
        <w:t>TTJA 2024 STJ hulgituru otsuse kavandi Tabelis 8 on teistes Euroopa riikides kasutatud alternatiivsete sidevõrkude katvuse lävendid osaliselt suuremad, kui „Kriteeriumis 1“ kasutatud 40%, kuid tuleb arvestada, et „Kriteeriumis 1“ on võetud aluseks nii nimetatud paralleelsete internetiühenduste katvus, kuid Tabelis 8 on suures osas esitatud alternatiivsete sideettevõtjate sidevõrkude kumulatiivne katvus ehk seal ei eeldata, et need ühenduse on paralleelsed. Kumulatiivne katvus on üldjuhul suurem kui paralleelne katvus ehk „Kriteeriumi 1“ korral võib eeldada, et kui geograafilises üksuses esineb 40%-</w:t>
      </w:r>
      <w:proofErr w:type="spellStart"/>
      <w:r>
        <w:t>ne</w:t>
      </w:r>
      <w:proofErr w:type="spellEnd"/>
      <w:r>
        <w:t xml:space="preserve"> internetiühenduste paralleelne katvus, siis kumulatiivne katvus on seal veelgi suurem.</w:t>
      </w:r>
    </w:p>
    <w:p w14:paraId="193CB51A" w14:textId="56621E65" w:rsidR="00073B43" w:rsidRPr="00175B55" w:rsidRDefault="00073B43" w:rsidP="00073B43">
      <w:pPr>
        <w:rPr>
          <w:u w:val="single"/>
        </w:rPr>
      </w:pPr>
      <w:r w:rsidRPr="00175B55">
        <w:rPr>
          <w:u w:val="single"/>
        </w:rPr>
        <w:t>Eeltoodust tulenevalt ei saa väita, et „Kriteerium 1“ korral oleks tegemist madala lävendiga võrreldes teiste Euroopa sideturu regulaatorite kasutatud vastavate lävendidega, pigem on tegemist keskpärase ehk tavapärase lävendiga.</w:t>
      </w:r>
    </w:p>
    <w:p w14:paraId="48FC6276" w14:textId="77777777" w:rsidR="00073B43" w:rsidRDefault="00073B43" w:rsidP="00073B43">
      <w:pPr>
        <w:jc w:val="both"/>
      </w:pPr>
    </w:p>
    <w:p w14:paraId="155A35AA" w14:textId="129290BA" w:rsidR="00073B43" w:rsidRDefault="00073B43" w:rsidP="00073B43">
      <w:pPr>
        <w:jc w:val="both"/>
      </w:pPr>
      <w:r>
        <w:t xml:space="preserve"> „Kriteeriumi 1“ eesmärk on leida tasakaal </w:t>
      </w:r>
      <w:r w:rsidRPr="00B7057B">
        <w:t xml:space="preserve">erinevate </w:t>
      </w:r>
      <w:r>
        <w:t xml:space="preserve">valdkonnaspetsiifilise regulatsiooni </w:t>
      </w:r>
      <w:r w:rsidRPr="00B7057B">
        <w:t xml:space="preserve">eesmärkide täitmise osas, </w:t>
      </w:r>
      <w:r>
        <w:t xml:space="preserve">mis võivad üksteist toetada, kuid mitte tingimata alati. </w:t>
      </w:r>
    </w:p>
    <w:p w14:paraId="0EDB1454" w14:textId="3F090C38" w:rsidR="00073B43" w:rsidRDefault="00073B43" w:rsidP="009B3241">
      <w:pPr>
        <w:rPr>
          <w:rFonts w:cs="Times New Roman"/>
          <w:szCs w:val="24"/>
        </w:rPr>
      </w:pPr>
      <w:r>
        <w:t xml:space="preserve">Mida kõrgem on „Kriteeriumis 1“ kasutatav lävend seda rohkem peab rajama paralleelseid või ainult hulgitasandi juurdepääsuga valguskaablivõrke, et geograafiline üksus liigituks kõrgema konkurentsi tasemega piirkonda, kus tuleks kaaluda hulgitasandil valdkonnaspetsiifiline regulatsiooni mitte kehtestamist. Seega kui see lävend panna kõrgemaks, siis </w:t>
      </w:r>
      <w:r w:rsidR="009B3241">
        <w:t xml:space="preserve">üksustes, kus juba on varasemalt MTE määratud, võib </w:t>
      </w:r>
      <w:r>
        <w:t>alternatiivsetel sideettevõtjatel</w:t>
      </w:r>
      <w:r w:rsidR="009B3241">
        <w:t xml:space="preserve"> </w:t>
      </w:r>
      <w:r>
        <w:t xml:space="preserve">pigem kasvada stiimul rajada majanduslikult tasuvamaid paralleelseid kaabelsidevõrke tiheasustusega piirkondades, kui esmaseid kaabelsidevõrke hõreasustusega aladesse, kuna väheneb võimaluse, et paralleelsete sidevõrkude rajamise tõttu geograafilises üksuses olemasolev MTE sidevõrgule rakenduv valdkonnaspetsiifiline regulatsioon kaoks (lävend on piisavalt kõrge, nt 60%). Seeläbi võib väheneda ka alternatiivsete sideettevõtjate stiimul rajada esmaseid kaabelsidevõrke piirkondadesse, kus need üldse puuduvad (peamiselt hõreasustusega piirkonnade valgetes alades), kuna piiratud ressursside tingimustes ressursside suunamisel pigem paralleelsete internetiühenduste rajamisele jääb vähem ressursse rajada esmaseid internetiühendusi hõreasustusega piirkondade valgetesse aladesse. Seega mida kõrgem on „Kriteeriumi </w:t>
      </w:r>
      <w:r w:rsidR="009B3241">
        <w:t>1</w:t>
      </w:r>
      <w:r>
        <w:t xml:space="preserve">“ konkurentsi näitaja lävend seda suurem võib olla alternatiivsete sideettevõtjate stiimul rajada paralleelseid kaabelsidevõrke (sageli tiheasustatud piirkondadesse), mis võib omakorda vähendada stiimulit rajada kaabelsidevõrke piirkondadesse, kus taolised võrgud puuduvad, peamiselt hõreasustusega piirkondade valgetesse aladesse. </w:t>
      </w:r>
      <w:r w:rsidR="009B3241">
        <w:t xml:space="preserve">Sarnaselt, üksustes kus MTE puudub, võib tõenäoline </w:t>
      </w:r>
      <w:proofErr w:type="spellStart"/>
      <w:r w:rsidR="009B3241">
        <w:t>MTE-l</w:t>
      </w:r>
      <w:proofErr w:type="spellEnd"/>
      <w:r w:rsidR="009B3241">
        <w:t xml:space="preserve"> pigem kasvab stiimul rajada majanduslikult tasuvamaid paralleelseid kaabelsidevõrke tiheasustusega piirkondades, kui esmaseid kaabelsidevõrke hõreasustusega aladesse, kuna väheneb võimaluse, et paralleelsete sidevõrkude rajamise tõttu geograafilises üksuses saavutatakse MTE staatus ja rakenduks valdkonnaspetsiifiline regulatsioon (lävend on piisavalt kõrge, nt 60%).</w:t>
      </w:r>
      <w:r w:rsidR="009B3241" w:rsidRPr="004B608C">
        <w:rPr>
          <w:rFonts w:cs="Times New Roman"/>
          <w:szCs w:val="24"/>
        </w:rPr>
        <w:t xml:space="preserve"> </w:t>
      </w:r>
    </w:p>
    <w:p w14:paraId="1FB02D44" w14:textId="2ACA9F8A" w:rsidR="00F27D86" w:rsidRDefault="00F27D86" w:rsidP="009B3241">
      <w:pPr>
        <w:rPr>
          <w:rFonts w:cs="Times New Roman"/>
          <w:szCs w:val="24"/>
        </w:rPr>
      </w:pPr>
      <w:r>
        <w:rPr>
          <w:rFonts w:cs="Times New Roman"/>
          <w:szCs w:val="24"/>
        </w:rPr>
        <w:t>Kui suurendada kriteeriumi 1 lävendit näiteks 40-lt 50-le %-</w:t>
      </w:r>
      <w:proofErr w:type="spellStart"/>
      <w:r>
        <w:rPr>
          <w:rFonts w:cs="Times New Roman"/>
          <w:szCs w:val="24"/>
        </w:rPr>
        <w:t>le</w:t>
      </w:r>
      <w:proofErr w:type="spellEnd"/>
      <w:r>
        <w:rPr>
          <w:rFonts w:cs="Times New Roman"/>
          <w:szCs w:val="24"/>
        </w:rPr>
        <w:t>, siis väheneks kõrgema konkurentsi tunnustega geograafiliste üksuste arv 10-lt 9-le ja kui 60-le %-</w:t>
      </w:r>
      <w:proofErr w:type="spellStart"/>
      <w:r>
        <w:rPr>
          <w:rFonts w:cs="Times New Roman"/>
          <w:szCs w:val="24"/>
        </w:rPr>
        <w:t>le</w:t>
      </w:r>
      <w:proofErr w:type="spellEnd"/>
      <w:r>
        <w:rPr>
          <w:rFonts w:cs="Times New Roman"/>
          <w:szCs w:val="24"/>
        </w:rPr>
        <w:t xml:space="preserve">, siis 10-lt 7-le, vt otsuse lisa 1 </w:t>
      </w:r>
      <w:r w:rsidR="00735C9A">
        <w:rPr>
          <w:rFonts w:cs="Times New Roman"/>
          <w:szCs w:val="24"/>
        </w:rPr>
        <w:t xml:space="preserve">ptk. </w:t>
      </w:r>
      <w:r>
        <w:rPr>
          <w:rFonts w:cs="Times New Roman"/>
          <w:szCs w:val="24"/>
        </w:rPr>
        <w:t xml:space="preserve">2.3.5 Tabel 9.  Seega ei oma lävendi tõstmine märkimisväärset mõju </w:t>
      </w:r>
      <w:r>
        <w:rPr>
          <w:rFonts w:cs="Times New Roman"/>
          <w:szCs w:val="24"/>
        </w:rPr>
        <w:lastRenderedPageBreak/>
        <w:t>geograafiliste üksuste koondamisel kõrgema või madalama konkurentsi tunnustega piirkondadesse.</w:t>
      </w:r>
    </w:p>
    <w:p w14:paraId="60106521" w14:textId="77777777" w:rsidR="00F27D86" w:rsidRDefault="00F27D86" w:rsidP="009B3241"/>
    <w:p w14:paraId="05A79470" w14:textId="6C359CF2" w:rsidR="00073B43" w:rsidRDefault="00073B43" w:rsidP="00073B43">
      <w:pPr>
        <w:jc w:val="both"/>
        <w:rPr>
          <w:u w:val="single"/>
        </w:rPr>
      </w:pPr>
      <w:r w:rsidRPr="001648C0">
        <w:rPr>
          <w:u w:val="single"/>
        </w:rPr>
        <w:t xml:space="preserve">Eeltoodust tulenevalt peab TTJA „Kriteeriumi </w:t>
      </w:r>
      <w:r w:rsidR="009B3241">
        <w:rPr>
          <w:u w:val="single"/>
        </w:rPr>
        <w:t>1</w:t>
      </w:r>
      <w:r w:rsidRPr="001648C0">
        <w:rPr>
          <w:u w:val="single"/>
        </w:rPr>
        <w:t>“ korral kasutatud konkurentsi näitaja lävendit (</w:t>
      </w:r>
      <w:r>
        <w:rPr>
          <w:u w:val="single"/>
        </w:rPr>
        <w:t>minimaalset</w:t>
      </w:r>
      <w:r w:rsidRPr="001648C0">
        <w:rPr>
          <w:u w:val="single"/>
        </w:rPr>
        <w:t xml:space="preserve"> </w:t>
      </w:r>
      <w:r>
        <w:rPr>
          <w:u w:val="single"/>
        </w:rPr>
        <w:t>4</w:t>
      </w:r>
      <w:r w:rsidRPr="001648C0">
        <w:rPr>
          <w:u w:val="single"/>
        </w:rPr>
        <w:t>0%) mõistlikuks ja põhjendatud tasakaaluks, et ühelt poolt kaitsta lõppkasutajate huve piisava jaeturu konkurentsi osas</w:t>
      </w:r>
      <w:r>
        <w:rPr>
          <w:u w:val="single"/>
        </w:rPr>
        <w:t xml:space="preserve"> (mitme erineva sideettevõtja internet</w:t>
      </w:r>
      <w:r w:rsidR="00F27D86">
        <w:rPr>
          <w:u w:val="single"/>
        </w:rPr>
        <w:t>i</w:t>
      </w:r>
      <w:r>
        <w:rPr>
          <w:u w:val="single"/>
        </w:rPr>
        <w:t>ühenduse kasutamise</w:t>
      </w:r>
      <w:r w:rsidR="00F27D86">
        <w:rPr>
          <w:u w:val="single"/>
        </w:rPr>
        <w:t xml:space="preserve"> ehk </w:t>
      </w:r>
      <w:r>
        <w:rPr>
          <w:u w:val="single"/>
        </w:rPr>
        <w:t>liitumise võimalus)</w:t>
      </w:r>
      <w:r w:rsidRPr="001648C0">
        <w:rPr>
          <w:u w:val="single"/>
        </w:rPr>
        <w:t xml:space="preserve"> ja teiselt poolt lõppkasutajate vajadust tagada elu- ja mitteeluruumide ühendatavus</w:t>
      </w:r>
      <w:r>
        <w:rPr>
          <w:u w:val="single"/>
        </w:rPr>
        <w:t>e võimalus</w:t>
      </w:r>
      <w:r w:rsidRPr="001648C0">
        <w:rPr>
          <w:u w:val="single"/>
        </w:rPr>
        <w:t xml:space="preserve"> </w:t>
      </w:r>
      <w:r>
        <w:rPr>
          <w:u w:val="single"/>
        </w:rPr>
        <w:t>väga suure läbilaskevõimega side</w:t>
      </w:r>
      <w:r w:rsidRPr="001648C0">
        <w:rPr>
          <w:u w:val="single"/>
        </w:rPr>
        <w:t>võrguga ka hõre</w:t>
      </w:r>
      <w:r>
        <w:rPr>
          <w:u w:val="single"/>
        </w:rPr>
        <w:t xml:space="preserve">asustatud </w:t>
      </w:r>
      <w:r w:rsidRPr="001648C0">
        <w:rPr>
          <w:u w:val="single"/>
        </w:rPr>
        <w:t>piirkondades</w:t>
      </w:r>
      <w:r>
        <w:rPr>
          <w:u w:val="single"/>
        </w:rPr>
        <w:t xml:space="preserve"> ehk soodustada sidevõrkude rajamist nn valgetes alades ja selleks tehtavaid investeeringuid</w:t>
      </w:r>
      <w:r w:rsidRPr="001648C0">
        <w:rPr>
          <w:u w:val="single"/>
        </w:rPr>
        <w:t xml:space="preserve">. </w:t>
      </w:r>
    </w:p>
    <w:p w14:paraId="36A96ACE" w14:textId="3AEFE624" w:rsidR="00F27D86" w:rsidRDefault="00F27D86" w:rsidP="00073B43">
      <w:pPr>
        <w:jc w:val="both"/>
        <w:rPr>
          <w:u w:val="single"/>
        </w:rPr>
      </w:pPr>
    </w:p>
    <w:p w14:paraId="1D9C4465" w14:textId="77777777" w:rsidR="00CB09DD" w:rsidRDefault="00CB09DD" w:rsidP="00FF59AC">
      <w:pPr>
        <w:jc w:val="both"/>
        <w:rPr>
          <w:rFonts w:cs="Times New Roman"/>
          <w:bCs/>
          <w:szCs w:val="24"/>
        </w:rPr>
      </w:pPr>
    </w:p>
    <w:p w14:paraId="11891D0B" w14:textId="338954D4" w:rsidR="00A1117E" w:rsidRPr="008E0F7A" w:rsidRDefault="004E371F" w:rsidP="00057731">
      <w:pPr>
        <w:pStyle w:val="Loendilik"/>
        <w:numPr>
          <w:ilvl w:val="0"/>
          <w:numId w:val="25"/>
        </w:numPr>
        <w:jc w:val="both"/>
        <w:rPr>
          <w:rFonts w:cs="Times New Roman"/>
          <w:b/>
          <w:szCs w:val="24"/>
        </w:rPr>
      </w:pPr>
      <w:r w:rsidRPr="008E0F7A">
        <w:rPr>
          <w:rFonts w:cs="Times New Roman"/>
          <w:b/>
          <w:szCs w:val="24"/>
        </w:rPr>
        <w:t>K</w:t>
      </w:r>
      <w:r w:rsidR="00255EF9" w:rsidRPr="008E0F7A">
        <w:rPr>
          <w:rFonts w:cs="Times New Roman"/>
          <w:b/>
          <w:szCs w:val="24"/>
        </w:rPr>
        <w:t>riteerium</w:t>
      </w:r>
      <w:r w:rsidR="00B343FF" w:rsidRPr="008E0F7A">
        <w:rPr>
          <w:rFonts w:cs="Times New Roman"/>
          <w:b/>
          <w:szCs w:val="24"/>
        </w:rPr>
        <w:t xml:space="preserve"> </w:t>
      </w:r>
      <w:r w:rsidR="00073B43">
        <w:rPr>
          <w:rFonts w:cs="Times New Roman"/>
          <w:b/>
          <w:szCs w:val="24"/>
        </w:rPr>
        <w:t>2</w:t>
      </w:r>
      <w:r w:rsidR="00755646" w:rsidRPr="008E0F7A">
        <w:rPr>
          <w:rFonts w:cs="Times New Roman"/>
          <w:b/>
          <w:szCs w:val="24"/>
        </w:rPr>
        <w:t>:</w:t>
      </w:r>
      <w:r w:rsidR="00FB338E" w:rsidRPr="008E0F7A">
        <w:rPr>
          <w:rFonts w:cs="Times New Roman"/>
          <w:b/>
          <w:szCs w:val="24"/>
        </w:rPr>
        <w:t xml:space="preserve"> </w:t>
      </w:r>
      <w:r w:rsidR="00255EF9" w:rsidRPr="008E0F7A">
        <w:rPr>
          <w:rFonts w:cs="Times New Roman"/>
          <w:b/>
          <w:szCs w:val="24"/>
        </w:rPr>
        <w:t>g</w:t>
      </w:r>
      <w:r w:rsidR="007B1BC1" w:rsidRPr="008E0F7A">
        <w:rPr>
          <w:rFonts w:cs="Times New Roman"/>
          <w:b/>
          <w:szCs w:val="24"/>
        </w:rPr>
        <w:t>eograafilise üksus</w:t>
      </w:r>
      <w:r w:rsidR="00E6785C" w:rsidRPr="008E0F7A">
        <w:rPr>
          <w:rFonts w:cs="Times New Roman"/>
          <w:b/>
          <w:szCs w:val="24"/>
        </w:rPr>
        <w:t>e</w:t>
      </w:r>
      <w:r w:rsidR="003B56A5" w:rsidRPr="008E0F7A">
        <w:rPr>
          <w:rFonts w:cs="Times New Roman"/>
          <w:b/>
          <w:szCs w:val="24"/>
        </w:rPr>
        <w:t xml:space="preserve"> määratle</w:t>
      </w:r>
      <w:r w:rsidR="00C503EB">
        <w:rPr>
          <w:rFonts w:cs="Times New Roman"/>
          <w:b/>
          <w:szCs w:val="24"/>
        </w:rPr>
        <w:t>ta</w:t>
      </w:r>
      <w:r w:rsidR="004D2E3F" w:rsidRPr="008E0F7A">
        <w:rPr>
          <w:rFonts w:cs="Times New Roman"/>
          <w:b/>
          <w:szCs w:val="24"/>
        </w:rPr>
        <w:t>ks</w:t>
      </w:r>
      <w:r w:rsidR="00C503EB">
        <w:rPr>
          <w:rFonts w:cs="Times New Roman"/>
          <w:b/>
          <w:szCs w:val="24"/>
        </w:rPr>
        <w:t>e</w:t>
      </w:r>
      <w:r w:rsidR="00255EF9" w:rsidRPr="008E0F7A">
        <w:rPr>
          <w:rFonts w:cs="Times New Roman"/>
          <w:b/>
          <w:szCs w:val="24"/>
        </w:rPr>
        <w:t xml:space="preserve"> </w:t>
      </w:r>
      <w:r w:rsidR="007B1BC1" w:rsidRPr="008E0F7A">
        <w:rPr>
          <w:rFonts w:cs="Times New Roman"/>
          <w:b/>
          <w:szCs w:val="24"/>
        </w:rPr>
        <w:t>k</w:t>
      </w:r>
      <w:r w:rsidR="00FD37C4" w:rsidRPr="008E0F7A">
        <w:rPr>
          <w:rFonts w:cs="Times New Roman"/>
          <w:b/>
          <w:szCs w:val="24"/>
        </w:rPr>
        <w:t>õrgema konkurentsi taseme</w:t>
      </w:r>
      <w:r w:rsidR="003B56A5" w:rsidRPr="008E0F7A">
        <w:rPr>
          <w:rFonts w:cs="Times New Roman"/>
          <w:b/>
          <w:szCs w:val="24"/>
        </w:rPr>
        <w:t>ga</w:t>
      </w:r>
      <w:r w:rsidR="001937EA" w:rsidRPr="008E0F7A">
        <w:rPr>
          <w:rFonts w:cs="Times New Roman"/>
          <w:b/>
          <w:szCs w:val="24"/>
        </w:rPr>
        <w:t xml:space="preserve"> </w:t>
      </w:r>
      <w:r w:rsidR="002A277D" w:rsidRPr="008E0F7A">
        <w:rPr>
          <w:rFonts w:cs="Times New Roman"/>
          <w:b/>
          <w:szCs w:val="24"/>
        </w:rPr>
        <w:t xml:space="preserve"> kui</w:t>
      </w:r>
      <w:r w:rsidR="00FD37C4" w:rsidRPr="008E0F7A">
        <w:rPr>
          <w:rFonts w:cs="Times New Roman"/>
          <w:b/>
          <w:szCs w:val="24"/>
        </w:rPr>
        <w:t xml:space="preserve"> </w:t>
      </w:r>
      <w:r w:rsidR="002A277D" w:rsidRPr="008E0F7A">
        <w:rPr>
          <w:rFonts w:cs="Times New Roman"/>
          <w:b/>
          <w:szCs w:val="24"/>
        </w:rPr>
        <w:t>se</w:t>
      </w:r>
      <w:r w:rsidR="00507EB0" w:rsidRPr="008E0F7A">
        <w:rPr>
          <w:rFonts w:cs="Times New Roman"/>
          <w:b/>
          <w:szCs w:val="24"/>
        </w:rPr>
        <w:t xml:space="preserve">al on </w:t>
      </w:r>
      <w:r w:rsidR="00943719" w:rsidRPr="008E0F7A">
        <w:rPr>
          <w:rFonts w:cs="Times New Roman"/>
          <w:b/>
          <w:szCs w:val="24"/>
        </w:rPr>
        <w:t xml:space="preserve">MTE (Telia) era- ja äriklientide jae internetiühenduste osakaal </w:t>
      </w:r>
      <w:r w:rsidR="00F27D86" w:rsidRPr="008E0F7A">
        <w:rPr>
          <w:rFonts w:cs="Times New Roman"/>
          <w:b/>
          <w:szCs w:val="24"/>
        </w:rPr>
        <w:t>alla 50%</w:t>
      </w:r>
      <w:r w:rsidR="00943719" w:rsidRPr="008E0F7A">
        <w:rPr>
          <w:rFonts w:cs="Times New Roman"/>
          <w:b/>
          <w:szCs w:val="24"/>
        </w:rPr>
        <w:t xml:space="preserve"> </w:t>
      </w:r>
    </w:p>
    <w:p w14:paraId="338C5664" w14:textId="77777777" w:rsidR="005D2125" w:rsidRDefault="005D2125" w:rsidP="005D2125">
      <w:pPr>
        <w:pStyle w:val="Loendilik"/>
        <w:jc w:val="both"/>
        <w:rPr>
          <w:rFonts w:cs="Times New Roman"/>
          <w:bCs/>
          <w:szCs w:val="24"/>
        </w:rPr>
      </w:pPr>
    </w:p>
    <w:p w14:paraId="5EF43F0C" w14:textId="77777777" w:rsidR="00A0056A" w:rsidRPr="008E0F7A" w:rsidRDefault="005D2125" w:rsidP="008E0F7A">
      <w:pPr>
        <w:jc w:val="both"/>
        <w:rPr>
          <w:rFonts w:cs="Times New Roman"/>
          <w:bCs/>
          <w:szCs w:val="24"/>
        </w:rPr>
      </w:pPr>
      <w:r w:rsidRPr="008E0F7A">
        <w:rPr>
          <w:rFonts w:cs="Times New Roman"/>
          <w:bCs/>
          <w:szCs w:val="24"/>
        </w:rPr>
        <w:t xml:space="preserve">Elisa hinnangul on </w:t>
      </w:r>
      <w:r w:rsidR="00945418" w:rsidRPr="008E0F7A">
        <w:rPr>
          <w:rFonts w:cs="Times New Roman"/>
          <w:bCs/>
          <w:szCs w:val="24"/>
        </w:rPr>
        <w:t xml:space="preserve">see ebaõige </w:t>
      </w:r>
      <w:r w:rsidR="00CA69FA" w:rsidRPr="008E0F7A">
        <w:rPr>
          <w:rFonts w:cs="Times New Roman"/>
          <w:bCs/>
          <w:szCs w:val="24"/>
        </w:rPr>
        <w:t xml:space="preserve">kuna, </w:t>
      </w:r>
    </w:p>
    <w:p w14:paraId="54FAA348" w14:textId="6C56A604" w:rsidR="005D2125" w:rsidRDefault="00A0056A" w:rsidP="00A0056A">
      <w:pPr>
        <w:pStyle w:val="Loendilik"/>
        <w:numPr>
          <w:ilvl w:val="0"/>
          <w:numId w:val="26"/>
        </w:numPr>
        <w:jc w:val="both"/>
        <w:rPr>
          <w:rFonts w:cs="Times New Roman"/>
          <w:bCs/>
          <w:szCs w:val="24"/>
        </w:rPr>
      </w:pPr>
      <w:r w:rsidRPr="00A0056A">
        <w:rPr>
          <w:rFonts w:cs="Times New Roman"/>
          <w:bCs/>
          <w:szCs w:val="24"/>
        </w:rPr>
        <w:t xml:space="preserve">EL-i õiguse kohaselt on 50% </w:t>
      </w:r>
      <w:r w:rsidR="00E50546">
        <w:rPr>
          <w:rFonts w:cs="Times New Roman"/>
          <w:bCs/>
          <w:szCs w:val="24"/>
        </w:rPr>
        <w:t xml:space="preserve">ja suurem </w:t>
      </w:r>
      <w:r w:rsidRPr="00A0056A">
        <w:rPr>
          <w:rFonts w:cs="Times New Roman"/>
          <w:bCs/>
          <w:szCs w:val="24"/>
        </w:rPr>
        <w:t xml:space="preserve">turuosa tõend turgu valitseva seisundi esinemise kohta, mitte, et alla 50% turuosa korral </w:t>
      </w:r>
      <w:r w:rsidR="001A10AE">
        <w:rPr>
          <w:rFonts w:cs="Times New Roman"/>
          <w:bCs/>
          <w:szCs w:val="24"/>
        </w:rPr>
        <w:t xml:space="preserve">võib eeldada </w:t>
      </w:r>
      <w:r w:rsidRPr="00A0056A">
        <w:rPr>
          <w:rFonts w:cs="Times New Roman"/>
          <w:bCs/>
          <w:szCs w:val="24"/>
        </w:rPr>
        <w:t>turgu valitsev</w:t>
      </w:r>
      <w:r w:rsidR="001A10AE">
        <w:rPr>
          <w:rFonts w:cs="Times New Roman"/>
          <w:bCs/>
          <w:szCs w:val="24"/>
        </w:rPr>
        <w:t>a</w:t>
      </w:r>
      <w:r w:rsidRPr="00A0056A">
        <w:rPr>
          <w:rFonts w:cs="Times New Roman"/>
          <w:bCs/>
          <w:szCs w:val="24"/>
        </w:rPr>
        <w:t xml:space="preserve"> seisund</w:t>
      </w:r>
      <w:r w:rsidR="001A10AE">
        <w:rPr>
          <w:rFonts w:cs="Times New Roman"/>
          <w:bCs/>
          <w:szCs w:val="24"/>
        </w:rPr>
        <w:t>i</w:t>
      </w:r>
      <w:r w:rsidRPr="00A0056A">
        <w:rPr>
          <w:rFonts w:cs="Times New Roman"/>
          <w:bCs/>
          <w:szCs w:val="24"/>
        </w:rPr>
        <w:t xml:space="preserve"> puudu</w:t>
      </w:r>
      <w:r w:rsidR="001A10AE">
        <w:rPr>
          <w:rFonts w:cs="Times New Roman"/>
          <w:bCs/>
          <w:szCs w:val="24"/>
        </w:rPr>
        <w:t>mist</w:t>
      </w:r>
      <w:r w:rsidRPr="00A0056A">
        <w:rPr>
          <w:rFonts w:cs="Times New Roman"/>
          <w:bCs/>
          <w:szCs w:val="24"/>
        </w:rPr>
        <w:t>.</w:t>
      </w:r>
    </w:p>
    <w:p w14:paraId="18346671" w14:textId="2005787E" w:rsidR="00353A0B" w:rsidRDefault="00CC162F" w:rsidP="00A0056A">
      <w:pPr>
        <w:pStyle w:val="Loendilik"/>
        <w:numPr>
          <w:ilvl w:val="0"/>
          <w:numId w:val="26"/>
        </w:numPr>
        <w:jc w:val="both"/>
        <w:rPr>
          <w:rFonts w:cs="Times New Roman"/>
          <w:bCs/>
          <w:szCs w:val="24"/>
        </w:rPr>
      </w:pPr>
      <w:r w:rsidRPr="00CC162F">
        <w:rPr>
          <w:rFonts w:cs="Times New Roman"/>
          <w:bCs/>
          <w:szCs w:val="24"/>
        </w:rPr>
        <w:t xml:space="preserve">konkurentsiseaduse § 13 lõike 1 sätestab sõnaselgelt, et Eestis eeldatakse turgu valitseva seisundi omamist kui ettevõtjale kuulub kaubaturul vähemalt 40 </w:t>
      </w:r>
      <w:r w:rsidR="00F04BB8">
        <w:rPr>
          <w:rFonts w:cs="Times New Roman"/>
          <w:bCs/>
          <w:szCs w:val="24"/>
        </w:rPr>
        <w:t>%</w:t>
      </w:r>
      <w:r w:rsidRPr="00CC162F">
        <w:rPr>
          <w:rFonts w:cs="Times New Roman"/>
          <w:bCs/>
          <w:szCs w:val="24"/>
        </w:rPr>
        <w:t xml:space="preserve"> käibest</w:t>
      </w:r>
      <w:r w:rsidR="00F04BB8">
        <w:rPr>
          <w:rFonts w:cs="Times New Roman"/>
          <w:bCs/>
          <w:szCs w:val="24"/>
        </w:rPr>
        <w:t>.</w:t>
      </w:r>
    </w:p>
    <w:p w14:paraId="4EC525B3" w14:textId="77777777" w:rsidR="00F107EB" w:rsidRDefault="00F107EB" w:rsidP="00A500BC"/>
    <w:p w14:paraId="34A86C48" w14:textId="5A5209AE" w:rsidR="00DA6F2E" w:rsidRDefault="00757ACF" w:rsidP="00A500BC">
      <w:pPr>
        <w:rPr>
          <w:b/>
          <w:bCs/>
        </w:rPr>
      </w:pPr>
      <w:r w:rsidRPr="00CF2730">
        <w:rPr>
          <w:b/>
          <w:bCs/>
        </w:rPr>
        <w:t>TTJA selgitused:</w:t>
      </w:r>
    </w:p>
    <w:p w14:paraId="4E50E0D1" w14:textId="3D71B758" w:rsidR="00B268BE" w:rsidRPr="00175B55" w:rsidRDefault="00B268BE" w:rsidP="00B268BE">
      <w:pPr>
        <w:jc w:val="both"/>
        <w:rPr>
          <w:u w:val="single"/>
        </w:rPr>
      </w:pPr>
      <w:r>
        <w:t xml:space="preserve">„Kriteeriumi </w:t>
      </w:r>
      <w:r w:rsidR="00F27D86">
        <w:t>2</w:t>
      </w:r>
      <w:r>
        <w:t>“ korral turuosa 50%-</w:t>
      </w:r>
      <w:proofErr w:type="spellStart"/>
      <w:r>
        <w:t>se</w:t>
      </w:r>
      <w:proofErr w:type="spellEnd"/>
      <w:r>
        <w:t xml:space="preserve"> määrase lävendi kehtestamisel hindas TTJA teiste regulaatorite poolt kasutatavaid asjaomaseid lävendeid, vt TTJA 2024 STJ hulgituru otsuse kavandi </w:t>
      </w:r>
      <w:r w:rsidR="00735C9A">
        <w:t xml:space="preserve">ptk. </w:t>
      </w:r>
      <w:r>
        <w:t xml:space="preserve">2.3.3 ja sealset Tabelit 8. </w:t>
      </w:r>
      <w:r w:rsidRPr="00FC1579">
        <w:t xml:space="preserve">Euroopa sideturgude regulaatorid </w:t>
      </w:r>
      <w:r>
        <w:t xml:space="preserve">määravad </w:t>
      </w:r>
      <w:r w:rsidRPr="00FC1579">
        <w:t xml:space="preserve">konkurentsi intensiivsust </w:t>
      </w:r>
      <w:r>
        <w:t xml:space="preserve">jaeturul </w:t>
      </w:r>
      <w:r w:rsidRPr="00FC1579">
        <w:t xml:space="preserve">üsna erinevate näitajate ja </w:t>
      </w:r>
      <w:r>
        <w:t>lävendide</w:t>
      </w:r>
      <w:r w:rsidRPr="00FC1579">
        <w:t xml:space="preserve"> kaudu</w:t>
      </w:r>
      <w:r>
        <w:t xml:space="preserve"> ning 50%-st turuosa määra on kasutanud mitmete riikide sideturu regulaatorid, nt Hispaania, Ungari, Iirimaa ja Portugal ning hiljuti ka Horvaatia</w:t>
      </w:r>
      <w:r>
        <w:rPr>
          <w:rStyle w:val="Allmrkuseviide"/>
        </w:rPr>
        <w:footnoteReference w:id="8"/>
      </w:r>
      <w:r>
        <w:t xml:space="preserve">. </w:t>
      </w:r>
      <w:r w:rsidRPr="00175B55">
        <w:rPr>
          <w:u w:val="single"/>
        </w:rPr>
        <w:t xml:space="preserve">Seega ei ole „Kriteeriumi </w:t>
      </w:r>
      <w:r w:rsidR="00F27D86" w:rsidRPr="00175B55">
        <w:rPr>
          <w:u w:val="single"/>
        </w:rPr>
        <w:t>2</w:t>
      </w:r>
      <w:r w:rsidRPr="00175B55">
        <w:rPr>
          <w:u w:val="single"/>
        </w:rPr>
        <w:t>“ puhul kasutatud turuosa määr alla 50%</w:t>
      </w:r>
      <w:r w:rsidR="00F27D86" w:rsidRPr="00175B55">
        <w:rPr>
          <w:u w:val="single"/>
        </w:rPr>
        <w:noBreakHyphen/>
      </w:r>
      <w:r w:rsidRPr="00175B55">
        <w:rPr>
          <w:u w:val="single"/>
        </w:rPr>
        <w:t xml:space="preserve">i midagi erakordset, vaid pigem tavapärane võrreldes teiste Euroopa sideturu regulaatorite kasutatud vastavate konkurentsi näitajate lävendidega. </w:t>
      </w:r>
    </w:p>
    <w:p w14:paraId="0FCD8AA5" w14:textId="77777777" w:rsidR="00B268BE" w:rsidRPr="004B608C" w:rsidRDefault="00B268BE" w:rsidP="00B268BE">
      <w:pPr>
        <w:rPr>
          <w:rFonts w:cs="Times New Roman"/>
          <w:b/>
          <w:bCs/>
          <w:szCs w:val="24"/>
        </w:rPr>
      </w:pPr>
    </w:p>
    <w:p w14:paraId="5B4C91D0" w14:textId="6A9B8E42" w:rsidR="00B268BE" w:rsidRPr="00175B55" w:rsidRDefault="00B268BE" w:rsidP="00B268BE">
      <w:pPr>
        <w:rPr>
          <w:rFonts w:cs="Times New Roman"/>
          <w:szCs w:val="24"/>
          <w:u w:val="single"/>
        </w:rPr>
      </w:pPr>
      <w:r w:rsidRPr="004B608C">
        <w:rPr>
          <w:rFonts w:cs="Times New Roman"/>
          <w:szCs w:val="24"/>
        </w:rPr>
        <w:t xml:space="preserve">Mida madalam on „Kriteeriumis </w:t>
      </w:r>
      <w:r w:rsidR="00F27D86">
        <w:rPr>
          <w:rFonts w:cs="Times New Roman"/>
          <w:szCs w:val="24"/>
        </w:rPr>
        <w:t>2</w:t>
      </w:r>
      <w:r w:rsidRPr="004B608C">
        <w:rPr>
          <w:rFonts w:cs="Times New Roman"/>
          <w:szCs w:val="24"/>
        </w:rPr>
        <w:t>“ kasutatav lävend seda väiksem peab olema geograafilises üksuses otsuse kavandi koostamise ajal internetiühenduse jaeturule eelneval hulgiturul MTE</w:t>
      </w:r>
      <w:r>
        <w:rPr>
          <w:rFonts w:cs="Times New Roman"/>
          <w:szCs w:val="24"/>
        </w:rPr>
        <w:t xml:space="preserve"> (Telia)</w:t>
      </w:r>
      <w:r w:rsidRPr="004B608C">
        <w:rPr>
          <w:rFonts w:cs="Times New Roman"/>
          <w:szCs w:val="24"/>
        </w:rPr>
        <w:t xml:space="preserve">  sideettevõtja jaeklientide osakaal, et geograafiline üksus liigituks madalama konkurentsi </w:t>
      </w:r>
      <w:r w:rsidR="00F27D86">
        <w:rPr>
          <w:rFonts w:cs="Times New Roman"/>
          <w:szCs w:val="24"/>
        </w:rPr>
        <w:t>tunnustega</w:t>
      </w:r>
      <w:r w:rsidRPr="004B608C">
        <w:rPr>
          <w:rFonts w:cs="Times New Roman"/>
          <w:szCs w:val="24"/>
        </w:rPr>
        <w:t xml:space="preserve"> piirkonda, kus tuleks pigem kaaluda hulgitasandil valdkonnaspetsiifiline regulatsiooni kehtestamist. Seega madalam lävend (nt praeguse 50%-i asemel 40%) pigem  kahandab hulgituru MTE stiimul</w:t>
      </w:r>
      <w:r>
        <w:rPr>
          <w:rFonts w:cs="Times New Roman"/>
          <w:szCs w:val="24"/>
        </w:rPr>
        <w:t>it</w:t>
      </w:r>
      <w:r w:rsidRPr="004B608C">
        <w:rPr>
          <w:rFonts w:cs="Times New Roman"/>
          <w:szCs w:val="24"/>
        </w:rPr>
        <w:t xml:space="preserve"> rajada uusi kaabelsidevõrke (sh stiimul</w:t>
      </w:r>
      <w:r>
        <w:rPr>
          <w:rFonts w:cs="Times New Roman"/>
          <w:szCs w:val="24"/>
        </w:rPr>
        <w:t>it</w:t>
      </w:r>
      <w:r w:rsidRPr="004B608C">
        <w:rPr>
          <w:rFonts w:cs="Times New Roman"/>
          <w:szCs w:val="24"/>
        </w:rPr>
        <w:t xml:space="preserve"> rajada esmaseid kaabelsidevõrke hõreasustusega piirkondade valgetesse aladesse), </w:t>
      </w:r>
      <w:r w:rsidRPr="004B608C">
        <w:rPr>
          <w:rFonts w:cs="Times New Roman"/>
          <w:szCs w:val="24"/>
        </w:rPr>
        <w:lastRenderedPageBreak/>
        <w:t xml:space="preserve">kuna </w:t>
      </w:r>
      <w:r>
        <w:rPr>
          <w:rFonts w:cs="Times New Roman"/>
          <w:szCs w:val="24"/>
        </w:rPr>
        <w:t>uute võrkude rajamisega</w:t>
      </w:r>
      <w:r w:rsidRPr="004B608C">
        <w:rPr>
          <w:rFonts w:cs="Times New Roman"/>
          <w:szCs w:val="24"/>
        </w:rPr>
        <w:t xml:space="preserve"> kaasneb</w:t>
      </w:r>
      <w:r>
        <w:rPr>
          <w:rFonts w:cs="Times New Roman"/>
          <w:szCs w:val="24"/>
        </w:rPr>
        <w:t xml:space="preserve"> üldjuhul</w:t>
      </w:r>
      <w:r w:rsidRPr="004B608C">
        <w:rPr>
          <w:rFonts w:cs="Times New Roman"/>
          <w:szCs w:val="24"/>
        </w:rPr>
        <w:t xml:space="preserve"> ka MTE turuosa kasv jaeturul, mistõttu hulgituru MTE staatusest ja sellega kaasnevatest pigem koormavast valdkonnaspetsiifilisest regulatsiooni</w:t>
      </w:r>
      <w:r w:rsidR="00F27D86">
        <w:rPr>
          <w:rFonts w:cs="Times New Roman"/>
          <w:szCs w:val="24"/>
        </w:rPr>
        <w:t xml:space="preserve"> rakendumise võimalused kasvavad ja</w:t>
      </w:r>
      <w:r w:rsidRPr="004B608C">
        <w:rPr>
          <w:rFonts w:cs="Times New Roman"/>
          <w:szCs w:val="24"/>
        </w:rPr>
        <w:t xml:space="preserve"> </w:t>
      </w:r>
      <w:r w:rsidR="00F27D86">
        <w:rPr>
          <w:rFonts w:cs="Times New Roman"/>
          <w:szCs w:val="24"/>
        </w:rPr>
        <w:t xml:space="preserve">sellest </w:t>
      </w:r>
      <w:r w:rsidRPr="004B608C">
        <w:rPr>
          <w:rFonts w:cs="Times New Roman"/>
          <w:szCs w:val="24"/>
        </w:rPr>
        <w:t xml:space="preserve">vabanemise võimalused kahanevad. Ja vastupidi, „Kriteeriumis </w:t>
      </w:r>
      <w:r w:rsidR="00F27D86">
        <w:rPr>
          <w:rFonts w:cs="Times New Roman"/>
          <w:szCs w:val="24"/>
        </w:rPr>
        <w:t>2</w:t>
      </w:r>
      <w:r w:rsidRPr="004B608C">
        <w:rPr>
          <w:rFonts w:cs="Times New Roman"/>
          <w:szCs w:val="24"/>
        </w:rPr>
        <w:t>“ kasutatud suurem lävend pigem kasvatab hulgituru MTE stiimulit rajada uusi kaabelsidevõrke, kuna kahaneb võimalus, et uute kaabelsidevõrkude rajamisega kaasnev turuosa kasv jaeturul jõuab/ületab piiri, millest alates geograafili</w:t>
      </w:r>
      <w:r w:rsidR="00F27D86">
        <w:rPr>
          <w:rFonts w:cs="Times New Roman"/>
          <w:szCs w:val="24"/>
        </w:rPr>
        <w:t>n</w:t>
      </w:r>
      <w:r w:rsidRPr="004B608C">
        <w:rPr>
          <w:rFonts w:cs="Times New Roman"/>
          <w:szCs w:val="24"/>
        </w:rPr>
        <w:t>e üksus</w:t>
      </w:r>
      <w:r w:rsidR="00F27D86">
        <w:rPr>
          <w:rFonts w:cs="Times New Roman"/>
          <w:szCs w:val="24"/>
        </w:rPr>
        <w:t xml:space="preserve"> pigem kaldub</w:t>
      </w:r>
      <w:r w:rsidRPr="004B608C">
        <w:rPr>
          <w:rFonts w:cs="Times New Roman"/>
          <w:szCs w:val="24"/>
        </w:rPr>
        <w:t xml:space="preserve"> valdkonnaspetsiifilise regulatsiooni rakendamis</w:t>
      </w:r>
      <w:r w:rsidR="00F27D86">
        <w:rPr>
          <w:rFonts w:cs="Times New Roman"/>
          <w:szCs w:val="24"/>
        </w:rPr>
        <w:t>e poole</w:t>
      </w:r>
      <w:r w:rsidRPr="004B608C">
        <w:rPr>
          <w:rFonts w:cs="Times New Roman"/>
          <w:szCs w:val="24"/>
        </w:rPr>
        <w:t xml:space="preserve">. Samas on hulgituru MTE üldjuhul üks peamisi sideettevõtjaid, arvestades tema suurust, kaabelsidevõrkude üle-eestilist katvust ning juba saavutatud mastaabi- ja tihedussäästu, </w:t>
      </w:r>
      <w:r w:rsidR="00F27D86" w:rsidRPr="004B608C">
        <w:rPr>
          <w:rFonts w:cs="Times New Roman"/>
          <w:szCs w:val="24"/>
        </w:rPr>
        <w:t xml:space="preserve">kellel </w:t>
      </w:r>
      <w:r w:rsidRPr="004B608C">
        <w:rPr>
          <w:rFonts w:cs="Times New Roman"/>
          <w:szCs w:val="24"/>
        </w:rPr>
        <w:t xml:space="preserve">on olemas potentsiaal rajada hõreasustusega piirkondadesse (sh valgetesse aladesse) uusi kaabelsidevõrke ja suurendada seeläbi lõppkasutajate kasu internetiühendusega liitumiste võimaluste kasvu näol.  </w:t>
      </w:r>
      <w:r w:rsidRPr="00175B55">
        <w:rPr>
          <w:rFonts w:cs="Times New Roman"/>
          <w:szCs w:val="24"/>
          <w:u w:val="single"/>
        </w:rPr>
        <w:t xml:space="preserve">Eeltoodust tuleneb, et „Kriteeriumi </w:t>
      </w:r>
      <w:r w:rsidR="00175B55" w:rsidRPr="00175B55">
        <w:rPr>
          <w:rFonts w:cs="Times New Roman"/>
          <w:szCs w:val="24"/>
          <w:u w:val="single"/>
        </w:rPr>
        <w:t>2</w:t>
      </w:r>
      <w:r w:rsidRPr="00175B55">
        <w:rPr>
          <w:rFonts w:cs="Times New Roman"/>
          <w:szCs w:val="24"/>
          <w:u w:val="single"/>
        </w:rPr>
        <w:t>“ konkurentsi näitaja lävendi määramisel tuleb leida tasakaal erinevate eesmärkide täitmise osas, see on, suurendada jaeturu konkurentsi ja samal ajal toetada ka uute väga suure läbilaskevõimega kaabelsidevõrkude rajamist hõreasustusega maapiirkondadesse.</w:t>
      </w:r>
    </w:p>
    <w:p w14:paraId="2FCEA584" w14:textId="77777777" w:rsidR="00175B55" w:rsidRDefault="00175B55" w:rsidP="00175B55">
      <w:pPr>
        <w:rPr>
          <w:rFonts w:cs="Times New Roman"/>
          <w:szCs w:val="24"/>
        </w:rPr>
      </w:pPr>
    </w:p>
    <w:p w14:paraId="6DFFE558" w14:textId="09A32A2C" w:rsidR="00175B55" w:rsidRDefault="00175B55" w:rsidP="00175B55">
      <w:pPr>
        <w:rPr>
          <w:rFonts w:cs="Times New Roman"/>
          <w:szCs w:val="24"/>
        </w:rPr>
      </w:pPr>
      <w:r>
        <w:rPr>
          <w:rFonts w:cs="Times New Roman"/>
          <w:szCs w:val="24"/>
        </w:rPr>
        <w:t>Kui vähendada kriteeriumi 2 lävendit näiteks 50-lt 40-le %-</w:t>
      </w:r>
      <w:proofErr w:type="spellStart"/>
      <w:r>
        <w:rPr>
          <w:rFonts w:cs="Times New Roman"/>
          <w:szCs w:val="24"/>
        </w:rPr>
        <w:t>le</w:t>
      </w:r>
      <w:proofErr w:type="spellEnd"/>
      <w:r>
        <w:rPr>
          <w:rFonts w:cs="Times New Roman"/>
          <w:szCs w:val="24"/>
        </w:rPr>
        <w:t>, siis väheneks kõrgema konkurentsi tunnustega geograafiliste üksuste arv 10-lt 8-le ja kui 30-le %-</w:t>
      </w:r>
      <w:proofErr w:type="spellStart"/>
      <w:r>
        <w:rPr>
          <w:rFonts w:cs="Times New Roman"/>
          <w:szCs w:val="24"/>
        </w:rPr>
        <w:t>le</w:t>
      </w:r>
      <w:proofErr w:type="spellEnd"/>
      <w:r>
        <w:rPr>
          <w:rFonts w:cs="Times New Roman"/>
          <w:szCs w:val="24"/>
        </w:rPr>
        <w:t xml:space="preserve">, siis 10-lt 7-le, vt otsuse lisa 1 </w:t>
      </w:r>
      <w:r w:rsidR="00735C9A">
        <w:rPr>
          <w:rFonts w:cs="Times New Roman"/>
          <w:szCs w:val="24"/>
        </w:rPr>
        <w:t xml:space="preserve">ptk. </w:t>
      </w:r>
      <w:r>
        <w:rPr>
          <w:rFonts w:cs="Times New Roman"/>
          <w:szCs w:val="24"/>
        </w:rPr>
        <w:t>2.3.5 Tabel 9.  Seega ei oma lävendi langetamine märkimisväärset mõju geograafiliste üksuste koondamisel kõrgema või madalama konkurentsi tunnustega piirkondadesse.</w:t>
      </w:r>
    </w:p>
    <w:p w14:paraId="3B5A4A41" w14:textId="77777777" w:rsidR="00175B55" w:rsidRDefault="00175B55" w:rsidP="00B268BE">
      <w:pPr>
        <w:rPr>
          <w:rFonts w:cs="Times New Roman"/>
          <w:szCs w:val="24"/>
        </w:rPr>
      </w:pPr>
    </w:p>
    <w:p w14:paraId="2382C968" w14:textId="17FF61DE" w:rsidR="00B268BE" w:rsidRPr="00175B55" w:rsidRDefault="00B268BE" w:rsidP="00B268BE">
      <w:pPr>
        <w:rPr>
          <w:rFonts w:cs="Times New Roman"/>
          <w:szCs w:val="24"/>
          <w:u w:val="single"/>
        </w:rPr>
      </w:pPr>
      <w:r w:rsidRPr="004B608C">
        <w:rPr>
          <w:rFonts w:cs="Times New Roman"/>
          <w:szCs w:val="24"/>
        </w:rPr>
        <w:t xml:space="preserve">Üle-eestiliselt (eelkõige hõreasustusega maapiirkondades) puudub käesoleva otsuse koostamise ajal ca 37% elu- ja mitteeluruumides väga suure läbilaskevõimega valguskaabelvõrgu internetiühendus. Seega on oluline tagada ka jätkuvalt ka sideettevõtjate stiimul rajada uusi sidevõrke elu- ja mitteeluruumideni, kus need siini puuduvad. Arvestades Eesti erinevate sideettevõtjate suurust ja kaabelsidevõrkude katvust ning seeläbi nende saavutatud mastaabi ja tihedussäästu, siis on TTJA hinnangul hulgituru MTE ehk Telia üks peamisi sideettevõtjaid kellel arvestades tema suurust, kaabelsidevõrkude üle-eestilist katvust ning juba saavutatud mastaabi- ja tihedussäästu, on olemas potentsiaal rajada hõreasustusega piirkondadesse (sh valgetesse aladesse) uusi kaabelsidevõrke ja suurendada seeläbi lõppkasutajate kasu internetiühendusega liitumiste võimaluste kasvu näol.  </w:t>
      </w:r>
      <w:r w:rsidRPr="00175B55">
        <w:rPr>
          <w:rFonts w:cs="Times New Roman"/>
          <w:szCs w:val="24"/>
          <w:u w:val="single"/>
        </w:rPr>
        <w:t xml:space="preserve">„Kriteeriumi </w:t>
      </w:r>
      <w:r w:rsidR="00175B55" w:rsidRPr="00175B55">
        <w:rPr>
          <w:rFonts w:cs="Times New Roman"/>
          <w:szCs w:val="24"/>
          <w:u w:val="single"/>
        </w:rPr>
        <w:t>2</w:t>
      </w:r>
      <w:r w:rsidRPr="00175B55">
        <w:rPr>
          <w:rFonts w:cs="Times New Roman"/>
          <w:szCs w:val="24"/>
          <w:u w:val="single"/>
        </w:rPr>
        <w:t>“ konkurentsi näitaja lävend alla 50% omab TTJA hinnangul piisavat tasakaalu erinevate eesmärkide täitmise osas, see on, suurendada jaeturu konkurentsi ja samal ajal toetada ka uute väga suure läbilaskevõimega kaabelsidevõrkude rajamist hõreasustusega maapiirkondadesse.</w:t>
      </w:r>
    </w:p>
    <w:p w14:paraId="2CA39B45" w14:textId="77777777" w:rsidR="00306022" w:rsidRPr="00CF2730" w:rsidRDefault="00306022" w:rsidP="00A500BC">
      <w:pPr>
        <w:rPr>
          <w:b/>
          <w:bCs/>
        </w:rPr>
      </w:pPr>
    </w:p>
    <w:p w14:paraId="3C5281B4" w14:textId="2AD36600" w:rsidR="00B8369B" w:rsidRDefault="00DA6F2E" w:rsidP="00A500BC">
      <w:pPr>
        <w:rPr>
          <w:rFonts w:cs="Times New Roman"/>
          <w:szCs w:val="24"/>
        </w:rPr>
      </w:pPr>
      <w:r w:rsidRPr="004179BB">
        <w:rPr>
          <w:b/>
          <w:bCs/>
        </w:rPr>
        <w:t>K</w:t>
      </w:r>
      <w:r w:rsidR="00755646" w:rsidRPr="004179BB">
        <w:rPr>
          <w:b/>
          <w:bCs/>
        </w:rPr>
        <w:t>rit</w:t>
      </w:r>
      <w:r w:rsidR="004E371F" w:rsidRPr="004179BB">
        <w:rPr>
          <w:b/>
          <w:bCs/>
        </w:rPr>
        <w:t>eeriumi</w:t>
      </w:r>
      <w:r w:rsidR="005E2E28">
        <w:rPr>
          <w:b/>
          <w:bCs/>
        </w:rPr>
        <w:t>s</w:t>
      </w:r>
      <w:r w:rsidR="004E371F" w:rsidRPr="004179BB">
        <w:rPr>
          <w:b/>
          <w:bCs/>
        </w:rPr>
        <w:t xml:space="preserve"> </w:t>
      </w:r>
      <w:r w:rsidR="00175B55">
        <w:rPr>
          <w:b/>
          <w:bCs/>
        </w:rPr>
        <w:t>2</w:t>
      </w:r>
      <w:r w:rsidR="004E371F" w:rsidRPr="004179BB">
        <w:rPr>
          <w:b/>
          <w:bCs/>
        </w:rPr>
        <w:t xml:space="preserve"> kasutu</w:t>
      </w:r>
      <w:r w:rsidR="005E2E28">
        <w:rPr>
          <w:b/>
          <w:bCs/>
        </w:rPr>
        <w:t>tav</w:t>
      </w:r>
      <w:r w:rsidR="00C33EDD" w:rsidRPr="004179BB">
        <w:rPr>
          <w:b/>
          <w:bCs/>
        </w:rPr>
        <w:t xml:space="preserve"> </w:t>
      </w:r>
      <w:r w:rsidR="00A553FB">
        <w:rPr>
          <w:b/>
          <w:bCs/>
        </w:rPr>
        <w:t>näitaja</w:t>
      </w:r>
      <w:r w:rsidR="00175B55">
        <w:rPr>
          <w:b/>
          <w:bCs/>
        </w:rPr>
        <w:t>,</w:t>
      </w:r>
      <w:r w:rsidR="00A553FB">
        <w:rPr>
          <w:b/>
          <w:bCs/>
        </w:rPr>
        <w:t xml:space="preserve"> </w:t>
      </w:r>
      <w:r w:rsidR="00C33EDD" w:rsidRPr="004179BB">
        <w:rPr>
          <w:b/>
          <w:bCs/>
        </w:rPr>
        <w:t xml:space="preserve">hulgituru MTE </w:t>
      </w:r>
      <w:r w:rsidR="00175B55">
        <w:rPr>
          <w:b/>
          <w:bCs/>
        </w:rPr>
        <w:t>jae</w:t>
      </w:r>
      <w:r w:rsidR="00C33EDD" w:rsidRPr="004179BB">
        <w:rPr>
          <w:b/>
          <w:bCs/>
        </w:rPr>
        <w:t>turu</w:t>
      </w:r>
      <w:r w:rsidR="00175B55">
        <w:rPr>
          <w:b/>
          <w:bCs/>
        </w:rPr>
        <w:t xml:space="preserve"> osakaal </w:t>
      </w:r>
      <w:r w:rsidR="004179BB" w:rsidRPr="004179BB">
        <w:rPr>
          <w:b/>
          <w:bCs/>
        </w:rPr>
        <w:t>alla</w:t>
      </w:r>
      <w:r w:rsidR="00665878" w:rsidRPr="004179BB">
        <w:rPr>
          <w:b/>
          <w:bCs/>
        </w:rPr>
        <w:t xml:space="preserve"> </w:t>
      </w:r>
      <w:r w:rsidR="004E371F" w:rsidRPr="004179BB">
        <w:rPr>
          <w:b/>
          <w:bCs/>
        </w:rPr>
        <w:t>50%</w:t>
      </w:r>
      <w:r w:rsidR="00175B55">
        <w:rPr>
          <w:b/>
          <w:bCs/>
        </w:rPr>
        <w:t>,</w:t>
      </w:r>
      <w:r w:rsidR="00665878" w:rsidRPr="004179BB">
        <w:rPr>
          <w:b/>
          <w:bCs/>
        </w:rPr>
        <w:t xml:space="preserve"> </w:t>
      </w:r>
      <w:r w:rsidR="00257303">
        <w:rPr>
          <w:b/>
          <w:bCs/>
        </w:rPr>
        <w:t>ja</w:t>
      </w:r>
      <w:r w:rsidRPr="004179BB">
        <w:rPr>
          <w:b/>
          <w:bCs/>
        </w:rPr>
        <w:t xml:space="preserve"> </w:t>
      </w:r>
      <w:r w:rsidR="00F13370">
        <w:rPr>
          <w:rFonts w:cs="Times New Roman"/>
          <w:b/>
          <w:bCs/>
          <w:szCs w:val="24"/>
        </w:rPr>
        <w:t>EL õigus</w:t>
      </w:r>
      <w:r w:rsidR="00757ACF">
        <w:rPr>
          <w:rFonts w:cs="Times New Roman"/>
          <w:szCs w:val="24"/>
        </w:rPr>
        <w:t xml:space="preserve">. </w:t>
      </w:r>
    </w:p>
    <w:p w14:paraId="64B8D210" w14:textId="73A28A87" w:rsidR="00B8369B" w:rsidRDefault="00F440D0" w:rsidP="00A500BC">
      <w:pPr>
        <w:rPr>
          <w:rFonts w:cs="Times New Roman"/>
          <w:szCs w:val="24"/>
        </w:rPr>
      </w:pPr>
      <w:r w:rsidRPr="00823C04">
        <w:rPr>
          <w:rFonts w:cs="Times New Roman"/>
          <w:szCs w:val="24"/>
        </w:rPr>
        <w:t xml:space="preserve">EK 2018 </w:t>
      </w:r>
      <w:r>
        <w:rPr>
          <w:rFonts w:cs="Times New Roman"/>
          <w:szCs w:val="24"/>
        </w:rPr>
        <w:t xml:space="preserve">turgude </w:t>
      </w:r>
      <w:r w:rsidRPr="00823C04">
        <w:rPr>
          <w:rFonts w:cs="Times New Roman"/>
          <w:szCs w:val="24"/>
        </w:rPr>
        <w:t>suunis</w:t>
      </w:r>
      <w:r>
        <w:rPr>
          <w:rFonts w:cs="Times New Roman"/>
          <w:szCs w:val="24"/>
        </w:rPr>
        <w:t>e</w:t>
      </w:r>
      <w:r w:rsidR="00757ACF">
        <w:rPr>
          <w:rFonts w:cs="Times New Roman"/>
          <w:szCs w:val="24"/>
        </w:rPr>
        <w:t xml:space="preserve"> </w:t>
      </w:r>
      <w:r w:rsidR="00983B99">
        <w:rPr>
          <w:rFonts w:cs="Times New Roman"/>
          <w:szCs w:val="24"/>
        </w:rPr>
        <w:t>punkt 55</w:t>
      </w:r>
      <w:r w:rsidR="00906B59">
        <w:rPr>
          <w:rFonts w:cs="Times New Roman"/>
          <w:szCs w:val="24"/>
        </w:rPr>
        <w:t>:</w:t>
      </w:r>
      <w:r w:rsidR="00983B99">
        <w:rPr>
          <w:rFonts w:cs="Times New Roman"/>
          <w:szCs w:val="24"/>
        </w:rPr>
        <w:t xml:space="preserve"> </w:t>
      </w:r>
    </w:p>
    <w:p w14:paraId="2A39FED6" w14:textId="77777777" w:rsidR="00B8369B" w:rsidRDefault="00B8369B" w:rsidP="000D1838">
      <w:pPr>
        <w:ind w:left="720"/>
        <w:jc w:val="both"/>
        <w:rPr>
          <w:rFonts w:cs="Times New Roman"/>
          <w:szCs w:val="24"/>
        </w:rPr>
      </w:pPr>
      <w:r>
        <w:rPr>
          <w:rFonts w:cs="Times New Roman"/>
          <w:i/>
          <w:iCs/>
          <w:szCs w:val="24"/>
        </w:rPr>
        <w:t>K</w:t>
      </w:r>
      <w:r w:rsidR="00906B59" w:rsidRPr="00906B59">
        <w:rPr>
          <w:rFonts w:cs="Times New Roman"/>
          <w:i/>
          <w:iCs/>
          <w:szCs w:val="24"/>
        </w:rPr>
        <w:t xml:space="preserve">ooskõlas väljakujunenud kohtupraktikaga tõendab ettevõtja väga suur turuosa – üle 50 % – teatava aja jooksul juba iseenesest tema valitsevat seisundit, välja arvatud erandlikel asjaoludel. Kogemus näitab, et mida suurem on turuosa ja mida pikema aja </w:t>
      </w:r>
      <w:r w:rsidR="00906B59" w:rsidRPr="00906B59">
        <w:rPr>
          <w:rFonts w:cs="Times New Roman"/>
          <w:i/>
          <w:iCs/>
          <w:szCs w:val="24"/>
        </w:rPr>
        <w:lastRenderedPageBreak/>
        <w:t>vältel seda hoitakse, seda tõenäolisem on, et see on esimene tõsine märk märkimisväärse turujõu olemasolust</w:t>
      </w:r>
      <w:r w:rsidR="008A6D7E">
        <w:rPr>
          <w:rFonts w:cs="Times New Roman"/>
          <w:i/>
          <w:iCs/>
          <w:szCs w:val="24"/>
        </w:rPr>
        <w:t>.</w:t>
      </w:r>
      <w:r w:rsidR="008A6D7E">
        <w:rPr>
          <w:rFonts w:cs="Times New Roman"/>
          <w:szCs w:val="24"/>
        </w:rPr>
        <w:t xml:space="preserve"> </w:t>
      </w:r>
    </w:p>
    <w:p w14:paraId="070D303D" w14:textId="1AA0184A" w:rsidR="00AD33D2" w:rsidRDefault="00F440D0" w:rsidP="00A500BC">
      <w:pPr>
        <w:rPr>
          <w:rFonts w:cs="Times New Roman"/>
          <w:szCs w:val="24"/>
        </w:rPr>
      </w:pPr>
      <w:r w:rsidRPr="00823C04">
        <w:rPr>
          <w:rFonts w:cs="Times New Roman"/>
          <w:szCs w:val="24"/>
        </w:rPr>
        <w:t xml:space="preserve">EK 2018 </w:t>
      </w:r>
      <w:r>
        <w:rPr>
          <w:rFonts w:cs="Times New Roman"/>
          <w:szCs w:val="24"/>
        </w:rPr>
        <w:t xml:space="preserve">turgude </w:t>
      </w:r>
      <w:r w:rsidRPr="00823C04">
        <w:rPr>
          <w:rFonts w:cs="Times New Roman"/>
          <w:szCs w:val="24"/>
        </w:rPr>
        <w:t>suunis</w:t>
      </w:r>
      <w:r>
        <w:rPr>
          <w:rFonts w:cs="Times New Roman"/>
          <w:szCs w:val="24"/>
        </w:rPr>
        <w:t>e</w:t>
      </w:r>
      <w:r w:rsidR="00B8369B">
        <w:rPr>
          <w:rFonts w:cs="Times New Roman"/>
          <w:szCs w:val="24"/>
        </w:rPr>
        <w:t xml:space="preserve"> p</w:t>
      </w:r>
      <w:r w:rsidR="008A6D7E">
        <w:rPr>
          <w:rFonts w:cs="Times New Roman"/>
          <w:szCs w:val="24"/>
        </w:rPr>
        <w:t xml:space="preserve">unkt </w:t>
      </w:r>
      <w:r w:rsidR="00B8369B" w:rsidRPr="00B8369B">
        <w:rPr>
          <w:rFonts w:cs="Times New Roman"/>
          <w:szCs w:val="24"/>
        </w:rPr>
        <w:t>56</w:t>
      </w:r>
      <w:r w:rsidR="00B8369B">
        <w:rPr>
          <w:rFonts w:cs="Times New Roman"/>
          <w:szCs w:val="24"/>
        </w:rPr>
        <w:t>:</w:t>
      </w:r>
      <w:r w:rsidR="00B8369B" w:rsidRPr="00B8369B">
        <w:rPr>
          <w:rFonts w:cs="Times New Roman"/>
          <w:szCs w:val="24"/>
        </w:rPr>
        <w:t xml:space="preserve"> </w:t>
      </w:r>
    </w:p>
    <w:p w14:paraId="7B6C522A" w14:textId="319A49C7" w:rsidR="00A500BC" w:rsidRPr="00B8369B" w:rsidRDefault="00B8369B" w:rsidP="000D1838">
      <w:pPr>
        <w:ind w:left="720"/>
        <w:jc w:val="both"/>
        <w:rPr>
          <w:i/>
          <w:iCs/>
        </w:rPr>
      </w:pPr>
      <w:r w:rsidRPr="00B8369B">
        <w:rPr>
          <w:rFonts w:cs="Times New Roman"/>
          <w:i/>
          <w:iCs/>
          <w:szCs w:val="24"/>
        </w:rPr>
        <w:t>Samas isegi suure turuosaga ettevõtja ei pruugi suuta tegutseda suures ulatuses sõltumatult klientidest, kellel on piisav läbirääkimisvõim. Lisaks võib asjaolu, et turul tugevat positsiooni omav ettevõtja kaotab järk-järgult turuosa, viidata vabalt sellele, et turg muutub konkurentsivõimelisemaks, ent see ei välista märkimisväärse turujõu olemasolu. Turuosa märkimisväärne kõikumine aja jooksul võib viidata turujõu puudumisele asjaomasel turul. Kui uus turule siseneja suudab oma turuosa kiiresti suurendada, võib see kajastada ka seda, et asjaomane turg on konkurentsivõimelisem ning turu sisenemise tõkked suudetakse mõistliku aja jooksul ületada.</w:t>
      </w:r>
    </w:p>
    <w:p w14:paraId="2133AC2A" w14:textId="77777777" w:rsidR="00E265D7" w:rsidRDefault="00E265D7" w:rsidP="00A500BC"/>
    <w:p w14:paraId="78D388CB" w14:textId="1FFE5B52" w:rsidR="001443D6" w:rsidRPr="001648C0" w:rsidRDefault="003028A2" w:rsidP="00A500BC">
      <w:pPr>
        <w:rPr>
          <w:color w:val="0070C0"/>
          <w:u w:val="single"/>
        </w:rPr>
      </w:pPr>
      <w:r>
        <w:t xml:space="preserve">Seega ei ole õige Elisa arvamus, et </w:t>
      </w:r>
      <w:r w:rsidR="00BA04C1">
        <w:t xml:space="preserve">„Kriteeriumis </w:t>
      </w:r>
      <w:r w:rsidR="00175B55">
        <w:t>2</w:t>
      </w:r>
      <w:r w:rsidR="00BA04C1">
        <w:t xml:space="preserve">“ </w:t>
      </w:r>
      <w:r>
        <w:t>kasutatud</w:t>
      </w:r>
      <w:r w:rsidR="00EF46A7">
        <w:t xml:space="preserve"> </w:t>
      </w:r>
      <w:r w:rsidR="00486A77">
        <w:t>turuosa</w:t>
      </w:r>
      <w:r>
        <w:t xml:space="preserve"> määr</w:t>
      </w:r>
      <w:r w:rsidR="00844F77">
        <w:t xml:space="preserve"> </w:t>
      </w:r>
      <w:r w:rsidR="00274159" w:rsidRPr="00274159">
        <w:rPr>
          <w:b/>
          <w:bCs/>
          <w:u w:val="single"/>
        </w:rPr>
        <w:t>alla</w:t>
      </w:r>
      <w:r w:rsidR="00274159" w:rsidRPr="00274159">
        <w:rPr>
          <w:b/>
          <w:bCs/>
        </w:rPr>
        <w:t xml:space="preserve"> </w:t>
      </w:r>
      <w:r w:rsidRPr="00274159">
        <w:rPr>
          <w:b/>
          <w:bCs/>
        </w:rPr>
        <w:t>50%</w:t>
      </w:r>
      <w:r>
        <w:t xml:space="preserve"> oleks </w:t>
      </w:r>
      <w:r w:rsidRPr="003951FA">
        <w:t>EL-i õiguse</w:t>
      </w:r>
      <w:r w:rsidR="0080606A">
        <w:t xml:space="preserve"> </w:t>
      </w:r>
      <w:r w:rsidRPr="003951FA">
        <w:t xml:space="preserve"> kohaselt </w:t>
      </w:r>
      <w:r w:rsidR="00963088">
        <w:t xml:space="preserve">automaatne ja </w:t>
      </w:r>
      <w:r>
        <w:t xml:space="preserve">kindel </w:t>
      </w:r>
      <w:r w:rsidRPr="003951FA">
        <w:t xml:space="preserve">tõend turgu valitseva seisundi esinemise </w:t>
      </w:r>
      <w:r>
        <w:t xml:space="preserve">kohta. </w:t>
      </w:r>
      <w:r w:rsidR="00A91840" w:rsidRPr="00823C04">
        <w:rPr>
          <w:rFonts w:cs="Times New Roman"/>
          <w:szCs w:val="24"/>
        </w:rPr>
        <w:t xml:space="preserve">EK 2018 </w:t>
      </w:r>
      <w:r w:rsidR="00A91840">
        <w:rPr>
          <w:rFonts w:cs="Times New Roman"/>
          <w:szCs w:val="24"/>
        </w:rPr>
        <w:t xml:space="preserve">turgude </w:t>
      </w:r>
      <w:r w:rsidR="00A91840" w:rsidRPr="00823C04">
        <w:rPr>
          <w:rFonts w:cs="Times New Roman"/>
          <w:szCs w:val="24"/>
        </w:rPr>
        <w:t>suunis</w:t>
      </w:r>
      <w:r w:rsidR="00A91840">
        <w:rPr>
          <w:rFonts w:cs="Times New Roman"/>
          <w:szCs w:val="24"/>
        </w:rPr>
        <w:t xml:space="preserve">e </w:t>
      </w:r>
      <w:r>
        <w:t>kohaselt i</w:t>
      </w:r>
      <w:r w:rsidR="00466DB0">
        <w:t xml:space="preserve">segi </w:t>
      </w:r>
      <w:r w:rsidR="00A9481E">
        <w:t>suure turuosaga</w:t>
      </w:r>
      <w:r w:rsidR="00A97A3E">
        <w:t>,</w:t>
      </w:r>
      <w:r w:rsidR="00466DB0">
        <w:t xml:space="preserve"> </w:t>
      </w:r>
      <w:r w:rsidR="00B21C28" w:rsidRPr="00274159">
        <w:rPr>
          <w:b/>
          <w:bCs/>
          <w:u w:val="single"/>
        </w:rPr>
        <w:t>üle</w:t>
      </w:r>
      <w:r w:rsidR="00433282" w:rsidRPr="00274159">
        <w:rPr>
          <w:b/>
          <w:bCs/>
        </w:rPr>
        <w:t xml:space="preserve"> 50%</w:t>
      </w:r>
      <w:r w:rsidR="00466DB0" w:rsidRPr="00274159">
        <w:rPr>
          <w:b/>
          <w:bCs/>
        </w:rPr>
        <w:t>,</w:t>
      </w:r>
      <w:r w:rsidR="00433282">
        <w:t xml:space="preserve"> </w:t>
      </w:r>
      <w:r w:rsidR="00A97A3E">
        <w:t xml:space="preserve">ettevõtja </w:t>
      </w:r>
      <w:r w:rsidR="0031744B">
        <w:t xml:space="preserve">olemasolu korral </w:t>
      </w:r>
      <w:r w:rsidR="00207AC9">
        <w:t>võib</w:t>
      </w:r>
      <w:r w:rsidR="002B4DFF">
        <w:t xml:space="preserve"> tu</w:t>
      </w:r>
      <w:r w:rsidR="005A1506">
        <w:t>rgu pidada</w:t>
      </w:r>
      <w:r w:rsidR="002B4DFF">
        <w:t xml:space="preserve"> konkurentsivõimeliseks</w:t>
      </w:r>
      <w:r w:rsidR="00EB7C5D">
        <w:t xml:space="preserve">, kui </w:t>
      </w:r>
      <w:r w:rsidR="0068540E">
        <w:t>ettevõtja</w:t>
      </w:r>
      <w:r w:rsidR="0040336B">
        <w:t xml:space="preserve"> kaotab </w:t>
      </w:r>
      <w:r w:rsidR="00482726">
        <w:t>järk-järgult</w:t>
      </w:r>
      <w:r w:rsidR="00822CE5">
        <w:t xml:space="preserve"> oma</w:t>
      </w:r>
      <w:r w:rsidR="0040336B">
        <w:t xml:space="preserve"> turuosa</w:t>
      </w:r>
      <w:r w:rsidR="00673750">
        <w:t xml:space="preserve"> või</w:t>
      </w:r>
      <w:r w:rsidR="00822CE5">
        <w:t xml:space="preserve"> </w:t>
      </w:r>
      <w:r w:rsidR="00673750">
        <w:t xml:space="preserve">turuosa kõigub või mõni </w:t>
      </w:r>
      <w:r w:rsidR="001C41C9">
        <w:t>teine ettevõtja</w:t>
      </w:r>
      <w:r w:rsidR="00673750">
        <w:t xml:space="preserve"> on suutnud kiiresti oma turuosa</w:t>
      </w:r>
      <w:r w:rsidR="00B56D5C">
        <w:t xml:space="preserve"> </w:t>
      </w:r>
      <w:r w:rsidR="00673750">
        <w:t>suurendada</w:t>
      </w:r>
      <w:r w:rsidR="00482726">
        <w:t>.</w:t>
      </w:r>
      <w:r w:rsidR="00933F5B">
        <w:t xml:space="preserve"> </w:t>
      </w:r>
      <w:r w:rsidR="00A17144" w:rsidRPr="001648C0">
        <w:rPr>
          <w:u w:val="single"/>
        </w:rPr>
        <w:t>K</w:t>
      </w:r>
      <w:r w:rsidR="00317083" w:rsidRPr="001648C0">
        <w:rPr>
          <w:u w:val="single"/>
        </w:rPr>
        <w:t>innitame</w:t>
      </w:r>
      <w:r w:rsidR="00A17144" w:rsidRPr="001648C0">
        <w:rPr>
          <w:u w:val="single"/>
        </w:rPr>
        <w:t xml:space="preserve"> veelkord, et </w:t>
      </w:r>
      <w:r w:rsidR="00790341" w:rsidRPr="001648C0">
        <w:rPr>
          <w:u w:val="single"/>
        </w:rPr>
        <w:t>TTJA kasuta</w:t>
      </w:r>
      <w:r w:rsidR="00A17144" w:rsidRPr="001648C0">
        <w:rPr>
          <w:u w:val="single"/>
        </w:rPr>
        <w:t xml:space="preserve">b </w:t>
      </w:r>
      <w:r w:rsidR="00FA106C" w:rsidRPr="001648C0">
        <w:rPr>
          <w:u w:val="single"/>
        </w:rPr>
        <w:t>jaeturu</w:t>
      </w:r>
      <w:r w:rsidR="00A17144" w:rsidRPr="001648C0">
        <w:rPr>
          <w:u w:val="single"/>
        </w:rPr>
        <w:t xml:space="preserve"> konkurentsi </w:t>
      </w:r>
      <w:r w:rsidR="000D45F3" w:rsidRPr="001648C0">
        <w:rPr>
          <w:u w:val="single"/>
        </w:rPr>
        <w:t xml:space="preserve">kõrgema </w:t>
      </w:r>
      <w:r w:rsidR="00A17144" w:rsidRPr="001648C0">
        <w:rPr>
          <w:u w:val="single"/>
        </w:rPr>
        <w:t>taseme määratlemise</w:t>
      </w:r>
      <w:r w:rsidR="0066771F" w:rsidRPr="001648C0">
        <w:rPr>
          <w:u w:val="single"/>
        </w:rPr>
        <w:t xml:space="preserve"> ühe</w:t>
      </w:r>
      <w:r w:rsidR="00477DD0" w:rsidRPr="001648C0">
        <w:rPr>
          <w:u w:val="single"/>
        </w:rPr>
        <w:t xml:space="preserve"> näitajana</w:t>
      </w:r>
      <w:r w:rsidR="00997733" w:rsidRPr="001648C0">
        <w:rPr>
          <w:u w:val="single"/>
        </w:rPr>
        <w:t xml:space="preserve"> hulgituru MTE</w:t>
      </w:r>
      <w:r w:rsidR="00A17144" w:rsidRPr="001648C0">
        <w:rPr>
          <w:u w:val="single"/>
        </w:rPr>
        <w:t xml:space="preserve"> turuosa </w:t>
      </w:r>
      <w:r w:rsidR="00997733" w:rsidRPr="001648C0">
        <w:rPr>
          <w:u w:val="single"/>
        </w:rPr>
        <w:t>jaeturul</w:t>
      </w:r>
      <w:r w:rsidR="00317083" w:rsidRPr="001648C0">
        <w:rPr>
          <w:u w:val="single"/>
        </w:rPr>
        <w:t xml:space="preserve"> </w:t>
      </w:r>
      <w:r w:rsidR="00A17144" w:rsidRPr="001648C0">
        <w:rPr>
          <w:b/>
          <w:bCs/>
          <w:u w:val="single"/>
        </w:rPr>
        <w:t>alla 50%</w:t>
      </w:r>
      <w:r w:rsidR="00790341" w:rsidRPr="001648C0">
        <w:rPr>
          <w:b/>
          <w:bCs/>
          <w:u w:val="single"/>
        </w:rPr>
        <w:t xml:space="preserve"> </w:t>
      </w:r>
      <w:r w:rsidR="00317083" w:rsidRPr="001648C0">
        <w:rPr>
          <w:b/>
          <w:bCs/>
          <w:u w:val="single"/>
        </w:rPr>
        <w:t>, mitte üle 50%.</w:t>
      </w:r>
    </w:p>
    <w:p w14:paraId="5696C765" w14:textId="433634C7" w:rsidR="00F440D0" w:rsidRDefault="00F440D0" w:rsidP="00A500BC">
      <w:r w:rsidRPr="00823C04">
        <w:rPr>
          <w:rFonts w:cs="Times New Roman"/>
          <w:szCs w:val="24"/>
        </w:rPr>
        <w:t xml:space="preserve">EK 2018 </w:t>
      </w:r>
      <w:r>
        <w:rPr>
          <w:rFonts w:cs="Times New Roman"/>
          <w:szCs w:val="24"/>
        </w:rPr>
        <w:t xml:space="preserve">turgude </w:t>
      </w:r>
      <w:r w:rsidRPr="00823C04">
        <w:rPr>
          <w:rFonts w:cs="Times New Roman"/>
          <w:szCs w:val="24"/>
        </w:rPr>
        <w:t>suunis</w:t>
      </w:r>
      <w:r>
        <w:rPr>
          <w:rFonts w:cs="Times New Roman"/>
          <w:szCs w:val="24"/>
        </w:rPr>
        <w:t xml:space="preserve">e punkt </w:t>
      </w:r>
      <w:r w:rsidR="00962B6B" w:rsidRPr="00962B6B">
        <w:t>57</w:t>
      </w:r>
      <w:r w:rsidR="007F2E2F">
        <w:t xml:space="preserve"> ja 58</w:t>
      </w:r>
      <w:r>
        <w:t>:</w:t>
      </w:r>
    </w:p>
    <w:p w14:paraId="5A2A419A" w14:textId="3F411255" w:rsidR="00482726" w:rsidRPr="00E26390" w:rsidRDefault="00962B6B" w:rsidP="00BB30F5">
      <w:pPr>
        <w:ind w:left="720"/>
        <w:jc w:val="both"/>
        <w:rPr>
          <w:i/>
          <w:iCs/>
        </w:rPr>
      </w:pPr>
      <w:r w:rsidRPr="00E26390">
        <w:rPr>
          <w:i/>
          <w:iCs/>
        </w:rPr>
        <w:t>Kui turuosa on suur, aga alla 50 % künnise, peaks riigi reguleerivad asutused tuginema märkimisväärse turujõu hindamisel muudele peamistele struktuursetele turuomadustele. Nad peaksid läbi viima asjaomase turu majanduslike omaduste põhjaliku struktuurse hindamise enne märkimisväärse turujõu olemasolu kohta järelduste tegemist.</w:t>
      </w:r>
    </w:p>
    <w:p w14:paraId="57C45815" w14:textId="7EB803BA" w:rsidR="00E265D7" w:rsidRPr="007F2E2F" w:rsidRDefault="007F2E2F" w:rsidP="00BB30F5">
      <w:pPr>
        <w:ind w:left="720"/>
        <w:jc w:val="both"/>
        <w:rPr>
          <w:i/>
          <w:iCs/>
        </w:rPr>
      </w:pPr>
      <w:r w:rsidRPr="007F2E2F">
        <w:rPr>
          <w:i/>
          <w:iCs/>
        </w:rPr>
        <w:t xml:space="preserve">Järgmises mitteammendavas loetelus on esitatud kriteeriumid, mis on olulised, kui mõõta ettevõtja turuvõimu, mis võimaldab käituda märkimisväärsel määral oma konkurentidest, klientidest ja tarbijatest sõltumatult: | — | turule sisenemise tõkked, | — | tõkked laienemisele, | — | ettevõtja absoluutne ja suhteline suurus, | — | kontroll raskesti dubleeritava infrastruktuuri üle, | — | tehnoloogiline või kaubanduslik eelis või paremus, | — | tasakaalustava ostujõu puudumine või nõrkus, | — | lihtne või eesõigustega juurdepääs kapitaliturgudele või rahalistele vahenditele, | — | toodete või teenuste mitmekesisus (näiteks liittooted või -teenused), | — | mastaabisääst, | — | mitmekülgsussääst, | — | otsesed ja kaudsed turustusvõrgu mõjud (57), | — | vertikaalne integratsioon, | — | </w:t>
      </w:r>
      <w:proofErr w:type="spellStart"/>
      <w:r w:rsidRPr="007F2E2F">
        <w:rPr>
          <w:i/>
          <w:iCs/>
        </w:rPr>
        <w:t>üliarenenud</w:t>
      </w:r>
      <w:proofErr w:type="spellEnd"/>
      <w:r w:rsidRPr="007F2E2F">
        <w:rPr>
          <w:i/>
          <w:iCs/>
        </w:rPr>
        <w:t xml:space="preserve"> jaotus- ja müügivõrk, | — | pikaajaliste ja kestlike juurdepääsulepingute sõlmimine, | — | lepingulised suhted teiste turuosalistega, mis võivad piirata </w:t>
      </w:r>
      <w:proofErr w:type="spellStart"/>
      <w:r w:rsidRPr="007F2E2F">
        <w:rPr>
          <w:i/>
          <w:iCs/>
        </w:rPr>
        <w:t>turulepääsu</w:t>
      </w:r>
      <w:proofErr w:type="spellEnd"/>
      <w:r w:rsidRPr="007F2E2F">
        <w:rPr>
          <w:i/>
          <w:iCs/>
        </w:rPr>
        <w:t>, | — | potentsiaalse konkurentsi puudumine. | Eraldi võttes ei pruugi ülaltoodud kriteeriumid märkimisväärse turujõu olemasolule tingimata viidata. Sellise turujõu olemasolu tehakse kindlaks mitme teguri põhjal.</w:t>
      </w:r>
    </w:p>
    <w:p w14:paraId="11E5BF09" w14:textId="77777777" w:rsidR="006F0FAD" w:rsidRDefault="006F0FAD" w:rsidP="00BB30F5">
      <w:pPr>
        <w:jc w:val="both"/>
      </w:pPr>
    </w:p>
    <w:p w14:paraId="621E464F" w14:textId="3C7DB42C" w:rsidR="00ED529E" w:rsidRDefault="00ED529E" w:rsidP="00BB30F5">
      <w:pPr>
        <w:jc w:val="both"/>
      </w:pPr>
      <w:r>
        <w:t>Seega on EK 2018 turgude suunised ette näinud, et</w:t>
      </w:r>
      <w:r w:rsidR="007307A2">
        <w:t xml:space="preserve"> </w:t>
      </w:r>
      <w:r w:rsidR="00B36A42">
        <w:t xml:space="preserve">ettevõtte </w:t>
      </w:r>
      <w:r w:rsidR="007307A2">
        <w:t>alla 50%-</w:t>
      </w:r>
      <w:proofErr w:type="spellStart"/>
      <w:r w:rsidR="007307A2">
        <w:t>se</w:t>
      </w:r>
      <w:proofErr w:type="spellEnd"/>
      <w:r w:rsidR="007307A2">
        <w:t xml:space="preserve"> turuosa </w:t>
      </w:r>
      <w:r w:rsidR="006B5BC1">
        <w:t xml:space="preserve">korral </w:t>
      </w:r>
      <w:r w:rsidR="0070055A">
        <w:t xml:space="preserve">ei piisa </w:t>
      </w:r>
      <w:r w:rsidR="003F6348">
        <w:t xml:space="preserve">sellise </w:t>
      </w:r>
      <w:r w:rsidR="001674F9">
        <w:t>ettevõt</w:t>
      </w:r>
      <w:r w:rsidR="008F42B7">
        <w:t>te</w:t>
      </w:r>
      <w:r w:rsidR="001674F9">
        <w:t xml:space="preserve"> </w:t>
      </w:r>
      <w:r w:rsidR="008F42B7">
        <w:t xml:space="preserve">MTE-ks tunnistamisel </w:t>
      </w:r>
      <w:r w:rsidR="0070055A">
        <w:t xml:space="preserve">ainult turuosast, vaid </w:t>
      </w:r>
      <w:r w:rsidR="00C30816">
        <w:t>lähtu</w:t>
      </w:r>
      <w:r w:rsidR="002A4B5A">
        <w:t>d</w:t>
      </w:r>
      <w:r w:rsidR="00C30816">
        <w:t xml:space="preserve">a </w:t>
      </w:r>
      <w:r w:rsidR="0070055A">
        <w:t xml:space="preserve">tuleb </w:t>
      </w:r>
      <w:r w:rsidR="00C30816">
        <w:t xml:space="preserve">ka muudest </w:t>
      </w:r>
      <w:r w:rsidR="00C30816">
        <w:lastRenderedPageBreak/>
        <w:t>kriteeriumitest</w:t>
      </w:r>
      <w:r w:rsidR="00FF62BB">
        <w:t xml:space="preserve"> (</w:t>
      </w:r>
      <w:r w:rsidR="008F42B7">
        <w:t>vt eeltoodud</w:t>
      </w:r>
      <w:r w:rsidR="00FF62BB">
        <w:t xml:space="preserve"> loetelu)</w:t>
      </w:r>
      <w:r w:rsidR="008F42B7">
        <w:t>.</w:t>
      </w:r>
      <w:r w:rsidR="00273D34">
        <w:t xml:space="preserve"> </w:t>
      </w:r>
      <w:r w:rsidR="008F4643">
        <w:t>Teisalt</w:t>
      </w:r>
      <w:r w:rsidR="00C32125">
        <w:t>,</w:t>
      </w:r>
      <w:r w:rsidR="008F4643">
        <w:t xml:space="preserve"> </w:t>
      </w:r>
      <w:r w:rsidR="00553E4B">
        <w:t xml:space="preserve">TTJA </w:t>
      </w:r>
      <w:r w:rsidR="00175B55">
        <w:t xml:space="preserve">2024 </w:t>
      </w:r>
      <w:r w:rsidR="00553E4B">
        <w:t xml:space="preserve">STJ hulgituru otsuse kavandis kasutatud </w:t>
      </w:r>
      <w:r w:rsidR="0096036E">
        <w:t>„</w:t>
      </w:r>
      <w:r w:rsidR="00BE7917">
        <w:t xml:space="preserve">Kriteeriumi </w:t>
      </w:r>
      <w:r w:rsidR="00175B55">
        <w:t>2</w:t>
      </w:r>
      <w:r w:rsidR="0096036E">
        <w:t>“</w:t>
      </w:r>
      <w:r w:rsidR="002551CE">
        <w:t xml:space="preserve"> alusel</w:t>
      </w:r>
      <w:r w:rsidR="00897026">
        <w:t xml:space="preserve"> ei määrata MTE-t </w:t>
      </w:r>
      <w:r w:rsidR="00BE7917">
        <w:t>internet</w:t>
      </w:r>
      <w:r w:rsidR="00913014">
        <w:t>i</w:t>
      </w:r>
      <w:r w:rsidR="00BE7917">
        <w:t xml:space="preserve">ühenduste </w:t>
      </w:r>
      <w:r w:rsidR="00897026">
        <w:t xml:space="preserve">jaeturul </w:t>
      </w:r>
      <w:r w:rsidR="00BE7917">
        <w:t xml:space="preserve">ega ka sellele eelnevatel hulgiturgudel 1 ja 3b, </w:t>
      </w:r>
      <w:r w:rsidR="00897026">
        <w:t xml:space="preserve">vaid see on </w:t>
      </w:r>
      <w:r w:rsidR="00DF1341">
        <w:t>üks mitmest</w:t>
      </w:r>
      <w:r w:rsidR="001656F1">
        <w:t xml:space="preserve"> </w:t>
      </w:r>
      <w:r w:rsidR="00BE7917">
        <w:t>konkurentsi taseme</w:t>
      </w:r>
      <w:r w:rsidR="00DF1341">
        <w:t xml:space="preserve"> </w:t>
      </w:r>
      <w:r w:rsidR="00BE7917">
        <w:t>näitaja</w:t>
      </w:r>
      <w:r w:rsidR="0096036E">
        <w:t>test</w:t>
      </w:r>
      <w:r w:rsidR="0055709F">
        <w:t xml:space="preserve"> (lisaks </w:t>
      </w:r>
      <w:r w:rsidR="00D22951">
        <w:t>analüüsitakse</w:t>
      </w:r>
      <w:r w:rsidR="0055709F">
        <w:t xml:space="preserve"> ka „Kriteeriumit </w:t>
      </w:r>
      <w:r w:rsidR="00175B55">
        <w:t>1</w:t>
      </w:r>
      <w:r w:rsidR="0055709F">
        <w:t>“, jaeturu toodete hinda</w:t>
      </w:r>
      <w:r w:rsidR="00E30DC5">
        <w:t xml:space="preserve">de erinevusi </w:t>
      </w:r>
      <w:r w:rsidR="00683B10">
        <w:t>ja pakkumise ning nõudluse erinevusi)</w:t>
      </w:r>
      <w:r w:rsidR="00BE7917">
        <w:t xml:space="preserve">, mille alusel </w:t>
      </w:r>
      <w:r w:rsidR="00FD2463">
        <w:t>hinnatakse</w:t>
      </w:r>
      <w:r w:rsidR="00BE7917">
        <w:t xml:space="preserve">, kas jaeturg </w:t>
      </w:r>
      <w:r w:rsidR="00875DD9">
        <w:t xml:space="preserve">ei kaldu või </w:t>
      </w:r>
      <w:r w:rsidR="00BE7917">
        <w:t xml:space="preserve">kaldub piisavalt tõhusa konkurentsi </w:t>
      </w:r>
      <w:r w:rsidR="00FE0731">
        <w:t>poole</w:t>
      </w:r>
      <w:r w:rsidR="00613D38">
        <w:t xml:space="preserve">, et </w:t>
      </w:r>
      <w:r w:rsidR="00DD6FD4">
        <w:t>jätkata</w:t>
      </w:r>
      <w:r w:rsidR="005C7FA8">
        <w:t xml:space="preserve"> või mitte jätkata</w:t>
      </w:r>
      <w:r w:rsidR="00DD6FD4">
        <w:t xml:space="preserve"> </w:t>
      </w:r>
      <w:r w:rsidR="003C1217">
        <w:t xml:space="preserve">valdkonnaspetsiifilise regulatsiooni kehtestamise põhjendatuse </w:t>
      </w:r>
      <w:r w:rsidR="00FD0158">
        <w:t xml:space="preserve">analüüsi </w:t>
      </w:r>
      <w:r w:rsidR="00471DA6">
        <w:t xml:space="preserve">jaeturu </w:t>
      </w:r>
      <w:r w:rsidR="00B8440F">
        <w:t xml:space="preserve">eelneval </w:t>
      </w:r>
      <w:r w:rsidR="00CD0E4B">
        <w:t>hulgiturgudel</w:t>
      </w:r>
      <w:r w:rsidR="0094032E">
        <w:t xml:space="preserve"> ehk </w:t>
      </w:r>
      <w:r w:rsidR="006917B6">
        <w:t xml:space="preserve">jätkata </w:t>
      </w:r>
      <w:r w:rsidR="00D6285F">
        <w:t xml:space="preserve">vastavate </w:t>
      </w:r>
      <w:r w:rsidR="0031613A">
        <w:t>hulgi</w:t>
      </w:r>
      <w:r w:rsidR="0094032E">
        <w:t>tur</w:t>
      </w:r>
      <w:r w:rsidR="008D772B">
        <w:t>g</w:t>
      </w:r>
      <w:r w:rsidR="0094032E">
        <w:t>ud</w:t>
      </w:r>
      <w:r w:rsidR="008D772B">
        <w:t xml:space="preserve">e </w:t>
      </w:r>
      <w:r w:rsidR="0031613A">
        <w:t>v</w:t>
      </w:r>
      <w:r w:rsidR="0094032E">
        <w:t>aldkonnaspetsiifilisele regulatsiooni</w:t>
      </w:r>
      <w:r w:rsidR="0031613A">
        <w:t xml:space="preserve"> vastuvõtlikkuse hindamist</w:t>
      </w:r>
      <w:r w:rsidR="003C1217">
        <w:t xml:space="preserve">. </w:t>
      </w:r>
    </w:p>
    <w:p w14:paraId="586CF06F" w14:textId="77777777" w:rsidR="00162286" w:rsidRDefault="00162286" w:rsidP="00A500BC"/>
    <w:p w14:paraId="63C2AD90" w14:textId="6E565D47" w:rsidR="00D1241B" w:rsidRPr="001648C0" w:rsidRDefault="001734D7" w:rsidP="00B928B8">
      <w:pPr>
        <w:jc w:val="both"/>
        <w:rPr>
          <w:u w:val="single"/>
        </w:rPr>
      </w:pPr>
      <w:r w:rsidRPr="001648C0">
        <w:rPr>
          <w:u w:val="single"/>
        </w:rPr>
        <w:t xml:space="preserve">Eeltoodust tulenevalt peab TTJA „Kriteeriumi </w:t>
      </w:r>
      <w:r w:rsidR="00175B55">
        <w:rPr>
          <w:u w:val="single"/>
        </w:rPr>
        <w:t>2</w:t>
      </w:r>
      <w:r w:rsidRPr="001648C0">
        <w:rPr>
          <w:u w:val="single"/>
        </w:rPr>
        <w:t xml:space="preserve">“ korral kasutatud konkurentsi näitaja lävendit (alla 50%) mõistlikuks ja </w:t>
      </w:r>
      <w:r w:rsidR="00A3413E" w:rsidRPr="001648C0">
        <w:rPr>
          <w:u w:val="single"/>
        </w:rPr>
        <w:t>tasakaalu</w:t>
      </w:r>
      <w:r w:rsidR="00B50779">
        <w:rPr>
          <w:u w:val="single"/>
        </w:rPr>
        <w:t>statu</w:t>
      </w:r>
      <w:r w:rsidR="00A3413E" w:rsidRPr="001648C0">
        <w:rPr>
          <w:u w:val="single"/>
        </w:rPr>
        <w:t>ks</w:t>
      </w:r>
      <w:r w:rsidRPr="001648C0">
        <w:rPr>
          <w:u w:val="single"/>
        </w:rPr>
        <w:t xml:space="preserve">, et </w:t>
      </w:r>
      <w:r w:rsidR="00C85609" w:rsidRPr="001648C0">
        <w:rPr>
          <w:u w:val="single"/>
        </w:rPr>
        <w:t>ühelt poolt kaitsta</w:t>
      </w:r>
      <w:r w:rsidRPr="001648C0">
        <w:rPr>
          <w:u w:val="single"/>
        </w:rPr>
        <w:t xml:space="preserve"> lõppkasutajate huve piisav</w:t>
      </w:r>
      <w:r w:rsidR="006B1A48" w:rsidRPr="001648C0">
        <w:rPr>
          <w:u w:val="single"/>
        </w:rPr>
        <w:t>a jaeturu</w:t>
      </w:r>
      <w:r w:rsidRPr="001648C0">
        <w:rPr>
          <w:u w:val="single"/>
        </w:rPr>
        <w:t xml:space="preserve"> konkurentsi </w:t>
      </w:r>
      <w:r w:rsidR="00C85609" w:rsidRPr="001648C0">
        <w:rPr>
          <w:u w:val="single"/>
        </w:rPr>
        <w:t xml:space="preserve">osas </w:t>
      </w:r>
      <w:r w:rsidRPr="001648C0">
        <w:rPr>
          <w:u w:val="single"/>
        </w:rPr>
        <w:t>ja teiselt poolt</w:t>
      </w:r>
      <w:r w:rsidR="009B09E6" w:rsidRPr="001648C0">
        <w:rPr>
          <w:u w:val="single"/>
        </w:rPr>
        <w:t xml:space="preserve"> </w:t>
      </w:r>
      <w:r w:rsidR="00406DC7" w:rsidRPr="001648C0">
        <w:rPr>
          <w:u w:val="single"/>
        </w:rPr>
        <w:t>lõppkasutajate</w:t>
      </w:r>
      <w:r w:rsidR="009B09E6" w:rsidRPr="001648C0">
        <w:rPr>
          <w:u w:val="single"/>
        </w:rPr>
        <w:t xml:space="preserve"> vajadust</w:t>
      </w:r>
      <w:r w:rsidR="003C7C64" w:rsidRPr="001648C0">
        <w:rPr>
          <w:u w:val="single"/>
        </w:rPr>
        <w:t xml:space="preserve"> tagada </w:t>
      </w:r>
      <w:r w:rsidR="002928BC" w:rsidRPr="001648C0">
        <w:rPr>
          <w:u w:val="single"/>
        </w:rPr>
        <w:t>elu- ja mitteeluruumide ühendatavus</w:t>
      </w:r>
      <w:r w:rsidRPr="001648C0">
        <w:rPr>
          <w:u w:val="single"/>
        </w:rPr>
        <w:t xml:space="preserve"> </w:t>
      </w:r>
      <w:r w:rsidR="00E27B42">
        <w:rPr>
          <w:u w:val="single"/>
        </w:rPr>
        <w:t xml:space="preserve">väga suure läbilaskevõimega </w:t>
      </w:r>
      <w:r w:rsidR="00E51471">
        <w:rPr>
          <w:u w:val="single"/>
        </w:rPr>
        <w:t>side</w:t>
      </w:r>
      <w:r w:rsidRPr="001648C0">
        <w:rPr>
          <w:u w:val="single"/>
        </w:rPr>
        <w:t>võrgu</w:t>
      </w:r>
      <w:r w:rsidR="002928BC" w:rsidRPr="001648C0">
        <w:rPr>
          <w:u w:val="single"/>
        </w:rPr>
        <w:t>ga ka hõre</w:t>
      </w:r>
      <w:r w:rsidR="005E3086">
        <w:rPr>
          <w:u w:val="single"/>
        </w:rPr>
        <w:t xml:space="preserve">asustatud </w:t>
      </w:r>
      <w:r w:rsidR="002928BC" w:rsidRPr="001648C0">
        <w:rPr>
          <w:u w:val="single"/>
        </w:rPr>
        <w:t>piirkondades</w:t>
      </w:r>
      <w:r w:rsidRPr="001648C0">
        <w:rPr>
          <w:u w:val="single"/>
        </w:rPr>
        <w:t xml:space="preserve">. </w:t>
      </w:r>
    </w:p>
    <w:p w14:paraId="5473A5D3" w14:textId="77E6D136" w:rsidR="00BD6F0D" w:rsidRDefault="00BD6F0D" w:rsidP="00BD6F0D">
      <w:pPr>
        <w:jc w:val="both"/>
      </w:pPr>
      <w:r>
        <w:t>TTJA nõustub, et konkurentsiseaduses § 13 lõige 1 on sätestatud, et t</w:t>
      </w:r>
      <w:r w:rsidRPr="00452FA1">
        <w:t xml:space="preserve">urgu valitseva seisundi omamist eeldatakse, kui ettevõtjale või mitmele samal kaubaturul tegutsevale ettevõtjale kuulub kaubaturul vähemalt 40 </w:t>
      </w:r>
      <w:r>
        <w:t>%</w:t>
      </w:r>
      <w:r w:rsidRPr="00452FA1">
        <w:t xml:space="preserve"> käibest.</w:t>
      </w:r>
      <w:r>
        <w:t xml:space="preserve"> TTJA muudab ja parandab selles osas otsuse</w:t>
      </w:r>
      <w:r w:rsidR="0043155F">
        <w:t xml:space="preserve"> lisa </w:t>
      </w:r>
      <w:r w:rsidR="00DA6D3C">
        <w:t>1</w:t>
      </w:r>
      <w:r>
        <w:t>.</w:t>
      </w:r>
    </w:p>
    <w:p w14:paraId="4EAC4C96" w14:textId="77777777" w:rsidR="00ED529E" w:rsidRDefault="00ED529E" w:rsidP="00A500BC"/>
    <w:p w14:paraId="09AF0947" w14:textId="77777777" w:rsidR="00830D7F" w:rsidRDefault="00830D7F" w:rsidP="00451881">
      <w:pPr>
        <w:jc w:val="both"/>
        <w:rPr>
          <w:u w:val="single"/>
        </w:rPr>
      </w:pPr>
    </w:p>
    <w:p w14:paraId="12D34CEF" w14:textId="77777777" w:rsidR="00553D8D" w:rsidRDefault="00553D8D" w:rsidP="00451881">
      <w:pPr>
        <w:jc w:val="both"/>
        <w:rPr>
          <w:u w:val="single"/>
        </w:rPr>
      </w:pPr>
    </w:p>
    <w:p w14:paraId="391ADB9B" w14:textId="3D53154C" w:rsidR="00830D7F" w:rsidRPr="00EF5FAD" w:rsidRDefault="00AC6CA8" w:rsidP="00EF5FAD">
      <w:pPr>
        <w:pStyle w:val="Pealkiri1"/>
      </w:pPr>
      <w:bookmarkStart w:id="30" w:name="_Toc182488040"/>
      <w:r>
        <w:t xml:space="preserve">Juurdepääsu kohustus </w:t>
      </w:r>
      <w:r w:rsidR="00B94B8B">
        <w:t>Telia</w:t>
      </w:r>
      <w:r w:rsidR="002105E6">
        <w:t xml:space="preserve"> </w:t>
      </w:r>
      <w:r w:rsidR="00B94B8B">
        <w:t xml:space="preserve">vaskkaabel kliendiliinile </w:t>
      </w:r>
      <w:r w:rsidR="005F2A20">
        <w:t>sh virtuaalselt eraldatud vaskkaabel kliendiliinile</w:t>
      </w:r>
      <w:bookmarkEnd w:id="30"/>
    </w:p>
    <w:p w14:paraId="56679117" w14:textId="77777777" w:rsidR="00830D7F" w:rsidRPr="00830D7F" w:rsidRDefault="00830D7F" w:rsidP="00830D7F">
      <w:pPr>
        <w:spacing w:after="8"/>
        <w:ind w:left="454"/>
        <w:rPr>
          <w:i/>
          <w:iCs/>
        </w:rPr>
      </w:pPr>
      <w:r w:rsidRPr="00830D7F">
        <w:rPr>
          <w:i/>
          <w:iCs/>
        </w:rPr>
        <w:t xml:space="preserve"> </w:t>
      </w:r>
    </w:p>
    <w:p w14:paraId="6688E6D4" w14:textId="0299D892" w:rsidR="00BF3C76" w:rsidRDefault="00BF3C76" w:rsidP="00234986">
      <w:pPr>
        <w:pStyle w:val="Pealkiri2"/>
      </w:pPr>
      <w:bookmarkStart w:id="31" w:name="_Toc182488041"/>
      <w:r w:rsidRPr="00BF3C76">
        <w:t>E</w:t>
      </w:r>
      <w:r w:rsidR="00234986">
        <w:t>lisa</w:t>
      </w:r>
      <w:bookmarkEnd w:id="31"/>
    </w:p>
    <w:p w14:paraId="11F30CCA" w14:textId="77777777" w:rsidR="00504D3A" w:rsidRPr="00504D3A" w:rsidRDefault="00504D3A" w:rsidP="00504D3A"/>
    <w:p w14:paraId="2D0C4D60" w14:textId="77777777" w:rsidR="00BF3C76" w:rsidRDefault="00BF3C76" w:rsidP="00BF3C76">
      <w:pPr>
        <w:spacing w:after="0"/>
        <w:rPr>
          <w:i/>
          <w:iCs/>
          <w:lang w:eastAsia="et-EE"/>
        </w:rPr>
      </w:pPr>
      <w:r w:rsidRPr="007C4905">
        <w:rPr>
          <w:i/>
          <w:iCs/>
          <w:lang w:eastAsia="et-EE"/>
        </w:rPr>
        <w:t>Kirjutas punktis 7 järgmist:</w:t>
      </w:r>
    </w:p>
    <w:p w14:paraId="63A74BEF" w14:textId="77777777" w:rsidR="00BF3C76" w:rsidRPr="007C4905" w:rsidRDefault="00BF3C76" w:rsidP="00BF3C76">
      <w:pPr>
        <w:spacing w:after="0"/>
        <w:rPr>
          <w:i/>
          <w:iCs/>
          <w:lang w:eastAsia="et-EE"/>
        </w:rPr>
      </w:pPr>
    </w:p>
    <w:p w14:paraId="5E35F9A4" w14:textId="77777777" w:rsidR="00830D7F" w:rsidRPr="00830D7F" w:rsidRDefault="00830D7F" w:rsidP="00BF3C76">
      <w:pPr>
        <w:spacing w:after="5" w:line="263" w:lineRule="auto"/>
        <w:ind w:hanging="10"/>
        <w:jc w:val="both"/>
        <w:rPr>
          <w:i/>
          <w:iCs/>
        </w:rPr>
      </w:pPr>
      <w:r w:rsidRPr="00830D7F">
        <w:rPr>
          <w:i/>
          <w:iCs/>
        </w:rPr>
        <w:t xml:space="preserve">ST hulgituru kavand nr 2 sätestab, et juhul kui Telia sidekaablitaristus ei ole vaba paigalduskohta ANO sidekaabli või alamtoru paigaldamiseks, siis peab Telia alternatiivina pakkuma juurdepääsu oma sidekaablile, sh vabadele valguskaabli kiududele (vt täpsemalt punkt 5). </w:t>
      </w:r>
    </w:p>
    <w:p w14:paraId="57B7040F" w14:textId="77777777" w:rsidR="00830D7F" w:rsidRPr="00830D7F" w:rsidRDefault="00830D7F" w:rsidP="00BF3C76">
      <w:pPr>
        <w:spacing w:after="0"/>
        <w:rPr>
          <w:i/>
          <w:iCs/>
        </w:rPr>
      </w:pPr>
      <w:r w:rsidRPr="00830D7F">
        <w:rPr>
          <w:i/>
          <w:iCs/>
        </w:rPr>
        <w:t xml:space="preserve"> </w:t>
      </w:r>
    </w:p>
    <w:p w14:paraId="23239A7A" w14:textId="77777777" w:rsidR="00830D7F" w:rsidRPr="00830D7F" w:rsidRDefault="00830D7F" w:rsidP="00BF3C76">
      <w:pPr>
        <w:spacing w:after="5" w:line="263" w:lineRule="auto"/>
        <w:ind w:hanging="10"/>
        <w:jc w:val="both"/>
        <w:rPr>
          <w:i/>
          <w:iCs/>
        </w:rPr>
      </w:pPr>
      <w:r w:rsidRPr="00830D7F">
        <w:rPr>
          <w:i/>
          <w:iCs/>
        </w:rPr>
        <w:t xml:space="preserve">Seega on TTJA õigesti ja põhjendatult tuvastanud ning järeldanud, et olukorras, kus </w:t>
      </w:r>
      <w:proofErr w:type="spellStart"/>
      <w:r w:rsidRPr="00830D7F">
        <w:rPr>
          <w:i/>
          <w:iCs/>
        </w:rPr>
        <w:t>ANO-l</w:t>
      </w:r>
      <w:proofErr w:type="spellEnd"/>
      <w:r w:rsidRPr="00830D7F">
        <w:rPr>
          <w:i/>
          <w:iCs/>
        </w:rPr>
        <w:t xml:space="preserve"> ei ole võimalik lõppkliendini jõudmiseks Telia sidetorusse (oma) valguskaablit paigaldada (prioriteet 1), peab Telia alternatiivina võimaldama </w:t>
      </w:r>
      <w:proofErr w:type="spellStart"/>
      <w:r w:rsidRPr="00830D7F">
        <w:rPr>
          <w:i/>
          <w:iCs/>
        </w:rPr>
        <w:t>ANO-le</w:t>
      </w:r>
      <w:proofErr w:type="spellEnd"/>
      <w:r w:rsidRPr="00830D7F">
        <w:rPr>
          <w:i/>
          <w:iCs/>
        </w:rPr>
        <w:t xml:space="preserve"> juurdepääsu oma sidekaablile (prioriteet 2) – seda tingimusel, et Telia sidekaabel on olemas ja lõppkliendini läheb. </w:t>
      </w:r>
    </w:p>
    <w:p w14:paraId="27EA0ACC" w14:textId="77777777" w:rsidR="00830D7F" w:rsidRPr="00830D7F" w:rsidRDefault="00830D7F" w:rsidP="00BF3C76">
      <w:pPr>
        <w:spacing w:after="3"/>
        <w:rPr>
          <w:i/>
          <w:iCs/>
        </w:rPr>
      </w:pPr>
      <w:r w:rsidRPr="00830D7F">
        <w:rPr>
          <w:i/>
          <w:iCs/>
        </w:rPr>
        <w:t xml:space="preserve"> </w:t>
      </w:r>
    </w:p>
    <w:p w14:paraId="58ACEABB" w14:textId="77777777" w:rsidR="00830D7F" w:rsidRPr="00830D7F" w:rsidRDefault="00830D7F" w:rsidP="00BF3C76">
      <w:pPr>
        <w:spacing w:after="5" w:line="263" w:lineRule="auto"/>
        <w:ind w:hanging="10"/>
        <w:jc w:val="both"/>
        <w:rPr>
          <w:i/>
          <w:iCs/>
        </w:rPr>
      </w:pPr>
      <w:r w:rsidRPr="00830D7F">
        <w:rPr>
          <w:i/>
          <w:iCs/>
        </w:rPr>
        <w:t xml:space="preserve">Teisisõnu, TTJA leidis, et lõppkliendini jõudmine on kõige olulisem: kuigi regulatsiooniga saab prioriseerida erinevaid juurdepääsuviise, sh suunata operaatorit arendama esmalt oma võrku, siis lõpuks on kriitiline, et lõppkliendini jõuaks ka keegi teine peale MTE ning et jaetasandil oleks konkurentsi ja lõppkliendil valikut. </w:t>
      </w:r>
    </w:p>
    <w:p w14:paraId="7CB5F1BB" w14:textId="77777777" w:rsidR="00830D7F" w:rsidRPr="00830D7F" w:rsidRDefault="00830D7F" w:rsidP="00BF3C76">
      <w:pPr>
        <w:spacing w:after="5" w:line="263" w:lineRule="auto"/>
        <w:ind w:hanging="10"/>
        <w:jc w:val="both"/>
        <w:rPr>
          <w:i/>
          <w:iCs/>
        </w:rPr>
      </w:pPr>
      <w:r w:rsidRPr="00830D7F">
        <w:rPr>
          <w:i/>
          <w:iCs/>
        </w:rPr>
        <w:lastRenderedPageBreak/>
        <w:t xml:space="preserve">Selles vaimus, kuigi Euroopa Komisjoni abil ja suunamisel, jõudis TTJA uues kavandis ka teisele õigele ja põhjendatud järeldusele – nimelt, et MTE võrgule tuleb füüsilise (kohaliku) juurdepääsu võimatuse korral tagada (kohalik) juurdepääs virtuaalselt, st läbi virtuaalselt eraldatud kliendiliini.  Uuest kavandist tulenevalt peaks Telia pakkuma virtuaalset kohalikku juurdepääsu (VULA) oma valguskaablile nö põhikohustusena piirkonnas B ning - koosmõjus ST hulgituru kavandiga nr 2 -  teatud juhtudel, alternatiivina Telia sidekaablitaristu juurdepääsule, ka piirkonnas A.28 </w:t>
      </w:r>
    </w:p>
    <w:p w14:paraId="6B077F0E" w14:textId="77777777" w:rsidR="00830D7F" w:rsidRPr="00830D7F" w:rsidRDefault="00830D7F" w:rsidP="00BF3C76">
      <w:pPr>
        <w:spacing w:after="0"/>
        <w:rPr>
          <w:i/>
          <w:iCs/>
        </w:rPr>
      </w:pPr>
      <w:r w:rsidRPr="00830D7F">
        <w:rPr>
          <w:i/>
          <w:iCs/>
        </w:rPr>
        <w:t xml:space="preserve"> </w:t>
      </w:r>
    </w:p>
    <w:p w14:paraId="19A21A20" w14:textId="77777777" w:rsidR="00830D7F" w:rsidRPr="00830D7F" w:rsidRDefault="00830D7F" w:rsidP="00BF3C76">
      <w:pPr>
        <w:spacing w:after="5" w:line="263" w:lineRule="auto"/>
        <w:ind w:hanging="10"/>
        <w:jc w:val="both"/>
        <w:rPr>
          <w:i/>
          <w:iCs/>
        </w:rPr>
      </w:pPr>
      <w:r w:rsidRPr="00830D7F">
        <w:rPr>
          <w:i/>
          <w:iCs/>
        </w:rPr>
        <w:t xml:space="preserve">Kohalik juurdepääs Telia valguskaablile – alati piirkonnas B ja variandina „B“ (st sidekaablitaristu juurdepääsu alternatiivina) piirkonnas A, mõlemal juhul esmajärgus füüsiliselt, kuid vajadusel ka virtuaalselt – on õige ja vajalik regulatiivne areng.  </w:t>
      </w:r>
    </w:p>
    <w:p w14:paraId="7AD0EF99" w14:textId="77777777" w:rsidR="00830D7F" w:rsidRPr="00830D7F" w:rsidRDefault="00830D7F" w:rsidP="00BF3C76">
      <w:pPr>
        <w:spacing w:after="32"/>
        <w:rPr>
          <w:i/>
          <w:iCs/>
        </w:rPr>
      </w:pPr>
      <w:r w:rsidRPr="00830D7F">
        <w:rPr>
          <w:i/>
          <w:iCs/>
        </w:rPr>
        <w:t xml:space="preserve"> </w:t>
      </w:r>
    </w:p>
    <w:p w14:paraId="3C84C6B4" w14:textId="77777777" w:rsidR="00830D7F" w:rsidRPr="00830D7F" w:rsidRDefault="00830D7F" w:rsidP="00BF3C76">
      <w:pPr>
        <w:pBdr>
          <w:top w:val="single" w:sz="4" w:space="0" w:color="000000"/>
          <w:left w:val="single" w:sz="4" w:space="0" w:color="000000"/>
          <w:bottom w:val="single" w:sz="4" w:space="0" w:color="000000"/>
          <w:right w:val="single" w:sz="4" w:space="0" w:color="000000"/>
        </w:pBdr>
        <w:spacing w:after="8" w:line="263" w:lineRule="auto"/>
        <w:ind w:hanging="10"/>
        <w:jc w:val="both"/>
        <w:rPr>
          <w:i/>
          <w:iCs/>
        </w:rPr>
      </w:pPr>
      <w:r w:rsidRPr="00830D7F">
        <w:rPr>
          <w:i/>
          <w:iCs/>
        </w:rPr>
        <w:t xml:space="preserve">Aga selle aluseks olev analüüs tuleks seniste põhijärelduste baasil (vt ülal) viia lõpuni, st kaaluda võimalust avada virtuaalse kohaliku juurdepääsu (VULA) kaudu teistele operaatoritele teenuse osutamiseks ja jaetasandil konkureerimiseks ka Telia moderniseeritud vaskkaablivõrk, st vasest juurdepääsuvõrk, mis on vektoriseerimise järgselt olnud teistele operaatoritele suletud, kuid Telia enda poolt aktiivses kasutuses nii jaeteenuste kui lairiba </w:t>
      </w:r>
      <w:proofErr w:type="spellStart"/>
      <w:r w:rsidRPr="00830D7F">
        <w:rPr>
          <w:i/>
          <w:iCs/>
        </w:rPr>
        <w:t>hulgijuurdepääsu</w:t>
      </w:r>
      <w:proofErr w:type="spellEnd"/>
      <w:r w:rsidRPr="00830D7F">
        <w:rPr>
          <w:i/>
          <w:iCs/>
        </w:rPr>
        <w:t xml:space="preserve"> teenuse osutamiseks. </w:t>
      </w:r>
    </w:p>
    <w:p w14:paraId="4CC7C6A0" w14:textId="77777777" w:rsidR="00830D7F" w:rsidRPr="00830D7F" w:rsidRDefault="00830D7F" w:rsidP="00BF3C76">
      <w:pPr>
        <w:spacing w:after="10"/>
        <w:rPr>
          <w:i/>
          <w:iCs/>
        </w:rPr>
      </w:pPr>
      <w:r w:rsidRPr="00830D7F">
        <w:rPr>
          <w:i/>
          <w:iCs/>
        </w:rPr>
        <w:t xml:space="preserve"> </w:t>
      </w:r>
    </w:p>
    <w:p w14:paraId="271BBCCC" w14:textId="77777777" w:rsidR="00830D7F" w:rsidRPr="00830D7F" w:rsidRDefault="00830D7F" w:rsidP="00BF3C76">
      <w:pPr>
        <w:spacing w:after="5" w:line="263" w:lineRule="auto"/>
        <w:ind w:hanging="10"/>
        <w:jc w:val="both"/>
        <w:rPr>
          <w:i/>
          <w:iCs/>
        </w:rPr>
      </w:pPr>
      <w:r w:rsidRPr="00830D7F">
        <w:rPr>
          <w:i/>
          <w:iCs/>
        </w:rPr>
        <w:t xml:space="preserve">Esiteks, vaskkaablil põhinevast juurdepääsust ja vaskkaablivõrgust tervikuna on TTJA juba palju aastaid rääkinud kui „hääbuvast turust“. Elisale teatas TTJA vase „hääbumisest“ 2018 a. märtsis ehk 6,5 aastat tagasi29 ning kogu sektorile 2020. a. juunis, öeldes, et „suure tõenäosusega aasta möödudes [juunis 2021] ei soovi vaskpaarjuurdepääsu teenuseid enam ükski jaeteenuse osutaja tarbida.“30 See oli vale siis, st aastal 2018 ja 2020, ja on vale ka täna. Tegelik elu kinnitab seda. </w:t>
      </w:r>
    </w:p>
    <w:p w14:paraId="6E269B53" w14:textId="77777777" w:rsidR="00830D7F" w:rsidRPr="00830D7F" w:rsidRDefault="00830D7F" w:rsidP="00BF3C76">
      <w:pPr>
        <w:spacing w:after="27"/>
        <w:rPr>
          <w:i/>
          <w:iCs/>
        </w:rPr>
      </w:pPr>
      <w:r w:rsidRPr="00830D7F">
        <w:rPr>
          <w:i/>
          <w:iCs/>
        </w:rPr>
        <w:t xml:space="preserve"> </w:t>
      </w:r>
    </w:p>
    <w:p w14:paraId="5A21A85A" w14:textId="77777777" w:rsidR="00830D7F" w:rsidRPr="00830D7F" w:rsidRDefault="00830D7F" w:rsidP="00BF3C76">
      <w:pPr>
        <w:pBdr>
          <w:top w:val="single" w:sz="4" w:space="0" w:color="000000"/>
          <w:left w:val="single" w:sz="4" w:space="0" w:color="000000"/>
          <w:bottom w:val="single" w:sz="4" w:space="0" w:color="000000"/>
          <w:right w:val="single" w:sz="4" w:space="0" w:color="000000"/>
        </w:pBdr>
        <w:spacing w:after="31" w:line="263" w:lineRule="auto"/>
        <w:ind w:hanging="10"/>
        <w:jc w:val="both"/>
        <w:rPr>
          <w:i/>
          <w:iCs/>
        </w:rPr>
      </w:pPr>
      <w:r w:rsidRPr="00830D7F">
        <w:rPr>
          <w:i/>
          <w:iCs/>
        </w:rPr>
        <w:t xml:space="preserve">Viimastel (2023 a.) andmetel põhineb tervelt viiendik (20%) püsiühendustest vasest juurdepääsul ja neist omakorda ¾ (ehk kokku 15% püsiühendustest) põhineb vektoriseeritud vaskkaablivõrgul, kusjuures vasest juurdepääsul põhineb rohkem kliendiühendusi kui kaabellevivõrgul (18%).31 </w:t>
      </w:r>
    </w:p>
    <w:p w14:paraId="58445F6F" w14:textId="77777777" w:rsidR="00830D7F" w:rsidRPr="00830D7F" w:rsidRDefault="00830D7F" w:rsidP="00BF3C76">
      <w:pPr>
        <w:spacing w:after="0"/>
        <w:rPr>
          <w:i/>
          <w:iCs/>
        </w:rPr>
      </w:pPr>
      <w:r w:rsidRPr="00830D7F">
        <w:rPr>
          <w:i/>
          <w:iCs/>
        </w:rPr>
        <w:t xml:space="preserve"> </w:t>
      </w:r>
    </w:p>
    <w:p w14:paraId="520DFDE4" w14:textId="15FFF83A" w:rsidR="00830D7F" w:rsidRPr="00830D7F" w:rsidRDefault="00830D7F" w:rsidP="00BF3C76">
      <w:pPr>
        <w:spacing w:after="0"/>
        <w:rPr>
          <w:i/>
          <w:iCs/>
        </w:rPr>
      </w:pPr>
      <w:r w:rsidRPr="00830D7F">
        <w:rPr>
          <w:i/>
          <w:iCs/>
          <w:noProof/>
        </w:rPr>
        <w:drawing>
          <wp:inline distT="0" distB="0" distL="0" distR="0" wp14:anchorId="36485897" wp14:editId="107B67E8">
            <wp:extent cx="4318762" cy="1823085"/>
            <wp:effectExtent l="0" t="0" r="0" b="0"/>
            <wp:docPr id="4932" name="Picture 4932"/>
            <wp:cNvGraphicFramePr/>
            <a:graphic xmlns:a="http://schemas.openxmlformats.org/drawingml/2006/main">
              <a:graphicData uri="http://schemas.openxmlformats.org/drawingml/2006/picture">
                <pic:pic xmlns:pic="http://schemas.openxmlformats.org/drawingml/2006/picture">
                  <pic:nvPicPr>
                    <pic:cNvPr id="4932" name="Picture 4932"/>
                    <pic:cNvPicPr/>
                  </pic:nvPicPr>
                  <pic:blipFill>
                    <a:blip r:embed="rId8"/>
                    <a:stretch>
                      <a:fillRect/>
                    </a:stretch>
                  </pic:blipFill>
                  <pic:spPr>
                    <a:xfrm>
                      <a:off x="0" y="0"/>
                      <a:ext cx="4318762" cy="1823085"/>
                    </a:xfrm>
                    <a:prstGeom prst="rect">
                      <a:avLst/>
                    </a:prstGeom>
                  </pic:spPr>
                </pic:pic>
              </a:graphicData>
            </a:graphic>
          </wp:inline>
        </w:drawing>
      </w:r>
    </w:p>
    <w:p w14:paraId="7DD1E220" w14:textId="77777777" w:rsidR="00830D7F" w:rsidRPr="00830D7F" w:rsidRDefault="00830D7F" w:rsidP="00BF3C76">
      <w:pPr>
        <w:spacing w:after="0"/>
        <w:rPr>
          <w:i/>
          <w:iCs/>
        </w:rPr>
      </w:pPr>
      <w:r w:rsidRPr="00830D7F">
        <w:rPr>
          <w:i/>
          <w:iCs/>
        </w:rPr>
        <w:t xml:space="preserve"> </w:t>
      </w:r>
    </w:p>
    <w:p w14:paraId="6F58B3F9" w14:textId="1B4E1D5D" w:rsidR="00830D7F" w:rsidRPr="00830D7F" w:rsidRDefault="00830D7F" w:rsidP="00BF3C76">
      <w:pPr>
        <w:spacing w:after="5" w:line="263" w:lineRule="auto"/>
        <w:ind w:hanging="10"/>
        <w:jc w:val="both"/>
        <w:rPr>
          <w:i/>
          <w:iCs/>
        </w:rPr>
      </w:pPr>
      <w:r w:rsidRPr="00830D7F">
        <w:rPr>
          <w:i/>
          <w:iCs/>
        </w:rPr>
        <w:t xml:space="preserve">Nendest ühendustest rõhuv enamus on ilmselt just Telia kliendid, kuna teistele operaatoritele on vaskpaaril põhinev juurdepääs suletud alates vektoriseerimisest. Nendest ühenduste seas peab olema ka hulgaliselt ärikliente. Nt Elisal oli 1.01.2018, st enne kui Telia alustas Elisa </w:t>
      </w:r>
      <w:r w:rsidRPr="00830D7F">
        <w:rPr>
          <w:i/>
          <w:iCs/>
        </w:rPr>
        <w:lastRenderedPageBreak/>
        <w:t xml:space="preserve">vaskpaaride massilist lõpetamist </w:t>
      </w:r>
      <w:proofErr w:type="spellStart"/>
      <w:r w:rsidRPr="00830D7F">
        <w:rPr>
          <w:i/>
          <w:iCs/>
        </w:rPr>
        <w:t>vectoring</w:t>
      </w:r>
      <w:proofErr w:type="spellEnd"/>
      <w:r w:rsidRPr="00830D7F">
        <w:rPr>
          <w:i/>
          <w:iCs/>
        </w:rPr>
        <w:t xml:space="preserve">-i ettekäändel, ca </w:t>
      </w:r>
      <w:r w:rsidR="004F67C6">
        <w:rPr>
          <w:i/>
          <w:iCs/>
        </w:rPr>
        <w:t>…</w:t>
      </w:r>
      <w:r w:rsidR="00E017F3">
        <w:rPr>
          <w:i/>
          <w:iCs/>
        </w:rPr>
        <w:t>*</w:t>
      </w:r>
      <w:r w:rsidRPr="00830D7F">
        <w:rPr>
          <w:i/>
          <w:iCs/>
        </w:rPr>
        <w:t xml:space="preserve"> ärikliendi interneti püsiühendust, millest ca </w:t>
      </w:r>
      <w:r w:rsidR="004F67C6">
        <w:rPr>
          <w:i/>
          <w:iCs/>
        </w:rPr>
        <w:t>…*</w:t>
      </w:r>
      <w:r w:rsidR="004F67C6">
        <w:rPr>
          <w:i/>
          <w:iCs/>
        </w:rPr>
        <w:t xml:space="preserve"> </w:t>
      </w:r>
      <w:r w:rsidRPr="00830D7F">
        <w:rPr>
          <w:i/>
          <w:iCs/>
        </w:rPr>
        <w:t xml:space="preserve">põhinesid Telialt renditud vaskpaaridel ehk vasest juurdepääsul. </w:t>
      </w:r>
    </w:p>
    <w:p w14:paraId="38FD38CA" w14:textId="77777777" w:rsidR="00830D7F" w:rsidRPr="00830D7F" w:rsidRDefault="00830D7F" w:rsidP="00BF3C76">
      <w:pPr>
        <w:spacing w:after="0"/>
        <w:rPr>
          <w:i/>
          <w:iCs/>
        </w:rPr>
      </w:pPr>
      <w:r w:rsidRPr="00830D7F">
        <w:rPr>
          <w:i/>
          <w:iCs/>
        </w:rPr>
        <w:t xml:space="preserve"> </w:t>
      </w:r>
    </w:p>
    <w:p w14:paraId="6578756C" w14:textId="77777777" w:rsidR="00830D7F" w:rsidRPr="00830D7F" w:rsidRDefault="00830D7F" w:rsidP="00BF3C76">
      <w:pPr>
        <w:spacing w:after="5" w:line="263" w:lineRule="auto"/>
        <w:ind w:hanging="10"/>
        <w:jc w:val="both"/>
        <w:rPr>
          <w:i/>
          <w:iCs/>
        </w:rPr>
      </w:pPr>
      <w:r w:rsidRPr="00830D7F">
        <w:rPr>
          <w:i/>
          <w:iCs/>
        </w:rPr>
        <w:t xml:space="preserve">Järelikult on Eestis (a) suur hulk elu- ja äriruume, kuhu tuleb vaid üks püsivõrk, mis kuulub Teliale ja seega (b) suur hulk era- ja ärikliente, kellel on interneti püsiühenduse osas vaid üks pakkuja, st Telia, ning kus konkurents üldse puudub (või on väga nõrk32).  </w:t>
      </w:r>
    </w:p>
    <w:p w14:paraId="593D9A7B" w14:textId="77777777" w:rsidR="00830D7F" w:rsidRPr="00830D7F" w:rsidRDefault="00830D7F" w:rsidP="00BF3C76">
      <w:pPr>
        <w:spacing w:after="0"/>
        <w:rPr>
          <w:i/>
          <w:iCs/>
        </w:rPr>
      </w:pPr>
      <w:r w:rsidRPr="00830D7F">
        <w:rPr>
          <w:i/>
          <w:iCs/>
        </w:rPr>
        <w:t xml:space="preserve"> </w:t>
      </w:r>
    </w:p>
    <w:p w14:paraId="2B5C5041" w14:textId="77777777" w:rsidR="00830D7F" w:rsidRPr="00830D7F" w:rsidRDefault="00830D7F" w:rsidP="00BF3C76">
      <w:pPr>
        <w:spacing w:after="5" w:line="263" w:lineRule="auto"/>
        <w:ind w:hanging="10"/>
        <w:jc w:val="both"/>
        <w:rPr>
          <w:i/>
          <w:iCs/>
        </w:rPr>
      </w:pPr>
      <w:r w:rsidRPr="00830D7F">
        <w:rPr>
          <w:i/>
          <w:iCs/>
        </w:rPr>
        <w:t xml:space="preserve">Vasel põhinevate ühenduste suur arv ei kinnita seda, et (a) vasel baseeruv interneti püsiühendus on asendatav mobiiltelefonivõrgul baseeruva ühendusega või et (b) lairiba </w:t>
      </w:r>
      <w:proofErr w:type="spellStart"/>
      <w:r w:rsidRPr="00830D7F">
        <w:rPr>
          <w:i/>
          <w:iCs/>
        </w:rPr>
        <w:t>hulgijuurdepääsu</w:t>
      </w:r>
      <w:proofErr w:type="spellEnd"/>
      <w:r w:rsidRPr="00830D7F">
        <w:rPr>
          <w:i/>
          <w:iCs/>
        </w:rPr>
        <w:t xml:space="preserve"> (st Telia lairibaressursi) baasil saaks tõhusalt konkureerida interneti püsiühenduse jaeturgudel. </w:t>
      </w:r>
    </w:p>
    <w:p w14:paraId="0F7F92DA" w14:textId="77777777" w:rsidR="00830D7F" w:rsidRPr="00830D7F" w:rsidRDefault="00830D7F" w:rsidP="00BF3C76">
      <w:pPr>
        <w:spacing w:after="5" w:line="263" w:lineRule="auto"/>
        <w:ind w:hanging="10"/>
        <w:jc w:val="both"/>
        <w:rPr>
          <w:i/>
          <w:iCs/>
        </w:rPr>
      </w:pPr>
      <w:r w:rsidRPr="00830D7F">
        <w:rPr>
          <w:i/>
          <w:iCs/>
        </w:rPr>
        <w:t xml:space="preserve">Teiseks, Eestis on nii täna kui ka lähitulevikus (perioodil kuni järgmise turuanalüüsini) suur hulk olukordi, kus Telia moderniseeritud vaskkaablivõrk on ainus tõhus kohalik juurdepääsuviis. </w:t>
      </w:r>
    </w:p>
    <w:p w14:paraId="2C316261" w14:textId="77777777" w:rsidR="00830D7F" w:rsidRPr="00830D7F" w:rsidRDefault="00830D7F" w:rsidP="00BF3C76">
      <w:pPr>
        <w:spacing w:after="9"/>
        <w:rPr>
          <w:i/>
          <w:iCs/>
        </w:rPr>
      </w:pPr>
      <w:r w:rsidRPr="00830D7F">
        <w:rPr>
          <w:i/>
          <w:iCs/>
        </w:rPr>
        <w:t xml:space="preserve"> </w:t>
      </w:r>
    </w:p>
    <w:p w14:paraId="7D97EB04" w14:textId="77777777" w:rsidR="00830D7F" w:rsidRPr="00830D7F" w:rsidRDefault="00830D7F" w:rsidP="00BF3C76">
      <w:pPr>
        <w:spacing w:after="4" w:line="258" w:lineRule="auto"/>
        <w:ind w:hanging="10"/>
        <w:jc w:val="both"/>
        <w:rPr>
          <w:i/>
          <w:iCs/>
        </w:rPr>
      </w:pPr>
      <w:r w:rsidRPr="00830D7F">
        <w:rPr>
          <w:i/>
          <w:iCs/>
        </w:rPr>
        <w:t xml:space="preserve">TTJA tunnistab ise, et: „Eestis on vähe linnalisi üksusi, kus on majanduslikult mõistlik ja teostatav rajada rohkem kui kaks paralleelset püsivõrku ning maalistesse üksustesse on üldiselt mõistlik rajada üksnes üks püsivõrk. Maapiirkondades saab jaeturu suurt konkurentsi tagada läbi riigiabil põhinevate juurdepääsuvõrkude, mille kaudu pakutakse hulgiteenuseid.“33 </w:t>
      </w:r>
    </w:p>
    <w:p w14:paraId="481FF91B" w14:textId="77777777" w:rsidR="00830D7F" w:rsidRPr="00830D7F" w:rsidRDefault="00830D7F" w:rsidP="00BF3C76">
      <w:pPr>
        <w:spacing w:after="9"/>
        <w:rPr>
          <w:i/>
          <w:iCs/>
        </w:rPr>
      </w:pPr>
      <w:r w:rsidRPr="00830D7F">
        <w:rPr>
          <w:i/>
          <w:iCs/>
        </w:rPr>
        <w:t xml:space="preserve"> </w:t>
      </w:r>
    </w:p>
    <w:p w14:paraId="0DA45601" w14:textId="77777777" w:rsidR="00830D7F" w:rsidRPr="00830D7F" w:rsidRDefault="00830D7F" w:rsidP="00BF3C76">
      <w:pPr>
        <w:pBdr>
          <w:top w:val="single" w:sz="4" w:space="0" w:color="000000"/>
          <w:left w:val="single" w:sz="4" w:space="0" w:color="000000"/>
          <w:bottom w:val="single" w:sz="4" w:space="0" w:color="000000"/>
          <w:right w:val="single" w:sz="4" w:space="0" w:color="000000"/>
        </w:pBdr>
        <w:spacing w:after="8" w:line="263" w:lineRule="auto"/>
        <w:ind w:hanging="10"/>
        <w:jc w:val="both"/>
        <w:rPr>
          <w:i/>
          <w:iCs/>
        </w:rPr>
      </w:pPr>
      <w:r w:rsidRPr="00830D7F">
        <w:rPr>
          <w:i/>
          <w:iCs/>
        </w:rPr>
        <w:t xml:space="preserve">Seega on Eestis terve hulk asukohti kuhu (a) ei ole ega tulegi Telia valguskaablit (millele laieneks juurdepääsukohustus ja mida ANO saaks rentida); (b) kuhu ei ole ega tulegi ANO valguskaablit, kuna selle rajamine on majanduslikult mõttetu ja seega välistatud (isegi juhul kui selle asukohani läheks Telia sidetoru kuhu teoorias kaablit paigaldada); ja (c) kuhu ei ole ega tule (kas üldse või vähemalt mitte järgmise turuanalüüsini) ka nn riigiabivõrku ning millisteni saab seega ainult läbi (i) vaskkaablil põhineva juurdepääsuvõrgu (ainus püsivõrk) ja (ii) mobiiltelefonivõrgu. </w:t>
      </w:r>
    </w:p>
    <w:p w14:paraId="74842BFE" w14:textId="77777777" w:rsidR="00830D7F" w:rsidRPr="00830D7F" w:rsidRDefault="00830D7F" w:rsidP="00BF3C76">
      <w:pPr>
        <w:spacing w:after="12"/>
        <w:rPr>
          <w:i/>
          <w:iCs/>
        </w:rPr>
      </w:pPr>
      <w:r w:rsidRPr="00830D7F">
        <w:rPr>
          <w:i/>
          <w:iCs/>
        </w:rPr>
        <w:t xml:space="preserve"> </w:t>
      </w:r>
    </w:p>
    <w:p w14:paraId="0D98A1FE" w14:textId="77777777" w:rsidR="00830D7F" w:rsidRPr="00830D7F" w:rsidRDefault="00830D7F" w:rsidP="00BF3C76">
      <w:pPr>
        <w:spacing w:after="5" w:line="263" w:lineRule="auto"/>
        <w:ind w:hanging="10"/>
        <w:jc w:val="both"/>
        <w:rPr>
          <w:i/>
          <w:iCs/>
        </w:rPr>
      </w:pPr>
      <w:r w:rsidRPr="00830D7F">
        <w:rPr>
          <w:i/>
          <w:iCs/>
        </w:rPr>
        <w:t xml:space="preserve">Jah, lõppkliendini, kelleni läheb ainult vaskkaablil põhinev juurdepääsuvõrk saab põhimõtteliselt ka läbi Telia lairiba </w:t>
      </w:r>
      <w:proofErr w:type="spellStart"/>
      <w:r w:rsidRPr="00830D7F">
        <w:rPr>
          <w:i/>
          <w:iCs/>
        </w:rPr>
        <w:t>hulgijuurdepääsu</w:t>
      </w:r>
      <w:proofErr w:type="spellEnd"/>
      <w:r w:rsidRPr="00830D7F">
        <w:rPr>
          <w:i/>
          <w:iCs/>
        </w:rPr>
        <w:t xml:space="preserve"> (Telia lairibaressurss), kuid see ei ole kohaliku juurdepääsu asendus ega edenda konkurentsi vaid pigem põlistab tänast turustruktuuri ja MTE turuvõimu. </w:t>
      </w:r>
    </w:p>
    <w:p w14:paraId="338B4459" w14:textId="77777777" w:rsidR="00830D7F" w:rsidRPr="00830D7F" w:rsidRDefault="00830D7F" w:rsidP="00BF3C76">
      <w:pPr>
        <w:spacing w:after="1"/>
        <w:rPr>
          <w:i/>
          <w:iCs/>
        </w:rPr>
      </w:pPr>
      <w:r w:rsidRPr="00830D7F">
        <w:rPr>
          <w:i/>
          <w:iCs/>
        </w:rPr>
        <w:t xml:space="preserve"> </w:t>
      </w:r>
    </w:p>
    <w:p w14:paraId="00C9D138" w14:textId="77777777" w:rsidR="00830D7F" w:rsidRPr="00830D7F" w:rsidRDefault="00830D7F" w:rsidP="00BF3C76">
      <w:pPr>
        <w:spacing w:after="5" w:line="263" w:lineRule="auto"/>
        <w:ind w:hanging="10"/>
        <w:jc w:val="both"/>
        <w:rPr>
          <w:i/>
          <w:iCs/>
        </w:rPr>
      </w:pPr>
      <w:r w:rsidRPr="00830D7F">
        <w:rPr>
          <w:i/>
          <w:iCs/>
        </w:rPr>
        <w:t xml:space="preserve">Kolmandaks, moderniseeritud vasest juurdepääsuvõrgul põhineva interneti (jae) püsiühenduse asendatavus mobiiltelefonivõrgul põhineva internetiühendusega on küsitav ning äriklientide osas enam kui kaheldav – seda ei tohiks jätta MTE kohustuste kujundamisel tähelepanuta. </w:t>
      </w:r>
    </w:p>
    <w:p w14:paraId="596BFE60" w14:textId="77777777" w:rsidR="00830D7F" w:rsidRPr="00830D7F" w:rsidRDefault="00830D7F" w:rsidP="00BF3C76">
      <w:pPr>
        <w:spacing w:after="10"/>
        <w:rPr>
          <w:i/>
          <w:iCs/>
        </w:rPr>
      </w:pPr>
      <w:r w:rsidRPr="00830D7F">
        <w:rPr>
          <w:i/>
          <w:iCs/>
        </w:rPr>
        <w:t xml:space="preserve"> </w:t>
      </w:r>
    </w:p>
    <w:p w14:paraId="1F0A8916" w14:textId="77777777" w:rsidR="00830D7F" w:rsidRPr="00830D7F" w:rsidRDefault="00830D7F" w:rsidP="00BF3C76">
      <w:pPr>
        <w:spacing w:after="5" w:line="263" w:lineRule="auto"/>
        <w:ind w:hanging="10"/>
        <w:jc w:val="both"/>
        <w:rPr>
          <w:i/>
          <w:iCs/>
        </w:rPr>
      </w:pPr>
      <w:r w:rsidRPr="00830D7F">
        <w:rPr>
          <w:i/>
          <w:iCs/>
        </w:rPr>
        <w:t xml:space="preserve">Nagu öeldud (vt punkt 6.2), era- ja ärikliendi eristamine ning ärikliendianalüüs on jätkuvalt puudu. Niiviisi laiendab TTJA oma järeldusi – mis põhinevad valdavalt erakliendil ning tema vajadustel, nõudmistel ja käitumisel – automaatselt ka äriklientidele ja vaikib seega ärikliendi erisused maha. Ka vaskkaabli- ja mobiilsidevõrgu asendatavuse analüüs uues kavandis on laialivalguv, raskesti jälgitav, erakliendil põhinev ja seega ebaveenev, eelkõige just äriklienti puudutavas osas. </w:t>
      </w:r>
    </w:p>
    <w:p w14:paraId="7239D89F" w14:textId="77777777" w:rsidR="00830D7F" w:rsidRPr="00830D7F" w:rsidRDefault="00830D7F" w:rsidP="00BF3C76">
      <w:pPr>
        <w:spacing w:after="3"/>
        <w:rPr>
          <w:i/>
          <w:iCs/>
        </w:rPr>
      </w:pPr>
      <w:r w:rsidRPr="00830D7F">
        <w:rPr>
          <w:i/>
          <w:iCs/>
        </w:rPr>
        <w:t xml:space="preserve"> </w:t>
      </w:r>
    </w:p>
    <w:p w14:paraId="30383E7A" w14:textId="77777777" w:rsidR="00830D7F" w:rsidRPr="00830D7F" w:rsidRDefault="00830D7F" w:rsidP="00BF3C76">
      <w:pPr>
        <w:spacing w:after="5" w:line="263" w:lineRule="auto"/>
        <w:ind w:hanging="10"/>
        <w:jc w:val="both"/>
        <w:rPr>
          <w:i/>
          <w:iCs/>
        </w:rPr>
      </w:pPr>
      <w:r w:rsidRPr="00830D7F">
        <w:rPr>
          <w:i/>
          <w:iCs/>
        </w:rPr>
        <w:t xml:space="preserve">Vaskpaaril põhinevate ühenduste suur arv (s.o. 20% kõigist püsiühendustest) ei kinnita seda, et vaskkaablil baseeruv interneti püsiühendus on piisavalt asendatav mobiiltelefonivõrgul </w:t>
      </w:r>
      <w:r w:rsidRPr="00830D7F">
        <w:rPr>
          <w:i/>
          <w:iCs/>
        </w:rPr>
        <w:lastRenderedPageBreak/>
        <w:t xml:space="preserve">põhineva ühendusega. Isegi juhul kui erakliendi seisukohalt võib vase- ning mobiilivõrgu asendatavust olla, siis ärikliendi ja tema vajaduste seisukohalt on see pigem välistatud või väga vähene, st igal juhul ebapiisav, et lugeda neid ärikliendi seisukohalt omavahel asendatavateks. </w:t>
      </w:r>
    </w:p>
    <w:p w14:paraId="78C1ABC1" w14:textId="77777777" w:rsidR="00830D7F" w:rsidRPr="00830D7F" w:rsidRDefault="00830D7F" w:rsidP="00BF3C76">
      <w:pPr>
        <w:spacing w:after="28"/>
        <w:rPr>
          <w:i/>
          <w:iCs/>
        </w:rPr>
      </w:pPr>
      <w:r w:rsidRPr="00830D7F">
        <w:rPr>
          <w:i/>
          <w:iCs/>
        </w:rPr>
        <w:t xml:space="preserve"> </w:t>
      </w:r>
    </w:p>
    <w:p w14:paraId="38E6F85C" w14:textId="146F8B32" w:rsidR="00830D7F" w:rsidRPr="00830D7F" w:rsidRDefault="00830D7F" w:rsidP="00BF3C76">
      <w:pPr>
        <w:pBdr>
          <w:top w:val="single" w:sz="4" w:space="0" w:color="000000"/>
          <w:left w:val="single" w:sz="4" w:space="0" w:color="000000"/>
          <w:bottom w:val="single" w:sz="4" w:space="0" w:color="000000"/>
          <w:right w:val="single" w:sz="4" w:space="0" w:color="000000"/>
        </w:pBdr>
        <w:spacing w:after="8" w:line="263" w:lineRule="auto"/>
        <w:ind w:hanging="10"/>
        <w:jc w:val="both"/>
        <w:rPr>
          <w:i/>
          <w:iCs/>
        </w:rPr>
      </w:pPr>
      <w:r w:rsidRPr="00830D7F">
        <w:rPr>
          <w:i/>
          <w:iCs/>
        </w:rPr>
        <w:t xml:space="preserve">Elisal oli enne Telia poolt Elisa renditud vaskpaaride massilist lõpetamist </w:t>
      </w:r>
      <w:proofErr w:type="spellStart"/>
      <w:r w:rsidRPr="00830D7F">
        <w:rPr>
          <w:i/>
          <w:iCs/>
        </w:rPr>
        <w:t>vectoring</w:t>
      </w:r>
      <w:proofErr w:type="spellEnd"/>
      <w:r w:rsidRPr="00830D7F">
        <w:rPr>
          <w:i/>
          <w:iCs/>
        </w:rPr>
        <w:t xml:space="preserve">-i ettekäändel u </w:t>
      </w:r>
      <w:r w:rsidR="004F67C6">
        <w:rPr>
          <w:i/>
          <w:iCs/>
        </w:rPr>
        <w:t>…*</w:t>
      </w:r>
      <w:r w:rsidR="004F67C6">
        <w:rPr>
          <w:i/>
          <w:iCs/>
        </w:rPr>
        <w:t xml:space="preserve"> </w:t>
      </w:r>
      <w:r w:rsidRPr="00830D7F">
        <w:rPr>
          <w:i/>
          <w:iCs/>
        </w:rPr>
        <w:t>ärikliendi interneti püsiühendust (</w:t>
      </w:r>
      <w:r w:rsidR="004F67C6">
        <w:rPr>
          <w:i/>
          <w:iCs/>
        </w:rPr>
        <w:t>…*</w:t>
      </w:r>
      <w:r w:rsidR="004F67C6">
        <w:rPr>
          <w:i/>
          <w:iCs/>
        </w:rPr>
        <w:t xml:space="preserve"> </w:t>
      </w:r>
      <w:r w:rsidRPr="00830D7F">
        <w:rPr>
          <w:i/>
          <w:iCs/>
        </w:rPr>
        <w:t xml:space="preserve">kõigist), mis põhinesid Telialt renditud vaskpaaridel ehk vasest juurdepääsul. Ainult väike osa neist – u </w:t>
      </w:r>
      <w:r w:rsidR="004F67C6">
        <w:rPr>
          <w:i/>
          <w:iCs/>
        </w:rPr>
        <w:t>…*</w:t>
      </w:r>
      <w:r w:rsidR="004F67C6">
        <w:rPr>
          <w:i/>
          <w:iCs/>
        </w:rPr>
        <w:t xml:space="preserve"> </w:t>
      </w:r>
      <w:r w:rsidRPr="00830D7F">
        <w:rPr>
          <w:i/>
          <w:iCs/>
        </w:rPr>
        <w:t xml:space="preserve">– oli valmis, viimases hädas ja kohati ajutiselt kolima üle mobiiltelefonivõrgul põhinevale ühendusele. Kordades rohkem kliente, u </w:t>
      </w:r>
      <w:r w:rsidR="00E0254C">
        <w:rPr>
          <w:i/>
          <w:iCs/>
        </w:rPr>
        <w:t>…*</w:t>
      </w:r>
      <w:r w:rsidRPr="00830D7F">
        <w:rPr>
          <w:i/>
          <w:iCs/>
        </w:rPr>
        <w:t xml:space="preserve">, lõpetas kliendisuhte sootuks ja umbes sama palju kliente, st u </w:t>
      </w:r>
      <w:r w:rsidR="00E0254C">
        <w:rPr>
          <w:i/>
          <w:iCs/>
        </w:rPr>
        <w:t>…*</w:t>
      </w:r>
      <w:r w:rsidRPr="00830D7F">
        <w:rPr>
          <w:i/>
          <w:iCs/>
        </w:rPr>
        <w:t xml:space="preserve">, õnnestus hoida ainult seeläbi, et nad viidi üle Telia lairiba </w:t>
      </w:r>
      <w:proofErr w:type="spellStart"/>
      <w:r w:rsidRPr="00830D7F">
        <w:rPr>
          <w:i/>
          <w:iCs/>
        </w:rPr>
        <w:t>hulgijuurdepääsul</w:t>
      </w:r>
      <w:proofErr w:type="spellEnd"/>
      <w:r w:rsidRPr="00830D7F">
        <w:rPr>
          <w:i/>
          <w:iCs/>
        </w:rPr>
        <w:t xml:space="preserve"> põhinevale ühendusele.34 Ei ole usutav, et ärikliendid koliksid vabatahtlikult üle ainult mobiilivõrgul põhinevale ühendusele. </w:t>
      </w:r>
    </w:p>
    <w:p w14:paraId="0FD2B4F8" w14:textId="77777777" w:rsidR="00830D7F" w:rsidRPr="00830D7F" w:rsidRDefault="00830D7F" w:rsidP="00BF3C76">
      <w:pPr>
        <w:spacing w:after="0"/>
        <w:rPr>
          <w:i/>
          <w:iCs/>
        </w:rPr>
      </w:pPr>
      <w:r w:rsidRPr="00830D7F">
        <w:rPr>
          <w:i/>
          <w:iCs/>
        </w:rPr>
        <w:t xml:space="preserve"> </w:t>
      </w:r>
    </w:p>
    <w:p w14:paraId="217555E1" w14:textId="77777777" w:rsidR="00830D7F" w:rsidRPr="00830D7F" w:rsidRDefault="00830D7F" w:rsidP="00BF3C76">
      <w:pPr>
        <w:spacing w:after="5" w:line="263" w:lineRule="auto"/>
        <w:ind w:hanging="10"/>
        <w:jc w:val="both"/>
        <w:rPr>
          <w:i/>
          <w:iCs/>
        </w:rPr>
      </w:pPr>
      <w:r w:rsidRPr="00830D7F">
        <w:rPr>
          <w:i/>
          <w:iCs/>
        </w:rPr>
        <w:t xml:space="preserve">Neljandaks, 2023-T1-kavandi (eelnõu) tagasisidestamisel rõhutas ka Euroopa Komisjon VULA mõju ja tähtsust mitte ainult valguskaablivõrgu (FTTH PON tehnoloogia) vaid ka moderniseeritud </w:t>
      </w:r>
    </w:p>
    <w:p w14:paraId="2D6C4CAA" w14:textId="77777777" w:rsidR="00830D7F" w:rsidRPr="00830D7F" w:rsidRDefault="00830D7F" w:rsidP="00BF3C76">
      <w:pPr>
        <w:spacing w:after="5" w:line="263" w:lineRule="auto"/>
        <w:ind w:hanging="10"/>
        <w:jc w:val="both"/>
        <w:rPr>
          <w:i/>
          <w:iCs/>
        </w:rPr>
      </w:pPr>
      <w:r w:rsidRPr="00830D7F">
        <w:rPr>
          <w:i/>
          <w:iCs/>
        </w:rPr>
        <w:t>(</w:t>
      </w:r>
      <w:proofErr w:type="spellStart"/>
      <w:r w:rsidRPr="00830D7F">
        <w:rPr>
          <w:i/>
          <w:iCs/>
        </w:rPr>
        <w:t>vectoring</w:t>
      </w:r>
      <w:proofErr w:type="spellEnd"/>
      <w:r w:rsidRPr="00830D7F">
        <w:rPr>
          <w:i/>
          <w:iCs/>
        </w:rPr>
        <w:t xml:space="preserve"> ja </w:t>
      </w:r>
      <w:proofErr w:type="spellStart"/>
      <w:r w:rsidRPr="00830D7F">
        <w:rPr>
          <w:i/>
          <w:iCs/>
        </w:rPr>
        <w:t>G.Fast</w:t>
      </w:r>
      <w:proofErr w:type="spellEnd"/>
      <w:r w:rsidRPr="00830D7F">
        <w:rPr>
          <w:i/>
          <w:iCs/>
        </w:rPr>
        <w:t xml:space="preserve"> tehnoloogia) vaskkaablivõrgu kontekstis, öeldes mh, et: </w:t>
      </w:r>
    </w:p>
    <w:p w14:paraId="2EC5EAE1" w14:textId="77777777" w:rsidR="00830D7F" w:rsidRPr="00830D7F" w:rsidRDefault="00830D7F" w:rsidP="00BF3C76">
      <w:pPr>
        <w:spacing w:after="0"/>
        <w:rPr>
          <w:i/>
          <w:iCs/>
        </w:rPr>
      </w:pPr>
      <w:r w:rsidRPr="00830D7F">
        <w:rPr>
          <w:i/>
          <w:iCs/>
        </w:rPr>
        <w:t xml:space="preserve"> </w:t>
      </w:r>
    </w:p>
    <w:p w14:paraId="79D07A66" w14:textId="77777777" w:rsidR="00830D7F" w:rsidRPr="00830D7F" w:rsidRDefault="00830D7F" w:rsidP="00BF3C76">
      <w:pPr>
        <w:spacing w:after="0" w:line="255" w:lineRule="auto"/>
        <w:ind w:hanging="10"/>
        <w:jc w:val="both"/>
        <w:rPr>
          <w:i/>
          <w:iCs/>
        </w:rPr>
      </w:pPr>
      <w:r w:rsidRPr="00830D7F">
        <w:rPr>
          <w:i/>
          <w:iCs/>
        </w:rPr>
        <w:t xml:space="preserve">„VULA on alternatiiv füüsilise eraldamise kasutamisele, kui kiudoptiline füüsiline eraldamine ei ole tehniliselt või majanduslikult võimalik või kui vaskpaarliinide füüsiline eraldamine ei võimalda </w:t>
      </w:r>
      <w:proofErr w:type="spellStart"/>
      <w:r w:rsidRPr="00830D7F">
        <w:rPr>
          <w:i/>
          <w:iCs/>
        </w:rPr>
        <w:t>vektordustehnoloogiast</w:t>
      </w:r>
      <w:proofErr w:type="spellEnd"/>
      <w:r w:rsidRPr="00830D7F">
        <w:rPr>
          <w:i/>
          <w:iCs/>
        </w:rPr>
        <w:t xml:space="preserve"> kasu saada. VULA peaks pakkuma hulgitasandi juurdepääsu taotlejale samal määral toote funktsioone kui füüsiline eraldamine, niivõrd kui see on põhjendatult võimalik.“ „VULA määratlemine [ainult] bitivoo turu 3b </w:t>
      </w:r>
      <w:proofErr w:type="spellStart"/>
      <w:r w:rsidRPr="00830D7F">
        <w:rPr>
          <w:i/>
          <w:iCs/>
        </w:rPr>
        <w:t>hulgitootena</w:t>
      </w:r>
      <w:proofErr w:type="spellEnd"/>
      <w:r w:rsidRPr="00830D7F">
        <w:rPr>
          <w:i/>
          <w:iCs/>
        </w:rPr>
        <w:t xml:space="preserve"> jätaks TTJA hinnangust välja Telia võrgu märkimisväärsed osad turu 1 ülemises segmendis [ja] piira[</w:t>
      </w:r>
      <w:proofErr w:type="spellStart"/>
      <w:r w:rsidRPr="00830D7F">
        <w:rPr>
          <w:i/>
          <w:iCs/>
        </w:rPr>
        <w:t>ks</w:t>
      </w:r>
      <w:proofErr w:type="spellEnd"/>
      <w:r w:rsidRPr="00830D7F">
        <w:rPr>
          <w:i/>
          <w:iCs/>
        </w:rPr>
        <w:t xml:space="preserve">] ka juurdepääsutaotlejate võimalusi pakkuda diferentseeritud teenuseid jaetasandil.“ </w:t>
      </w:r>
    </w:p>
    <w:p w14:paraId="4DF491E4" w14:textId="77777777" w:rsidR="00830D7F" w:rsidRPr="00830D7F" w:rsidRDefault="00830D7F" w:rsidP="00BF3C76">
      <w:pPr>
        <w:spacing w:after="0"/>
        <w:rPr>
          <w:i/>
          <w:iCs/>
        </w:rPr>
      </w:pPr>
      <w:r w:rsidRPr="00830D7F">
        <w:rPr>
          <w:i/>
          <w:iCs/>
        </w:rPr>
        <w:t xml:space="preserve"> </w:t>
      </w:r>
    </w:p>
    <w:p w14:paraId="3A8DB4F7" w14:textId="77777777" w:rsidR="00830D7F" w:rsidRPr="00830D7F" w:rsidRDefault="00830D7F" w:rsidP="00BF3C76">
      <w:pPr>
        <w:spacing w:after="0" w:line="255" w:lineRule="auto"/>
        <w:ind w:hanging="10"/>
        <w:jc w:val="both"/>
        <w:rPr>
          <w:i/>
          <w:iCs/>
        </w:rPr>
      </w:pPr>
      <w:r w:rsidRPr="00830D7F">
        <w:rPr>
          <w:i/>
          <w:iCs/>
        </w:rPr>
        <w:t xml:space="preserve">„Konkreetsemalt tooks VULA lisamine turule 1 kohalikul tasandil pakutava 2. kihi (L2) </w:t>
      </w:r>
      <w:proofErr w:type="spellStart"/>
      <w:r w:rsidRPr="00830D7F">
        <w:rPr>
          <w:i/>
          <w:iCs/>
        </w:rPr>
        <w:t>hulgitootena</w:t>
      </w:r>
      <w:proofErr w:type="spellEnd"/>
      <w:r w:rsidRPr="00830D7F">
        <w:rPr>
          <w:i/>
          <w:iCs/>
        </w:rPr>
        <w:t xml:space="preserve"> kaasa selle, et turule lisataks Telia võrgu osad, mida ei saa eraldada, nimelt vaskpaarvõrgu, mida on ajakohastatud VDSL </w:t>
      </w:r>
      <w:proofErr w:type="spellStart"/>
      <w:r w:rsidRPr="00830D7F">
        <w:rPr>
          <w:i/>
          <w:iCs/>
        </w:rPr>
        <w:t>vektordustehnoloogia</w:t>
      </w:r>
      <w:proofErr w:type="spellEnd"/>
      <w:r w:rsidRPr="00830D7F">
        <w:rPr>
          <w:i/>
          <w:iCs/>
        </w:rPr>
        <w:t xml:space="preserve"> või </w:t>
      </w:r>
      <w:proofErr w:type="spellStart"/>
      <w:r w:rsidRPr="00830D7F">
        <w:rPr>
          <w:i/>
          <w:iCs/>
        </w:rPr>
        <w:t>G.Fast</w:t>
      </w:r>
      <w:proofErr w:type="spellEnd"/>
      <w:r w:rsidRPr="00830D7F">
        <w:rPr>
          <w:i/>
          <w:iCs/>
        </w:rPr>
        <w:t xml:space="preserve"> ja FTTH </w:t>
      </w:r>
      <w:proofErr w:type="spellStart"/>
      <w:r w:rsidRPr="00830D7F">
        <w:rPr>
          <w:i/>
          <w:iCs/>
        </w:rPr>
        <w:t>PON-i</w:t>
      </w:r>
      <w:proofErr w:type="spellEnd"/>
      <w:r w:rsidRPr="00830D7F">
        <w:rPr>
          <w:i/>
          <w:iCs/>
        </w:rPr>
        <w:t xml:space="preserve"> tehnoloogia abil.“ 35 </w:t>
      </w:r>
    </w:p>
    <w:p w14:paraId="6964391A" w14:textId="77777777" w:rsidR="00830D7F" w:rsidRPr="00830D7F" w:rsidRDefault="00830D7F" w:rsidP="00BF3C76">
      <w:pPr>
        <w:spacing w:after="0"/>
        <w:rPr>
          <w:i/>
          <w:iCs/>
        </w:rPr>
      </w:pPr>
      <w:r w:rsidRPr="00830D7F">
        <w:rPr>
          <w:i/>
          <w:iCs/>
        </w:rPr>
        <w:t xml:space="preserve"> </w:t>
      </w:r>
    </w:p>
    <w:p w14:paraId="44EF7E53" w14:textId="77777777" w:rsidR="00830D7F" w:rsidRPr="00830D7F" w:rsidRDefault="00830D7F" w:rsidP="00BF3C76">
      <w:pPr>
        <w:spacing w:after="5" w:line="263" w:lineRule="auto"/>
        <w:ind w:hanging="10"/>
        <w:jc w:val="both"/>
        <w:rPr>
          <w:i/>
          <w:iCs/>
        </w:rPr>
      </w:pPr>
      <w:r w:rsidRPr="00830D7F">
        <w:rPr>
          <w:i/>
          <w:iCs/>
        </w:rPr>
        <w:t xml:space="preserve">Järelikult ei saa Komisjoni seisukohti lugeda nii, et need aktsepteeriks vaskkaablivõrgu täielikult kõrvale jätmist ja sellele VULA kontekstis üldse mitte mõtlemist. Pigem vastupidi. </w:t>
      </w:r>
    </w:p>
    <w:p w14:paraId="32CE14DD" w14:textId="77777777" w:rsidR="00830D7F" w:rsidRPr="00830D7F" w:rsidRDefault="00830D7F" w:rsidP="00BF3C76">
      <w:pPr>
        <w:spacing w:after="24"/>
        <w:rPr>
          <w:i/>
          <w:iCs/>
        </w:rPr>
      </w:pPr>
      <w:r w:rsidRPr="00830D7F">
        <w:rPr>
          <w:i/>
          <w:iCs/>
        </w:rPr>
        <w:t xml:space="preserve"> </w:t>
      </w:r>
    </w:p>
    <w:p w14:paraId="27032C8A" w14:textId="77777777" w:rsidR="00830D7F" w:rsidRPr="00830D7F" w:rsidRDefault="00830D7F" w:rsidP="00BF3C76">
      <w:pPr>
        <w:pBdr>
          <w:top w:val="single" w:sz="4" w:space="0" w:color="000000"/>
          <w:left w:val="single" w:sz="4" w:space="0" w:color="000000"/>
          <w:bottom w:val="single" w:sz="4" w:space="0" w:color="000000"/>
          <w:right w:val="single" w:sz="4" w:space="0" w:color="000000"/>
        </w:pBdr>
        <w:spacing w:after="8" w:line="263" w:lineRule="auto"/>
        <w:ind w:hanging="10"/>
        <w:jc w:val="both"/>
        <w:rPr>
          <w:i/>
          <w:iCs/>
        </w:rPr>
      </w:pPr>
      <w:r w:rsidRPr="00830D7F">
        <w:rPr>
          <w:i/>
          <w:iCs/>
        </w:rPr>
        <w:t xml:space="preserve">Seega, vähemalt sellises olukorras, kus (a) Telia sidetoru (või vaba paigalduskohta) ei ole ning (b) Telia valguskaablit või füüsilist või virtuaalset juurdepääsu sellele (ka) ei ole ja (c) riigiabivõrk ja -kaabel ka puudub, kuid (d) kohalikku juurdepääsu on vaja lõppkliendile fikseeritud sidevõrgu baasil interneti püsiühenduse teenuse osutamiseks, peaks Telia võimaldama virtuaalset (VULA) juurdepääsu oma moderniseeritud vaskkaablivõrgule. </w:t>
      </w:r>
    </w:p>
    <w:p w14:paraId="3FD08432" w14:textId="77777777" w:rsidR="00830D7F" w:rsidRPr="00830D7F" w:rsidRDefault="00830D7F" w:rsidP="00BF3C76">
      <w:pPr>
        <w:spacing w:after="0"/>
        <w:rPr>
          <w:i/>
          <w:iCs/>
        </w:rPr>
      </w:pPr>
      <w:r w:rsidRPr="00830D7F">
        <w:rPr>
          <w:i/>
          <w:iCs/>
        </w:rPr>
        <w:t xml:space="preserve"> </w:t>
      </w:r>
    </w:p>
    <w:p w14:paraId="3D6C58BE" w14:textId="77777777" w:rsidR="00830D7F" w:rsidRPr="00830D7F" w:rsidRDefault="00830D7F" w:rsidP="00BF3C76">
      <w:pPr>
        <w:spacing w:after="5" w:line="263" w:lineRule="auto"/>
        <w:ind w:hanging="10"/>
        <w:jc w:val="both"/>
        <w:rPr>
          <w:i/>
          <w:iCs/>
        </w:rPr>
      </w:pPr>
      <w:r w:rsidRPr="00830D7F">
        <w:rPr>
          <w:i/>
          <w:iCs/>
        </w:rPr>
        <w:t xml:space="preserve">Ei ole keeruline ette kujutada olukorda, kus näiteks riigihankel osalemiseks või mitme asukohaga ärikliendi teenindamiseks (a) ongi nõutud just püsivõrgul põhinevat ühendust, kuid valguskaablil põhinevat juurdepääsuvõrku ühes või mitmes asukohas ei ole ega tule (st see on majanduslikult mõttetu ja erakapital seega välistatud ning riigiabivõrk sinna täna ei ulatu) või (b) isegi juhul kui ei nõuta üksnes ja ainult püsivõrgul põhinevat ühendust, siis </w:t>
      </w:r>
      <w:r w:rsidRPr="00830D7F">
        <w:rPr>
          <w:i/>
          <w:iCs/>
        </w:rPr>
        <w:lastRenderedPageBreak/>
        <w:t xml:space="preserve">mobiiltelefonivõrk (ehk 4G) ikkagi ei kata reaalselt kliendi vajadusi või nõudmisi ning 5G tulek on kaugel või lihtsalt liiga kallis ja mitte konkurentsivõimeline. </w:t>
      </w:r>
    </w:p>
    <w:p w14:paraId="00953E0E" w14:textId="77777777" w:rsidR="00830D7F" w:rsidRPr="00830D7F" w:rsidRDefault="00830D7F" w:rsidP="00BF3C76">
      <w:pPr>
        <w:spacing w:after="0"/>
        <w:rPr>
          <w:i/>
          <w:iCs/>
        </w:rPr>
      </w:pPr>
      <w:r w:rsidRPr="00830D7F">
        <w:rPr>
          <w:i/>
          <w:iCs/>
        </w:rPr>
        <w:t xml:space="preserve"> </w:t>
      </w:r>
    </w:p>
    <w:p w14:paraId="787A4812" w14:textId="77777777" w:rsidR="00830D7F" w:rsidRPr="00830D7F" w:rsidRDefault="00830D7F" w:rsidP="00BF3C76">
      <w:pPr>
        <w:spacing w:after="4" w:line="260" w:lineRule="auto"/>
        <w:ind w:hanging="10"/>
        <w:rPr>
          <w:i/>
          <w:iCs/>
        </w:rPr>
      </w:pPr>
      <w:r w:rsidRPr="00830D7F">
        <w:rPr>
          <w:i/>
          <w:iCs/>
        </w:rPr>
        <w:t xml:space="preserve">Eesti riigi strateegia ja poliitika ei ole ju selline, et kogu ettevõtlus on pealinnas ja maakondlikes keskustes, st Tallinnas ja teistes suurlinnades. Seega juurdepääsuregulatsiooni tegemisel oleks imelik eeldada, et nt piirkonnas B interneti püsiühendust vaja ei ole ja/või et piisab kui selleks on ainult üks pakkuja ja/või et sellisel juhul on ANO sunnitud kasutama terves ulatuses ainult MTE võrku, st nii ülekande- kui juurdepääsuvõrku, ning seda sisuliselt MTE määratud tingimustel. On ilmne, et sellisel viisil mingit jaeturu konkurentsi ei ole ega ka tule. </w:t>
      </w:r>
    </w:p>
    <w:p w14:paraId="062BC218" w14:textId="77777777" w:rsidR="00830D7F" w:rsidRPr="00830D7F" w:rsidRDefault="00830D7F" w:rsidP="00BF3C76">
      <w:pPr>
        <w:spacing w:after="27"/>
        <w:rPr>
          <w:i/>
          <w:iCs/>
        </w:rPr>
      </w:pPr>
      <w:r w:rsidRPr="00830D7F">
        <w:rPr>
          <w:i/>
          <w:iCs/>
        </w:rPr>
        <w:t xml:space="preserve"> </w:t>
      </w:r>
    </w:p>
    <w:p w14:paraId="57C1D2C8" w14:textId="77777777" w:rsidR="00830D7F" w:rsidRPr="00830D7F" w:rsidRDefault="00830D7F" w:rsidP="00BF3C76">
      <w:pPr>
        <w:pBdr>
          <w:top w:val="single" w:sz="4" w:space="0" w:color="000000"/>
          <w:left w:val="single" w:sz="4" w:space="0" w:color="000000"/>
          <w:bottom w:val="single" w:sz="4" w:space="0" w:color="000000"/>
          <w:right w:val="single" w:sz="4" w:space="0" w:color="000000"/>
        </w:pBdr>
        <w:spacing w:after="8" w:line="263" w:lineRule="auto"/>
        <w:ind w:hanging="10"/>
        <w:jc w:val="both"/>
        <w:rPr>
          <w:i/>
          <w:iCs/>
        </w:rPr>
      </w:pPr>
      <w:r w:rsidRPr="00830D7F">
        <w:rPr>
          <w:i/>
          <w:iCs/>
        </w:rPr>
        <w:t xml:space="preserve">Elisa ei ärgita TTJA-d loobuma juurdepääsupääsule lähenemisest viisil, mis suunab operaatoreid esmajärgus oma sidevõrgu arendamisele: siis ja seal kus see on (a) võimalik (st sidekaablitaristu on olemas ja renditav) ja (b) majanduslikult mõeldav. Vastupidi, me leiame, et ei ole ebamõistlik kasutada tarbijate huvides ja neile teenuse osutamiseks ning mh jaeturul konkurentsi püsimiseks kõiki olemasolevaid sidevõrke ilma, et MTE konkurente ja/või riiki sunnitaks tegema objektiivselt võimatuid või majanduslikult mõttetuid võrguarendusi ja -investeeringuid. </w:t>
      </w:r>
    </w:p>
    <w:p w14:paraId="41C0281C" w14:textId="77777777" w:rsidR="00830D7F" w:rsidRPr="00830D7F" w:rsidRDefault="00830D7F" w:rsidP="00BF3C76">
      <w:pPr>
        <w:spacing w:after="16"/>
        <w:rPr>
          <w:i/>
          <w:iCs/>
        </w:rPr>
      </w:pPr>
      <w:r w:rsidRPr="00830D7F">
        <w:rPr>
          <w:i/>
          <w:iCs/>
        </w:rPr>
        <w:t xml:space="preserve"> </w:t>
      </w:r>
    </w:p>
    <w:p w14:paraId="03CF91C4" w14:textId="77777777" w:rsidR="00830D7F" w:rsidRPr="00830D7F" w:rsidRDefault="00830D7F" w:rsidP="00BF3C76">
      <w:pPr>
        <w:spacing w:after="5" w:line="263" w:lineRule="auto"/>
        <w:ind w:hanging="10"/>
        <w:jc w:val="both"/>
        <w:rPr>
          <w:i/>
          <w:iCs/>
        </w:rPr>
      </w:pPr>
      <w:r w:rsidRPr="00830D7F">
        <w:rPr>
          <w:i/>
          <w:iCs/>
        </w:rPr>
        <w:t xml:space="preserve">Ei ole ühtegi ülekaalukat põhjust, miks vaskkaablivõrk peaks igas olukorras ja alati olema ainult Telia kasutada ja juurdepääs sellele alati ja igas olukorras olema välistatud. On nt olukordi, kus kliendi asukohas või -kohtades muud püsivõrku peale vase ei ole ning kus mobiiltelefonivõrk ja sellel baseeruv teenus ei asenda vektoriseeritud vaske ja sellel põhinevat teenust.  </w:t>
      </w:r>
    </w:p>
    <w:p w14:paraId="4D17CCA4" w14:textId="77777777" w:rsidR="00830D7F" w:rsidRPr="00830D7F" w:rsidRDefault="00830D7F" w:rsidP="00BF3C76">
      <w:pPr>
        <w:spacing w:after="12"/>
        <w:rPr>
          <w:i/>
          <w:iCs/>
        </w:rPr>
      </w:pPr>
      <w:r w:rsidRPr="00830D7F">
        <w:rPr>
          <w:i/>
          <w:iCs/>
        </w:rPr>
        <w:t xml:space="preserve"> </w:t>
      </w:r>
    </w:p>
    <w:p w14:paraId="25129183" w14:textId="77777777" w:rsidR="00830D7F" w:rsidRPr="00830D7F" w:rsidRDefault="00830D7F" w:rsidP="00BF3C76">
      <w:pPr>
        <w:spacing w:after="5" w:line="263" w:lineRule="auto"/>
        <w:ind w:hanging="10"/>
        <w:jc w:val="both"/>
        <w:rPr>
          <w:i/>
          <w:iCs/>
        </w:rPr>
      </w:pPr>
      <w:r w:rsidRPr="00830D7F">
        <w:rPr>
          <w:i/>
          <w:iCs/>
        </w:rPr>
        <w:t xml:space="preserve">Vähemalt sarnastes olukordades peaks Telia võimaldama teistele operaatoritele juurdepääsu ka vektoriseeritud vasel põhinevale juurdepääsuvõrgule. Vastasel korral jäävad Telia ja kõik teised operaatorid väga pikaks ajaks, võib-olla alatiseks, lõppkliendini juurdepääsu osas ebavõrdsesse positsiooni ja reaalset jaetasandi konkurentsi nendes olukordades (asukohtades) ei teki. </w:t>
      </w:r>
    </w:p>
    <w:p w14:paraId="54651193" w14:textId="77777777" w:rsidR="00830D7F" w:rsidRPr="00830D7F" w:rsidRDefault="00830D7F" w:rsidP="00BF3C76">
      <w:pPr>
        <w:spacing w:after="9"/>
        <w:rPr>
          <w:i/>
          <w:iCs/>
        </w:rPr>
      </w:pPr>
      <w:r w:rsidRPr="00830D7F">
        <w:rPr>
          <w:i/>
          <w:iCs/>
        </w:rPr>
        <w:t xml:space="preserve"> </w:t>
      </w:r>
    </w:p>
    <w:p w14:paraId="44601D14" w14:textId="77777777" w:rsidR="00830D7F" w:rsidRPr="00830D7F" w:rsidRDefault="00830D7F" w:rsidP="00BF3C76">
      <w:pPr>
        <w:spacing w:after="5" w:line="263" w:lineRule="auto"/>
        <w:ind w:hanging="10"/>
        <w:jc w:val="both"/>
        <w:rPr>
          <w:i/>
          <w:iCs/>
        </w:rPr>
      </w:pPr>
      <w:r w:rsidRPr="00830D7F">
        <w:rPr>
          <w:i/>
          <w:iCs/>
        </w:rPr>
        <w:t xml:space="preserve">VULA moderniseeritud vaskkaablivõrgule, vähemalt järgmise turuanalüüsini, ei ole variant, mille peaks põhimõtteliselt välistama. Eriti olukorras, kus üle poole kõikidest interneti püsiühendustest kuulub Teliale36 ja kus tema turuosa ärikliendi interneti püsiühenduse jaeturul on veelgi suurem, kuskil 70-75% kandis ja arvestades, et vasel põhinev juurdepääs ei lõppenud vabatahtlikult või nõudluse puudumise tõttu, nagu hiljem püüti väita. </w:t>
      </w:r>
    </w:p>
    <w:p w14:paraId="6967868B" w14:textId="49061CCE" w:rsidR="00A500BC" w:rsidRPr="00830D7F" w:rsidRDefault="00A500BC" w:rsidP="00A500BC">
      <w:pPr>
        <w:rPr>
          <w:i/>
          <w:iCs/>
        </w:rPr>
      </w:pPr>
    </w:p>
    <w:p w14:paraId="3CF02414" w14:textId="77777777" w:rsidR="007C4905" w:rsidRDefault="007C4905" w:rsidP="007C4905">
      <w:pPr>
        <w:pStyle w:val="Pealkiri2"/>
      </w:pPr>
      <w:bookmarkStart w:id="32" w:name="_Toc182488042"/>
      <w:r w:rsidRPr="0033141A">
        <w:t>TTJA</w:t>
      </w:r>
      <w:bookmarkEnd w:id="32"/>
    </w:p>
    <w:p w14:paraId="5158CE13" w14:textId="77777777" w:rsidR="001F79E7" w:rsidRPr="001F79E7" w:rsidRDefault="001F79E7" w:rsidP="001F79E7"/>
    <w:p w14:paraId="7064A8D3" w14:textId="159E431B" w:rsidR="006F4037" w:rsidRPr="006F4037" w:rsidRDefault="00122584" w:rsidP="006F4037">
      <w:pPr>
        <w:jc w:val="both"/>
        <w:rPr>
          <w:rFonts w:cs="Times New Roman"/>
          <w:bCs/>
          <w:szCs w:val="24"/>
        </w:rPr>
      </w:pPr>
      <w:r>
        <w:rPr>
          <w:rFonts w:cs="Times New Roman"/>
          <w:bCs/>
          <w:szCs w:val="24"/>
        </w:rPr>
        <w:t>Eestis</w:t>
      </w:r>
      <w:r w:rsidR="00AB3952">
        <w:rPr>
          <w:rFonts w:cs="Times New Roman"/>
          <w:bCs/>
          <w:szCs w:val="24"/>
        </w:rPr>
        <w:t xml:space="preserve"> </w:t>
      </w:r>
      <w:r w:rsidRPr="00122584">
        <w:rPr>
          <w:rFonts w:cs="Times New Roman"/>
          <w:bCs/>
          <w:szCs w:val="24"/>
        </w:rPr>
        <w:t xml:space="preserve">on piirondi, kus lõppkasutajatel on </w:t>
      </w:r>
      <w:r w:rsidR="00C006A4">
        <w:rPr>
          <w:rFonts w:cs="Times New Roman"/>
          <w:bCs/>
          <w:szCs w:val="24"/>
        </w:rPr>
        <w:t xml:space="preserve">ainult </w:t>
      </w:r>
      <w:r w:rsidR="003A1702">
        <w:rPr>
          <w:rFonts w:cs="Times New Roman"/>
          <w:bCs/>
          <w:szCs w:val="24"/>
        </w:rPr>
        <w:t xml:space="preserve">Telia </w:t>
      </w:r>
      <w:r w:rsidRPr="00122584">
        <w:rPr>
          <w:rFonts w:cs="Times New Roman"/>
          <w:bCs/>
          <w:szCs w:val="24"/>
        </w:rPr>
        <w:t>vaskkaabel</w:t>
      </w:r>
      <w:r>
        <w:rPr>
          <w:rFonts w:cs="Times New Roman"/>
          <w:bCs/>
          <w:szCs w:val="24"/>
        </w:rPr>
        <w:t>võrgu</w:t>
      </w:r>
      <w:r w:rsidRPr="00122584">
        <w:rPr>
          <w:rFonts w:cs="Times New Roman"/>
          <w:bCs/>
          <w:szCs w:val="24"/>
        </w:rPr>
        <w:t xml:space="preserve"> </w:t>
      </w:r>
      <w:r>
        <w:rPr>
          <w:rFonts w:cs="Times New Roman"/>
          <w:bCs/>
          <w:szCs w:val="24"/>
        </w:rPr>
        <w:t>interneti</w:t>
      </w:r>
      <w:r w:rsidRPr="00122584">
        <w:rPr>
          <w:rFonts w:cs="Times New Roman"/>
          <w:bCs/>
          <w:szCs w:val="24"/>
        </w:rPr>
        <w:t xml:space="preserve">ühendus ja </w:t>
      </w:r>
      <w:r w:rsidR="003A1702">
        <w:rPr>
          <w:rFonts w:cs="Times New Roman"/>
          <w:bCs/>
          <w:szCs w:val="24"/>
        </w:rPr>
        <w:t>puuduvad teis</w:t>
      </w:r>
      <w:r w:rsidR="00C006A4">
        <w:rPr>
          <w:rFonts w:cs="Times New Roman"/>
          <w:bCs/>
          <w:szCs w:val="24"/>
        </w:rPr>
        <w:t>t</w:t>
      </w:r>
      <w:r w:rsidR="003A1702">
        <w:rPr>
          <w:rFonts w:cs="Times New Roman"/>
          <w:bCs/>
          <w:szCs w:val="24"/>
        </w:rPr>
        <w:t>e</w:t>
      </w:r>
      <w:r w:rsidR="00C006A4">
        <w:rPr>
          <w:rFonts w:cs="Times New Roman"/>
          <w:bCs/>
          <w:szCs w:val="24"/>
        </w:rPr>
        <w:t xml:space="preserve"> sideettevõtjate</w:t>
      </w:r>
      <w:r w:rsidR="003A1702">
        <w:rPr>
          <w:rFonts w:cs="Times New Roman"/>
          <w:bCs/>
          <w:szCs w:val="24"/>
        </w:rPr>
        <w:t xml:space="preserve"> kaabelsidevõrgu </w:t>
      </w:r>
      <w:r w:rsidR="00C006A4">
        <w:rPr>
          <w:rFonts w:cs="Times New Roman"/>
          <w:bCs/>
          <w:szCs w:val="24"/>
        </w:rPr>
        <w:t xml:space="preserve">internetiühendused. </w:t>
      </w:r>
      <w:r w:rsidR="002309B6">
        <w:rPr>
          <w:rFonts w:cs="Times New Roman"/>
          <w:bCs/>
          <w:szCs w:val="24"/>
        </w:rPr>
        <w:t xml:space="preserve">Käesoleva otsuse lisa </w:t>
      </w:r>
      <w:r w:rsidR="00D236C0">
        <w:rPr>
          <w:rFonts w:cs="Times New Roman"/>
          <w:bCs/>
          <w:szCs w:val="24"/>
        </w:rPr>
        <w:t>1</w:t>
      </w:r>
      <w:r w:rsidR="002309B6">
        <w:rPr>
          <w:rFonts w:cs="Times New Roman"/>
          <w:bCs/>
          <w:szCs w:val="24"/>
        </w:rPr>
        <w:t xml:space="preserve"> </w:t>
      </w:r>
      <w:r w:rsidR="00735C9A">
        <w:rPr>
          <w:rFonts w:cs="Times New Roman"/>
          <w:bCs/>
          <w:szCs w:val="24"/>
        </w:rPr>
        <w:t>ptk.-</w:t>
      </w:r>
      <w:r w:rsidR="002309B6">
        <w:rPr>
          <w:rFonts w:cs="Times New Roman"/>
          <w:bCs/>
          <w:szCs w:val="24"/>
        </w:rPr>
        <w:t xml:space="preserve">s </w:t>
      </w:r>
      <w:r w:rsidR="000E1501">
        <w:rPr>
          <w:rFonts w:cs="Times New Roman"/>
          <w:bCs/>
          <w:szCs w:val="24"/>
        </w:rPr>
        <w:t>2.2</w:t>
      </w:r>
      <w:r w:rsidR="00D236C0">
        <w:rPr>
          <w:rFonts w:cs="Times New Roman"/>
          <w:bCs/>
          <w:szCs w:val="24"/>
        </w:rPr>
        <w:t xml:space="preserve"> „</w:t>
      </w:r>
      <w:r w:rsidR="00B953F9" w:rsidRPr="00526D8A">
        <w:rPr>
          <w:rFonts w:cs="Times New Roman"/>
          <w:bCs/>
          <w:i/>
          <w:iCs/>
          <w:szCs w:val="24"/>
        </w:rPr>
        <w:t xml:space="preserve">JAETURU </w:t>
      </w:r>
      <w:r w:rsidR="00AD0C0D" w:rsidRPr="00526D8A">
        <w:rPr>
          <w:rFonts w:cs="Times New Roman"/>
          <w:bCs/>
          <w:i/>
          <w:iCs/>
          <w:szCs w:val="24"/>
        </w:rPr>
        <w:t>TOODETE PIIRITLEMINE</w:t>
      </w:r>
      <w:r w:rsidR="00AD0C0D">
        <w:rPr>
          <w:rFonts w:cs="Times New Roman"/>
          <w:bCs/>
          <w:szCs w:val="24"/>
        </w:rPr>
        <w:t xml:space="preserve">“ koos alampeatükkidega on analüüsitud ja leitud, et </w:t>
      </w:r>
      <w:r w:rsidR="006F4037">
        <w:rPr>
          <w:rFonts w:cs="Times New Roman"/>
          <w:bCs/>
          <w:szCs w:val="24"/>
        </w:rPr>
        <w:t>j</w:t>
      </w:r>
      <w:r w:rsidR="006F4037" w:rsidRPr="006F4037">
        <w:rPr>
          <w:rFonts w:cs="Times New Roman"/>
          <w:bCs/>
          <w:szCs w:val="24"/>
        </w:rPr>
        <w:t xml:space="preserve">aeklientide jaoks on  </w:t>
      </w:r>
      <w:proofErr w:type="spellStart"/>
      <w:r w:rsidR="006F4037" w:rsidRPr="006F4037">
        <w:rPr>
          <w:rFonts w:cs="Times New Roman"/>
          <w:bCs/>
          <w:szCs w:val="24"/>
        </w:rPr>
        <w:t>ADSLx</w:t>
      </w:r>
      <w:proofErr w:type="spellEnd"/>
      <w:r w:rsidR="006F4037" w:rsidRPr="006F4037">
        <w:rPr>
          <w:rFonts w:cs="Times New Roman"/>
          <w:bCs/>
          <w:szCs w:val="24"/>
        </w:rPr>
        <w:t xml:space="preserve">, </w:t>
      </w:r>
      <w:proofErr w:type="spellStart"/>
      <w:r w:rsidR="006F4037" w:rsidRPr="006F4037">
        <w:rPr>
          <w:rFonts w:cs="Times New Roman"/>
          <w:bCs/>
          <w:szCs w:val="24"/>
        </w:rPr>
        <w:t>VDSLx</w:t>
      </w:r>
      <w:proofErr w:type="spellEnd"/>
      <w:r w:rsidR="006F4037" w:rsidRPr="006F4037">
        <w:rPr>
          <w:rFonts w:cs="Times New Roman"/>
          <w:bCs/>
          <w:szCs w:val="24"/>
        </w:rPr>
        <w:t xml:space="preserve"> sh </w:t>
      </w:r>
      <w:proofErr w:type="spellStart"/>
      <w:r w:rsidR="006F4037" w:rsidRPr="006F4037">
        <w:rPr>
          <w:rFonts w:cs="Times New Roman"/>
          <w:bCs/>
          <w:szCs w:val="24"/>
        </w:rPr>
        <w:t>vectoring</w:t>
      </w:r>
      <w:proofErr w:type="spellEnd"/>
      <w:r w:rsidR="006F4037" w:rsidRPr="006F4037">
        <w:rPr>
          <w:rFonts w:cs="Times New Roman"/>
          <w:bCs/>
          <w:szCs w:val="24"/>
        </w:rPr>
        <w:t xml:space="preserve"> (sh Vplus35b) vaskkaabelvõrgu, DOCSIS 3.0 koaksiaalkaabelvõrgu ja 4G/5G mobiilsidevõrgu püsiasukohas tarbimiseks suunatud piiramatu mahuga internetiühendused läbilaskevõime ja hinna osas omavahel </w:t>
      </w:r>
      <w:r w:rsidR="006F4037" w:rsidRPr="006F4037">
        <w:rPr>
          <w:rFonts w:cs="Times New Roman"/>
          <w:bCs/>
          <w:szCs w:val="24"/>
        </w:rPr>
        <w:lastRenderedPageBreak/>
        <w:t>piisavalt sarnased ning omavahel asendatavad. Samas ei võimalda need väga suure läbilaskevõimega internetiühendus</w:t>
      </w:r>
      <w:r w:rsidR="00727534">
        <w:rPr>
          <w:rFonts w:cs="Times New Roman"/>
          <w:bCs/>
          <w:szCs w:val="24"/>
        </w:rPr>
        <w:t>te</w:t>
      </w:r>
      <w:r w:rsidR="006F4037" w:rsidRPr="006F4037">
        <w:rPr>
          <w:rFonts w:cs="Times New Roman"/>
          <w:bCs/>
          <w:szCs w:val="24"/>
        </w:rPr>
        <w:t xml:space="preserve"> (Mbit/s &gt; 1000)</w:t>
      </w:r>
      <w:r w:rsidR="00727534">
        <w:rPr>
          <w:rFonts w:cs="Times New Roman"/>
          <w:bCs/>
          <w:szCs w:val="24"/>
        </w:rPr>
        <w:t xml:space="preserve"> masstarbimist</w:t>
      </w:r>
      <w:r w:rsidR="006F4037" w:rsidRPr="006F4037">
        <w:rPr>
          <w:rFonts w:cs="Times New Roman"/>
          <w:bCs/>
          <w:szCs w:val="24"/>
        </w:rPr>
        <w:t xml:space="preserve"> ja nende baasil ei pakuta ka tagatud sümmeetriliste kiirustega internetiühendusi, mida võimaldavad ja pakuvad FTTB/FTTH valguskaabelvõrgu internetiühendused. Seetõttu jaeklientide jaoks, kellele vastavad näitajad on olulised, ei paku vaskkaabel-, koaksiaalkaabel- ja mobiilsidevõrgu internetiühendused asendust valguskaabelvõrgu internetiühendustele, mistõttu on põhjendatud ja asjakohane jaotada jaetasandi internetiühenduste tooteturg kaheks eraldi alamtooteturuks: </w:t>
      </w:r>
    </w:p>
    <w:p w14:paraId="60AD8E34" w14:textId="77777777" w:rsidR="006F4037" w:rsidRPr="006F4037" w:rsidRDefault="006F4037" w:rsidP="00866F47">
      <w:pPr>
        <w:ind w:left="720"/>
        <w:jc w:val="both"/>
        <w:rPr>
          <w:rFonts w:cs="Times New Roman"/>
          <w:bCs/>
          <w:szCs w:val="24"/>
        </w:rPr>
      </w:pPr>
      <w:r w:rsidRPr="006F4037">
        <w:rPr>
          <w:rFonts w:cs="Times New Roman"/>
          <w:bCs/>
          <w:szCs w:val="24"/>
        </w:rPr>
        <w:t xml:space="preserve">1)  vaskkaabli- ja mobiilsidevõrgu jaetasandi internetiühenduste tooteturg – siia kuuluvad püsiasukohas tarbimiseks suunatud piiramatu mahuga internetiühendused </w:t>
      </w:r>
      <w:proofErr w:type="spellStart"/>
      <w:r w:rsidRPr="006F4037">
        <w:rPr>
          <w:rFonts w:cs="Times New Roman"/>
          <w:bCs/>
          <w:szCs w:val="24"/>
        </w:rPr>
        <w:t>ADSLx</w:t>
      </w:r>
      <w:proofErr w:type="spellEnd"/>
      <w:r w:rsidRPr="006F4037">
        <w:rPr>
          <w:rFonts w:cs="Times New Roman"/>
          <w:bCs/>
          <w:szCs w:val="24"/>
        </w:rPr>
        <w:t xml:space="preserve">, </w:t>
      </w:r>
      <w:proofErr w:type="spellStart"/>
      <w:r w:rsidRPr="006F4037">
        <w:rPr>
          <w:rFonts w:cs="Times New Roman"/>
          <w:bCs/>
          <w:szCs w:val="24"/>
        </w:rPr>
        <w:t>VDSLx</w:t>
      </w:r>
      <w:proofErr w:type="spellEnd"/>
      <w:r w:rsidRPr="006F4037">
        <w:rPr>
          <w:rFonts w:cs="Times New Roman"/>
          <w:bCs/>
          <w:szCs w:val="24"/>
        </w:rPr>
        <w:t xml:space="preserve"> sh </w:t>
      </w:r>
      <w:proofErr w:type="spellStart"/>
      <w:r w:rsidRPr="006F4037">
        <w:rPr>
          <w:rFonts w:cs="Times New Roman"/>
          <w:bCs/>
          <w:szCs w:val="24"/>
        </w:rPr>
        <w:t>vectoring</w:t>
      </w:r>
      <w:proofErr w:type="spellEnd"/>
      <w:r w:rsidRPr="006F4037">
        <w:rPr>
          <w:rFonts w:cs="Times New Roman"/>
          <w:bCs/>
          <w:szCs w:val="24"/>
        </w:rPr>
        <w:t xml:space="preserve"> (sh Vplus35b) vaskkaablivõrgu baasil, DOCSIS 3.0 koaksiaalkaablivõrgu baasil ja 4G &amp; 5G mobiilsidevõrgu baasil;</w:t>
      </w:r>
    </w:p>
    <w:p w14:paraId="0232A1F1" w14:textId="7D353BED" w:rsidR="006F4037" w:rsidRDefault="006F4037" w:rsidP="00866F47">
      <w:pPr>
        <w:ind w:left="720"/>
        <w:jc w:val="both"/>
        <w:rPr>
          <w:rFonts w:cs="Times New Roman"/>
          <w:bCs/>
          <w:szCs w:val="24"/>
        </w:rPr>
      </w:pPr>
      <w:r w:rsidRPr="006F4037">
        <w:rPr>
          <w:rFonts w:cs="Times New Roman"/>
          <w:bCs/>
          <w:szCs w:val="24"/>
        </w:rPr>
        <w:t>2) valguskaabelvõrgu jaetasandi internetiühenduste tooteturg – siia kuuluvad püsiasukohas tarbimiseks suunatud piiramatu mahuga internetiühendused FTTB/FTTH valguskaabelvõrgu baasil.</w:t>
      </w:r>
    </w:p>
    <w:p w14:paraId="3AFC242A" w14:textId="77777777" w:rsidR="00171AE7" w:rsidRDefault="0039726A" w:rsidP="00DF6DFC">
      <w:pPr>
        <w:jc w:val="both"/>
        <w:rPr>
          <w:rFonts w:cs="Times New Roman"/>
          <w:bCs/>
          <w:szCs w:val="24"/>
        </w:rPr>
      </w:pPr>
      <w:r>
        <w:rPr>
          <w:rFonts w:cs="Times New Roman"/>
          <w:bCs/>
          <w:szCs w:val="24"/>
        </w:rPr>
        <w:t>Eeltoodust tulenevalt o</w:t>
      </w:r>
      <w:r w:rsidR="00122584" w:rsidRPr="00122584">
        <w:rPr>
          <w:rFonts w:cs="Times New Roman"/>
          <w:bCs/>
          <w:szCs w:val="24"/>
        </w:rPr>
        <w:t xml:space="preserve">n </w:t>
      </w:r>
      <w:r>
        <w:rPr>
          <w:rFonts w:cs="Times New Roman"/>
          <w:bCs/>
          <w:szCs w:val="24"/>
        </w:rPr>
        <w:t>Telia vaskkaabelvõrgu internetiühenduste</w:t>
      </w:r>
      <w:r w:rsidR="00122584" w:rsidRPr="00122584">
        <w:rPr>
          <w:rFonts w:cs="Times New Roman"/>
          <w:bCs/>
          <w:szCs w:val="24"/>
        </w:rPr>
        <w:t xml:space="preserve"> lõppkasutajatel</w:t>
      </w:r>
      <w:r>
        <w:rPr>
          <w:rFonts w:cs="Times New Roman"/>
          <w:bCs/>
          <w:szCs w:val="24"/>
        </w:rPr>
        <w:t xml:space="preserve"> olemas asendusteenused </w:t>
      </w:r>
      <w:r w:rsidR="00CD47A3">
        <w:rPr>
          <w:rFonts w:cs="Times New Roman"/>
          <w:bCs/>
          <w:szCs w:val="24"/>
        </w:rPr>
        <w:t>4G/5G mobiilsidevõrgu internetiühenduste näol.</w:t>
      </w:r>
      <w:r w:rsidR="00122584" w:rsidRPr="00122584">
        <w:rPr>
          <w:rFonts w:cs="Times New Roman"/>
          <w:bCs/>
          <w:szCs w:val="24"/>
        </w:rPr>
        <w:t xml:space="preserve"> </w:t>
      </w:r>
      <w:r w:rsidR="00CD47A3">
        <w:rPr>
          <w:rFonts w:cs="Times New Roman"/>
          <w:bCs/>
          <w:szCs w:val="24"/>
        </w:rPr>
        <w:t>Ü</w:t>
      </w:r>
      <w:r w:rsidR="00122584" w:rsidRPr="00122584">
        <w:rPr>
          <w:rFonts w:cs="Times New Roman"/>
          <w:bCs/>
          <w:szCs w:val="24"/>
        </w:rPr>
        <w:t>ldjuhul</w:t>
      </w:r>
      <w:r w:rsidR="00CD47A3">
        <w:rPr>
          <w:rFonts w:cs="Times New Roman"/>
          <w:bCs/>
          <w:szCs w:val="24"/>
        </w:rPr>
        <w:t xml:space="preserve"> on igas Eesti </w:t>
      </w:r>
      <w:r w:rsidR="00C07885">
        <w:rPr>
          <w:rFonts w:cs="Times New Roman"/>
          <w:bCs/>
          <w:szCs w:val="24"/>
        </w:rPr>
        <w:t>piirkonnas</w:t>
      </w:r>
      <w:r w:rsidR="00122584" w:rsidRPr="00122584">
        <w:rPr>
          <w:rFonts w:cs="Times New Roman"/>
          <w:bCs/>
          <w:szCs w:val="24"/>
        </w:rPr>
        <w:t xml:space="preserve"> võimalik</w:t>
      </w:r>
      <w:r w:rsidR="00C07885">
        <w:rPr>
          <w:rFonts w:cs="Times New Roman"/>
          <w:bCs/>
          <w:szCs w:val="24"/>
        </w:rPr>
        <w:t xml:space="preserve"> </w:t>
      </w:r>
      <w:r w:rsidR="003D3149">
        <w:rPr>
          <w:rFonts w:cs="Times New Roman"/>
          <w:bCs/>
          <w:szCs w:val="24"/>
        </w:rPr>
        <w:t>era</w:t>
      </w:r>
      <w:r w:rsidR="00171AE7">
        <w:rPr>
          <w:rFonts w:cs="Times New Roman"/>
          <w:bCs/>
          <w:szCs w:val="24"/>
        </w:rPr>
        <w:t>isikutel ja äridel</w:t>
      </w:r>
      <w:r w:rsidR="00122584" w:rsidRPr="00122584">
        <w:rPr>
          <w:rFonts w:cs="Times New Roman"/>
          <w:bCs/>
          <w:szCs w:val="24"/>
        </w:rPr>
        <w:t xml:space="preserve"> taotleda internetiühendust </w:t>
      </w:r>
      <w:r w:rsidR="00171AE7" w:rsidRPr="00122584">
        <w:rPr>
          <w:rFonts w:cs="Times New Roman"/>
          <w:bCs/>
          <w:szCs w:val="24"/>
        </w:rPr>
        <w:t xml:space="preserve">4G/5G </w:t>
      </w:r>
      <w:r w:rsidR="00122584" w:rsidRPr="00122584">
        <w:rPr>
          <w:rFonts w:cs="Times New Roman"/>
          <w:bCs/>
          <w:szCs w:val="24"/>
        </w:rPr>
        <w:t xml:space="preserve">mobiilsidevõrgu lahenduste baasil kolmelt erinevalt sideettevõtjalt (Telia, Elisa, Tele2) ehk lõppkasutajatele on tagatud piisav valik vaskkaablivõrgu internetiühendusega samaväärsete mobiilsidevõrgu internetiühenduste pakkujate osas. </w:t>
      </w:r>
    </w:p>
    <w:p w14:paraId="20E73AD7" w14:textId="68BE0A84" w:rsidR="00A500BC" w:rsidRPr="008B7AA0" w:rsidRDefault="00953BA7" w:rsidP="002C6127">
      <w:pPr>
        <w:rPr>
          <w:rFonts w:cs="Times New Roman"/>
          <w:bCs/>
          <w:szCs w:val="24"/>
        </w:rPr>
      </w:pPr>
      <w:r>
        <w:rPr>
          <w:rFonts w:cs="Times New Roman"/>
          <w:bCs/>
          <w:szCs w:val="24"/>
        </w:rPr>
        <w:t>Käesoleva</w:t>
      </w:r>
      <w:r w:rsidR="00122584" w:rsidRPr="00122584">
        <w:rPr>
          <w:rFonts w:cs="Times New Roman"/>
          <w:bCs/>
          <w:szCs w:val="24"/>
        </w:rPr>
        <w:t xml:space="preserve"> otsuse </w:t>
      </w:r>
      <w:r w:rsidR="00713C16">
        <w:rPr>
          <w:rFonts w:cs="Times New Roman"/>
          <w:bCs/>
          <w:szCs w:val="24"/>
        </w:rPr>
        <w:t xml:space="preserve">lisa 1 </w:t>
      </w:r>
      <w:r w:rsidR="00735C9A">
        <w:rPr>
          <w:rFonts w:cs="Times New Roman"/>
          <w:bCs/>
          <w:szCs w:val="24"/>
        </w:rPr>
        <w:t>ptk.-</w:t>
      </w:r>
      <w:r w:rsidR="00713C16">
        <w:rPr>
          <w:rFonts w:cs="Times New Roman"/>
          <w:bCs/>
          <w:szCs w:val="24"/>
        </w:rPr>
        <w:t>s</w:t>
      </w:r>
      <w:r w:rsidR="0041788F">
        <w:rPr>
          <w:rFonts w:cs="Times New Roman"/>
          <w:bCs/>
          <w:szCs w:val="24"/>
        </w:rPr>
        <w:t xml:space="preserve"> </w:t>
      </w:r>
      <w:r w:rsidR="00713C16">
        <w:rPr>
          <w:rFonts w:cs="Times New Roman"/>
          <w:bCs/>
          <w:szCs w:val="24"/>
        </w:rPr>
        <w:t>5.1.1</w:t>
      </w:r>
      <w:r w:rsidR="00526D8A">
        <w:rPr>
          <w:rFonts w:cs="Times New Roman"/>
          <w:bCs/>
          <w:szCs w:val="24"/>
        </w:rPr>
        <w:t xml:space="preserve"> „</w:t>
      </w:r>
      <w:bookmarkStart w:id="33" w:name="_Toc174710783"/>
      <w:r w:rsidR="00526D8A" w:rsidRPr="00526D8A">
        <w:rPr>
          <w:rFonts w:cs="Times New Roman"/>
          <w:bCs/>
          <w:i/>
          <w:iCs/>
        </w:rPr>
        <w:t>Vaskkaabli- ja mobiilsidevõrgu internetiühenduste üleriigiline jaeturg</w:t>
      </w:r>
      <w:bookmarkEnd w:id="33"/>
      <w:r w:rsidR="00526D8A">
        <w:rPr>
          <w:rFonts w:cs="Times New Roman"/>
          <w:bCs/>
          <w:i/>
          <w:iCs/>
        </w:rPr>
        <w:t>“</w:t>
      </w:r>
      <w:r w:rsidR="00526D8A">
        <w:rPr>
          <w:rFonts w:cs="Times New Roman"/>
          <w:bCs/>
        </w:rPr>
        <w:t xml:space="preserve"> </w:t>
      </w:r>
      <w:r w:rsidR="00BA7113">
        <w:rPr>
          <w:rFonts w:cs="Times New Roman"/>
          <w:bCs/>
        </w:rPr>
        <w:t xml:space="preserve">ja </w:t>
      </w:r>
      <w:r w:rsidR="00B05297">
        <w:rPr>
          <w:rFonts w:cs="Times New Roman"/>
          <w:bCs/>
        </w:rPr>
        <w:t>6.1.1 „</w:t>
      </w:r>
      <w:r w:rsidR="00E73AB3" w:rsidRPr="00E73AB3">
        <w:rPr>
          <w:rFonts w:cs="Times New Roman"/>
          <w:bCs/>
          <w:i/>
          <w:iCs/>
        </w:rPr>
        <w:t>Vaskkaabli- ja mobiilsidevõrgu internetiühenduste üleriigiline jaeturg</w:t>
      </w:r>
      <w:r w:rsidR="00E73AB3">
        <w:rPr>
          <w:rFonts w:cs="Times New Roman"/>
          <w:bCs/>
        </w:rPr>
        <w:t>“</w:t>
      </w:r>
      <w:r w:rsidR="00437147">
        <w:rPr>
          <w:rFonts w:cs="Times New Roman"/>
          <w:bCs/>
        </w:rPr>
        <w:t xml:space="preserve"> </w:t>
      </w:r>
      <w:r w:rsidR="000C183B">
        <w:rPr>
          <w:rFonts w:cs="Times New Roman"/>
          <w:bCs/>
        </w:rPr>
        <w:t xml:space="preserve">koos alapeatükkidega </w:t>
      </w:r>
      <w:r w:rsidR="00F74635">
        <w:rPr>
          <w:rFonts w:cs="Times New Roman"/>
          <w:bCs/>
        </w:rPr>
        <w:t xml:space="preserve">jõuti teostatud </w:t>
      </w:r>
      <w:r w:rsidR="000C183B">
        <w:rPr>
          <w:rFonts w:cs="Times New Roman"/>
          <w:bCs/>
        </w:rPr>
        <w:t xml:space="preserve">analüüsi tulemusel (sh </w:t>
      </w:r>
      <w:r w:rsidR="007C2E52">
        <w:rPr>
          <w:rFonts w:cs="Times New Roman"/>
          <w:bCs/>
        </w:rPr>
        <w:t xml:space="preserve">teostatud </w:t>
      </w:r>
      <w:r w:rsidR="000C183B">
        <w:rPr>
          <w:rFonts w:cs="Times New Roman"/>
          <w:bCs/>
        </w:rPr>
        <w:t>kolme kriteeriumi test)</w:t>
      </w:r>
      <w:r w:rsidR="00F74635">
        <w:rPr>
          <w:rFonts w:cs="Times New Roman"/>
          <w:bCs/>
        </w:rPr>
        <w:t xml:space="preserve"> järeldusele</w:t>
      </w:r>
      <w:r w:rsidR="000C183B">
        <w:rPr>
          <w:rFonts w:cs="Times New Roman"/>
          <w:bCs/>
        </w:rPr>
        <w:t xml:space="preserve">, et </w:t>
      </w:r>
      <w:bookmarkStart w:id="34" w:name="_Hlk174027527"/>
      <w:r w:rsidR="006A621E" w:rsidRPr="006A621E">
        <w:rPr>
          <w:rFonts w:cs="Times New Roman"/>
        </w:rPr>
        <w:t>vaskkaabli- ja mobiilsidevõrgu</w:t>
      </w:r>
      <w:r w:rsidR="008627A9">
        <w:rPr>
          <w:rFonts w:cs="Times New Roman"/>
        </w:rPr>
        <w:t xml:space="preserve"> üle-eestilistel</w:t>
      </w:r>
      <w:r w:rsidR="006A621E" w:rsidRPr="006A621E">
        <w:rPr>
          <w:rFonts w:cs="Times New Roman"/>
        </w:rPr>
        <w:t xml:space="preserve"> hulgiturgudel 1 ja 3b</w:t>
      </w:r>
      <w:r w:rsidR="006A621E">
        <w:rPr>
          <w:rFonts w:cs="Times New Roman"/>
          <w:bCs/>
        </w:rPr>
        <w:t xml:space="preserve"> eksisteerib</w:t>
      </w:r>
      <w:r w:rsidR="006A621E" w:rsidRPr="006A621E">
        <w:rPr>
          <w:rFonts w:cs="Times New Roman"/>
          <w:bCs/>
        </w:rPr>
        <w:t xml:space="preserve">  tõhus </w:t>
      </w:r>
      <w:r w:rsidR="008627A9">
        <w:rPr>
          <w:rFonts w:cs="Times New Roman"/>
          <w:bCs/>
        </w:rPr>
        <w:t xml:space="preserve">ja jätkusuutlik </w:t>
      </w:r>
      <w:r w:rsidR="006A621E" w:rsidRPr="006A621E">
        <w:rPr>
          <w:rFonts w:cs="Times New Roman"/>
          <w:bCs/>
        </w:rPr>
        <w:t>konkurents ja Telia ei o</w:t>
      </w:r>
      <w:r w:rsidR="00D80A0B">
        <w:rPr>
          <w:rFonts w:cs="Times New Roman"/>
          <w:bCs/>
        </w:rPr>
        <w:t xml:space="preserve">ma seal </w:t>
      </w:r>
      <w:r w:rsidR="00923C61">
        <w:rPr>
          <w:rFonts w:cs="Times New Roman"/>
          <w:bCs/>
        </w:rPr>
        <w:t>MTE</w:t>
      </w:r>
      <w:r w:rsidR="00D80A0B">
        <w:rPr>
          <w:rFonts w:cs="Times New Roman"/>
          <w:bCs/>
        </w:rPr>
        <w:t xml:space="preserve"> seisundit</w:t>
      </w:r>
      <w:r w:rsidR="001C0C9F">
        <w:rPr>
          <w:rFonts w:cs="Times New Roman"/>
          <w:bCs/>
        </w:rPr>
        <w:t>, mistõttu tühistatakse T</w:t>
      </w:r>
      <w:r w:rsidR="00844693">
        <w:rPr>
          <w:rFonts w:cs="Times New Roman"/>
          <w:bCs/>
        </w:rPr>
        <w:t xml:space="preserve">TJA 2017 hulgiturgude 1 ja 3b otsustega kehtestatud </w:t>
      </w:r>
      <w:r w:rsidR="00AE3BE4">
        <w:rPr>
          <w:rFonts w:cs="Times New Roman"/>
          <w:bCs/>
        </w:rPr>
        <w:t xml:space="preserve">Telia </w:t>
      </w:r>
      <w:r w:rsidR="00844693">
        <w:rPr>
          <w:rFonts w:cs="Times New Roman"/>
          <w:bCs/>
        </w:rPr>
        <w:t xml:space="preserve">kohustused </w:t>
      </w:r>
      <w:r w:rsidR="00AE3BE4">
        <w:rPr>
          <w:rFonts w:cs="Times New Roman"/>
          <w:bCs/>
        </w:rPr>
        <w:t>osutada</w:t>
      </w:r>
      <w:r w:rsidR="003063E1">
        <w:rPr>
          <w:rFonts w:cs="Times New Roman"/>
          <w:bCs/>
        </w:rPr>
        <w:t xml:space="preserve"> oma</w:t>
      </w:r>
      <w:r w:rsidR="003863EF">
        <w:rPr>
          <w:rFonts w:cs="Times New Roman"/>
          <w:bCs/>
        </w:rPr>
        <w:t xml:space="preserve"> vaskkaabli</w:t>
      </w:r>
      <w:r w:rsidR="00FF2A2D">
        <w:rPr>
          <w:rFonts w:cs="Times New Roman"/>
          <w:bCs/>
        </w:rPr>
        <w:t>ga juurdepääsuvõrgu</w:t>
      </w:r>
      <w:r w:rsidR="003863EF">
        <w:rPr>
          <w:rFonts w:cs="Times New Roman"/>
          <w:bCs/>
        </w:rPr>
        <w:t xml:space="preserve"> baasil </w:t>
      </w:r>
      <w:r w:rsidR="002162D8">
        <w:rPr>
          <w:rFonts w:cs="Times New Roman"/>
          <w:bCs/>
        </w:rPr>
        <w:t>füüsiliselt eraldatud kliendiliinile juurdepääsu (</w:t>
      </w:r>
      <w:r w:rsidR="00A475F3">
        <w:rPr>
          <w:rFonts w:cs="Times New Roman"/>
          <w:bCs/>
        </w:rPr>
        <w:t xml:space="preserve">nimetatakse ka </w:t>
      </w:r>
      <w:r w:rsidR="002162D8">
        <w:rPr>
          <w:rFonts w:cs="Times New Roman"/>
          <w:bCs/>
        </w:rPr>
        <w:t>FEKJ)</w:t>
      </w:r>
      <w:r w:rsidR="00844C88">
        <w:rPr>
          <w:rFonts w:cs="Times New Roman"/>
          <w:bCs/>
        </w:rPr>
        <w:t xml:space="preserve"> ja</w:t>
      </w:r>
      <w:r w:rsidR="003063E1">
        <w:rPr>
          <w:rFonts w:cs="Times New Roman"/>
          <w:bCs/>
        </w:rPr>
        <w:t xml:space="preserve"> virtuaalselt</w:t>
      </w:r>
      <w:r w:rsidR="002162D8">
        <w:rPr>
          <w:rFonts w:cs="Times New Roman"/>
          <w:bCs/>
        </w:rPr>
        <w:t xml:space="preserve"> eraldatud kliendiliinile</w:t>
      </w:r>
      <w:r w:rsidR="003063E1">
        <w:rPr>
          <w:rFonts w:cs="Times New Roman"/>
          <w:bCs/>
        </w:rPr>
        <w:t xml:space="preserve"> juurdepääsu</w:t>
      </w:r>
      <w:r w:rsidR="002162D8">
        <w:rPr>
          <w:rFonts w:cs="Times New Roman"/>
          <w:bCs/>
        </w:rPr>
        <w:t xml:space="preserve"> (</w:t>
      </w:r>
      <w:r w:rsidR="00A475F3">
        <w:rPr>
          <w:rFonts w:cs="Times New Roman"/>
          <w:bCs/>
        </w:rPr>
        <w:t>nimetatakse ka VEKJ)</w:t>
      </w:r>
      <w:r w:rsidR="006A621E" w:rsidRPr="006A621E">
        <w:rPr>
          <w:rFonts w:cs="Times New Roman"/>
          <w:bCs/>
        </w:rPr>
        <w:t xml:space="preserve">. </w:t>
      </w:r>
      <w:bookmarkEnd w:id="34"/>
    </w:p>
    <w:p w14:paraId="6CA2C76F" w14:textId="6061123D" w:rsidR="00CA70A4" w:rsidRPr="001C3161" w:rsidRDefault="00CA70A4" w:rsidP="00CA70A4">
      <w:pPr>
        <w:rPr>
          <w:b/>
          <w:bCs/>
        </w:rPr>
      </w:pPr>
      <w:r w:rsidRPr="001C3161">
        <w:rPr>
          <w:b/>
          <w:bCs/>
        </w:rPr>
        <w:t>Eeltoodust tulenevalt ei pea TTJA põhjendatuks kohustada Telia</w:t>
      </w:r>
      <w:r w:rsidR="001C3161">
        <w:rPr>
          <w:b/>
          <w:bCs/>
        </w:rPr>
        <w:t>t</w:t>
      </w:r>
      <w:r w:rsidRPr="001C3161">
        <w:rPr>
          <w:b/>
          <w:bCs/>
        </w:rPr>
        <w:t xml:space="preserve"> pakkuma vaskkaab</w:t>
      </w:r>
      <w:r w:rsidR="001C3161">
        <w:rPr>
          <w:b/>
          <w:bCs/>
        </w:rPr>
        <w:t>e</w:t>
      </w:r>
      <w:r w:rsidRPr="001C3161">
        <w:rPr>
          <w:b/>
          <w:bCs/>
        </w:rPr>
        <w:t xml:space="preserve">lvõrgus (sh vektoring ühenduste korral) hulgiturgude 1 ja 3b tooteid (sh </w:t>
      </w:r>
      <w:r w:rsidR="00F3410D" w:rsidRPr="00F3410D">
        <w:rPr>
          <w:b/>
          <w:bCs/>
        </w:rPr>
        <w:t>füüsiliselt ja/või virtuaalselt eraldatud kliendiliinile juurdepääsu</w:t>
      </w:r>
      <w:r w:rsidRPr="001C3161">
        <w:rPr>
          <w:b/>
          <w:bCs/>
        </w:rPr>
        <w:t>), kuna Telial puudub MTE staatus vaskkaablivõrgus turu 1 ja 3b toodete osutamisel.</w:t>
      </w:r>
    </w:p>
    <w:p w14:paraId="5CC7E15F" w14:textId="77777777" w:rsidR="00A500BC" w:rsidRDefault="00A500BC" w:rsidP="00A500BC"/>
    <w:p w14:paraId="0C9384D1" w14:textId="5586B6E9" w:rsidR="00BD6DFA" w:rsidRDefault="00BD6DFA" w:rsidP="00BD6DFA">
      <w:pPr>
        <w:pStyle w:val="Pealkiri1"/>
      </w:pPr>
      <w:bookmarkStart w:id="35" w:name="_Toc182488043"/>
      <w:r>
        <w:t>Juurdepääsu kohustus Telia valguskaabli alamkliendiliinile</w:t>
      </w:r>
      <w:bookmarkEnd w:id="35"/>
    </w:p>
    <w:p w14:paraId="038C93A0" w14:textId="77777777" w:rsidR="00A500BC" w:rsidRDefault="00A500BC" w:rsidP="00A500BC"/>
    <w:p w14:paraId="68345320" w14:textId="464FD226" w:rsidR="004359DD" w:rsidRDefault="004359DD" w:rsidP="004359DD">
      <w:pPr>
        <w:pStyle w:val="Pealkiri2"/>
      </w:pPr>
      <w:bookmarkStart w:id="36" w:name="_Toc182488044"/>
      <w:r>
        <w:t>Elisa</w:t>
      </w:r>
      <w:bookmarkEnd w:id="36"/>
    </w:p>
    <w:p w14:paraId="400B3746" w14:textId="77777777" w:rsidR="004359DD" w:rsidRDefault="004359DD" w:rsidP="004359DD">
      <w:pPr>
        <w:rPr>
          <w:i/>
          <w:iCs/>
        </w:rPr>
      </w:pPr>
    </w:p>
    <w:p w14:paraId="08BDFC5F" w14:textId="4110E418" w:rsidR="004359DD" w:rsidRPr="004359DD" w:rsidRDefault="004359DD" w:rsidP="004359DD">
      <w:pPr>
        <w:rPr>
          <w:i/>
          <w:iCs/>
        </w:rPr>
      </w:pPr>
      <w:r w:rsidRPr="004359DD">
        <w:rPr>
          <w:i/>
          <w:iCs/>
        </w:rPr>
        <w:t xml:space="preserve">Uuest otsuse kavandist nähtuvalt peab Telia pakkuma ja võimaldama nii füüsilist kui virtuaalset juurdepääsu oma valguskaabli kliendiliinile ehk (füüsilisele) ühendusele </w:t>
      </w:r>
      <w:r w:rsidRPr="004359DD">
        <w:rPr>
          <w:i/>
          <w:iCs/>
        </w:rPr>
        <w:lastRenderedPageBreak/>
        <w:t xml:space="preserve">fikseeritud elektroonilise side võrgu lõpp-punkti ja </w:t>
      </w:r>
      <w:proofErr w:type="spellStart"/>
      <w:r w:rsidRPr="004359DD">
        <w:rPr>
          <w:i/>
          <w:iCs/>
          <w:u w:val="single"/>
        </w:rPr>
        <w:t>peajaotaja</w:t>
      </w:r>
      <w:proofErr w:type="spellEnd"/>
      <w:r w:rsidRPr="004359DD">
        <w:rPr>
          <w:i/>
          <w:iCs/>
        </w:rPr>
        <w:t xml:space="preserve"> või muu vastava seadme vahel (ESS § 2 p 14). </w:t>
      </w:r>
    </w:p>
    <w:p w14:paraId="17700D4D" w14:textId="77777777" w:rsidR="004359DD" w:rsidRPr="004359DD" w:rsidRDefault="004359DD" w:rsidP="004359DD">
      <w:pPr>
        <w:rPr>
          <w:i/>
          <w:iCs/>
        </w:rPr>
      </w:pPr>
      <w:r w:rsidRPr="004359DD">
        <w:rPr>
          <w:i/>
          <w:iCs/>
        </w:rPr>
        <w:t xml:space="preserve">Uuest kavandist ei nähtu, et Telia valguskaablil põhinevale sidevõrgule (st optikale) juurdepääsu kohustus laieneks ja kehtiks ka alamkliendiliini ehk sidevõrgu lõpp-punkti ja nn </w:t>
      </w:r>
      <w:r w:rsidRPr="004359DD">
        <w:rPr>
          <w:i/>
          <w:iCs/>
          <w:u w:val="single"/>
        </w:rPr>
        <w:t>vahejaotuspunkti</w:t>
      </w:r>
      <w:r w:rsidRPr="004359DD">
        <w:rPr>
          <w:i/>
          <w:iCs/>
        </w:rPr>
        <w:t xml:space="preserve"> vahelise (füüsilise) ühenduse suhtes. Sellise välistuse põhjendust otsuse kavandist ei nähtu. </w:t>
      </w:r>
    </w:p>
    <w:p w14:paraId="40BAFFE4" w14:textId="77777777" w:rsidR="004359DD" w:rsidRPr="004359DD" w:rsidRDefault="004359DD" w:rsidP="004359DD">
      <w:pPr>
        <w:rPr>
          <w:i/>
          <w:iCs/>
        </w:rPr>
      </w:pPr>
      <w:r w:rsidRPr="004359DD">
        <w:rPr>
          <w:i/>
          <w:iCs/>
        </w:rPr>
        <w:t xml:space="preserve">See ei ole kooskõlas EL-i sidekoodeksi ja kohaliku juurdepääsu kohustusega, samuti ESS §-i 51 lg 1 p 1, mis sätestab, et juurdepääsukohustuse (st ESS § 50 lg 1 p 5 sätestatud MTE kohustuse) raames nõuab regulaator mh: „juurdepääsu võimaldamist konkreetsetele võrguelementidele või -vahenditele, </w:t>
      </w:r>
      <w:r w:rsidRPr="004359DD">
        <w:rPr>
          <w:i/>
          <w:iCs/>
          <w:u w:val="single"/>
        </w:rPr>
        <w:t>sealhulgas</w:t>
      </w:r>
      <w:r w:rsidRPr="004359DD">
        <w:rPr>
          <w:i/>
          <w:iCs/>
        </w:rPr>
        <w:t xml:space="preserve"> täielikku või jagatud juurdepääsu kliendiliinile ja </w:t>
      </w:r>
      <w:r w:rsidRPr="004359DD">
        <w:rPr>
          <w:i/>
          <w:iCs/>
          <w:u w:val="single"/>
        </w:rPr>
        <w:t>alamkliendiliinile</w:t>
      </w:r>
      <w:r w:rsidRPr="004359DD">
        <w:rPr>
          <w:i/>
          <w:iCs/>
        </w:rPr>
        <w:t xml:space="preserve">.“ </w:t>
      </w:r>
    </w:p>
    <w:p w14:paraId="4EB65D65" w14:textId="72C56A3F" w:rsidR="004359DD" w:rsidRPr="004359DD" w:rsidRDefault="004359DD" w:rsidP="004359DD">
      <w:pPr>
        <w:rPr>
          <w:i/>
          <w:iCs/>
        </w:rPr>
      </w:pPr>
      <w:r w:rsidRPr="004359DD">
        <w:rPr>
          <w:i/>
          <w:iCs/>
        </w:rPr>
        <w:t xml:space="preserve"> Mh kohaliku juurdepääsu 2020 a. kavandis</w:t>
      </w:r>
      <w:r w:rsidRPr="004359DD">
        <w:rPr>
          <w:i/>
          <w:iCs/>
          <w:vertAlign w:val="superscript"/>
        </w:rPr>
        <w:t>7</w:t>
      </w:r>
      <w:r w:rsidRPr="004359DD">
        <w:rPr>
          <w:i/>
          <w:iCs/>
        </w:rPr>
        <w:t xml:space="preserve"> tuvastas TTJA, et „Telia võimaldab juurdepääsu oma valguskaablile (kliendiliinile) üldjuhul lähimast peajaotajast“</w:t>
      </w:r>
      <w:r w:rsidRPr="004359DD">
        <w:rPr>
          <w:i/>
          <w:iCs/>
          <w:vertAlign w:val="superscript"/>
        </w:rPr>
        <w:t>8</w:t>
      </w:r>
      <w:r w:rsidRPr="004359DD">
        <w:rPr>
          <w:i/>
          <w:iCs/>
        </w:rPr>
        <w:t xml:space="preserve">, kuid  </w:t>
      </w:r>
    </w:p>
    <w:p w14:paraId="4529C814" w14:textId="77777777" w:rsidR="004359DD" w:rsidRPr="004359DD" w:rsidRDefault="004359DD" w:rsidP="004359DD">
      <w:pPr>
        <w:numPr>
          <w:ilvl w:val="0"/>
          <w:numId w:val="30"/>
        </w:numPr>
        <w:rPr>
          <w:i/>
          <w:iCs/>
        </w:rPr>
      </w:pPr>
      <w:r w:rsidRPr="004359DD">
        <w:rPr>
          <w:i/>
          <w:iCs/>
        </w:rPr>
        <w:t>Turuanalüüsi käigus avaldasid alternatiivsed sideettevõtjad (</w:t>
      </w:r>
      <w:r w:rsidRPr="004359DD">
        <w:rPr>
          <w:b/>
          <w:i/>
          <w:iCs/>
        </w:rPr>
        <w:t>ANO</w:t>
      </w:r>
      <w:r w:rsidRPr="004359DD">
        <w:rPr>
          <w:i/>
          <w:iCs/>
        </w:rPr>
        <w:t xml:space="preserve">) soovi, et Telia pakuks juurdepääsu ka (valguskaabli) </w:t>
      </w:r>
      <w:r w:rsidRPr="004359DD">
        <w:rPr>
          <w:i/>
          <w:iCs/>
          <w:u w:val="single"/>
        </w:rPr>
        <w:t>alamkliendiliinile</w:t>
      </w:r>
      <w:r w:rsidRPr="004359DD">
        <w:rPr>
          <w:i/>
          <w:iCs/>
        </w:rPr>
        <w:t xml:space="preserve"> mõnes alama taseme vahejaotuspunktist (üldjuhul tänaval asuv jaotuskapp); ning </w:t>
      </w:r>
    </w:p>
    <w:p w14:paraId="6EED7FAE" w14:textId="77777777" w:rsidR="004359DD" w:rsidRPr="004359DD" w:rsidRDefault="004359DD" w:rsidP="004359DD">
      <w:pPr>
        <w:numPr>
          <w:ilvl w:val="0"/>
          <w:numId w:val="30"/>
        </w:numPr>
        <w:rPr>
          <w:i/>
          <w:iCs/>
        </w:rPr>
      </w:pPr>
      <w:r w:rsidRPr="004359DD">
        <w:rPr>
          <w:i/>
          <w:iCs/>
        </w:rPr>
        <w:t xml:space="preserve">TTJA hinnangul „on oluline, et [ANO] saaks juurdepääsu ka Telia alamkliendiliinile [mh] valguskaabliühenduse korral, kuna see võimaldab pakkuda kvaliteetsemaid jaeteenuseid [ja] kui Telia ei võimalda juurdepääsu alamkliendiliinile, siis [see] on konkurentsiprobleem, kuna lõppkasutajate sideteenuste valik ja kvaliteet väheneb,“ ning </w:t>
      </w:r>
    </w:p>
    <w:p w14:paraId="718AFE39" w14:textId="3F8DF411" w:rsidR="004359DD" w:rsidRPr="004359DD" w:rsidRDefault="004359DD">
      <w:pPr>
        <w:numPr>
          <w:ilvl w:val="0"/>
          <w:numId w:val="30"/>
        </w:numPr>
        <w:rPr>
          <w:i/>
          <w:iCs/>
        </w:rPr>
      </w:pPr>
      <w:r w:rsidRPr="004359DD">
        <w:rPr>
          <w:i/>
          <w:iCs/>
        </w:rPr>
        <w:t xml:space="preserve">kuigi „ei ole proportsionaalne kehtestada Teliale kohustust töötada välja ja rakendada üle Eesti </w:t>
      </w:r>
      <w:r w:rsidRPr="004359DD">
        <w:rPr>
          <w:i/>
          <w:iCs/>
          <w:u w:val="single"/>
        </w:rPr>
        <w:t>kõikidele</w:t>
      </w:r>
      <w:r w:rsidRPr="004359DD">
        <w:rPr>
          <w:i/>
          <w:iCs/>
        </w:rPr>
        <w:t xml:space="preserve"> alamkliendiliinidele juurdepääsu osutamise tingimused,“ siis kokkuvõtvalt </w:t>
      </w:r>
    </w:p>
    <w:p w14:paraId="7C47C524" w14:textId="77777777" w:rsidR="004359DD" w:rsidRPr="004359DD" w:rsidRDefault="004359DD" w:rsidP="004359DD">
      <w:pPr>
        <w:numPr>
          <w:ilvl w:val="0"/>
          <w:numId w:val="30"/>
        </w:numPr>
        <w:rPr>
          <w:i/>
          <w:iCs/>
        </w:rPr>
      </w:pPr>
      <w:r w:rsidRPr="004359DD">
        <w:rPr>
          <w:i/>
          <w:iCs/>
        </w:rPr>
        <w:t xml:space="preserve">TTJA leiab, et on „mõistlik ja otstarbekas kehtivate juurdepääsukohustuste täiendamine [nii], et Telia [peab] arendama ja </w:t>
      </w:r>
      <w:r w:rsidRPr="004359DD">
        <w:rPr>
          <w:i/>
          <w:iCs/>
          <w:u w:val="single"/>
        </w:rPr>
        <w:t>pakkuma</w:t>
      </w:r>
      <w:r w:rsidRPr="004359DD">
        <w:rPr>
          <w:i/>
          <w:iCs/>
        </w:rPr>
        <w:t xml:space="preserve"> [ANO] </w:t>
      </w:r>
      <w:r w:rsidRPr="004359DD">
        <w:rPr>
          <w:i/>
          <w:iCs/>
          <w:u w:val="single"/>
        </w:rPr>
        <w:t>taotluse alusel</w:t>
      </w:r>
      <w:r w:rsidRPr="004359DD">
        <w:rPr>
          <w:i/>
          <w:iCs/>
        </w:rPr>
        <w:t xml:space="preserve"> ning tehniliste tingimuste olemasolul </w:t>
      </w:r>
      <w:r w:rsidRPr="004359DD">
        <w:rPr>
          <w:i/>
          <w:iCs/>
          <w:u w:val="single"/>
        </w:rPr>
        <w:t>juurdepääsu</w:t>
      </w:r>
      <w:r w:rsidRPr="004359DD">
        <w:rPr>
          <w:i/>
          <w:iCs/>
        </w:rPr>
        <w:t xml:space="preserve"> [mh] </w:t>
      </w:r>
      <w:r w:rsidRPr="004359DD">
        <w:rPr>
          <w:i/>
          <w:iCs/>
          <w:u w:val="single"/>
        </w:rPr>
        <w:t>valguskaabel alamkliendiliinile</w:t>
      </w:r>
      <w:r w:rsidRPr="004359DD">
        <w:rPr>
          <w:i/>
          <w:iCs/>
        </w:rPr>
        <w:t xml:space="preserve"> 1 kuu jooksul alates taotluse esitamisest“ elik „juurdepääsu valguskaabli alamkliendiliinidele konkreetsetes taotletud kohtades sealsete tehniliste võimaluste alusel.“</w:t>
      </w:r>
      <w:r w:rsidRPr="004359DD">
        <w:rPr>
          <w:i/>
          <w:iCs/>
          <w:vertAlign w:val="superscript"/>
        </w:rPr>
        <w:t>9</w:t>
      </w:r>
      <w:r w:rsidRPr="004359DD">
        <w:rPr>
          <w:i/>
          <w:iCs/>
        </w:rPr>
        <w:t xml:space="preserve"> </w:t>
      </w:r>
    </w:p>
    <w:p w14:paraId="686300C5" w14:textId="77777777" w:rsidR="004359DD" w:rsidRPr="004359DD" w:rsidRDefault="004359DD" w:rsidP="004359DD">
      <w:pPr>
        <w:rPr>
          <w:i/>
          <w:iCs/>
        </w:rPr>
      </w:pPr>
      <w:r w:rsidRPr="004359DD">
        <w:rPr>
          <w:i/>
          <w:iCs/>
        </w:rPr>
        <w:t xml:space="preserve"> </w:t>
      </w:r>
    </w:p>
    <w:p w14:paraId="392167CC" w14:textId="77777777" w:rsidR="004359DD" w:rsidRPr="004359DD" w:rsidRDefault="004359DD" w:rsidP="004359DD">
      <w:pPr>
        <w:rPr>
          <w:i/>
          <w:iCs/>
        </w:rPr>
      </w:pPr>
      <w:r w:rsidRPr="004359DD">
        <w:rPr>
          <w:i/>
          <w:iCs/>
          <w:noProof/>
        </w:rPr>
        <w:lastRenderedPageBreak/>
        <w:drawing>
          <wp:inline distT="0" distB="0" distL="0" distR="0" wp14:anchorId="77430A15" wp14:editId="61E6C847">
            <wp:extent cx="5394960" cy="3297936"/>
            <wp:effectExtent l="0" t="0" r="0" b="0"/>
            <wp:docPr id="47689" name="Picture 47689"/>
            <wp:cNvGraphicFramePr/>
            <a:graphic xmlns:a="http://schemas.openxmlformats.org/drawingml/2006/main">
              <a:graphicData uri="http://schemas.openxmlformats.org/drawingml/2006/picture">
                <pic:pic xmlns:pic="http://schemas.openxmlformats.org/drawingml/2006/picture">
                  <pic:nvPicPr>
                    <pic:cNvPr id="47689" name="Picture 47689"/>
                    <pic:cNvPicPr/>
                  </pic:nvPicPr>
                  <pic:blipFill>
                    <a:blip r:embed="rId9"/>
                    <a:stretch>
                      <a:fillRect/>
                    </a:stretch>
                  </pic:blipFill>
                  <pic:spPr>
                    <a:xfrm>
                      <a:off x="0" y="0"/>
                      <a:ext cx="5394960" cy="3297936"/>
                    </a:xfrm>
                    <a:prstGeom prst="rect">
                      <a:avLst/>
                    </a:prstGeom>
                  </pic:spPr>
                </pic:pic>
              </a:graphicData>
            </a:graphic>
          </wp:inline>
        </w:drawing>
      </w:r>
    </w:p>
    <w:p w14:paraId="49DE9149" w14:textId="62E97FB6" w:rsidR="004359DD" w:rsidRPr="004359DD" w:rsidRDefault="004359DD" w:rsidP="00F00F66">
      <w:pPr>
        <w:ind w:left="720" w:firstLine="60"/>
        <w:rPr>
          <w:i/>
          <w:iCs/>
        </w:rPr>
      </w:pPr>
      <w:r w:rsidRPr="004359DD">
        <w:rPr>
          <w:i/>
          <w:iCs/>
          <w:sz w:val="20"/>
          <w:szCs w:val="20"/>
        </w:rPr>
        <w:t>2020-T1-kavand (lk 81) - Joonis 11. Vaskpaar- ja valguskaabli kliendiliinile ja alamkliendiliinile juurdepääsu kirjeldus</w:t>
      </w:r>
      <w:r w:rsidRPr="004359DD">
        <w:rPr>
          <w:i/>
          <w:iCs/>
        </w:rPr>
        <w:t xml:space="preserve">. </w:t>
      </w:r>
    </w:p>
    <w:p w14:paraId="795443EE" w14:textId="02916221" w:rsidR="004359DD" w:rsidRPr="004359DD" w:rsidRDefault="004359DD" w:rsidP="004359DD">
      <w:pPr>
        <w:rPr>
          <w:i/>
          <w:iCs/>
        </w:rPr>
      </w:pPr>
      <w:r w:rsidRPr="004359DD">
        <w:rPr>
          <w:i/>
          <w:iCs/>
        </w:rPr>
        <w:t xml:space="preserve">Vähemalt samaväärne kohustus, st juurdepääs mh valguskaabli alamkliendiliinile, tuleb Teliale </w:t>
      </w:r>
      <w:r w:rsidRPr="004359DD">
        <w:rPr>
          <w:i/>
          <w:iCs/>
          <w:u w:val="single"/>
        </w:rPr>
        <w:t>selgesõnaliselt kehtestada</w:t>
      </w:r>
      <w:r w:rsidRPr="004359DD">
        <w:rPr>
          <w:i/>
          <w:iCs/>
        </w:rPr>
        <w:t xml:space="preserve"> ka uues kavandis ning seeläbi tagada, et valguskaablile juurdepääsu kohustus ei oleks juba ette poolik, võrgutehnilistel põhjustel sisuta või selle ulatus vaieldav. </w:t>
      </w:r>
    </w:p>
    <w:p w14:paraId="27B8CAA6" w14:textId="74AF4A45" w:rsidR="004359DD" w:rsidRPr="004359DD" w:rsidRDefault="004359DD" w:rsidP="004359DD">
      <w:pPr>
        <w:rPr>
          <w:i/>
          <w:iCs/>
        </w:rPr>
      </w:pPr>
      <w:r w:rsidRPr="004359DD">
        <w:rPr>
          <w:i/>
          <w:iCs/>
        </w:rPr>
        <w:t xml:space="preserve"> Seda enam, et 2020 a. tunnistas TTJA ise vaidlemise võimalust kui ütles kehtiva 2017-3a-otsuse kohta, et „valguskaabli osas praegused kohustused ei täpsusta, kas juurdepääsu tuleb osutada kliendiliinile või ka alamkliendiliinile.“</w:t>
      </w:r>
      <w:r w:rsidRPr="004359DD">
        <w:rPr>
          <w:i/>
          <w:iCs/>
          <w:vertAlign w:val="superscript"/>
        </w:rPr>
        <w:t>10</w:t>
      </w:r>
      <w:r w:rsidRPr="004359DD">
        <w:rPr>
          <w:i/>
          <w:iCs/>
        </w:rPr>
        <w:t xml:space="preserve"> Sellist väidetavat ebaselgust ei või nö edasi kanda.</w:t>
      </w:r>
      <w:r w:rsidRPr="004359DD">
        <w:rPr>
          <w:i/>
          <w:iCs/>
          <w:vertAlign w:val="superscript"/>
        </w:rPr>
        <w:t>11</w:t>
      </w:r>
      <w:r w:rsidRPr="004359DD">
        <w:rPr>
          <w:i/>
          <w:iCs/>
        </w:rPr>
        <w:t xml:space="preserve"> </w:t>
      </w:r>
    </w:p>
    <w:p w14:paraId="6A13B8C2" w14:textId="77777777" w:rsidR="005722E4" w:rsidRDefault="005722E4" w:rsidP="00A500BC"/>
    <w:p w14:paraId="27D1AC35" w14:textId="32B52330" w:rsidR="00A500BC" w:rsidRDefault="005722E4" w:rsidP="00442C26">
      <w:pPr>
        <w:pStyle w:val="Pealkiri2"/>
      </w:pPr>
      <w:bookmarkStart w:id="37" w:name="_Toc182488045"/>
      <w:r w:rsidRPr="005722E4">
        <w:t>TTJA</w:t>
      </w:r>
      <w:bookmarkEnd w:id="37"/>
    </w:p>
    <w:p w14:paraId="3ACBDED0" w14:textId="6E213705" w:rsidR="00CF7F99" w:rsidRDefault="00B23F42" w:rsidP="00A500BC">
      <w:r>
        <w:t>TTJA kavandas kehtestada j</w:t>
      </w:r>
      <w:r w:rsidR="00B624D6">
        <w:t>uurdepääsu</w:t>
      </w:r>
      <w:r w:rsidR="00D72939">
        <w:t xml:space="preserve"> </w:t>
      </w:r>
      <w:r w:rsidR="000D34E3">
        <w:t>kohustuse Telia</w:t>
      </w:r>
      <w:r w:rsidR="00D72939">
        <w:t xml:space="preserve"> </w:t>
      </w:r>
      <w:r w:rsidR="00B60ABF">
        <w:t xml:space="preserve">valguskaabli </w:t>
      </w:r>
      <w:r w:rsidR="00D72939">
        <w:t xml:space="preserve">alamkliendiliinile </w:t>
      </w:r>
      <w:r>
        <w:t>juba</w:t>
      </w:r>
      <w:r w:rsidR="00D72939">
        <w:t xml:space="preserve"> </w:t>
      </w:r>
      <w:r w:rsidR="005F09D8" w:rsidRPr="005F09D8">
        <w:t>TTJA 2021 hulgituru 1 otsuse eelnõu</w:t>
      </w:r>
      <w:r>
        <w:t xml:space="preserve">s, mis aga </w:t>
      </w:r>
      <w:r w:rsidR="00767330">
        <w:t xml:space="preserve">ei rakendunud, kuna EK </w:t>
      </w:r>
      <w:r w:rsidR="002565FE">
        <w:t>leidis otsuse</w:t>
      </w:r>
      <w:r w:rsidR="00C846C2">
        <w:t xml:space="preserve"> eelnõus</w:t>
      </w:r>
      <w:r w:rsidR="002565FE">
        <w:t xml:space="preserve"> puudusi turu piiritlemise osas ning TTJA võttis otsuse tagasi.</w:t>
      </w:r>
      <w:r w:rsidR="00B61DFF">
        <w:t xml:space="preserve"> TTJA 2024 hulgituru 1 ja 3b </w:t>
      </w:r>
      <w:r w:rsidR="00B60ABF">
        <w:t xml:space="preserve">otsuse kavandis on vastav kohustus jäänud ekslikult </w:t>
      </w:r>
      <w:r w:rsidR="00B867CC">
        <w:t>sätestamata.</w:t>
      </w:r>
    </w:p>
    <w:p w14:paraId="3A2A467F" w14:textId="616F9853" w:rsidR="00442C26" w:rsidRDefault="00B11C5E" w:rsidP="006F6C8A">
      <w:r>
        <w:rPr>
          <w:rFonts w:cs="Times New Roman"/>
          <w:szCs w:val="24"/>
        </w:rPr>
        <w:t xml:space="preserve">TTJA täiendab TTJA 2024 </w:t>
      </w:r>
      <w:r w:rsidR="005E4A54">
        <w:rPr>
          <w:rFonts w:cs="Times New Roman"/>
          <w:szCs w:val="24"/>
        </w:rPr>
        <w:t xml:space="preserve">hulgituru 1 ja 3b </w:t>
      </w:r>
      <w:r>
        <w:rPr>
          <w:rFonts w:cs="Times New Roman"/>
          <w:szCs w:val="24"/>
        </w:rPr>
        <w:t>otsuse kavandi</w:t>
      </w:r>
      <w:r w:rsidR="005E4A54">
        <w:rPr>
          <w:rFonts w:cs="Times New Roman"/>
          <w:szCs w:val="24"/>
        </w:rPr>
        <w:t xml:space="preserve"> </w:t>
      </w:r>
      <w:r w:rsidR="00735C9A">
        <w:rPr>
          <w:rFonts w:cs="Times New Roman"/>
          <w:szCs w:val="24"/>
        </w:rPr>
        <w:t xml:space="preserve">ptk. </w:t>
      </w:r>
      <w:r w:rsidR="006703EC">
        <w:rPr>
          <w:rFonts w:cs="Times New Roman"/>
          <w:szCs w:val="24"/>
        </w:rPr>
        <w:t xml:space="preserve">7.3.5 </w:t>
      </w:r>
      <w:r w:rsidR="00B23F42">
        <w:rPr>
          <w:rFonts w:cs="Times New Roman"/>
          <w:szCs w:val="24"/>
        </w:rPr>
        <w:t>„Juurdepääsu kohustuste kehtestamine“</w:t>
      </w:r>
      <w:r w:rsidR="006F6C8A">
        <w:rPr>
          <w:rFonts w:cs="Times New Roman"/>
          <w:szCs w:val="24"/>
        </w:rPr>
        <w:t>.</w:t>
      </w:r>
    </w:p>
    <w:p w14:paraId="488843F9" w14:textId="77777777" w:rsidR="00442C26" w:rsidRDefault="00442C26" w:rsidP="00A500BC"/>
    <w:p w14:paraId="40CB8435" w14:textId="33C29867" w:rsidR="007662A4" w:rsidRPr="007662A4" w:rsidRDefault="007662A4" w:rsidP="00442C26">
      <w:pPr>
        <w:pStyle w:val="Pealkiri1"/>
      </w:pPr>
      <w:bookmarkStart w:id="38" w:name="_Toc182488046"/>
      <w:r w:rsidRPr="007662A4">
        <w:t xml:space="preserve">Telia </w:t>
      </w:r>
      <w:r w:rsidR="00784472">
        <w:t xml:space="preserve">virtuaalselt </w:t>
      </w:r>
      <w:r w:rsidR="005D582E">
        <w:t xml:space="preserve">eraldatud </w:t>
      </w:r>
      <w:r w:rsidRPr="007662A4">
        <w:t>valguskaabli</w:t>
      </w:r>
      <w:r w:rsidR="00784472">
        <w:t>le</w:t>
      </w:r>
      <w:r w:rsidRPr="007662A4">
        <w:t xml:space="preserve"> </w:t>
      </w:r>
      <w:r w:rsidR="005D582E">
        <w:t xml:space="preserve">juurdepääsu tingimused </w:t>
      </w:r>
      <w:r w:rsidRPr="007662A4">
        <w:t>– juurdepääsupunkt, tehnilised omandused, maksumus ja kasutusvalmidus</w:t>
      </w:r>
      <w:bookmarkEnd w:id="38"/>
      <w:r w:rsidRPr="007662A4">
        <w:t xml:space="preserve"> </w:t>
      </w:r>
    </w:p>
    <w:p w14:paraId="4BB435A7" w14:textId="77777777" w:rsidR="000A4D83" w:rsidRDefault="000A4D83" w:rsidP="00A500BC"/>
    <w:p w14:paraId="34F44B59" w14:textId="543D771D" w:rsidR="005D582E" w:rsidRDefault="005D582E" w:rsidP="005D582E">
      <w:pPr>
        <w:pStyle w:val="Pealkiri2"/>
      </w:pPr>
      <w:bookmarkStart w:id="39" w:name="_Toc182488047"/>
      <w:r>
        <w:t>Elisa</w:t>
      </w:r>
      <w:bookmarkEnd w:id="39"/>
    </w:p>
    <w:p w14:paraId="4BA77043" w14:textId="77777777" w:rsidR="005D582E" w:rsidRDefault="005D582E" w:rsidP="00A500BC"/>
    <w:p w14:paraId="42638776" w14:textId="77777777" w:rsidR="005C2F02" w:rsidRPr="005C2F02" w:rsidRDefault="005C2F02" w:rsidP="005C2F02">
      <w:pPr>
        <w:rPr>
          <w:i/>
          <w:iCs/>
        </w:rPr>
      </w:pPr>
      <w:r w:rsidRPr="005C2F02">
        <w:rPr>
          <w:i/>
          <w:iCs/>
        </w:rPr>
        <w:lastRenderedPageBreak/>
        <w:t xml:space="preserve">Uuest kavandist nähtuvalt hõlmab Telia (kohaliku) juurdepääsu kohustus mitte ainult füüsilist vaid ka virtuaalset juurdepääsu. Täpsemalt peab Telia pakkuma ja võimaldama juurdepääsu mh oma  valguskaabli </w:t>
      </w:r>
      <w:r w:rsidRPr="005C2F02">
        <w:rPr>
          <w:i/>
          <w:iCs/>
          <w:u w:val="single"/>
        </w:rPr>
        <w:t>virtuaalselt</w:t>
      </w:r>
      <w:r w:rsidRPr="005C2F02">
        <w:rPr>
          <w:i/>
          <w:iCs/>
        </w:rPr>
        <w:t xml:space="preserve"> eraldatud kliendiliini vabale mahule ja seda lähtudes </w:t>
      </w:r>
      <w:proofErr w:type="spellStart"/>
      <w:r w:rsidRPr="005C2F02">
        <w:rPr>
          <w:i/>
          <w:iCs/>
        </w:rPr>
        <w:t>BEREC-i</w:t>
      </w:r>
      <w:proofErr w:type="spellEnd"/>
      <w:r w:rsidRPr="005C2F02">
        <w:rPr>
          <w:i/>
          <w:iCs/>
        </w:rPr>
        <w:t xml:space="preserve"> </w:t>
      </w:r>
      <w:proofErr w:type="spellStart"/>
      <w:r w:rsidRPr="005C2F02">
        <w:rPr>
          <w:i/>
          <w:iCs/>
        </w:rPr>
        <w:t>BoR</w:t>
      </w:r>
      <w:proofErr w:type="spellEnd"/>
      <w:r w:rsidRPr="005C2F02">
        <w:rPr>
          <w:i/>
          <w:iCs/>
        </w:rPr>
        <w:t xml:space="preserve"> (15) </w:t>
      </w:r>
    </w:p>
    <w:p w14:paraId="7F5080AC" w14:textId="77777777" w:rsidR="005C2F02" w:rsidRPr="005C2F02" w:rsidRDefault="005C2F02" w:rsidP="005C2F02">
      <w:pPr>
        <w:rPr>
          <w:i/>
          <w:iCs/>
        </w:rPr>
      </w:pPr>
      <w:r w:rsidRPr="005C2F02">
        <w:rPr>
          <w:i/>
          <w:iCs/>
        </w:rPr>
        <w:t xml:space="preserve">133 raportis kirjeldatud vastava toote üldistest omadustest. </w:t>
      </w:r>
    </w:p>
    <w:p w14:paraId="1C5316C3" w14:textId="16F56855" w:rsidR="005C2F02" w:rsidRPr="005C2F02" w:rsidRDefault="005C2F02" w:rsidP="005C2F02">
      <w:pPr>
        <w:rPr>
          <w:i/>
          <w:iCs/>
        </w:rPr>
      </w:pPr>
      <w:r w:rsidRPr="005C2F02">
        <w:rPr>
          <w:i/>
          <w:iCs/>
        </w:rPr>
        <w:t xml:space="preserve"> Virtuaalne </w:t>
      </w:r>
      <w:r w:rsidRPr="005C2F02">
        <w:rPr>
          <w:i/>
          <w:iCs/>
          <w:u w:val="single"/>
        </w:rPr>
        <w:t>kohalik</w:t>
      </w:r>
      <w:r w:rsidRPr="005C2F02">
        <w:rPr>
          <w:i/>
          <w:iCs/>
        </w:rPr>
        <w:t xml:space="preserve"> juurdepääs on igati tervitatav ja vajalik areng. Elisa on sellisest </w:t>
      </w:r>
      <w:proofErr w:type="spellStart"/>
      <w:r w:rsidRPr="005C2F02">
        <w:rPr>
          <w:i/>
          <w:iCs/>
        </w:rPr>
        <w:t>VULA-st</w:t>
      </w:r>
      <w:proofErr w:type="spellEnd"/>
      <w:r w:rsidRPr="005C2F02">
        <w:rPr>
          <w:i/>
          <w:iCs/>
        </w:rPr>
        <w:t xml:space="preserve"> (</w:t>
      </w:r>
      <w:proofErr w:type="spellStart"/>
      <w:r w:rsidRPr="005C2F02">
        <w:rPr>
          <w:i/>
          <w:iCs/>
        </w:rPr>
        <w:t>virtual</w:t>
      </w:r>
      <w:proofErr w:type="spellEnd"/>
      <w:r w:rsidRPr="005C2F02">
        <w:rPr>
          <w:i/>
          <w:iCs/>
        </w:rPr>
        <w:t xml:space="preserve"> </w:t>
      </w:r>
      <w:proofErr w:type="spellStart"/>
      <w:r w:rsidRPr="005C2F02">
        <w:rPr>
          <w:i/>
          <w:iCs/>
        </w:rPr>
        <w:t>unbundled</w:t>
      </w:r>
      <w:proofErr w:type="spellEnd"/>
      <w:r w:rsidRPr="005C2F02">
        <w:rPr>
          <w:i/>
          <w:iCs/>
        </w:rPr>
        <w:t xml:space="preserve"> </w:t>
      </w:r>
      <w:proofErr w:type="spellStart"/>
      <w:r w:rsidRPr="005C2F02">
        <w:rPr>
          <w:i/>
          <w:iCs/>
        </w:rPr>
        <w:t>local</w:t>
      </w:r>
      <w:proofErr w:type="spellEnd"/>
      <w:r w:rsidRPr="005C2F02">
        <w:rPr>
          <w:i/>
          <w:iCs/>
        </w:rPr>
        <w:t xml:space="preserve"> </w:t>
      </w:r>
      <w:proofErr w:type="spellStart"/>
      <w:r w:rsidRPr="005C2F02">
        <w:rPr>
          <w:i/>
          <w:iCs/>
        </w:rPr>
        <w:t>access</w:t>
      </w:r>
      <w:proofErr w:type="spellEnd"/>
      <w:r w:rsidRPr="005C2F02">
        <w:rPr>
          <w:i/>
          <w:iCs/>
        </w:rPr>
        <w:t>) ja selle pakutavatest võimalustest (sh vajalikest omadustest) rääkinud ja kirjutanud järjepidevalt alates 2019 a. aprillist</w:t>
      </w:r>
      <w:r w:rsidRPr="005C2F02">
        <w:rPr>
          <w:i/>
          <w:iCs/>
          <w:vertAlign w:val="superscript"/>
        </w:rPr>
        <w:t>12</w:t>
      </w:r>
      <w:r w:rsidRPr="005C2F02">
        <w:rPr>
          <w:i/>
          <w:iCs/>
        </w:rPr>
        <w:t xml:space="preserve"> ehk üle viie aasta. </w:t>
      </w:r>
    </w:p>
    <w:p w14:paraId="321508BE" w14:textId="5342B7BE" w:rsidR="005C2F02" w:rsidRPr="005C2F02" w:rsidRDefault="005C2F02" w:rsidP="005C2F02">
      <w:pPr>
        <w:rPr>
          <w:i/>
          <w:iCs/>
        </w:rPr>
      </w:pPr>
      <w:r w:rsidRPr="005C2F02">
        <w:rPr>
          <w:i/>
          <w:iCs/>
        </w:rPr>
        <w:t xml:space="preserve"> Juba toona ehk ajal, mil Telia </w:t>
      </w:r>
      <w:proofErr w:type="spellStart"/>
      <w:r w:rsidRPr="005C2F02">
        <w:rPr>
          <w:i/>
          <w:iCs/>
        </w:rPr>
        <w:t>vectoring</w:t>
      </w:r>
      <w:proofErr w:type="spellEnd"/>
      <w:r w:rsidRPr="005C2F02">
        <w:rPr>
          <w:i/>
          <w:iCs/>
        </w:rPr>
        <w:t xml:space="preserve"> oli aktiivselt ahendamas (kohaliku) juurdepääsu võimalusi ja kahjustamas konkurentsi mh ärikliendi interneti püsiühenduste jaeturul, rõhutasime võimalust ja vajadust sellise VULA järgi, mis oleks (a) </w:t>
      </w:r>
      <w:r w:rsidRPr="005C2F02">
        <w:rPr>
          <w:i/>
          <w:iCs/>
          <w:u w:val="single"/>
        </w:rPr>
        <w:t>kohaliku</w:t>
      </w:r>
      <w:r w:rsidRPr="005C2F02">
        <w:rPr>
          <w:i/>
          <w:iCs/>
        </w:rPr>
        <w:t xml:space="preserve"> (mitte keskse vms) üleandmispunktiga ehk lõppkasutajale võimalikult lähedal ja (b) sisult funktsionaalne ja majanduslik asendus füüsilisele juurdepääsule, sealhulgas (c) võimaldaks </w:t>
      </w:r>
      <w:r w:rsidRPr="005C2F02">
        <w:rPr>
          <w:i/>
          <w:iCs/>
          <w:u w:val="single"/>
        </w:rPr>
        <w:t>teenuse parameetrite</w:t>
      </w:r>
      <w:r w:rsidRPr="005C2F02">
        <w:rPr>
          <w:i/>
          <w:iCs/>
        </w:rPr>
        <w:t xml:space="preserve"> ja funktsionaalsuse </w:t>
      </w:r>
      <w:r w:rsidRPr="005C2F02">
        <w:rPr>
          <w:i/>
          <w:iCs/>
          <w:u w:val="single"/>
        </w:rPr>
        <w:t>seadistamist</w:t>
      </w:r>
      <w:r w:rsidRPr="005C2F02">
        <w:rPr>
          <w:i/>
          <w:iCs/>
        </w:rPr>
        <w:t xml:space="preserve"> ning sümmeetriliste ja asümmeetriliste teenuste osutamist kõikidel (st ANO enda valitud) kiirustel kuni kliendiliini tehnilise võimekuseni ning oleks ka (d) </w:t>
      </w:r>
      <w:r w:rsidRPr="005C2F02">
        <w:rPr>
          <w:i/>
          <w:iCs/>
          <w:u w:val="single"/>
        </w:rPr>
        <w:t>äriliselt elujõuline</w:t>
      </w:r>
      <w:r w:rsidRPr="005C2F02">
        <w:rPr>
          <w:i/>
          <w:iCs/>
        </w:rPr>
        <w:t>, st konkurentsivõimelise hinnaga.</w:t>
      </w:r>
      <w:r w:rsidRPr="005C2F02">
        <w:rPr>
          <w:i/>
          <w:iCs/>
          <w:vertAlign w:val="superscript"/>
        </w:rPr>
        <w:t>13</w:t>
      </w:r>
      <w:r w:rsidRPr="005C2F02">
        <w:rPr>
          <w:i/>
          <w:iCs/>
        </w:rPr>
        <w:t xml:space="preserve"> Samuti selgitasime, et Telia lairiba </w:t>
      </w:r>
      <w:proofErr w:type="spellStart"/>
      <w:r w:rsidRPr="005C2F02">
        <w:rPr>
          <w:i/>
          <w:iCs/>
        </w:rPr>
        <w:t>hulgijuurdepääs</w:t>
      </w:r>
      <w:proofErr w:type="spellEnd"/>
      <w:r w:rsidRPr="005C2F02">
        <w:rPr>
          <w:i/>
          <w:iCs/>
        </w:rPr>
        <w:t xml:space="preserve"> (lairibaressurss) ei ole see.</w:t>
      </w:r>
      <w:r w:rsidRPr="005C2F02">
        <w:rPr>
          <w:i/>
          <w:iCs/>
          <w:vertAlign w:val="superscript"/>
        </w:rPr>
        <w:t>14</w:t>
      </w:r>
      <w:r w:rsidRPr="005C2F02">
        <w:rPr>
          <w:i/>
          <w:iCs/>
        </w:rPr>
        <w:t xml:space="preserve"> </w:t>
      </w:r>
    </w:p>
    <w:p w14:paraId="6D26DDB0" w14:textId="26579162" w:rsidR="005C2F02" w:rsidRPr="005C2F02" w:rsidRDefault="005C2F02" w:rsidP="005C2F02">
      <w:pPr>
        <w:rPr>
          <w:i/>
          <w:iCs/>
        </w:rPr>
      </w:pPr>
      <w:r w:rsidRPr="005C2F02">
        <w:rPr>
          <w:i/>
          <w:iCs/>
        </w:rPr>
        <w:t xml:space="preserve"> Kuigi aeg on edasi läinud ning vasest juurdepääsu osakaal optika arvelt mõnevõrra vähenenud (mh seetõttu, et vasest juurdepääsuvõrk on Telia poolt monopoliseeritud ja teistele operaatoritele suletud), siis püsivõrgule </w:t>
      </w:r>
      <w:r w:rsidRPr="005C2F02">
        <w:rPr>
          <w:i/>
          <w:iCs/>
          <w:u w:val="single"/>
        </w:rPr>
        <w:t>virtuaalse kohaliku juurdepääsu</w:t>
      </w:r>
      <w:r w:rsidRPr="005C2F02">
        <w:rPr>
          <w:i/>
          <w:iCs/>
        </w:rPr>
        <w:t xml:space="preserve"> tähtsus ja võimalused – sh potentsiaal konkurentsiprobleemide leevendamiseks, jaeturu konkurentsi soodustamiseks ja lõppkasutajate valiku suurendamiseks – ei ole kuhugi kadunud. </w:t>
      </w:r>
    </w:p>
    <w:p w14:paraId="151C408E" w14:textId="0A1A4BE8" w:rsidR="005C2F02" w:rsidRPr="005C2F02" w:rsidRDefault="005C2F02" w:rsidP="005C2F02">
      <w:pPr>
        <w:rPr>
          <w:i/>
          <w:iCs/>
        </w:rPr>
      </w:pPr>
      <w:r w:rsidRPr="005C2F02">
        <w:rPr>
          <w:i/>
          <w:iCs/>
        </w:rPr>
        <w:t xml:space="preserve"> Virtuaalse </w:t>
      </w:r>
      <w:r w:rsidRPr="005C2F02">
        <w:rPr>
          <w:i/>
          <w:iCs/>
          <w:u w:val="single"/>
        </w:rPr>
        <w:t>kohaliku</w:t>
      </w:r>
      <w:r w:rsidRPr="005C2F02">
        <w:rPr>
          <w:i/>
          <w:iCs/>
        </w:rPr>
        <w:t xml:space="preserve"> juurdepääsu järgi on praktiline vajadus. Elisa hinnangul oleks sellel praktiline positiivne efekt ja mõju mh lõppkasutajate valikule ja jaeturu konkurentsile, eriti äriklientide osas. Seda nii piirkonnas B (kus Telia pakuks valguskaablile juurdepääsu nö põhikohustusena) kui ka piirkonnas A (kus Telia peaks pakkuma valguskaablile juurdepääsu nö alternatiivina olukorras, kus sidetorus vaba paigalduskohta ei ole ja ANO oma valguskaablit paigaldada ei saa) (vt p 5). Virtuaalse kohaliku juurdepääsu osas tuleb uut kavandit täiendada nii, et oleks tagatud järgnev: </w:t>
      </w:r>
    </w:p>
    <w:p w14:paraId="33FD199C" w14:textId="406DA5D4" w:rsidR="005C2F02" w:rsidRPr="005C2F02" w:rsidRDefault="005C2F02" w:rsidP="005C2F02">
      <w:pPr>
        <w:rPr>
          <w:i/>
          <w:iCs/>
        </w:rPr>
      </w:pPr>
      <w:r w:rsidRPr="005C2F02">
        <w:rPr>
          <w:i/>
          <w:iCs/>
        </w:rPr>
        <w:t xml:space="preserve"> </w:t>
      </w:r>
      <w:r w:rsidRPr="005C2F02">
        <w:rPr>
          <w:b/>
          <w:i/>
          <w:iCs/>
        </w:rPr>
        <w:t>Esiteks</w:t>
      </w:r>
      <w:r w:rsidRPr="005C2F02">
        <w:rPr>
          <w:i/>
          <w:iCs/>
        </w:rPr>
        <w:t>, virtuaalne juurdepääs Telia valguskaablile (VULA) peaks olema justnimelt kohalik elik juurdepääsu- või üleandmispunktiga (</w:t>
      </w:r>
      <w:proofErr w:type="spellStart"/>
      <w:r w:rsidRPr="005C2F02">
        <w:rPr>
          <w:i/>
          <w:iCs/>
        </w:rPr>
        <w:t>local</w:t>
      </w:r>
      <w:proofErr w:type="spellEnd"/>
      <w:r w:rsidRPr="005C2F02">
        <w:rPr>
          <w:i/>
          <w:iCs/>
        </w:rPr>
        <w:t xml:space="preserve"> </w:t>
      </w:r>
      <w:proofErr w:type="spellStart"/>
      <w:r w:rsidRPr="005C2F02">
        <w:rPr>
          <w:i/>
          <w:iCs/>
        </w:rPr>
        <w:t>point</w:t>
      </w:r>
      <w:proofErr w:type="spellEnd"/>
      <w:r w:rsidRPr="005C2F02">
        <w:rPr>
          <w:i/>
          <w:iCs/>
        </w:rPr>
        <w:t xml:space="preserve"> of </w:t>
      </w:r>
      <w:proofErr w:type="spellStart"/>
      <w:r w:rsidRPr="005C2F02">
        <w:rPr>
          <w:i/>
          <w:iCs/>
        </w:rPr>
        <w:t>handover</w:t>
      </w:r>
      <w:proofErr w:type="spellEnd"/>
      <w:r w:rsidRPr="005C2F02">
        <w:rPr>
          <w:i/>
          <w:iCs/>
        </w:rPr>
        <w:t xml:space="preserve">), mis on </w:t>
      </w:r>
      <w:r w:rsidRPr="005C2F02">
        <w:rPr>
          <w:i/>
          <w:iCs/>
          <w:u w:val="single"/>
        </w:rPr>
        <w:t>lõppkasutajale võimalikult</w:t>
      </w:r>
      <w:r w:rsidRPr="005C2F02">
        <w:rPr>
          <w:i/>
          <w:iCs/>
        </w:rPr>
        <w:t xml:space="preserve"> </w:t>
      </w:r>
      <w:r w:rsidRPr="005C2F02">
        <w:rPr>
          <w:i/>
          <w:iCs/>
          <w:u w:val="single"/>
        </w:rPr>
        <w:t>lähedal</w:t>
      </w:r>
      <w:r w:rsidRPr="005C2F02">
        <w:rPr>
          <w:i/>
          <w:iCs/>
        </w:rPr>
        <w:t xml:space="preserve">. Mõistame, et põhimõtteliselt on juurdepääsuvõrgus erinevaid – ja lõppkliendist erineva kaugusega – punkte, mis võivad olla erinevatel põhjustel ja kaalutlustel valikus, kuid regulatsiooni põhimõtteline lähtepunkt peab olema see, et see on lõppkliendile lähim ja ANO ei pea rentima (sh maksma) rohkem MTE võrku kui see on talle vajalik. See on ka tõhusa ja püsiva taristupõhise konkurentsini jõudmise seisukohalt loogiline. </w:t>
      </w:r>
    </w:p>
    <w:p w14:paraId="0FCC4493" w14:textId="77777777" w:rsidR="005C2F02" w:rsidRPr="005C2F02" w:rsidRDefault="005C2F02" w:rsidP="005C2F02">
      <w:pPr>
        <w:rPr>
          <w:i/>
          <w:iCs/>
        </w:rPr>
      </w:pPr>
      <w:r w:rsidRPr="005C2F02">
        <w:rPr>
          <w:i/>
          <w:iCs/>
        </w:rPr>
        <w:t xml:space="preserve"> </w:t>
      </w:r>
    </w:p>
    <w:p w14:paraId="2A6F7925" w14:textId="77777777" w:rsidR="005C2F02" w:rsidRPr="005C2F02" w:rsidRDefault="005C2F02" w:rsidP="005C2F02">
      <w:pPr>
        <w:rPr>
          <w:i/>
          <w:iCs/>
        </w:rPr>
      </w:pPr>
      <w:r w:rsidRPr="005C2F02">
        <w:rPr>
          <w:b/>
          <w:i/>
          <w:iCs/>
        </w:rPr>
        <w:t>Teiseks</w:t>
      </w:r>
      <w:r w:rsidRPr="005C2F02">
        <w:rPr>
          <w:i/>
          <w:iCs/>
        </w:rPr>
        <w:t xml:space="preserve">, VULA peab võimaldama </w:t>
      </w:r>
      <w:proofErr w:type="spellStart"/>
      <w:r w:rsidRPr="005C2F02">
        <w:rPr>
          <w:i/>
          <w:iCs/>
        </w:rPr>
        <w:t>ANO-l</w:t>
      </w:r>
      <w:proofErr w:type="spellEnd"/>
      <w:r w:rsidRPr="005C2F02">
        <w:rPr>
          <w:i/>
          <w:iCs/>
        </w:rPr>
        <w:t xml:space="preserve"> kliendiühenduse ehk ANO poolt VULA baasil pakutava jaeteenuse parameetrite ning funktsionaalsuse (ise) seadistamist, sh eelkõige sümmeetriliste ja asümmeetriliste teenuste osutamist kõikidel (ANO enda valitud) kiirustel kuni kliendiliini tehnilise võimekuse piirini. Teisisõnu, VULA peab eelkõige võimaldama kliendiühenduse kiirusprofiili kliendikohast seadistamist ja kliendile pakutavate </w:t>
      </w:r>
      <w:r w:rsidRPr="005C2F02">
        <w:rPr>
          <w:i/>
          <w:iCs/>
          <w:u w:val="single"/>
        </w:rPr>
        <w:t xml:space="preserve">kiiruste </w:t>
      </w:r>
      <w:r w:rsidRPr="005C2F02">
        <w:rPr>
          <w:i/>
          <w:iCs/>
          <w:u w:val="single"/>
        </w:rPr>
        <w:lastRenderedPageBreak/>
        <w:t>muutmist</w:t>
      </w:r>
      <w:r w:rsidRPr="005C2F02">
        <w:rPr>
          <w:i/>
          <w:iCs/>
        </w:rPr>
        <w:t xml:space="preserve"> ning seeläbi (ANO poolt) jaeteenuste diferentseerimist. Telia lairiba </w:t>
      </w:r>
      <w:proofErr w:type="spellStart"/>
      <w:r w:rsidRPr="005C2F02">
        <w:rPr>
          <w:i/>
          <w:iCs/>
        </w:rPr>
        <w:t>hulgijuurdepääs</w:t>
      </w:r>
      <w:proofErr w:type="spellEnd"/>
      <w:r w:rsidRPr="005C2F02">
        <w:rPr>
          <w:i/>
          <w:iCs/>
        </w:rPr>
        <w:t xml:space="preserve"> (st lairibaressurss) seda ei võimalda ning see on probleem ja takistus. </w:t>
      </w:r>
    </w:p>
    <w:p w14:paraId="0EBC638F" w14:textId="51ED84F9" w:rsidR="005C2F02" w:rsidRPr="005C2F02" w:rsidRDefault="005C2F02" w:rsidP="005C2F02">
      <w:pPr>
        <w:rPr>
          <w:i/>
          <w:iCs/>
        </w:rPr>
      </w:pPr>
      <w:r w:rsidRPr="005C2F02">
        <w:rPr>
          <w:i/>
          <w:iCs/>
        </w:rPr>
        <w:t xml:space="preserve"> </w:t>
      </w:r>
      <w:r w:rsidRPr="005C2F02">
        <w:rPr>
          <w:b/>
          <w:i/>
          <w:iCs/>
        </w:rPr>
        <w:t>Kolmandaks</w:t>
      </w:r>
      <w:r w:rsidRPr="005C2F02">
        <w:rPr>
          <w:i/>
          <w:iCs/>
        </w:rPr>
        <w:t xml:space="preserve">, VULA peab olema äriliselt elujõuline, sh eelduslikult oluliselt soodsam kui Telia lairiba </w:t>
      </w:r>
      <w:proofErr w:type="spellStart"/>
      <w:r w:rsidRPr="005C2F02">
        <w:rPr>
          <w:i/>
          <w:iCs/>
        </w:rPr>
        <w:t>hulgijuurdepääs</w:t>
      </w:r>
      <w:proofErr w:type="spellEnd"/>
      <w:r w:rsidRPr="005C2F02">
        <w:rPr>
          <w:i/>
          <w:iCs/>
        </w:rPr>
        <w:t xml:space="preserve">. Mh seetõttu, et kohaliku üleandmispunktiga VULA puhul ANO (erinevalt kesksest juurdepääsust) Telialt ülekandevõrgu osa ei rendi ja selle kasutamise eest ei maksa. </w:t>
      </w:r>
    </w:p>
    <w:p w14:paraId="6C4419C5" w14:textId="77777777" w:rsidR="005C2F02" w:rsidRPr="005C2F02" w:rsidRDefault="005C2F02" w:rsidP="005C2F02">
      <w:pPr>
        <w:rPr>
          <w:i/>
          <w:iCs/>
        </w:rPr>
      </w:pPr>
      <w:r w:rsidRPr="005C2F02">
        <w:rPr>
          <w:b/>
          <w:i/>
          <w:iCs/>
        </w:rPr>
        <w:t>Neljandaks</w:t>
      </w:r>
      <w:r w:rsidRPr="005C2F02">
        <w:rPr>
          <w:i/>
          <w:iCs/>
        </w:rPr>
        <w:t xml:space="preserve">, selleks, et VULA oleks lõppkasutajani jõudmisel reaalne alternatiiv ning operaatorite poolt päriselus kaalutav ja kasutatav juurdepääsuvõimalus, on vaja, et (a) VULA toode oleks välja töötatud, (b) selle tehnilised omadused ning tellimis- ja finantstingimused eelnevalt läbi mõeldud (ideaalis ka regulaatori ja teiste side-ettevõtjatega kooskõlastatud), kuid igal juhul teada ja paigas ning (c) see VULA toode seega põhimõtteliselt </w:t>
      </w:r>
      <w:r w:rsidRPr="005C2F02">
        <w:rPr>
          <w:i/>
          <w:iCs/>
          <w:u w:val="single"/>
        </w:rPr>
        <w:t>kasutamisvalmis</w:t>
      </w:r>
      <w:r w:rsidRPr="005C2F02">
        <w:rPr>
          <w:i/>
          <w:iCs/>
        </w:rPr>
        <w:t xml:space="preserve">. </w:t>
      </w:r>
    </w:p>
    <w:p w14:paraId="389AA57D" w14:textId="05A39449" w:rsidR="005C2F02" w:rsidRPr="005C2F02" w:rsidRDefault="005C2F02" w:rsidP="005C2F02">
      <w:pPr>
        <w:rPr>
          <w:i/>
          <w:iCs/>
        </w:rPr>
      </w:pPr>
      <w:r w:rsidRPr="005C2F02">
        <w:rPr>
          <w:i/>
          <w:iCs/>
        </w:rPr>
        <w:t xml:space="preserve"> Peab arvestama, et igapäevane turukonkurents toimub ikkagi kasutusvalmis toodete ja teenuste vahel, mitte paberile visandatud ja teoreetiliste võimaluste või arenduste baasil. </w:t>
      </w:r>
    </w:p>
    <w:p w14:paraId="5D2F3F54" w14:textId="048B02DE" w:rsidR="005C2F02" w:rsidRPr="005C2F02" w:rsidRDefault="005C2F02" w:rsidP="005C2F02">
      <w:pPr>
        <w:rPr>
          <w:i/>
          <w:iCs/>
        </w:rPr>
      </w:pPr>
      <w:r w:rsidRPr="005C2F02">
        <w:rPr>
          <w:i/>
          <w:iCs/>
        </w:rPr>
        <w:t xml:space="preserve"> Mõistame, et püsivõrgule virtuaalse juurdepääsu kehtestamisele järgneb vastavate toodete välja töötamise ning käivitamise ja testimise faas, st nõutav VULA toode ei teki nö päevapealt. Samuti tunnistame võimalust, et isegi peale VULA toote kui sellise välja töötamist ja edukat testimist võib selle nö </w:t>
      </w:r>
      <w:r w:rsidRPr="005C2F02">
        <w:rPr>
          <w:i/>
          <w:iCs/>
          <w:u w:val="single"/>
        </w:rPr>
        <w:t>aktiveerimine</w:t>
      </w:r>
      <w:r w:rsidRPr="005C2F02">
        <w:rPr>
          <w:i/>
          <w:iCs/>
        </w:rPr>
        <w:t xml:space="preserve"> igal konkreetsel juhul ja asukohas (st konkreetse tellimuse täitmisel) võtta mingi aja või sõltuda mingite praktiliste sammude astumisest (näiteks seadme(te) paigaldamisest või ühendamisest) või mingite tingimuste täitmisest peale tellimuse esitamist, st aktiveerimine ei pruugi praktilistel põhjustel käia lihtsalt „lülitist“. </w:t>
      </w:r>
    </w:p>
    <w:p w14:paraId="46687DAC" w14:textId="34CC94BE" w:rsidR="005C2F02" w:rsidRPr="005C2F02" w:rsidRDefault="005C2F02" w:rsidP="005C2F02">
      <w:pPr>
        <w:rPr>
          <w:i/>
          <w:iCs/>
        </w:rPr>
      </w:pPr>
      <w:r w:rsidRPr="005C2F02">
        <w:rPr>
          <w:i/>
          <w:iCs/>
        </w:rPr>
        <w:t xml:space="preserve"> Samuti, kui üleandmispunkte on sadu ning kulud on iga üleandmispunkti kohta (sellest sõltuvalt) väga suured, siis võib kaaluda prioriseerimist ja erinevate üleandmispunktide ajalist järjestamist ehk erinevates asukohtades VULA järk-järgult käivitamist vms. </w:t>
      </w:r>
    </w:p>
    <w:p w14:paraId="60EA2134" w14:textId="505BBC04" w:rsidR="005C2F02" w:rsidRPr="005C2F02" w:rsidRDefault="005C2F02" w:rsidP="005C2F02">
      <w:pPr>
        <w:rPr>
          <w:i/>
          <w:iCs/>
        </w:rPr>
      </w:pPr>
      <w:r w:rsidRPr="005C2F02">
        <w:rPr>
          <w:i/>
          <w:iCs/>
        </w:rPr>
        <w:t xml:space="preserve"> Kuid me ei näe, et VULA toote tingimuste välja töötamist ning selle testimist ja käivitamist saaks lükata edasi aega, mil mõni ANO selleks konkreetse tellimuse esitab. Sest ANO ei saa teha oma kliendile </w:t>
      </w:r>
      <w:proofErr w:type="spellStart"/>
      <w:r w:rsidRPr="005C2F02">
        <w:rPr>
          <w:i/>
          <w:iCs/>
        </w:rPr>
        <w:t>VULA-l</w:t>
      </w:r>
      <w:proofErr w:type="spellEnd"/>
      <w:r w:rsidRPr="005C2F02">
        <w:rPr>
          <w:i/>
          <w:iCs/>
        </w:rPr>
        <w:t xml:space="preserve"> põhinevate jaeteenuste kasutuselevõtuks pakkumustki, kuni ta ei ise ei tea mis tingimustel seda osutataks ning mida ANO ise selle toote parameetrite ja kasutusse võtmise aja osas kliendile üleüldse lubada saab. </w:t>
      </w:r>
    </w:p>
    <w:p w14:paraId="186158DC" w14:textId="455225D9" w:rsidR="005C2F02" w:rsidRPr="005C2F02" w:rsidRDefault="005C2F02" w:rsidP="005C2F02">
      <w:pPr>
        <w:rPr>
          <w:i/>
          <w:iCs/>
        </w:rPr>
      </w:pPr>
      <w:r w:rsidRPr="005C2F02">
        <w:rPr>
          <w:i/>
          <w:iCs/>
        </w:rPr>
        <w:t xml:space="preserve"> </w:t>
      </w:r>
      <w:r w:rsidRPr="005C2F02">
        <w:rPr>
          <w:b/>
          <w:i/>
          <w:iCs/>
        </w:rPr>
        <w:t>Viiendaks</w:t>
      </w:r>
      <w:r w:rsidRPr="005C2F02">
        <w:rPr>
          <w:i/>
          <w:iCs/>
        </w:rPr>
        <w:t xml:space="preserve">, uue kavandi punkt 7.3.5 alapunkt 2), mis kehtestab Telia valguskaablile mh virtuaalse juurdepääsu kohustuse, viitab VULA toote tingimuste osas </w:t>
      </w:r>
      <w:proofErr w:type="spellStart"/>
      <w:r w:rsidRPr="005C2F02">
        <w:rPr>
          <w:i/>
          <w:iCs/>
        </w:rPr>
        <w:t>BEREC-i</w:t>
      </w:r>
      <w:proofErr w:type="spellEnd"/>
      <w:r w:rsidRPr="005C2F02">
        <w:rPr>
          <w:i/>
          <w:iCs/>
        </w:rPr>
        <w:t xml:space="preserve"> dokumendile </w:t>
      </w:r>
      <w:proofErr w:type="spellStart"/>
      <w:r w:rsidRPr="005C2F02">
        <w:rPr>
          <w:i/>
          <w:iCs/>
        </w:rPr>
        <w:t>BoR</w:t>
      </w:r>
      <w:proofErr w:type="spellEnd"/>
      <w:r w:rsidRPr="005C2F02">
        <w:rPr>
          <w:i/>
          <w:iCs/>
        </w:rPr>
        <w:t xml:space="preserve"> (15) 133, st 2015 a. dateeritud raportile „</w:t>
      </w:r>
      <w:r w:rsidRPr="00C5129C">
        <w:rPr>
          <w:i/>
          <w:lang w:val="en-GB"/>
        </w:rPr>
        <w:t xml:space="preserve">BEREC </w:t>
      </w:r>
      <w:r w:rsidRPr="00C5129C">
        <w:rPr>
          <w:i/>
          <w:u w:val="single"/>
          <w:lang w:val="en-GB"/>
        </w:rPr>
        <w:t>Report</w:t>
      </w:r>
      <w:r w:rsidRPr="00C5129C">
        <w:rPr>
          <w:i/>
          <w:lang w:val="en-GB"/>
        </w:rPr>
        <w:t xml:space="preserve"> on Common Characteristics of Layer 2 Wholesale Access Products in the European Union</w:t>
      </w:r>
      <w:r w:rsidRPr="005C2F02">
        <w:rPr>
          <w:i/>
          <w:iCs/>
        </w:rPr>
        <w:t>“</w:t>
      </w:r>
      <w:r w:rsidRPr="005C2F02">
        <w:rPr>
          <w:i/>
          <w:iCs/>
          <w:vertAlign w:val="superscript"/>
        </w:rPr>
        <w:t>15</w:t>
      </w:r>
      <w:r w:rsidRPr="005C2F02">
        <w:rPr>
          <w:i/>
          <w:iCs/>
        </w:rPr>
        <w:t xml:space="preserve">. Palume kontrollida ning selgitada seda viidet (valikut) olukorras, kus BEREC on samas küsimuses koostanud ka regulaatorite nn </w:t>
      </w:r>
      <w:proofErr w:type="spellStart"/>
      <w:r w:rsidRPr="005C2F02">
        <w:rPr>
          <w:i/>
          <w:iCs/>
        </w:rPr>
        <w:t>ühispositsiooni</w:t>
      </w:r>
      <w:proofErr w:type="spellEnd"/>
      <w:r w:rsidRPr="005C2F02">
        <w:rPr>
          <w:i/>
          <w:iCs/>
        </w:rPr>
        <w:t xml:space="preserve">, mis on ajaliselt hilisem ning konkreetsem: „BEREC </w:t>
      </w:r>
      <w:proofErr w:type="spellStart"/>
      <w:r w:rsidRPr="005C2F02">
        <w:rPr>
          <w:i/>
          <w:iCs/>
          <w:u w:val="single"/>
        </w:rPr>
        <w:t>Common</w:t>
      </w:r>
      <w:proofErr w:type="spellEnd"/>
      <w:r w:rsidRPr="005C2F02">
        <w:rPr>
          <w:i/>
          <w:iCs/>
          <w:u w:val="single"/>
        </w:rPr>
        <w:t xml:space="preserve"> </w:t>
      </w:r>
      <w:proofErr w:type="spellStart"/>
      <w:r w:rsidRPr="005C2F02">
        <w:rPr>
          <w:i/>
          <w:iCs/>
          <w:u w:val="single"/>
        </w:rPr>
        <w:t>Position</w:t>
      </w:r>
      <w:proofErr w:type="spellEnd"/>
      <w:r w:rsidRPr="005C2F02">
        <w:rPr>
          <w:i/>
          <w:iCs/>
        </w:rPr>
        <w:t xml:space="preserve"> on </w:t>
      </w:r>
      <w:proofErr w:type="spellStart"/>
      <w:r w:rsidRPr="005C2F02">
        <w:rPr>
          <w:i/>
          <w:iCs/>
        </w:rPr>
        <w:t>Layer</w:t>
      </w:r>
      <w:proofErr w:type="spellEnd"/>
      <w:r w:rsidRPr="005C2F02">
        <w:rPr>
          <w:i/>
          <w:iCs/>
        </w:rPr>
        <w:t xml:space="preserve"> 2 </w:t>
      </w:r>
      <w:proofErr w:type="spellStart"/>
      <w:r w:rsidRPr="005C2F02">
        <w:rPr>
          <w:i/>
          <w:iCs/>
        </w:rPr>
        <w:t>Wholesale</w:t>
      </w:r>
      <w:proofErr w:type="spellEnd"/>
      <w:r w:rsidRPr="005C2F02">
        <w:rPr>
          <w:i/>
          <w:iCs/>
        </w:rPr>
        <w:t xml:space="preserve"> Access Products.“</w:t>
      </w:r>
      <w:r w:rsidRPr="005C2F02">
        <w:rPr>
          <w:i/>
          <w:iCs/>
          <w:vertAlign w:val="superscript"/>
        </w:rPr>
        <w:t>16</w:t>
      </w:r>
      <w:r w:rsidRPr="005C2F02">
        <w:rPr>
          <w:i/>
          <w:iCs/>
        </w:rPr>
        <w:t xml:space="preserve"> See dokument (</w:t>
      </w:r>
      <w:proofErr w:type="spellStart"/>
      <w:r w:rsidRPr="005C2F02">
        <w:rPr>
          <w:i/>
          <w:iCs/>
        </w:rPr>
        <w:t>ühispositsioon</w:t>
      </w:r>
      <w:proofErr w:type="spellEnd"/>
      <w:r w:rsidRPr="005C2F02">
        <w:rPr>
          <w:i/>
          <w:iCs/>
        </w:rPr>
        <w:t xml:space="preserve">) selgitab, et: </w:t>
      </w:r>
    </w:p>
    <w:p w14:paraId="6E8C39EE" w14:textId="45D61244" w:rsidR="005C2F02" w:rsidRPr="00C5129C" w:rsidRDefault="005C2F02" w:rsidP="005C2F02">
      <w:pPr>
        <w:rPr>
          <w:i/>
          <w:lang w:val="en-GB"/>
        </w:rPr>
      </w:pPr>
      <w:r w:rsidRPr="00B97167">
        <w:rPr>
          <w:i/>
        </w:rPr>
        <w:t xml:space="preserve"> </w:t>
      </w:r>
      <w:r w:rsidRPr="00C5129C">
        <w:rPr>
          <w:i/>
          <w:lang w:val="en-GB"/>
        </w:rPr>
        <w:t>„[s]</w:t>
      </w:r>
      <w:proofErr w:type="spellStart"/>
      <w:r w:rsidRPr="00C5129C">
        <w:rPr>
          <w:i/>
          <w:lang w:val="en-GB"/>
        </w:rPr>
        <w:t>everal</w:t>
      </w:r>
      <w:proofErr w:type="spellEnd"/>
      <w:r w:rsidRPr="00C5129C">
        <w:rPr>
          <w:i/>
          <w:lang w:val="en-GB"/>
        </w:rPr>
        <w:t xml:space="preserve"> incumbent operators rolled out NGA networks </w:t>
      </w:r>
      <w:proofErr w:type="gramStart"/>
      <w:r w:rsidRPr="00C5129C">
        <w:rPr>
          <w:i/>
          <w:lang w:val="en-GB"/>
        </w:rPr>
        <w:t>in order to</w:t>
      </w:r>
      <w:proofErr w:type="gramEnd"/>
      <w:r w:rsidRPr="00C5129C">
        <w:rPr>
          <w:i/>
          <w:lang w:val="en-GB"/>
        </w:rPr>
        <w:t xml:space="preserve"> provide higher bandwidths to end users. This leads to situations in which access to physical infrastructure was not considered sufficient to ensure effective competition at the retail level. Therefore, several NRAs have imposed access to (active) Layer 2 (Ethernet) wholesale access products </w:t>
      </w:r>
      <w:r w:rsidRPr="00C5129C">
        <w:rPr>
          <w:i/>
          <w:lang w:val="en-GB"/>
        </w:rPr>
        <w:lastRenderedPageBreak/>
        <w:t xml:space="preserve">(L2 WAP) as a remedy on the wholesale local access market (m4) and/or the wholesale broadband access market (m5). In some cases, L2 WAP on wholesale broadband access market were already imposed before NGA rollout started. To get a deeper insight into these products and to foster the exchange of experiences and contribute to the harmonisation of regulatory instruments used in the EU, </w:t>
      </w:r>
      <w:r w:rsidRPr="00C5129C">
        <w:rPr>
          <w:i/>
          <w:u w:val="single"/>
          <w:lang w:val="en-GB"/>
        </w:rPr>
        <w:t>BEREC has already analysed</w:t>
      </w:r>
      <w:r w:rsidRPr="00C5129C">
        <w:rPr>
          <w:i/>
          <w:lang w:val="en-GB"/>
        </w:rPr>
        <w:t xml:space="preserve"> L2 WAP in the past years and published the BEREC Report “Common characteristics of L2 WAP in the EU”. </w:t>
      </w:r>
    </w:p>
    <w:p w14:paraId="09C5C1FB" w14:textId="4B4618AD" w:rsidR="005C2F02" w:rsidRPr="00C5129C" w:rsidRDefault="005C2F02" w:rsidP="005C2F02">
      <w:pPr>
        <w:rPr>
          <w:i/>
          <w:lang w:val="en-GB"/>
        </w:rPr>
      </w:pPr>
      <w:r w:rsidRPr="00C5129C">
        <w:rPr>
          <w:i/>
          <w:lang w:val="en-GB"/>
        </w:rPr>
        <w:t xml:space="preserve"> In this document </w:t>
      </w:r>
      <w:r w:rsidRPr="00C5129C">
        <w:rPr>
          <w:i/>
          <w:u w:val="single"/>
          <w:lang w:val="en-GB"/>
        </w:rPr>
        <w:t>BEREC goes one step further</w:t>
      </w:r>
      <w:r w:rsidRPr="00C5129C">
        <w:rPr>
          <w:i/>
          <w:lang w:val="en-GB"/>
        </w:rPr>
        <w:t xml:space="preserve"> and defines Common Positions for L2 WAP imposed on the wholesale local access market (m3a) and L2 WAP imposed on the wholesale central access market (m3b). </w:t>
      </w:r>
      <w:r w:rsidRPr="00C5129C">
        <w:rPr>
          <w:i/>
          <w:u w:val="single"/>
          <w:lang w:val="en-GB"/>
        </w:rPr>
        <w:t>Common Positions</w:t>
      </w:r>
      <w:r w:rsidRPr="00C5129C">
        <w:rPr>
          <w:i/>
          <w:lang w:val="en-GB"/>
        </w:rPr>
        <w:t xml:space="preserve"> are defined for conditions for the imposition of L2 WAP, </w:t>
      </w:r>
      <w:r w:rsidRPr="00C5129C">
        <w:rPr>
          <w:i/>
          <w:u w:val="single"/>
          <w:lang w:val="en-GB"/>
        </w:rPr>
        <w:t>prices</w:t>
      </w:r>
      <w:r w:rsidRPr="00C5129C">
        <w:rPr>
          <w:i/>
          <w:lang w:val="en-GB"/>
        </w:rPr>
        <w:t xml:space="preserve"> and </w:t>
      </w:r>
      <w:r w:rsidRPr="00C5129C">
        <w:rPr>
          <w:i/>
          <w:u w:val="single"/>
          <w:lang w:val="en-GB"/>
        </w:rPr>
        <w:t>technical characteristics</w:t>
      </w:r>
      <w:r w:rsidRPr="00C5129C">
        <w:rPr>
          <w:i/>
          <w:lang w:val="en-GB"/>
        </w:rPr>
        <w:t>, contributing to the regulatory objective of enabling ANOs to provide a variety of competitive services for residential and business customers (incl. voice, internet, IPTV, data</w:t>
      </w:r>
      <w:proofErr w:type="gramStart"/>
      <w:r w:rsidRPr="00C5129C">
        <w:rPr>
          <w:i/>
          <w:lang w:val="en-GB"/>
        </w:rPr>
        <w:t>).“</w:t>
      </w:r>
      <w:proofErr w:type="gramEnd"/>
      <w:r w:rsidRPr="00C5129C">
        <w:rPr>
          <w:i/>
          <w:lang w:val="en-GB"/>
        </w:rPr>
        <w:t xml:space="preserve"> </w:t>
      </w:r>
    </w:p>
    <w:p w14:paraId="1E9EA31D" w14:textId="1381E263" w:rsidR="005C2F02" w:rsidRPr="005C2F02" w:rsidRDefault="005C2F02" w:rsidP="005C2F02">
      <w:pPr>
        <w:rPr>
          <w:i/>
          <w:iCs/>
        </w:rPr>
      </w:pPr>
      <w:r w:rsidRPr="005C2F02">
        <w:rPr>
          <w:i/>
          <w:iCs/>
        </w:rPr>
        <w:t xml:space="preserve"> Seega loogilist võtteks tuleks viidata pigem </w:t>
      </w:r>
      <w:proofErr w:type="spellStart"/>
      <w:r w:rsidRPr="005C2F02">
        <w:rPr>
          <w:i/>
          <w:iCs/>
        </w:rPr>
        <w:t>BEREC-i</w:t>
      </w:r>
      <w:proofErr w:type="spellEnd"/>
      <w:r w:rsidRPr="005C2F02">
        <w:rPr>
          <w:i/>
          <w:iCs/>
        </w:rPr>
        <w:t xml:space="preserve"> </w:t>
      </w:r>
      <w:proofErr w:type="spellStart"/>
      <w:r w:rsidRPr="005C2F02">
        <w:rPr>
          <w:i/>
          <w:iCs/>
        </w:rPr>
        <w:t>ühispositsioonile</w:t>
      </w:r>
      <w:proofErr w:type="spellEnd"/>
      <w:r w:rsidRPr="005C2F02">
        <w:rPr>
          <w:i/>
          <w:iCs/>
        </w:rPr>
        <w:t xml:space="preserve"> või sellele ja raportile, aga mitte ainult </w:t>
      </w:r>
      <w:proofErr w:type="spellStart"/>
      <w:r w:rsidRPr="005C2F02">
        <w:rPr>
          <w:i/>
          <w:iCs/>
        </w:rPr>
        <w:t>BEREC-i</w:t>
      </w:r>
      <w:proofErr w:type="spellEnd"/>
      <w:r w:rsidRPr="005C2F02">
        <w:rPr>
          <w:i/>
          <w:iCs/>
        </w:rPr>
        <w:t xml:space="preserve"> raportile. Kuna viide on MTE kohustuse osas, siis see on oluline. </w:t>
      </w:r>
    </w:p>
    <w:p w14:paraId="71BBE193" w14:textId="77777777" w:rsidR="00A500BC" w:rsidRDefault="00A500BC" w:rsidP="00A500BC"/>
    <w:p w14:paraId="006ECDFC" w14:textId="056F0D34" w:rsidR="00C56E72" w:rsidRDefault="00C56E72" w:rsidP="00C56E72">
      <w:pPr>
        <w:pStyle w:val="Pealkiri2"/>
      </w:pPr>
      <w:bookmarkStart w:id="40" w:name="_Toc182488048"/>
      <w:r>
        <w:t>Telia</w:t>
      </w:r>
      <w:bookmarkEnd w:id="40"/>
    </w:p>
    <w:p w14:paraId="112B6A71" w14:textId="77777777" w:rsidR="00C56E72" w:rsidRDefault="00C56E72" w:rsidP="00A500BC"/>
    <w:p w14:paraId="7A2B1434" w14:textId="77777777" w:rsidR="00C56E72" w:rsidRPr="00C56E72" w:rsidRDefault="00C56E72" w:rsidP="00C56E72">
      <w:pPr>
        <w:rPr>
          <w:bCs/>
        </w:rPr>
      </w:pPr>
      <w:r w:rsidRPr="00C56E72">
        <w:rPr>
          <w:bCs/>
        </w:rPr>
        <w:t>Telia kirjutas oma 30.09.2024 kirjas nr EC.1-5.3/942-3 järgmist:</w:t>
      </w:r>
    </w:p>
    <w:p w14:paraId="09CFF587" w14:textId="77777777" w:rsidR="00AA3D92" w:rsidRPr="00AA3D92" w:rsidRDefault="00AA3D92" w:rsidP="00AA3D92">
      <w:pPr>
        <w:rPr>
          <w:i/>
          <w:iCs/>
        </w:rPr>
      </w:pPr>
      <w:r w:rsidRPr="00AA3D92">
        <w:rPr>
          <w:i/>
          <w:iCs/>
        </w:rPr>
        <w:t>2.1.</w:t>
      </w:r>
      <w:r w:rsidRPr="00AA3D92">
        <w:rPr>
          <w:i/>
          <w:iCs/>
        </w:rPr>
        <w:tab/>
        <w:t xml:space="preserve">Virtuaalselt eraldatud kliendiliinile juurdepääs (VULA) </w:t>
      </w:r>
    </w:p>
    <w:p w14:paraId="6114EF03" w14:textId="5A4E4670" w:rsidR="00C56E72" w:rsidRPr="00AA3D92" w:rsidRDefault="00AA3D92" w:rsidP="00AA3D92">
      <w:pPr>
        <w:rPr>
          <w:i/>
          <w:iCs/>
        </w:rPr>
      </w:pPr>
      <w:r w:rsidRPr="00AA3D92">
        <w:rPr>
          <w:i/>
          <w:iCs/>
        </w:rPr>
        <w:t xml:space="preserve"> Turuotsuse kavandi lisaks 1 oleva analüüsidokumendi p 7.3.5 kohaselt kavandab TTJA Teliale täiendavat juurdepääsukohustust. Selleks uueks kohustuseks on juurdepääs virtuaalselt eraldatud kliendiliinile (Virtual </w:t>
      </w:r>
      <w:proofErr w:type="spellStart"/>
      <w:r w:rsidRPr="00AA3D92">
        <w:rPr>
          <w:i/>
          <w:iCs/>
        </w:rPr>
        <w:t>Unbundled</w:t>
      </w:r>
      <w:proofErr w:type="spellEnd"/>
      <w:r w:rsidRPr="00AA3D92">
        <w:rPr>
          <w:i/>
          <w:iCs/>
        </w:rPr>
        <w:t xml:space="preserve"> </w:t>
      </w:r>
      <w:proofErr w:type="spellStart"/>
      <w:r w:rsidRPr="00AA3D92">
        <w:rPr>
          <w:i/>
          <w:iCs/>
        </w:rPr>
        <w:t>Local</w:t>
      </w:r>
      <w:proofErr w:type="spellEnd"/>
      <w:r w:rsidRPr="00AA3D92">
        <w:rPr>
          <w:i/>
          <w:iCs/>
        </w:rPr>
        <w:t xml:space="preserve"> Access  ehk VULA).  Telia ei näe Eesti turul tegelikku vajadust ega nõudlust selle järele. Seetõttu oleme seisukohal, et Telia kohustamine taolise teenuse väljaarendamiseks ja kättesaadavaks tegemiseks on ebaproportsionaalne kohustus ja meede ega ole põhjendatud toote väljaarendamine, mille järele puudub praktiline vajadus.     </w:t>
      </w:r>
    </w:p>
    <w:p w14:paraId="4F1B9562" w14:textId="77777777" w:rsidR="00E253D6" w:rsidRDefault="00E253D6" w:rsidP="00A500BC"/>
    <w:p w14:paraId="69746502" w14:textId="77777777" w:rsidR="00C56E72" w:rsidRDefault="00C56E72" w:rsidP="00A500BC"/>
    <w:p w14:paraId="2C295B96" w14:textId="541FEFF9" w:rsidR="00DB0013" w:rsidRPr="00A371F4" w:rsidRDefault="00A371F4" w:rsidP="00702243">
      <w:pPr>
        <w:pStyle w:val="Pealkiri2"/>
      </w:pPr>
      <w:bookmarkStart w:id="41" w:name="_Toc182488049"/>
      <w:r w:rsidRPr="00A371F4">
        <w:t>TTJA</w:t>
      </w:r>
      <w:bookmarkEnd w:id="41"/>
    </w:p>
    <w:p w14:paraId="1F3F6142" w14:textId="77777777" w:rsidR="00702243" w:rsidRDefault="00702243" w:rsidP="00A500BC">
      <w:pPr>
        <w:rPr>
          <w:b/>
          <w:bCs/>
        </w:rPr>
      </w:pPr>
    </w:p>
    <w:p w14:paraId="5FAE82CE" w14:textId="449B9211" w:rsidR="00A371F4" w:rsidRPr="00702243" w:rsidRDefault="00A11C14" w:rsidP="00E06B93">
      <w:pPr>
        <w:pStyle w:val="Pealkiri3"/>
      </w:pPr>
      <w:bookmarkStart w:id="42" w:name="_Toc182488050"/>
      <w:r w:rsidRPr="00702243">
        <w:t>Juurdepääsupunkt virtuaalselt eraldatud kliendiliinile juurdepääsul</w:t>
      </w:r>
      <w:bookmarkEnd w:id="42"/>
    </w:p>
    <w:p w14:paraId="6569C1B2" w14:textId="77777777" w:rsidR="00702243" w:rsidRPr="00702243" w:rsidRDefault="00702243" w:rsidP="00702243"/>
    <w:p w14:paraId="083DDA71" w14:textId="4E5C8810" w:rsidR="00A500BC" w:rsidRDefault="00FF311F" w:rsidP="00A500BC">
      <w:r>
        <w:t>Üldjuhul, mida lähema</w:t>
      </w:r>
      <w:r w:rsidR="001E0C47">
        <w:t>l</w:t>
      </w:r>
      <w:r>
        <w:t xml:space="preserve"> sidevõrgu lõpp-punktile asub </w:t>
      </w:r>
      <w:r w:rsidR="00887741">
        <w:t xml:space="preserve">sidevõrgule juurdepääsu </w:t>
      </w:r>
      <w:r>
        <w:t>j</w:t>
      </w:r>
      <w:r w:rsidR="00E424BC">
        <w:t>uurdepääsupunkt</w:t>
      </w:r>
      <w:r w:rsidR="00887741">
        <w:t>, seda suuremad on sellise punkti</w:t>
      </w:r>
      <w:r w:rsidR="008A5DF1">
        <w:t xml:space="preserve">ni oma sidevõrgu rajamise kulud </w:t>
      </w:r>
      <w:r w:rsidR="00887741">
        <w:t>juurdepääsu taotle</w:t>
      </w:r>
      <w:r w:rsidR="002A74E9">
        <w:t>jale</w:t>
      </w:r>
      <w:r w:rsidR="0069099D">
        <w:t xml:space="preserve">, kuna </w:t>
      </w:r>
      <w:r w:rsidR="002A74E9">
        <w:t>tema</w:t>
      </w:r>
      <w:r w:rsidR="0069099D">
        <w:t xml:space="preserve"> </w:t>
      </w:r>
      <w:r w:rsidR="001E0C47">
        <w:t xml:space="preserve">loodava ja hallatava </w:t>
      </w:r>
      <w:r w:rsidR="0069099D">
        <w:t>sidevõrgu ulatus suureneb.</w:t>
      </w:r>
      <w:r w:rsidR="001C7C27">
        <w:t xml:space="preserve"> Samuti on üldjuhul</w:t>
      </w:r>
      <w:r w:rsidR="0069099D">
        <w:t xml:space="preserve"> </w:t>
      </w:r>
      <w:r w:rsidR="001C7C27">
        <w:t>j</w:t>
      </w:r>
      <w:r w:rsidR="005C0CD8">
        <w:t xml:space="preserve">uurdepääsupunkti </w:t>
      </w:r>
      <w:r w:rsidR="001C7C27">
        <w:t xml:space="preserve">loomise ja haldamised </w:t>
      </w:r>
      <w:r w:rsidR="005C0CD8">
        <w:t xml:space="preserve">kulud </w:t>
      </w:r>
      <w:r w:rsidR="00D81BF1">
        <w:t>v</w:t>
      </w:r>
      <w:r w:rsidR="000937FE">
        <w:t xml:space="preserve">irtuaalselt eraldatud </w:t>
      </w:r>
      <w:r w:rsidR="00E93E70">
        <w:t xml:space="preserve">kliendiliinile </w:t>
      </w:r>
      <w:r w:rsidR="000937FE">
        <w:t>juurdepääsu</w:t>
      </w:r>
      <w:r w:rsidR="00D83F15">
        <w:t xml:space="preserve"> (VEKJ)</w:t>
      </w:r>
      <w:r w:rsidR="001C7C27">
        <w:t xml:space="preserve"> korral kõrgemad kui </w:t>
      </w:r>
      <w:r w:rsidR="00D81BF1">
        <w:t xml:space="preserve">füüsiliselt eraldatud </w:t>
      </w:r>
      <w:r w:rsidR="0098513D">
        <w:t xml:space="preserve">kliendiliinile </w:t>
      </w:r>
      <w:r w:rsidR="00D81BF1">
        <w:t>juurdepääsu</w:t>
      </w:r>
      <w:r w:rsidR="0098513D">
        <w:t xml:space="preserve"> </w:t>
      </w:r>
      <w:r w:rsidR="00D83F15">
        <w:t xml:space="preserve">(FEKJ) </w:t>
      </w:r>
      <w:r w:rsidR="0098513D">
        <w:t xml:space="preserve">korral, kuna </w:t>
      </w:r>
      <w:r w:rsidR="00D83F15">
        <w:t>VEKJ</w:t>
      </w:r>
      <w:r w:rsidR="0014410B">
        <w:t xml:space="preserve"> </w:t>
      </w:r>
      <w:r w:rsidR="0098513D">
        <w:t xml:space="preserve">juurdepääspunkti tuleb paigaldada aktiivseadmed, mis suunavad </w:t>
      </w:r>
      <w:r w:rsidR="00F016FC">
        <w:t xml:space="preserve">signaale </w:t>
      </w:r>
      <w:r w:rsidR="00F7437C">
        <w:t>virtuaalselt eraldatud kliendiliinilt juurdepääsu taotleja sidevõrk</w:t>
      </w:r>
      <w:r w:rsidR="00F51A94">
        <w:t xml:space="preserve">u. Samas </w:t>
      </w:r>
      <w:r w:rsidR="009B47DD">
        <w:t>FEKJ</w:t>
      </w:r>
      <w:r w:rsidR="00F51A94">
        <w:t xml:space="preserve"> </w:t>
      </w:r>
      <w:r w:rsidR="00F51A94">
        <w:lastRenderedPageBreak/>
        <w:t>juurdepääsupunkti</w:t>
      </w:r>
      <w:r w:rsidR="005F6165">
        <w:t xml:space="preserve">s </w:t>
      </w:r>
      <w:r w:rsidR="003F2920">
        <w:t xml:space="preserve">toimub </w:t>
      </w:r>
      <w:r w:rsidR="00F016FC">
        <w:t>ainult</w:t>
      </w:r>
      <w:r w:rsidR="003F2920">
        <w:t xml:space="preserve"> kaablite füüsiline ühendamine ja </w:t>
      </w:r>
      <w:r w:rsidR="000C711B">
        <w:t xml:space="preserve">aktiivseadmeid paigaldada ei ole vaja. </w:t>
      </w:r>
    </w:p>
    <w:p w14:paraId="23EEAB28" w14:textId="4BB77218" w:rsidR="00A500BC" w:rsidRDefault="00B20478" w:rsidP="00A500BC">
      <w:r>
        <w:t>Arvestades, et käesoleva otsuse koostami</w:t>
      </w:r>
      <w:r w:rsidR="00286C31">
        <w:t>se ajani</w:t>
      </w:r>
      <w:r>
        <w:t xml:space="preserve"> on </w:t>
      </w:r>
      <w:r w:rsidR="000F0C9C">
        <w:t xml:space="preserve">olnud </w:t>
      </w:r>
      <w:r w:rsidR="002D0959">
        <w:t>teis</w:t>
      </w:r>
      <w:r w:rsidR="001230AE">
        <w:t>t</w:t>
      </w:r>
      <w:r w:rsidR="002D0959">
        <w:t>e sideettevõtja</w:t>
      </w:r>
      <w:r w:rsidR="00484C44">
        <w:t>te huvi</w:t>
      </w:r>
      <w:r w:rsidR="002D0959">
        <w:t xml:space="preserve"> Telia </w:t>
      </w:r>
      <w:r w:rsidR="00746628">
        <w:t>osutatava</w:t>
      </w:r>
      <w:r w:rsidR="00947CFE">
        <w:t xml:space="preserve"> </w:t>
      </w:r>
      <w:r w:rsidR="00746628">
        <w:t xml:space="preserve">FEKJ </w:t>
      </w:r>
      <w:r w:rsidR="008525BE">
        <w:t xml:space="preserve">(vt toodet Telia veebilehel </w:t>
      </w:r>
      <w:hyperlink r:id="rId10" w:history="1">
        <w:r w:rsidR="008525BE" w:rsidRPr="00D80154">
          <w:rPr>
            <w:rStyle w:val="Hperlink"/>
          </w:rPr>
          <w:t>https://www.telia.ee/partnerile/sideettevotjale/vorguressursi-rent</w:t>
        </w:r>
      </w:hyperlink>
      <w:r w:rsidR="008525BE">
        <w:t xml:space="preserve">) </w:t>
      </w:r>
      <w:r w:rsidR="002D0959">
        <w:t xml:space="preserve"> </w:t>
      </w:r>
      <w:r w:rsidR="001230AE">
        <w:t xml:space="preserve">kasutamise vastu väga madal </w:t>
      </w:r>
      <w:r w:rsidR="008525BE">
        <w:t>kliendiliine on välja renditud</w:t>
      </w:r>
      <w:r w:rsidR="002D0959">
        <w:t xml:space="preserve"> väga vähesel määral</w:t>
      </w:r>
      <w:r w:rsidR="001230AE">
        <w:t>)</w:t>
      </w:r>
      <w:r w:rsidR="00A25735">
        <w:t xml:space="preserve"> ja </w:t>
      </w:r>
      <w:r w:rsidR="00EA6E5B">
        <w:t>VEKJ</w:t>
      </w:r>
      <w:r w:rsidR="00420489">
        <w:t xml:space="preserve"> juurdepääsupunkti </w:t>
      </w:r>
      <w:r w:rsidR="001230AE">
        <w:t>loomise</w:t>
      </w:r>
      <w:r w:rsidR="00DE298E">
        <w:t>/</w:t>
      </w:r>
      <w:r w:rsidR="001230AE">
        <w:t xml:space="preserve">haldamise </w:t>
      </w:r>
      <w:r w:rsidR="00420489">
        <w:t>suuremaid kulusid</w:t>
      </w:r>
      <w:r w:rsidR="003D4BF7">
        <w:t xml:space="preserve"> (aktiivseademete paigaldamine)</w:t>
      </w:r>
      <w:r w:rsidR="001230AE">
        <w:t xml:space="preserve"> võrreldes </w:t>
      </w:r>
      <w:r w:rsidR="00EA6E5B">
        <w:t>FEKJ</w:t>
      </w:r>
      <w:r w:rsidR="00DE298E">
        <w:t xml:space="preserve"> juurdepääsupunktiga</w:t>
      </w:r>
      <w:r w:rsidR="001A6C28">
        <w:t>, Telia sidevõrgu suurt ulatust (</w:t>
      </w:r>
      <w:r w:rsidR="00B409E0">
        <w:t xml:space="preserve">seeläbi ka </w:t>
      </w:r>
      <w:r w:rsidR="00EA6E5B">
        <w:t xml:space="preserve">võimalike VEKJ juurdepääsupunktide </w:t>
      </w:r>
      <w:r w:rsidR="001A6C28">
        <w:t>suurt arvu)</w:t>
      </w:r>
      <w:r w:rsidR="00DE298E">
        <w:t xml:space="preserve"> </w:t>
      </w:r>
      <w:r w:rsidR="00DE3702">
        <w:t>ei ole mõistlik</w:t>
      </w:r>
      <w:r w:rsidR="003D4BF7">
        <w:t xml:space="preserve"> ja otstarbekas</w:t>
      </w:r>
      <w:r w:rsidR="00DE3702">
        <w:t xml:space="preserve"> nõuda Telialt, et Telia peab rajama </w:t>
      </w:r>
      <w:r w:rsidR="00C95B18">
        <w:t xml:space="preserve">kõikidesse </w:t>
      </w:r>
      <w:r w:rsidR="00E92083">
        <w:t>oma sidevõrgu lõpp-punkidele lähima</w:t>
      </w:r>
      <w:r w:rsidR="00F9625E">
        <w:t>te</w:t>
      </w:r>
      <w:r w:rsidR="00E92083">
        <w:t>sse</w:t>
      </w:r>
      <w:r w:rsidR="00F9625E">
        <w:t xml:space="preserve"> kliendiliini </w:t>
      </w:r>
      <w:r w:rsidR="00E92083">
        <w:t>jaotuspunkti</w:t>
      </w:r>
      <w:r w:rsidR="00F9625E">
        <w:t>desse</w:t>
      </w:r>
      <w:r w:rsidR="00E92083">
        <w:t xml:space="preserve"> </w:t>
      </w:r>
      <w:r w:rsidR="008A3A00">
        <w:t>kasutusvalmid</w:t>
      </w:r>
      <w:r w:rsidR="00AF20DB">
        <w:t xml:space="preserve"> </w:t>
      </w:r>
      <w:r w:rsidR="00B409E0">
        <w:t xml:space="preserve">(aktiivseadmetega) </w:t>
      </w:r>
      <w:r w:rsidR="00DE262D">
        <w:t xml:space="preserve">VEKJ </w:t>
      </w:r>
      <w:r w:rsidR="00AF20DB">
        <w:t>juurdepääsupunktid</w:t>
      </w:r>
      <w:r w:rsidR="00B409E0">
        <w:t xml:space="preserve">. </w:t>
      </w:r>
      <w:r w:rsidR="00847E2B">
        <w:t xml:space="preserve">Piisab, kui </w:t>
      </w:r>
      <w:r w:rsidR="00746845">
        <w:t xml:space="preserve">kohustada </w:t>
      </w:r>
      <w:r w:rsidR="00847E2B">
        <w:t>Telia</w:t>
      </w:r>
      <w:r w:rsidR="00746845">
        <w:t>t</w:t>
      </w:r>
      <w:r w:rsidR="00847E2B">
        <w:t xml:space="preserve"> sätesta</w:t>
      </w:r>
      <w:r w:rsidR="00746845">
        <w:t>ma</w:t>
      </w:r>
      <w:r w:rsidR="00847E2B">
        <w:t xml:space="preserve"> oma näidis</w:t>
      </w:r>
      <w:r w:rsidR="00746845">
        <w:t xml:space="preserve">pakkumises </w:t>
      </w:r>
      <w:r w:rsidR="00DE262D">
        <w:t>VEKJ</w:t>
      </w:r>
      <w:r w:rsidR="00F474D9">
        <w:t xml:space="preserve"> juurdepääspunktide võimalikud asukohad ja </w:t>
      </w:r>
      <w:r w:rsidR="00E24635">
        <w:t>nendele</w:t>
      </w:r>
      <w:r w:rsidR="00A50F7A">
        <w:t xml:space="preserve"> juurdepääsu </w:t>
      </w:r>
      <w:r w:rsidR="00910416">
        <w:t>loomise</w:t>
      </w:r>
      <w:r w:rsidR="00E24635">
        <w:t xml:space="preserve"> </w:t>
      </w:r>
      <w:r w:rsidR="00A50F7A">
        <w:t xml:space="preserve">taotlemise </w:t>
      </w:r>
      <w:r w:rsidR="00F474D9">
        <w:t>tingimused</w:t>
      </w:r>
      <w:r w:rsidR="00A50F7A">
        <w:t xml:space="preserve"> </w:t>
      </w:r>
      <w:r w:rsidR="00F474D9">
        <w:t>sh</w:t>
      </w:r>
      <w:r w:rsidR="00A50F7A">
        <w:t xml:space="preserve"> tähtajad</w:t>
      </w:r>
      <w:r w:rsidR="00F474D9">
        <w:t xml:space="preserve"> ning tasud.</w:t>
      </w:r>
      <w:r w:rsidR="007947B3">
        <w:t xml:space="preserve"> </w:t>
      </w:r>
    </w:p>
    <w:p w14:paraId="390652F5" w14:textId="77777777" w:rsidR="00A500BC" w:rsidRDefault="00A500BC" w:rsidP="00A500BC"/>
    <w:p w14:paraId="00389CA2" w14:textId="757EB8DB" w:rsidR="009C5515" w:rsidRPr="004A3021" w:rsidRDefault="009C5515" w:rsidP="00E06B93">
      <w:pPr>
        <w:pStyle w:val="Pealkiri3"/>
      </w:pPr>
      <w:bookmarkStart w:id="43" w:name="_Toc182488051"/>
      <w:r w:rsidRPr="004A3021">
        <w:t xml:space="preserve">Virtuaalselt eraldatud kliendiliinile juurdepääsu </w:t>
      </w:r>
      <w:r w:rsidR="006562C6">
        <w:t>tehnilised parameetrid</w:t>
      </w:r>
      <w:bookmarkEnd w:id="43"/>
    </w:p>
    <w:p w14:paraId="24BD1EBE" w14:textId="77777777" w:rsidR="008E6AE3" w:rsidRPr="00A500BC" w:rsidRDefault="008E6AE3" w:rsidP="00A500BC"/>
    <w:p w14:paraId="3D3CD921" w14:textId="5118FB9B" w:rsidR="00A500BC" w:rsidRDefault="00716852" w:rsidP="00A500BC">
      <w:r>
        <w:t xml:space="preserve">Eeltoodud </w:t>
      </w:r>
      <w:r w:rsidR="003D4E80">
        <w:t xml:space="preserve">Elisa riigisisese konsultatsiooni tagasisides </w:t>
      </w:r>
      <w:r>
        <w:t xml:space="preserve">on Elisa </w:t>
      </w:r>
      <w:r w:rsidR="00D13857">
        <w:t>esitanud arvamuse</w:t>
      </w:r>
      <w:r w:rsidR="003D4E80">
        <w:t xml:space="preserve">, et </w:t>
      </w:r>
      <w:r w:rsidR="00A27069">
        <w:t xml:space="preserve">virtuaalselt eraldatud kliendiliinile juurdepääs </w:t>
      </w:r>
      <w:r w:rsidR="006B326A">
        <w:t xml:space="preserve">(VEKJ) </w:t>
      </w:r>
      <w:r w:rsidR="00A27069">
        <w:t>peab võimaldama</w:t>
      </w:r>
      <w:r w:rsidR="006E5DB6">
        <w:t xml:space="preserve"> selle kasutajal oma</w:t>
      </w:r>
      <w:r w:rsidR="00A27069">
        <w:t xml:space="preserve"> </w:t>
      </w:r>
      <w:r w:rsidR="007D64DE" w:rsidRPr="006E5DB6">
        <w:t>jaeteenuse parameetrite ning funktsionaalsuse (ise) seadistamist, sh eelkõige sümmeetriliste ja asümmeetriliste teenuste osutamist kõikidel (</w:t>
      </w:r>
      <w:r w:rsidR="006B326A">
        <w:t>VEKJ</w:t>
      </w:r>
      <w:r w:rsidR="00D930E8">
        <w:t xml:space="preserve"> kasutaja</w:t>
      </w:r>
      <w:r w:rsidR="007D64DE" w:rsidRPr="006E5DB6">
        <w:t xml:space="preserve"> enda valitud) kiirustel kuni kliendiliini tehnilise võimekuse piirini. Teisisõnu, </w:t>
      </w:r>
      <w:r w:rsidR="00703C10">
        <w:t>VEKJ</w:t>
      </w:r>
      <w:r w:rsidR="007D64DE" w:rsidRPr="006E5DB6">
        <w:t xml:space="preserve"> peab eelkõige võimaldama kliendiühenduse kiirusprofiili kliendikohast seadistamist ja kliendile pakutavate </w:t>
      </w:r>
      <w:r w:rsidR="007D64DE" w:rsidRPr="006E5DB6">
        <w:rPr>
          <w:u w:val="single"/>
        </w:rPr>
        <w:t>kiiruste muutmist</w:t>
      </w:r>
      <w:r w:rsidR="007D64DE" w:rsidRPr="006E5DB6">
        <w:t xml:space="preserve"> ning seeläbi (</w:t>
      </w:r>
      <w:r w:rsidR="00703C10">
        <w:t xml:space="preserve">VEKJ </w:t>
      </w:r>
      <w:r w:rsidR="003A2E69">
        <w:t xml:space="preserve"> kasutaja</w:t>
      </w:r>
      <w:r w:rsidR="007D64DE" w:rsidRPr="006E5DB6">
        <w:t xml:space="preserve"> poolt) jaeteenuste diferentseerimist. </w:t>
      </w:r>
    </w:p>
    <w:p w14:paraId="7A9BAF63" w14:textId="75935323" w:rsidR="00A500BC" w:rsidRDefault="00F4416A" w:rsidP="00A500BC">
      <w:r>
        <w:t xml:space="preserve">Võttes arvesse, et Telia </w:t>
      </w:r>
      <w:r w:rsidR="00BC3C27">
        <w:t xml:space="preserve">valguskaabel </w:t>
      </w:r>
      <w:r w:rsidR="009D0C2F">
        <w:t>kliendiliinid</w:t>
      </w:r>
      <w:r w:rsidR="00BC3C27">
        <w:t xml:space="preserve"> </w:t>
      </w:r>
      <w:r w:rsidR="009D0C2F">
        <w:t xml:space="preserve">põhinevad </w:t>
      </w:r>
      <w:r w:rsidR="009F43A6">
        <w:t>suures osas</w:t>
      </w:r>
      <w:r w:rsidR="00BC3C27">
        <w:t xml:space="preserve"> PON tehnoloogial ja </w:t>
      </w:r>
      <w:r w:rsidR="00771F2F">
        <w:t xml:space="preserve">seeläbi on </w:t>
      </w:r>
      <w:r w:rsidR="00EC4E05">
        <w:t xml:space="preserve">VEKJ </w:t>
      </w:r>
      <w:r w:rsidR="005D4213">
        <w:t xml:space="preserve">juurdepääsupunktist </w:t>
      </w:r>
      <w:r w:rsidR="00C11769">
        <w:t xml:space="preserve">sidevõrgu lõpp-punktini </w:t>
      </w:r>
      <w:r w:rsidR="00097D27">
        <w:t>suunduval</w:t>
      </w:r>
      <w:r w:rsidR="00847E5E">
        <w:t xml:space="preserve"> ühendusel</w:t>
      </w:r>
      <w:r w:rsidR="000546FC">
        <w:t xml:space="preserve"> kaabl</w:t>
      </w:r>
      <w:r w:rsidR="00847E5E">
        <w:t>eid</w:t>
      </w:r>
      <w:r w:rsidR="000546FC">
        <w:t xml:space="preserve"> (</w:t>
      </w:r>
      <w:r w:rsidR="00847E5E">
        <w:t>valguskaabli kiu</w:t>
      </w:r>
      <w:r w:rsidR="00C9205E">
        <w:t>d</w:t>
      </w:r>
      <w:r w:rsidR="00847E5E">
        <w:t>)</w:t>
      </w:r>
      <w:r w:rsidR="003372AA">
        <w:t>, mis on paljude lõppkasutajate ühenduste ühises kasutuses,</w:t>
      </w:r>
      <w:r w:rsidR="002B6BD0">
        <w:t xml:space="preserve"> mistõttu ühe ühenduse väga suur </w:t>
      </w:r>
      <w:r w:rsidR="00AF2BD0">
        <w:t>läbilaskevõime võib vähendada teiste ühenduste läbilaskevõimeid,</w:t>
      </w:r>
      <w:r w:rsidR="003372AA">
        <w:t xml:space="preserve"> </w:t>
      </w:r>
      <w:r w:rsidR="00C9205E">
        <w:t xml:space="preserve">siis ei saa nõuda Telialt, et VEKJ </w:t>
      </w:r>
      <w:r w:rsidR="00B51B3D">
        <w:t>osutamise tingimustes ei oleks kokku lepitud VEKJ</w:t>
      </w:r>
      <w:r w:rsidR="00D0608E">
        <w:t xml:space="preserve"> kasutajale</w:t>
      </w:r>
      <w:r w:rsidR="00B51B3D">
        <w:t xml:space="preserve"> </w:t>
      </w:r>
      <w:r w:rsidR="002B6BD0">
        <w:t xml:space="preserve">võimaldavat maksimaalset </w:t>
      </w:r>
      <w:r w:rsidR="005A165D">
        <w:t xml:space="preserve">ühenduse andmeside </w:t>
      </w:r>
      <w:r w:rsidR="002B6BD0">
        <w:t>kiirust</w:t>
      </w:r>
      <w:r w:rsidR="00FE7C81">
        <w:t xml:space="preserve">. </w:t>
      </w:r>
      <w:r w:rsidR="001B0EF3">
        <w:t xml:space="preserve">VEKJ </w:t>
      </w:r>
      <w:r w:rsidR="00A40A9A">
        <w:t>osutamise</w:t>
      </w:r>
      <w:r w:rsidR="00A12585">
        <w:t xml:space="preserve"> tingimustes</w:t>
      </w:r>
      <w:r w:rsidR="001B0EF3">
        <w:t xml:space="preserve"> kokku lepitud </w:t>
      </w:r>
      <w:r w:rsidR="006454D7">
        <w:t xml:space="preserve">andmeside </w:t>
      </w:r>
      <w:r w:rsidR="001B0EF3">
        <w:t xml:space="preserve">kiiruse baasil võib/saab </w:t>
      </w:r>
      <w:r w:rsidR="00A40A9A">
        <w:t xml:space="preserve">iga VEKJ kasutaja ise otsustada, kas kasutab ära (ehk pakub oma jaekliendile) kogu </w:t>
      </w:r>
      <w:r w:rsidR="00BC03F2">
        <w:t xml:space="preserve">VEKJ </w:t>
      </w:r>
      <w:r w:rsidR="00A40A9A">
        <w:t>mahu või ainult osalise</w:t>
      </w:r>
      <w:r w:rsidR="00BC03F2">
        <w:t xml:space="preserve">lt, näiteks </w:t>
      </w:r>
      <w:r w:rsidR="007300E6">
        <w:t>ühendades VEKJ baasil korter</w:t>
      </w:r>
      <w:r w:rsidR="00670156">
        <w:t xml:space="preserve">- või ärimaja ning </w:t>
      </w:r>
      <w:r w:rsidR="00BC03F2">
        <w:t xml:space="preserve">jagades seda </w:t>
      </w:r>
      <w:r w:rsidR="00670156">
        <w:t>ühendust vastavas hoones a</w:t>
      </w:r>
      <w:r w:rsidR="0091254B">
        <w:t>suva</w:t>
      </w:r>
      <w:r w:rsidR="00670156">
        <w:t xml:space="preserve"> </w:t>
      </w:r>
      <w:r w:rsidR="00BC03F2">
        <w:t xml:space="preserve">mitme </w:t>
      </w:r>
      <w:r w:rsidR="007300E6">
        <w:t xml:space="preserve">jaekliendi </w:t>
      </w:r>
      <w:r w:rsidR="00BC03F2">
        <w:t>vahel.</w:t>
      </w:r>
    </w:p>
    <w:p w14:paraId="32932E08" w14:textId="3A9593CF" w:rsidR="00A45B47" w:rsidRDefault="00A45B47" w:rsidP="00A500BC">
      <w:r>
        <w:t xml:space="preserve">Ka </w:t>
      </w:r>
      <w:proofErr w:type="spellStart"/>
      <w:r>
        <w:t>BEREC-i</w:t>
      </w:r>
      <w:proofErr w:type="spellEnd"/>
      <w:r>
        <w:t xml:space="preserve"> </w:t>
      </w:r>
      <w:r w:rsidR="00C24FBD">
        <w:t xml:space="preserve">2016 </w:t>
      </w:r>
      <w:r w:rsidR="005614C3">
        <w:t>seis</w:t>
      </w:r>
      <w:r w:rsidR="0042555B">
        <w:t>u</w:t>
      </w:r>
      <w:r w:rsidR="005614C3">
        <w:t>koh</w:t>
      </w:r>
      <w:r w:rsidR="008C778A">
        <w:t>tades</w:t>
      </w:r>
      <w:r w:rsidR="005614C3">
        <w:t xml:space="preserve"> </w:t>
      </w:r>
      <w:r w:rsidR="006F1263">
        <w:t xml:space="preserve">VEKJ </w:t>
      </w:r>
      <w:r w:rsidR="00DB2D93">
        <w:t xml:space="preserve">tingimuste osas (viide allikale otsuse mõistete </w:t>
      </w:r>
      <w:r w:rsidR="00735C9A">
        <w:t>ptk.-</w:t>
      </w:r>
      <w:r w:rsidR="00DB2D93">
        <w:t>s)</w:t>
      </w:r>
      <w:r w:rsidR="003B030A">
        <w:t xml:space="preserve"> </w:t>
      </w:r>
      <w:r w:rsidR="00735C9A">
        <w:t>ptk.-</w:t>
      </w:r>
      <w:r w:rsidR="00220B61">
        <w:t>s</w:t>
      </w:r>
      <w:r w:rsidR="008C778A">
        <w:t xml:space="preserve"> CP.5 </w:t>
      </w:r>
      <w:r w:rsidR="003B030A">
        <w:t>on toodud välja, et</w:t>
      </w:r>
      <w:r w:rsidR="00F77EF6">
        <w:t xml:space="preserve"> VEKJ kasutaja</w:t>
      </w:r>
      <w:r w:rsidR="00220B61">
        <w:t>d</w:t>
      </w:r>
      <w:r w:rsidR="00F77EF6">
        <w:t xml:space="preserve"> peaks saama kontrollida andmesidekiirust</w:t>
      </w:r>
      <w:r w:rsidR="0080073B">
        <w:t xml:space="preserve"> lõppkasutajale</w:t>
      </w:r>
      <w:r w:rsidR="00F77EF6">
        <w:t xml:space="preserve"> </w:t>
      </w:r>
      <w:r w:rsidR="008D36F5">
        <w:t xml:space="preserve">neile </w:t>
      </w:r>
      <w:r w:rsidR="00220B61">
        <w:t>pakutava</w:t>
      </w:r>
      <w:r w:rsidR="008D36F5">
        <w:t xml:space="preserve"> VEKJ toote lairiba ulatuses, mi</w:t>
      </w:r>
      <w:r w:rsidR="00FC0D6C">
        <w:t>da võidakse pakkuda</w:t>
      </w:r>
      <w:r w:rsidR="00485B18">
        <w:t xml:space="preserve"> erineva</w:t>
      </w:r>
      <w:r w:rsidR="00FC0D6C">
        <w:t>i</w:t>
      </w:r>
      <w:r w:rsidR="00485B18">
        <w:t>d ja erineva</w:t>
      </w:r>
      <w:r w:rsidR="00FC0D6C">
        <w:t>te hindadega</w:t>
      </w:r>
      <w:r w:rsidR="003B030A">
        <w:t>:</w:t>
      </w:r>
    </w:p>
    <w:p w14:paraId="3CA8370D" w14:textId="40AE6A95" w:rsidR="003B030A" w:rsidRPr="00F77EF6" w:rsidRDefault="008D2407" w:rsidP="00F77EF6">
      <w:pPr>
        <w:rPr>
          <w:i/>
          <w:iCs/>
        </w:rPr>
      </w:pPr>
      <w:proofErr w:type="spellStart"/>
      <w:r w:rsidRPr="00F77EF6">
        <w:rPr>
          <w:i/>
          <w:iCs/>
        </w:rPr>
        <w:t>ANOs</w:t>
      </w:r>
      <w:proofErr w:type="spellEnd"/>
      <w:r w:rsidRPr="00F77EF6">
        <w:rPr>
          <w:i/>
          <w:iCs/>
        </w:rPr>
        <w:t xml:space="preserve"> need </w:t>
      </w:r>
      <w:proofErr w:type="spellStart"/>
      <w:r w:rsidRPr="00F77EF6">
        <w:rPr>
          <w:i/>
          <w:iCs/>
        </w:rPr>
        <w:t>to</w:t>
      </w:r>
      <w:proofErr w:type="spellEnd"/>
      <w:r w:rsidRPr="00F77EF6">
        <w:rPr>
          <w:i/>
          <w:iCs/>
        </w:rPr>
        <w:t xml:space="preserve"> </w:t>
      </w:r>
      <w:proofErr w:type="spellStart"/>
      <w:r w:rsidRPr="00F77EF6">
        <w:rPr>
          <w:i/>
          <w:iCs/>
        </w:rPr>
        <w:t>be</w:t>
      </w:r>
      <w:proofErr w:type="spellEnd"/>
      <w:r w:rsidRPr="00F77EF6">
        <w:rPr>
          <w:i/>
          <w:iCs/>
        </w:rPr>
        <w:t xml:space="preserve"> </w:t>
      </w:r>
      <w:proofErr w:type="spellStart"/>
      <w:r w:rsidRPr="00F77EF6">
        <w:rPr>
          <w:i/>
          <w:iCs/>
        </w:rPr>
        <w:t>able</w:t>
      </w:r>
      <w:proofErr w:type="spellEnd"/>
      <w:r w:rsidRPr="00F77EF6">
        <w:rPr>
          <w:i/>
          <w:iCs/>
        </w:rPr>
        <w:t xml:space="preserve"> </w:t>
      </w:r>
      <w:proofErr w:type="spellStart"/>
      <w:r w:rsidRPr="00F77EF6">
        <w:rPr>
          <w:i/>
          <w:iCs/>
        </w:rPr>
        <w:t>to</w:t>
      </w:r>
      <w:proofErr w:type="spellEnd"/>
      <w:r w:rsidRPr="00F77EF6">
        <w:rPr>
          <w:i/>
          <w:iCs/>
        </w:rPr>
        <w:t xml:space="preserve"> </w:t>
      </w:r>
      <w:proofErr w:type="spellStart"/>
      <w:r w:rsidRPr="00F77EF6">
        <w:rPr>
          <w:i/>
          <w:iCs/>
        </w:rPr>
        <w:t>differentiate</w:t>
      </w:r>
      <w:proofErr w:type="spellEnd"/>
      <w:r w:rsidRPr="00F77EF6">
        <w:rPr>
          <w:i/>
          <w:iCs/>
        </w:rPr>
        <w:t xml:space="preserve"> </w:t>
      </w:r>
      <w:proofErr w:type="spellStart"/>
      <w:r w:rsidRPr="00F77EF6">
        <w:rPr>
          <w:i/>
          <w:iCs/>
        </w:rPr>
        <w:t>the</w:t>
      </w:r>
      <w:proofErr w:type="spellEnd"/>
      <w:r w:rsidRPr="00F77EF6">
        <w:rPr>
          <w:i/>
          <w:iCs/>
        </w:rPr>
        <w:t xml:space="preserve"> </w:t>
      </w:r>
      <w:proofErr w:type="spellStart"/>
      <w:r w:rsidRPr="00F77EF6">
        <w:rPr>
          <w:i/>
          <w:iCs/>
        </w:rPr>
        <w:t>down</w:t>
      </w:r>
      <w:proofErr w:type="spellEnd"/>
      <w:r w:rsidRPr="00F77EF6">
        <w:rPr>
          <w:i/>
          <w:iCs/>
        </w:rPr>
        <w:t xml:space="preserve">- and </w:t>
      </w:r>
      <w:proofErr w:type="spellStart"/>
      <w:r w:rsidRPr="00F77EF6">
        <w:rPr>
          <w:i/>
          <w:iCs/>
        </w:rPr>
        <w:t>upload</w:t>
      </w:r>
      <w:proofErr w:type="spellEnd"/>
      <w:r w:rsidRPr="00F77EF6">
        <w:rPr>
          <w:i/>
          <w:iCs/>
        </w:rPr>
        <w:t xml:space="preserve"> </w:t>
      </w:r>
      <w:proofErr w:type="spellStart"/>
      <w:r w:rsidRPr="00F77EF6">
        <w:rPr>
          <w:i/>
          <w:iCs/>
        </w:rPr>
        <w:t>speed</w:t>
      </w:r>
      <w:proofErr w:type="spellEnd"/>
      <w:r w:rsidRPr="00F77EF6">
        <w:rPr>
          <w:i/>
          <w:iCs/>
        </w:rPr>
        <w:t xml:space="preserve"> of </w:t>
      </w:r>
      <w:proofErr w:type="spellStart"/>
      <w:r w:rsidRPr="00F77EF6">
        <w:rPr>
          <w:i/>
          <w:iCs/>
        </w:rPr>
        <w:t>their</w:t>
      </w:r>
      <w:proofErr w:type="spellEnd"/>
      <w:r w:rsidRPr="00F77EF6">
        <w:rPr>
          <w:i/>
          <w:iCs/>
        </w:rPr>
        <w:t xml:space="preserve"> </w:t>
      </w:r>
      <w:proofErr w:type="spellStart"/>
      <w:r w:rsidRPr="00F77EF6">
        <w:rPr>
          <w:i/>
          <w:iCs/>
        </w:rPr>
        <w:t>services</w:t>
      </w:r>
      <w:proofErr w:type="spellEnd"/>
      <w:r w:rsidRPr="00F77EF6">
        <w:rPr>
          <w:i/>
          <w:iCs/>
        </w:rPr>
        <w:t xml:space="preserve"> </w:t>
      </w:r>
      <w:proofErr w:type="spellStart"/>
      <w:r w:rsidRPr="00F77EF6">
        <w:rPr>
          <w:i/>
          <w:iCs/>
        </w:rPr>
        <w:t>from</w:t>
      </w:r>
      <w:proofErr w:type="spellEnd"/>
      <w:r w:rsidRPr="00F77EF6">
        <w:rPr>
          <w:i/>
          <w:iCs/>
        </w:rPr>
        <w:t xml:space="preserve"> </w:t>
      </w:r>
      <w:proofErr w:type="spellStart"/>
      <w:r w:rsidRPr="00F77EF6">
        <w:rPr>
          <w:i/>
          <w:iCs/>
        </w:rPr>
        <w:t>those</w:t>
      </w:r>
      <w:proofErr w:type="spellEnd"/>
      <w:r w:rsidRPr="00F77EF6">
        <w:rPr>
          <w:i/>
          <w:iCs/>
        </w:rPr>
        <w:t xml:space="preserve"> of </w:t>
      </w:r>
      <w:proofErr w:type="spellStart"/>
      <w:r w:rsidRPr="00F77EF6">
        <w:rPr>
          <w:i/>
          <w:iCs/>
        </w:rPr>
        <w:t>other</w:t>
      </w:r>
      <w:proofErr w:type="spellEnd"/>
      <w:r w:rsidRPr="00F77EF6">
        <w:rPr>
          <w:i/>
          <w:iCs/>
        </w:rPr>
        <w:t xml:space="preserve"> </w:t>
      </w:r>
      <w:proofErr w:type="spellStart"/>
      <w:r w:rsidRPr="00F77EF6">
        <w:rPr>
          <w:i/>
          <w:iCs/>
        </w:rPr>
        <w:t>operators</w:t>
      </w:r>
      <w:proofErr w:type="spellEnd"/>
      <w:r w:rsidRPr="00F77EF6">
        <w:rPr>
          <w:i/>
          <w:iCs/>
        </w:rPr>
        <w:t xml:space="preserve">. </w:t>
      </w:r>
      <w:proofErr w:type="spellStart"/>
      <w:r w:rsidRPr="00F77EF6">
        <w:rPr>
          <w:i/>
          <w:iCs/>
        </w:rPr>
        <w:t>Therefore</w:t>
      </w:r>
      <w:proofErr w:type="spellEnd"/>
      <w:r w:rsidRPr="00F77EF6">
        <w:rPr>
          <w:i/>
          <w:iCs/>
        </w:rPr>
        <w:t xml:space="preserve">, L2 WAP </w:t>
      </w:r>
      <w:proofErr w:type="spellStart"/>
      <w:r w:rsidRPr="00F77EF6">
        <w:rPr>
          <w:i/>
          <w:iCs/>
        </w:rPr>
        <w:t>should</w:t>
      </w:r>
      <w:proofErr w:type="spellEnd"/>
      <w:r w:rsidRPr="00F77EF6">
        <w:rPr>
          <w:i/>
          <w:iCs/>
        </w:rPr>
        <w:t xml:space="preserve"> </w:t>
      </w:r>
      <w:proofErr w:type="spellStart"/>
      <w:r w:rsidRPr="00F77EF6">
        <w:rPr>
          <w:i/>
          <w:iCs/>
        </w:rPr>
        <w:t>enable</w:t>
      </w:r>
      <w:proofErr w:type="spellEnd"/>
      <w:r w:rsidRPr="00F77EF6">
        <w:rPr>
          <w:i/>
          <w:iCs/>
        </w:rPr>
        <w:t xml:space="preserve"> </w:t>
      </w:r>
      <w:proofErr w:type="spellStart"/>
      <w:r w:rsidRPr="00F77EF6">
        <w:rPr>
          <w:i/>
          <w:iCs/>
        </w:rPr>
        <w:t>ANOs</w:t>
      </w:r>
      <w:proofErr w:type="spellEnd"/>
      <w:r w:rsidRPr="00F77EF6">
        <w:rPr>
          <w:i/>
          <w:iCs/>
        </w:rPr>
        <w:t xml:space="preserve"> </w:t>
      </w:r>
      <w:proofErr w:type="spellStart"/>
      <w:r w:rsidRPr="00F77EF6">
        <w:rPr>
          <w:i/>
          <w:iCs/>
        </w:rPr>
        <w:t>to</w:t>
      </w:r>
      <w:proofErr w:type="spellEnd"/>
      <w:r w:rsidRPr="00F77EF6">
        <w:rPr>
          <w:i/>
          <w:iCs/>
        </w:rPr>
        <w:t xml:space="preserve"> </w:t>
      </w:r>
      <w:proofErr w:type="spellStart"/>
      <w:r w:rsidRPr="00F77EF6">
        <w:rPr>
          <w:i/>
          <w:iCs/>
        </w:rPr>
        <w:t>control</w:t>
      </w:r>
      <w:proofErr w:type="spellEnd"/>
      <w:r w:rsidRPr="00F77EF6">
        <w:rPr>
          <w:i/>
          <w:iCs/>
        </w:rPr>
        <w:t xml:space="preserve"> </w:t>
      </w:r>
      <w:proofErr w:type="spellStart"/>
      <w:r w:rsidRPr="00F77EF6">
        <w:rPr>
          <w:i/>
          <w:iCs/>
        </w:rPr>
        <w:t>the</w:t>
      </w:r>
      <w:proofErr w:type="spellEnd"/>
      <w:r w:rsidRPr="00F77EF6">
        <w:rPr>
          <w:i/>
          <w:iCs/>
        </w:rPr>
        <w:t xml:space="preserve"> </w:t>
      </w:r>
      <w:proofErr w:type="spellStart"/>
      <w:r w:rsidRPr="00F77EF6">
        <w:rPr>
          <w:i/>
          <w:iCs/>
        </w:rPr>
        <w:t>speed</w:t>
      </w:r>
      <w:proofErr w:type="spellEnd"/>
      <w:r w:rsidRPr="00F77EF6">
        <w:rPr>
          <w:i/>
          <w:iCs/>
        </w:rPr>
        <w:t xml:space="preserve"> of </w:t>
      </w:r>
      <w:proofErr w:type="spellStart"/>
      <w:r w:rsidRPr="00F77EF6">
        <w:rPr>
          <w:i/>
          <w:iCs/>
        </w:rPr>
        <w:t>their</w:t>
      </w:r>
      <w:proofErr w:type="spellEnd"/>
      <w:r w:rsidRPr="00F77EF6">
        <w:rPr>
          <w:i/>
          <w:iCs/>
        </w:rPr>
        <w:t xml:space="preserve"> </w:t>
      </w:r>
      <w:proofErr w:type="spellStart"/>
      <w:r w:rsidR="00F77EF6" w:rsidRPr="00F77EF6">
        <w:rPr>
          <w:i/>
          <w:iCs/>
        </w:rPr>
        <w:t>services</w:t>
      </w:r>
      <w:proofErr w:type="spellEnd"/>
      <w:r w:rsidR="00F77EF6" w:rsidRPr="00F77EF6">
        <w:rPr>
          <w:i/>
          <w:iCs/>
        </w:rPr>
        <w:t xml:space="preserve"> </w:t>
      </w:r>
      <w:proofErr w:type="spellStart"/>
      <w:r w:rsidR="00F77EF6" w:rsidRPr="00F77EF6">
        <w:rPr>
          <w:i/>
          <w:iCs/>
        </w:rPr>
        <w:t>within</w:t>
      </w:r>
      <w:proofErr w:type="spellEnd"/>
      <w:r w:rsidR="00F77EF6" w:rsidRPr="00F77EF6">
        <w:rPr>
          <w:i/>
          <w:iCs/>
        </w:rPr>
        <w:t xml:space="preserve"> </w:t>
      </w:r>
      <w:proofErr w:type="spellStart"/>
      <w:r w:rsidR="00F77EF6" w:rsidRPr="00F77EF6">
        <w:rPr>
          <w:i/>
          <w:iCs/>
        </w:rPr>
        <w:t>the</w:t>
      </w:r>
      <w:proofErr w:type="spellEnd"/>
      <w:r w:rsidR="00F77EF6" w:rsidRPr="00F77EF6">
        <w:rPr>
          <w:i/>
          <w:iCs/>
        </w:rPr>
        <w:t xml:space="preserve"> </w:t>
      </w:r>
      <w:proofErr w:type="spellStart"/>
      <w:r w:rsidR="00F77EF6" w:rsidRPr="00F77EF6">
        <w:rPr>
          <w:i/>
          <w:iCs/>
        </w:rPr>
        <w:t>limit</w:t>
      </w:r>
      <w:proofErr w:type="spellEnd"/>
      <w:r w:rsidR="00F77EF6" w:rsidRPr="00F77EF6">
        <w:rPr>
          <w:i/>
          <w:iCs/>
        </w:rPr>
        <w:t xml:space="preserve">(s) of </w:t>
      </w:r>
      <w:proofErr w:type="spellStart"/>
      <w:r w:rsidR="00F77EF6" w:rsidRPr="00F77EF6">
        <w:rPr>
          <w:i/>
          <w:iCs/>
        </w:rPr>
        <w:t>the</w:t>
      </w:r>
      <w:proofErr w:type="spellEnd"/>
      <w:r w:rsidR="00F77EF6" w:rsidRPr="00F77EF6">
        <w:rPr>
          <w:i/>
          <w:iCs/>
        </w:rPr>
        <w:t xml:space="preserve"> </w:t>
      </w:r>
      <w:proofErr w:type="spellStart"/>
      <w:r w:rsidR="00F77EF6" w:rsidRPr="00F77EF6">
        <w:rPr>
          <w:i/>
          <w:iCs/>
        </w:rPr>
        <w:t>bandwidth</w:t>
      </w:r>
      <w:proofErr w:type="spellEnd"/>
      <w:r w:rsidR="00F77EF6" w:rsidRPr="00F77EF6">
        <w:rPr>
          <w:i/>
          <w:iCs/>
        </w:rPr>
        <w:t xml:space="preserve"> profile(s) of </w:t>
      </w:r>
      <w:proofErr w:type="spellStart"/>
      <w:r w:rsidR="00F77EF6" w:rsidRPr="00F77EF6">
        <w:rPr>
          <w:i/>
          <w:iCs/>
        </w:rPr>
        <w:t>the</w:t>
      </w:r>
      <w:proofErr w:type="spellEnd"/>
      <w:r w:rsidR="00F77EF6" w:rsidRPr="00F77EF6">
        <w:rPr>
          <w:i/>
          <w:iCs/>
        </w:rPr>
        <w:t xml:space="preserve"> </w:t>
      </w:r>
      <w:proofErr w:type="spellStart"/>
      <w:r w:rsidR="00F77EF6" w:rsidRPr="00F77EF6">
        <w:rPr>
          <w:i/>
          <w:iCs/>
        </w:rPr>
        <w:t>subscriber</w:t>
      </w:r>
      <w:proofErr w:type="spellEnd"/>
      <w:r w:rsidR="00F77EF6" w:rsidRPr="00F77EF6">
        <w:rPr>
          <w:i/>
          <w:iCs/>
        </w:rPr>
        <w:t xml:space="preserve"> </w:t>
      </w:r>
      <w:proofErr w:type="spellStart"/>
      <w:r w:rsidR="00F77EF6" w:rsidRPr="00F77EF6">
        <w:rPr>
          <w:i/>
          <w:iCs/>
        </w:rPr>
        <w:t>access</w:t>
      </w:r>
      <w:proofErr w:type="spellEnd"/>
      <w:r w:rsidR="00F77EF6" w:rsidRPr="00F77EF6">
        <w:rPr>
          <w:i/>
          <w:iCs/>
        </w:rPr>
        <w:t xml:space="preserve"> </w:t>
      </w:r>
      <w:proofErr w:type="spellStart"/>
      <w:r w:rsidR="00F77EF6" w:rsidRPr="00F77EF6">
        <w:rPr>
          <w:i/>
          <w:iCs/>
        </w:rPr>
        <w:t>line</w:t>
      </w:r>
      <w:proofErr w:type="spellEnd"/>
      <w:r w:rsidR="00F77EF6" w:rsidRPr="00F77EF6">
        <w:rPr>
          <w:i/>
          <w:iCs/>
        </w:rPr>
        <w:t xml:space="preserve">. </w:t>
      </w:r>
      <w:proofErr w:type="spellStart"/>
      <w:r w:rsidR="00F77EF6" w:rsidRPr="00F77EF6">
        <w:rPr>
          <w:i/>
          <w:iCs/>
        </w:rPr>
        <w:t>Depending</w:t>
      </w:r>
      <w:proofErr w:type="spellEnd"/>
      <w:r w:rsidR="00F77EF6" w:rsidRPr="00F77EF6">
        <w:rPr>
          <w:i/>
          <w:iCs/>
        </w:rPr>
        <w:t xml:space="preserve"> on </w:t>
      </w:r>
      <w:proofErr w:type="spellStart"/>
      <w:r w:rsidR="00F77EF6" w:rsidRPr="00F77EF6">
        <w:rPr>
          <w:i/>
          <w:iCs/>
        </w:rPr>
        <w:t>the</w:t>
      </w:r>
      <w:proofErr w:type="spellEnd"/>
      <w:r w:rsidR="00F77EF6" w:rsidRPr="00F77EF6">
        <w:rPr>
          <w:i/>
          <w:iCs/>
        </w:rPr>
        <w:t xml:space="preserve"> </w:t>
      </w:r>
      <w:proofErr w:type="spellStart"/>
      <w:r w:rsidR="00F77EF6" w:rsidRPr="00F77EF6">
        <w:rPr>
          <w:i/>
          <w:iCs/>
        </w:rPr>
        <w:t>form</w:t>
      </w:r>
      <w:proofErr w:type="spellEnd"/>
      <w:r w:rsidR="00F77EF6" w:rsidRPr="00F77EF6">
        <w:rPr>
          <w:i/>
          <w:iCs/>
        </w:rPr>
        <w:t xml:space="preserve"> of </w:t>
      </w:r>
      <w:proofErr w:type="spellStart"/>
      <w:r w:rsidR="00F77EF6" w:rsidRPr="00F77EF6">
        <w:rPr>
          <w:i/>
          <w:iCs/>
        </w:rPr>
        <w:t>price</w:t>
      </w:r>
      <w:proofErr w:type="spellEnd"/>
      <w:r w:rsidR="00F77EF6" w:rsidRPr="00F77EF6">
        <w:rPr>
          <w:i/>
          <w:iCs/>
        </w:rPr>
        <w:t xml:space="preserve"> </w:t>
      </w:r>
      <w:proofErr w:type="spellStart"/>
      <w:r w:rsidR="00F77EF6" w:rsidRPr="00F77EF6">
        <w:rPr>
          <w:i/>
          <w:iCs/>
        </w:rPr>
        <w:t>regulation</w:t>
      </w:r>
      <w:proofErr w:type="spellEnd"/>
      <w:r w:rsidR="00F77EF6" w:rsidRPr="00F77EF6">
        <w:rPr>
          <w:i/>
          <w:iCs/>
        </w:rPr>
        <w:t xml:space="preserve">, </w:t>
      </w:r>
      <w:proofErr w:type="spellStart"/>
      <w:r w:rsidR="00F77EF6" w:rsidRPr="00F77EF6">
        <w:rPr>
          <w:i/>
          <w:iCs/>
        </w:rPr>
        <w:t>different</w:t>
      </w:r>
      <w:proofErr w:type="spellEnd"/>
      <w:r w:rsidR="00F77EF6" w:rsidRPr="00F77EF6">
        <w:rPr>
          <w:i/>
          <w:iCs/>
        </w:rPr>
        <w:t xml:space="preserve"> </w:t>
      </w:r>
      <w:proofErr w:type="spellStart"/>
      <w:r w:rsidR="00F77EF6" w:rsidRPr="00F77EF6">
        <w:rPr>
          <w:i/>
          <w:iCs/>
        </w:rPr>
        <w:t>bandwidths</w:t>
      </w:r>
      <w:proofErr w:type="spellEnd"/>
      <w:r w:rsidR="00F77EF6" w:rsidRPr="00F77EF6">
        <w:rPr>
          <w:i/>
          <w:iCs/>
        </w:rPr>
        <w:t xml:space="preserve"> </w:t>
      </w:r>
      <w:proofErr w:type="spellStart"/>
      <w:r w:rsidR="00F77EF6" w:rsidRPr="00F77EF6">
        <w:rPr>
          <w:i/>
          <w:iCs/>
        </w:rPr>
        <w:t>might</w:t>
      </w:r>
      <w:proofErr w:type="spellEnd"/>
      <w:r w:rsidR="00F77EF6" w:rsidRPr="00F77EF6">
        <w:rPr>
          <w:i/>
          <w:iCs/>
        </w:rPr>
        <w:t xml:space="preserve"> </w:t>
      </w:r>
      <w:proofErr w:type="spellStart"/>
      <w:r w:rsidR="00F77EF6" w:rsidRPr="00F77EF6">
        <w:rPr>
          <w:i/>
          <w:iCs/>
        </w:rPr>
        <w:t>be</w:t>
      </w:r>
      <w:proofErr w:type="spellEnd"/>
      <w:r w:rsidR="00F77EF6" w:rsidRPr="00F77EF6">
        <w:rPr>
          <w:i/>
          <w:iCs/>
        </w:rPr>
        <w:t xml:space="preserve"> </w:t>
      </w:r>
      <w:proofErr w:type="spellStart"/>
      <w:r w:rsidR="00F77EF6" w:rsidRPr="00F77EF6">
        <w:rPr>
          <w:i/>
          <w:iCs/>
        </w:rPr>
        <w:t>available</w:t>
      </w:r>
      <w:proofErr w:type="spellEnd"/>
      <w:r w:rsidR="00F77EF6" w:rsidRPr="00F77EF6">
        <w:rPr>
          <w:i/>
          <w:iCs/>
        </w:rPr>
        <w:t xml:space="preserve"> at </w:t>
      </w:r>
      <w:proofErr w:type="spellStart"/>
      <w:r w:rsidR="00F77EF6" w:rsidRPr="00F77EF6">
        <w:rPr>
          <w:i/>
          <w:iCs/>
        </w:rPr>
        <w:t>different</w:t>
      </w:r>
      <w:proofErr w:type="spellEnd"/>
      <w:r w:rsidR="00F77EF6" w:rsidRPr="00F77EF6">
        <w:rPr>
          <w:i/>
          <w:iCs/>
        </w:rPr>
        <w:t xml:space="preserve"> </w:t>
      </w:r>
      <w:proofErr w:type="spellStart"/>
      <w:r w:rsidR="00F77EF6" w:rsidRPr="00F77EF6">
        <w:rPr>
          <w:i/>
          <w:iCs/>
        </w:rPr>
        <w:t>prices</w:t>
      </w:r>
      <w:proofErr w:type="spellEnd"/>
      <w:r w:rsidR="00F77EF6" w:rsidRPr="00F77EF6">
        <w:rPr>
          <w:i/>
          <w:iCs/>
        </w:rPr>
        <w:t>.</w:t>
      </w:r>
    </w:p>
    <w:p w14:paraId="1E1EA2C2" w14:textId="77777777" w:rsidR="0091254B" w:rsidRDefault="0091254B" w:rsidP="00A500BC"/>
    <w:p w14:paraId="36F7888E" w14:textId="61A1CF9A" w:rsidR="00CE19B7" w:rsidRDefault="002411B4" w:rsidP="003132A5">
      <w:pPr>
        <w:pStyle w:val="Pealkiri3"/>
      </w:pPr>
      <w:bookmarkStart w:id="44" w:name="_Toc182488052"/>
      <w:r>
        <w:t>V</w:t>
      </w:r>
      <w:r w:rsidR="00C05C1A">
        <w:t xml:space="preserve">irtuaalselt eraldatud kliendiliinile juurdepääsu </w:t>
      </w:r>
      <w:r w:rsidR="00831E67">
        <w:t>hind</w:t>
      </w:r>
      <w:bookmarkEnd w:id="44"/>
    </w:p>
    <w:p w14:paraId="664D963A" w14:textId="77777777" w:rsidR="00CE19B7" w:rsidRDefault="00CE19B7" w:rsidP="00A500BC"/>
    <w:p w14:paraId="27B3BA92" w14:textId="17185F49" w:rsidR="00F823A2" w:rsidRDefault="00E82C6B" w:rsidP="00A500BC">
      <w:r>
        <w:t xml:space="preserve">Eeltoodud Elisa riigisisese konsultatsiooni tagasisides on Elisa esitanud arvamuse, et </w:t>
      </w:r>
      <w:r w:rsidR="00556FD4">
        <w:t xml:space="preserve">virtuaalselt eraldatud kliendiliinile juurdepääsu (VEKJ) hind peab olema </w:t>
      </w:r>
      <w:r w:rsidR="006020F2">
        <w:t>oluliselt soodsam, kui Telia turu 3b tooted</w:t>
      </w:r>
      <w:r w:rsidR="007B13EA">
        <w:t>, s.o.</w:t>
      </w:r>
      <w:r w:rsidR="006020F2">
        <w:t xml:space="preserve"> </w:t>
      </w:r>
      <w:r w:rsidR="004830BA">
        <w:t xml:space="preserve">Telia osutatav </w:t>
      </w:r>
      <w:r w:rsidR="008B4155">
        <w:t>virtuaal</w:t>
      </w:r>
      <w:r w:rsidR="006A1D49">
        <w:t>s</w:t>
      </w:r>
      <w:r w:rsidR="008B4155">
        <w:t>e</w:t>
      </w:r>
      <w:r w:rsidR="006A1D49">
        <w:t>lt</w:t>
      </w:r>
      <w:r w:rsidR="008B4155">
        <w:t xml:space="preserve"> </w:t>
      </w:r>
      <w:r w:rsidR="006A1D49">
        <w:t xml:space="preserve">eraldatud </w:t>
      </w:r>
      <w:r w:rsidR="008B4155">
        <w:t>lairibaühendus</w:t>
      </w:r>
      <w:r w:rsidR="006A1D49">
        <w:t>ele juurdepääs</w:t>
      </w:r>
      <w:r w:rsidR="008B4155">
        <w:t xml:space="preserve"> </w:t>
      </w:r>
      <w:r w:rsidR="007B13EA">
        <w:t xml:space="preserve">kesksel tasemel ehk </w:t>
      </w:r>
      <w:r w:rsidR="000211E0">
        <w:t xml:space="preserve">Telia </w:t>
      </w:r>
      <w:r w:rsidR="004830BA">
        <w:t xml:space="preserve">lairibaressursiteenus 3.0 riiklikul ja kohalikul tasandil (vt </w:t>
      </w:r>
      <w:r w:rsidR="000211E0">
        <w:t xml:space="preserve">vastavat </w:t>
      </w:r>
      <w:r w:rsidR="004830BA">
        <w:t>too</w:t>
      </w:r>
      <w:r w:rsidR="000211E0">
        <w:t>d</w:t>
      </w:r>
      <w:r w:rsidR="004830BA">
        <w:t>e</w:t>
      </w:r>
      <w:r w:rsidR="000211E0">
        <w:t>t</w:t>
      </w:r>
      <w:r w:rsidR="004830BA">
        <w:t xml:space="preserve"> Telia veebilehel: </w:t>
      </w:r>
      <w:r w:rsidR="008B4155">
        <w:t xml:space="preserve"> </w:t>
      </w:r>
      <w:hyperlink r:id="rId11" w:history="1">
        <w:r w:rsidR="00550B4C" w:rsidRPr="00D80154">
          <w:rPr>
            <w:rStyle w:val="Hperlink"/>
          </w:rPr>
          <w:t>https://www.telia.ee/partnerile/sideettevotjale/vorguressursi-rent</w:t>
        </w:r>
      </w:hyperlink>
      <w:r w:rsidR="00550B4C">
        <w:t xml:space="preserve"> )</w:t>
      </w:r>
      <w:r w:rsidR="00A6161D">
        <w:t xml:space="preserve">, kuna </w:t>
      </w:r>
      <w:r w:rsidR="00C5773E">
        <w:t xml:space="preserve">võrreldes lairibaressursiteenusega 3.0 puudub </w:t>
      </w:r>
      <w:r w:rsidR="007E2780">
        <w:t>VEKJ korral ülekandevõrgu osa</w:t>
      </w:r>
      <w:r w:rsidR="00D6605B">
        <w:t>.</w:t>
      </w:r>
    </w:p>
    <w:p w14:paraId="4F23A29F" w14:textId="309A12B0" w:rsidR="00E82C6B" w:rsidRDefault="006E164E" w:rsidP="00A500BC">
      <w:r>
        <w:t>TTJA nõustub, et VEKJ hind</w:t>
      </w:r>
      <w:r w:rsidR="00F43BB5">
        <w:t>a ei tohi arvestada kulusid, mis on seotud Telia ülekandevõrguga.</w:t>
      </w:r>
    </w:p>
    <w:p w14:paraId="1D28E8C0" w14:textId="76168F91" w:rsidR="007434CF" w:rsidRDefault="007434CF" w:rsidP="00A500BC"/>
    <w:p w14:paraId="2BA0A5DE" w14:textId="7520CFCF" w:rsidR="0075551A" w:rsidRDefault="0075551A" w:rsidP="00911DE2">
      <w:pPr>
        <w:pStyle w:val="Pealkiri3"/>
      </w:pPr>
      <w:bookmarkStart w:id="45" w:name="_Toc182488053"/>
      <w:r>
        <w:t xml:space="preserve">Viide BERECi seisukohale virtuaalselt eraldatud kliendiliinile juurdepääsu </w:t>
      </w:r>
      <w:r w:rsidR="00911DE2">
        <w:t>kohustuse osas</w:t>
      </w:r>
      <w:bookmarkEnd w:id="45"/>
    </w:p>
    <w:p w14:paraId="0D41B244" w14:textId="77777777" w:rsidR="00E82C6B" w:rsidRDefault="00E82C6B" w:rsidP="00A500BC"/>
    <w:p w14:paraId="0AB3DA3C" w14:textId="16F020BB" w:rsidR="00DF00B2" w:rsidRDefault="00911DE2" w:rsidP="00A500BC">
      <w:r>
        <w:t>TTJA 2024 hulgituru 1 ja 3b otsuse kavandi</w:t>
      </w:r>
      <w:r w:rsidR="00B33BC4">
        <w:t xml:space="preserve"> </w:t>
      </w:r>
      <w:r w:rsidR="00735C9A">
        <w:t>ptk.-</w:t>
      </w:r>
      <w:r w:rsidR="00B33BC4">
        <w:t xml:space="preserve">s </w:t>
      </w:r>
      <w:r w:rsidR="009A678E">
        <w:t>7.3.5 on sätestatud järgnev kohustus Teliale:</w:t>
      </w:r>
    </w:p>
    <w:p w14:paraId="0ABFC86B" w14:textId="39A60AA7" w:rsidR="00432C31" w:rsidRPr="00432C31" w:rsidRDefault="00432C31" w:rsidP="005E06DE">
      <w:pPr>
        <w:ind w:left="720"/>
      </w:pPr>
      <w:r w:rsidRPr="00432C31">
        <w:t>Valguskaabelvõrgus B piirkonna hulgituru 1 teenuste osas otsustab TTJA kohustada Teliat nimetatud hulgiturul juurdepääsust keeldumise ja viivitamisega seotud konkurentsiprobleemide vältimiseks, sideteenuste turgudel konkurentsi moonutamise takistamise ärahoidmiseks ning lõppkasutajate huvide kaitseks ESS alusel:</w:t>
      </w:r>
    </w:p>
    <w:p w14:paraId="5E46E484" w14:textId="0B807201" w:rsidR="009A678E" w:rsidRDefault="00CF7833" w:rsidP="005E06DE">
      <w:pPr>
        <w:ind w:firstLine="720"/>
      </w:pPr>
      <w:r>
        <w:t>…</w:t>
      </w:r>
    </w:p>
    <w:p w14:paraId="414ADE31" w14:textId="7D8EBC7F" w:rsidR="00CF7833" w:rsidRDefault="00F3058F" w:rsidP="005E06DE">
      <w:pPr>
        <w:ind w:left="720"/>
      </w:pPr>
      <w:r w:rsidRPr="00F3058F">
        <w:t>2)</w:t>
      </w:r>
      <w:r w:rsidRPr="00F3058F">
        <w:tab/>
        <w:t xml:space="preserve">pakkuma ja võimaldama juurdepääsu valguskaabli füüsiliselt eraldatud kliendiliini vabale mahule ja valguskaabli virtuaalselt eraldatud kliendiliini vabale mahule   lähtudes </w:t>
      </w:r>
      <w:proofErr w:type="spellStart"/>
      <w:r w:rsidRPr="00F3058F">
        <w:t>BEREC-i</w:t>
      </w:r>
      <w:proofErr w:type="spellEnd"/>
      <w:r w:rsidRPr="00F3058F">
        <w:t xml:space="preserve"> </w:t>
      </w:r>
      <w:proofErr w:type="spellStart"/>
      <w:r w:rsidRPr="00F3058F">
        <w:t>BoR</w:t>
      </w:r>
      <w:proofErr w:type="spellEnd"/>
      <w:r w:rsidRPr="00F3058F">
        <w:t xml:space="preserve"> (15) 133 raportis  kirjeldatud vastava toote üldistest omadustest;</w:t>
      </w:r>
    </w:p>
    <w:p w14:paraId="705A4452" w14:textId="77777777" w:rsidR="005E06DE" w:rsidRDefault="005E06DE" w:rsidP="00A500BC"/>
    <w:p w14:paraId="29D59DF6" w14:textId="42C65B09" w:rsidR="005E06DE" w:rsidRDefault="005E06DE" w:rsidP="00A500BC">
      <w:r>
        <w:t xml:space="preserve">Eeltoodud Elisa riigisisese konsultatsiooni tagasisides on Elisa esitanud arvamuse, et </w:t>
      </w:r>
      <w:r w:rsidR="005C0333">
        <w:t>kohustuses viidatud BERECi 20</w:t>
      </w:r>
      <w:r w:rsidR="00C3320D">
        <w:t>1</w:t>
      </w:r>
      <w:r w:rsidR="005C0333">
        <w:t xml:space="preserve">5 aasta raport </w:t>
      </w:r>
      <w:r w:rsidR="00C3320D">
        <w:t>(</w:t>
      </w:r>
      <w:proofErr w:type="spellStart"/>
      <w:r w:rsidR="00C3320D" w:rsidRPr="00C3320D">
        <w:t>BoR</w:t>
      </w:r>
      <w:proofErr w:type="spellEnd"/>
      <w:r w:rsidR="00C3320D" w:rsidRPr="00C3320D">
        <w:t xml:space="preserve"> (15) 133</w:t>
      </w:r>
      <w:r w:rsidR="00C3320D">
        <w:t>)</w:t>
      </w:r>
      <w:r w:rsidR="00C3320D" w:rsidRPr="00C3320D">
        <w:t xml:space="preserve"> </w:t>
      </w:r>
      <w:r w:rsidR="005C0333">
        <w:t xml:space="preserve">võib olla vananenud, kuna </w:t>
      </w:r>
      <w:r w:rsidR="00C3320D">
        <w:t xml:space="preserve">BEREC on samal teemal avaldanud </w:t>
      </w:r>
      <w:r w:rsidR="009D2AB7">
        <w:t xml:space="preserve">ka 2016 aastal seisukohad, täpsemalt </w:t>
      </w:r>
      <w:proofErr w:type="spellStart"/>
      <w:r w:rsidR="000867B1" w:rsidRPr="000867B1">
        <w:t>BEREC-i</w:t>
      </w:r>
      <w:proofErr w:type="spellEnd"/>
      <w:r w:rsidR="000867B1" w:rsidRPr="000867B1">
        <w:t xml:space="preserve"> 2016 seisukohad VEKJ tingimuste osas</w:t>
      </w:r>
      <w:r w:rsidR="000867B1">
        <w:t xml:space="preserve"> (</w:t>
      </w:r>
      <w:proofErr w:type="spellStart"/>
      <w:r w:rsidR="001C75A5" w:rsidRPr="001C75A5">
        <w:t>BoR</w:t>
      </w:r>
      <w:proofErr w:type="spellEnd"/>
      <w:r w:rsidR="001C75A5" w:rsidRPr="001C75A5">
        <w:t xml:space="preserve"> (16) 162)</w:t>
      </w:r>
      <w:r w:rsidR="001C75A5">
        <w:t xml:space="preserve">. </w:t>
      </w:r>
    </w:p>
    <w:p w14:paraId="501C6DCF" w14:textId="365921CE" w:rsidR="001C75A5" w:rsidRDefault="001C75A5" w:rsidP="00A500BC">
      <w:r>
        <w:t xml:space="preserve">TTJA nõustub Elisaga ja asendab </w:t>
      </w:r>
      <w:r w:rsidR="00A26322">
        <w:t>eelnimetatud kohustuste osas BERECi</w:t>
      </w:r>
      <w:r w:rsidR="00A22AEA">
        <w:t xml:space="preserve"> vanema (2015)</w:t>
      </w:r>
      <w:r w:rsidR="00A26322">
        <w:t xml:space="preserve"> raporti </w:t>
      </w:r>
      <w:r w:rsidR="00A22AEA">
        <w:t xml:space="preserve">BERECi </w:t>
      </w:r>
      <w:r w:rsidR="00A26322">
        <w:t xml:space="preserve">uuema </w:t>
      </w:r>
      <w:r w:rsidR="00A22AEA">
        <w:t>(2016) seisukohtadega</w:t>
      </w:r>
      <w:r w:rsidR="006F6C8A">
        <w:t>.</w:t>
      </w:r>
    </w:p>
    <w:p w14:paraId="4EE41E12" w14:textId="77777777" w:rsidR="0091254B" w:rsidRDefault="0091254B" w:rsidP="00A500BC"/>
    <w:p w14:paraId="3C683E75" w14:textId="12723A3A" w:rsidR="006C45AD" w:rsidRPr="006C45AD" w:rsidRDefault="0038084E" w:rsidP="006C45AD">
      <w:pPr>
        <w:pStyle w:val="Pealkiri1"/>
      </w:pPr>
      <w:bookmarkStart w:id="46" w:name="_Toc182488054"/>
      <w:r>
        <w:t>Asendusteenuste j</w:t>
      </w:r>
      <w:r w:rsidR="006C45AD" w:rsidRPr="006C45AD">
        <w:t>ärjekord</w:t>
      </w:r>
      <w:r w:rsidR="00354894">
        <w:t xml:space="preserve"> sidekaablitaristus sidekaabli vaba paigalduskoha puudumise korral</w:t>
      </w:r>
      <w:bookmarkEnd w:id="46"/>
      <w:r w:rsidR="006C45AD" w:rsidRPr="006C45AD">
        <w:t xml:space="preserve"> </w:t>
      </w:r>
    </w:p>
    <w:p w14:paraId="482F6688" w14:textId="77777777" w:rsidR="00524CB8" w:rsidRPr="00A500BC" w:rsidRDefault="00524CB8" w:rsidP="00A500BC"/>
    <w:p w14:paraId="7A1DCEF9" w14:textId="56AB6B83" w:rsidR="00593917" w:rsidRDefault="00593917" w:rsidP="00593917">
      <w:pPr>
        <w:pStyle w:val="Pealkiri2"/>
      </w:pPr>
      <w:bookmarkStart w:id="47" w:name="_Toc182488055"/>
      <w:r>
        <w:lastRenderedPageBreak/>
        <w:t>Elisa</w:t>
      </w:r>
      <w:bookmarkEnd w:id="47"/>
    </w:p>
    <w:p w14:paraId="12A4D941" w14:textId="77777777" w:rsidR="00593917" w:rsidRDefault="00593917" w:rsidP="00593917"/>
    <w:p w14:paraId="670674DE" w14:textId="47E4039F" w:rsidR="002E052B" w:rsidRPr="001600B5" w:rsidRDefault="001600B5" w:rsidP="00593917">
      <w:pPr>
        <w:rPr>
          <w:bCs/>
          <w:i/>
          <w:iCs/>
        </w:rPr>
      </w:pPr>
      <w:r w:rsidRPr="001600B5">
        <w:rPr>
          <w:bCs/>
          <w:i/>
          <w:iCs/>
        </w:rPr>
        <w:t xml:space="preserve">4.3 </w:t>
      </w:r>
      <w:r w:rsidR="00696D06" w:rsidRPr="001600B5">
        <w:rPr>
          <w:bCs/>
          <w:i/>
          <w:iCs/>
        </w:rPr>
        <w:t>Järjekord – algul juurdepääs (a) sidetorule või (b) alamtorule ja seejärel (c) füüsiline juurdepääs või selle võimatusel (d) virtuaalne juurdepääs Telia sidekaablile.</w:t>
      </w:r>
    </w:p>
    <w:p w14:paraId="7865BADD" w14:textId="40891C10" w:rsidR="00593917" w:rsidRPr="00593917" w:rsidRDefault="00593917" w:rsidP="00593917">
      <w:pPr>
        <w:rPr>
          <w:i/>
          <w:iCs/>
        </w:rPr>
      </w:pPr>
      <w:r w:rsidRPr="00593917">
        <w:rPr>
          <w:i/>
          <w:iCs/>
        </w:rPr>
        <w:t xml:space="preserve">TTJA otsustes, mis puudutavad Telia sidekaabli </w:t>
      </w:r>
      <w:r w:rsidRPr="00593917">
        <w:rPr>
          <w:i/>
          <w:iCs/>
          <w:u w:val="single"/>
        </w:rPr>
        <w:t>füüsilisele</w:t>
      </w:r>
      <w:r w:rsidRPr="00593917">
        <w:rPr>
          <w:i/>
          <w:iCs/>
        </w:rPr>
        <w:t xml:space="preserve"> taristule juurdepääsu või sidekaablile </w:t>
      </w:r>
      <w:r w:rsidRPr="00593917">
        <w:rPr>
          <w:i/>
          <w:iCs/>
          <w:u w:val="single"/>
        </w:rPr>
        <w:t>kohalikku</w:t>
      </w:r>
      <w:r w:rsidRPr="00593917">
        <w:rPr>
          <w:i/>
          <w:iCs/>
        </w:rPr>
        <w:t xml:space="preserve"> juurdepääsu, tuleb sätestada ja tagada erinevate reguleeritud juurdepääsuviiside ja alternatiivide pakkumise selge järjekord (prioriteetsus), st Telia kohustus pakkuda ja võimaldada: </w:t>
      </w:r>
    </w:p>
    <w:p w14:paraId="384C8233" w14:textId="15C08D17" w:rsidR="00593917" w:rsidRPr="0096686F" w:rsidRDefault="00593917" w:rsidP="0096686F">
      <w:pPr>
        <w:pStyle w:val="Loendilik"/>
        <w:numPr>
          <w:ilvl w:val="0"/>
          <w:numId w:val="31"/>
        </w:numPr>
        <w:rPr>
          <w:i/>
          <w:iCs/>
        </w:rPr>
      </w:pPr>
      <w:r w:rsidRPr="0096686F">
        <w:rPr>
          <w:i/>
          <w:iCs/>
        </w:rPr>
        <w:t xml:space="preserve">esimese asjana valguskaabli paigalduskohta Telia sidetorus; ja </w:t>
      </w:r>
    </w:p>
    <w:p w14:paraId="29444BB8" w14:textId="548BA36D" w:rsidR="00593917" w:rsidRPr="00F35B7A" w:rsidRDefault="00593917">
      <w:pPr>
        <w:numPr>
          <w:ilvl w:val="0"/>
          <w:numId w:val="31"/>
        </w:numPr>
        <w:rPr>
          <w:i/>
          <w:iCs/>
        </w:rPr>
      </w:pPr>
      <w:r w:rsidRPr="00F35B7A">
        <w:rPr>
          <w:i/>
          <w:iCs/>
        </w:rPr>
        <w:t xml:space="preserve">Telia sidetorus vaba paigalduskoha puudumisel kõigepealt nn alamtorule juurdepääsu, st alamtorus paigalduskoha renti, ja alles selle puudumisel või kui ANO seda ei soovi, siis juurdepääsu Telia valguskaablile (kiu renti) ning sellisel juhul </w:t>
      </w:r>
    </w:p>
    <w:p w14:paraId="3C19A6BD" w14:textId="77777777" w:rsidR="00593917" w:rsidRPr="00593917" w:rsidRDefault="00593917" w:rsidP="00593917">
      <w:pPr>
        <w:numPr>
          <w:ilvl w:val="0"/>
          <w:numId w:val="31"/>
        </w:numPr>
        <w:rPr>
          <w:i/>
          <w:iCs/>
        </w:rPr>
      </w:pPr>
      <w:r w:rsidRPr="00593917">
        <w:rPr>
          <w:i/>
          <w:iCs/>
        </w:rPr>
        <w:t xml:space="preserve">kõigepealt füüsilist juurdepääsu Telia valguskaablile; ja siis </w:t>
      </w:r>
    </w:p>
    <w:p w14:paraId="3F1E72C8" w14:textId="77777777" w:rsidR="00593917" w:rsidRPr="00593917" w:rsidRDefault="00593917" w:rsidP="00593917">
      <w:pPr>
        <w:numPr>
          <w:ilvl w:val="0"/>
          <w:numId w:val="31"/>
        </w:numPr>
        <w:rPr>
          <w:i/>
          <w:iCs/>
        </w:rPr>
      </w:pPr>
      <w:r w:rsidRPr="00593917">
        <w:rPr>
          <w:i/>
          <w:iCs/>
        </w:rPr>
        <w:t xml:space="preserve">virtuaalset juurdepääsu Telia valguskaablile juhul kui (i) füüsiline juurdepääs optikale on võimatu või (ii) ANO ise eelistab virtuaalset juurdepääsu (VULA) valguskaablile. </w:t>
      </w:r>
    </w:p>
    <w:p w14:paraId="0E263F7F" w14:textId="77777777" w:rsidR="00593917" w:rsidRPr="00593917" w:rsidRDefault="00593917" w:rsidP="00593917">
      <w:pPr>
        <w:rPr>
          <w:i/>
          <w:iCs/>
        </w:rPr>
      </w:pPr>
      <w:r w:rsidRPr="00593917">
        <w:rPr>
          <w:i/>
          <w:iCs/>
        </w:rPr>
        <w:t xml:space="preserve"> </w:t>
      </w:r>
    </w:p>
    <w:p w14:paraId="6C5EA0A2" w14:textId="77777777" w:rsidR="00593917" w:rsidRPr="00593917" w:rsidRDefault="00593917" w:rsidP="00593917">
      <w:pPr>
        <w:rPr>
          <w:i/>
          <w:iCs/>
        </w:rPr>
      </w:pPr>
      <w:r w:rsidRPr="00593917">
        <w:rPr>
          <w:i/>
          <w:iCs/>
          <w:u w:val="single"/>
        </w:rPr>
        <w:t>Märkus</w:t>
      </w:r>
      <w:r w:rsidRPr="00593917">
        <w:rPr>
          <w:i/>
          <w:iCs/>
        </w:rPr>
        <w:t xml:space="preserve">: viimase variandi ja hädalahendusena on </w:t>
      </w:r>
      <w:r w:rsidRPr="00593917">
        <w:rPr>
          <w:i/>
          <w:iCs/>
          <w:u w:val="single"/>
        </w:rPr>
        <w:t>keskne</w:t>
      </w:r>
      <w:r w:rsidRPr="00593917">
        <w:rPr>
          <w:i/>
          <w:iCs/>
        </w:rPr>
        <w:t xml:space="preserve"> juurdepääs teatud olukordades vajalik mingigi (jae) konkurentsi säilitamiseks. Kuid see ei asenda </w:t>
      </w:r>
      <w:r w:rsidRPr="00593917">
        <w:rPr>
          <w:i/>
          <w:iCs/>
          <w:u w:val="single"/>
        </w:rPr>
        <w:t>kohalikku</w:t>
      </w:r>
      <w:r w:rsidRPr="00593917">
        <w:rPr>
          <w:i/>
          <w:iCs/>
        </w:rPr>
        <w:t xml:space="preserve"> juurdepääsu ja ei ole sellele asendusteenus.</w:t>
      </w:r>
      <w:r w:rsidRPr="00593917">
        <w:rPr>
          <w:i/>
          <w:iCs/>
          <w:vertAlign w:val="superscript"/>
        </w:rPr>
        <w:t>17</w:t>
      </w:r>
      <w:r w:rsidRPr="00593917">
        <w:rPr>
          <w:i/>
          <w:iCs/>
        </w:rPr>
        <w:t xml:space="preserve"> Seetõttu on mõistlik, et ülal viidatud kohaliku juurdepääsu alternatiivsete viiside pakkumise (prioriteetsuse) järjekorras seda eraldi ei mainita – eriti nüüd, mil keskset ja kohalikku juurdepääsu soovitakse reguleerida ühes dokumendis. </w:t>
      </w:r>
    </w:p>
    <w:p w14:paraId="50C92A44" w14:textId="654E591E" w:rsidR="00593917" w:rsidRPr="00593917" w:rsidRDefault="00593917" w:rsidP="00593917">
      <w:pPr>
        <w:rPr>
          <w:i/>
          <w:iCs/>
        </w:rPr>
      </w:pPr>
      <w:r w:rsidRPr="00593917">
        <w:rPr>
          <w:i/>
          <w:iCs/>
        </w:rPr>
        <w:t xml:space="preserve"> Oluline on hoopis see, et nii nagu ta tegi 2023-T1-kavandis</w:t>
      </w:r>
      <w:r w:rsidRPr="00593917">
        <w:rPr>
          <w:i/>
          <w:iCs/>
          <w:vertAlign w:val="superscript"/>
        </w:rPr>
        <w:t>18</w:t>
      </w:r>
      <w:r w:rsidRPr="00593917">
        <w:rPr>
          <w:i/>
          <w:iCs/>
        </w:rPr>
        <w:t xml:space="preserve">, ütleks TTJA uues kavandis selgelt välja, et keskne juurdepääs ei ole kohalikule juurdepääsule asendusteenuseks: </w:t>
      </w:r>
    </w:p>
    <w:p w14:paraId="26C218BB" w14:textId="76FA35E3" w:rsidR="00593917" w:rsidRPr="00593917" w:rsidRDefault="00593917" w:rsidP="00593917">
      <w:pPr>
        <w:rPr>
          <w:i/>
          <w:iCs/>
        </w:rPr>
      </w:pPr>
      <w:r w:rsidRPr="00593917">
        <w:rPr>
          <w:i/>
          <w:iCs/>
        </w:rPr>
        <w:t xml:space="preserve"> „3.2.3.4 ... keskse juurdepääsu teenus (</w:t>
      </w:r>
      <w:proofErr w:type="spellStart"/>
      <w:r w:rsidRPr="00593917">
        <w:rPr>
          <w:i/>
          <w:iCs/>
        </w:rPr>
        <w:t>wholesale</w:t>
      </w:r>
      <w:proofErr w:type="spellEnd"/>
      <w:r w:rsidRPr="00593917">
        <w:rPr>
          <w:i/>
          <w:iCs/>
        </w:rPr>
        <w:t xml:space="preserve"> </w:t>
      </w:r>
      <w:proofErr w:type="spellStart"/>
      <w:r w:rsidRPr="00593917">
        <w:rPr>
          <w:i/>
          <w:iCs/>
        </w:rPr>
        <w:t>central</w:t>
      </w:r>
      <w:proofErr w:type="spellEnd"/>
      <w:r w:rsidRPr="00593917">
        <w:rPr>
          <w:i/>
          <w:iCs/>
        </w:rPr>
        <w:t xml:space="preserve"> </w:t>
      </w:r>
      <w:proofErr w:type="spellStart"/>
      <w:r w:rsidRPr="00593917">
        <w:rPr>
          <w:i/>
          <w:iCs/>
        </w:rPr>
        <w:t>access</w:t>
      </w:r>
      <w:proofErr w:type="spellEnd"/>
      <w:r w:rsidRPr="00593917">
        <w:rPr>
          <w:i/>
          <w:iCs/>
        </w:rPr>
        <w:t xml:space="preserve"> </w:t>
      </w:r>
      <w:proofErr w:type="spellStart"/>
      <w:r w:rsidRPr="00593917">
        <w:rPr>
          <w:i/>
          <w:iCs/>
        </w:rPr>
        <w:t>provided</w:t>
      </w:r>
      <w:proofErr w:type="spellEnd"/>
      <w:r w:rsidRPr="00593917">
        <w:rPr>
          <w:i/>
          <w:iCs/>
        </w:rPr>
        <w:t xml:space="preserve"> at a </w:t>
      </w:r>
      <w:proofErr w:type="spellStart"/>
      <w:r w:rsidRPr="00593917">
        <w:rPr>
          <w:i/>
          <w:iCs/>
        </w:rPr>
        <w:t>fixed</w:t>
      </w:r>
      <w:proofErr w:type="spellEnd"/>
      <w:r w:rsidRPr="00593917">
        <w:rPr>
          <w:i/>
          <w:iCs/>
        </w:rPr>
        <w:t xml:space="preserve"> </w:t>
      </w:r>
      <w:proofErr w:type="spellStart"/>
      <w:r w:rsidRPr="00593917">
        <w:rPr>
          <w:i/>
          <w:iCs/>
        </w:rPr>
        <w:t>location</w:t>
      </w:r>
      <w:proofErr w:type="spellEnd"/>
      <w:r w:rsidRPr="00593917">
        <w:rPr>
          <w:i/>
          <w:iCs/>
        </w:rPr>
        <w:t>) [145]: TTJA analüüsis, kuivõrd võib kohaliku juurdepääsu hulgiteenuse asendusteenuseks olla ... keskse juurdepääsu hulgiteenus [ja] leidis, et [need] teenused ei ole teineteisele asendusteenusteks, kuna keskse juurdepääsu ... funktsionaalsus võimaldab hulgiteenuse kasutajal oma jaeteenuseid vähem kontrollida (omaduste ja hinna poolest), kui seda võimalda[b] kohalik juurdepääs.“</w:t>
      </w:r>
      <w:r w:rsidRPr="00593917">
        <w:rPr>
          <w:i/>
          <w:iCs/>
          <w:vertAlign w:val="superscript"/>
        </w:rPr>
        <w:t>19</w:t>
      </w:r>
      <w:r w:rsidRPr="00593917">
        <w:rPr>
          <w:i/>
          <w:iCs/>
        </w:rPr>
        <w:t xml:space="preserve"> </w:t>
      </w:r>
    </w:p>
    <w:p w14:paraId="2752311E" w14:textId="6BAA7B12" w:rsidR="00593917" w:rsidRDefault="00593917" w:rsidP="00593917">
      <w:pPr>
        <w:rPr>
          <w:i/>
          <w:iCs/>
        </w:rPr>
      </w:pPr>
      <w:r w:rsidRPr="00593917">
        <w:rPr>
          <w:i/>
          <w:iCs/>
        </w:rPr>
        <w:t xml:space="preserve"> Keskne </w:t>
      </w:r>
      <w:proofErr w:type="spellStart"/>
      <w:r w:rsidRPr="00593917">
        <w:rPr>
          <w:i/>
          <w:iCs/>
        </w:rPr>
        <w:t>hulgijuurdepääs</w:t>
      </w:r>
      <w:proofErr w:type="spellEnd"/>
      <w:r w:rsidRPr="00593917">
        <w:rPr>
          <w:i/>
          <w:iCs/>
        </w:rPr>
        <w:t xml:space="preserve"> ei ole ebaoluline. Kuid sellega ei saa põhjendada kohaliku juurdepääsu puudumist või pisendada kohaliku juurdepääsu tähtsust ja vajalikkust. </w:t>
      </w:r>
    </w:p>
    <w:p w14:paraId="58A2A01A" w14:textId="77777777" w:rsidR="00D13575" w:rsidRPr="00EC4911" w:rsidRDefault="00D13575" w:rsidP="00593917">
      <w:pPr>
        <w:rPr>
          <w:bCs/>
          <w:i/>
          <w:iCs/>
        </w:rPr>
      </w:pPr>
    </w:p>
    <w:p w14:paraId="222C5146" w14:textId="3231EE20" w:rsidR="00D13575" w:rsidRPr="00D13575" w:rsidRDefault="002E052B" w:rsidP="00D13575">
      <w:pPr>
        <w:rPr>
          <w:bCs/>
          <w:i/>
          <w:iCs/>
        </w:rPr>
      </w:pPr>
      <w:r w:rsidRPr="00EC4911">
        <w:rPr>
          <w:bCs/>
          <w:i/>
          <w:iCs/>
        </w:rPr>
        <w:t xml:space="preserve">5. </w:t>
      </w:r>
      <w:r w:rsidR="00D13575" w:rsidRPr="00D13575">
        <w:rPr>
          <w:bCs/>
          <w:i/>
          <w:iCs/>
        </w:rPr>
        <w:t xml:space="preserve">Põhimõttelist laadi täiendus – juurdepääs Telia valguskaablile piirkonnas A juhul kui ANO Telia sidetorusse sidekaabli või alamtoru paigalduskohta ei saa – tingimused </w:t>
      </w:r>
    </w:p>
    <w:p w14:paraId="1936B7E9" w14:textId="77777777" w:rsidR="00D13575" w:rsidRPr="00D13575" w:rsidRDefault="00D13575" w:rsidP="00D13575">
      <w:pPr>
        <w:rPr>
          <w:i/>
          <w:iCs/>
        </w:rPr>
      </w:pPr>
      <w:r w:rsidRPr="00D13575">
        <w:rPr>
          <w:i/>
          <w:iCs/>
        </w:rPr>
        <w:t xml:space="preserve"> </w:t>
      </w:r>
    </w:p>
    <w:p w14:paraId="45D45817" w14:textId="3C2E848E" w:rsidR="00D13575" w:rsidRPr="00D13575" w:rsidRDefault="00D13575" w:rsidP="00D13575">
      <w:pPr>
        <w:rPr>
          <w:i/>
          <w:iCs/>
        </w:rPr>
      </w:pPr>
      <w:r w:rsidRPr="00D13575">
        <w:rPr>
          <w:i/>
          <w:iCs/>
        </w:rPr>
        <w:lastRenderedPageBreak/>
        <w:t xml:space="preserve">ST hulgituru kavand nr 2 sätestab, et juhul kui Telia sidekaablitaristus vaba paigalduskoht ANO sidekaabli (või alamtoru) paigaldamiseks puudub, siis on Telial kohustus </w:t>
      </w:r>
      <w:r w:rsidRPr="00D13575">
        <w:rPr>
          <w:i/>
          <w:iCs/>
          <w:u w:val="single"/>
        </w:rPr>
        <w:t>alternatiivina</w:t>
      </w:r>
      <w:r w:rsidRPr="00D13575">
        <w:rPr>
          <w:i/>
          <w:iCs/>
        </w:rPr>
        <w:t xml:space="preserve">  </w:t>
      </w:r>
    </w:p>
    <w:p w14:paraId="7E44477D" w14:textId="77777777" w:rsidR="00D13575" w:rsidRPr="00D13575" w:rsidRDefault="00D13575" w:rsidP="00D13575">
      <w:pPr>
        <w:numPr>
          <w:ilvl w:val="0"/>
          <w:numId w:val="32"/>
        </w:numPr>
        <w:rPr>
          <w:i/>
          <w:iCs/>
        </w:rPr>
      </w:pPr>
      <w:r w:rsidRPr="00D13575">
        <w:rPr>
          <w:i/>
          <w:iCs/>
        </w:rPr>
        <w:t xml:space="preserve">pakkuda juurdepääsu oma </w:t>
      </w:r>
      <w:r w:rsidRPr="00D13575">
        <w:rPr>
          <w:i/>
          <w:iCs/>
          <w:u w:val="single"/>
        </w:rPr>
        <w:t>sidekaablile</w:t>
      </w:r>
      <w:r w:rsidRPr="00D13575">
        <w:rPr>
          <w:i/>
          <w:iCs/>
        </w:rPr>
        <w:t xml:space="preserve"> (sh vabadele valguskaabli kiududele) ning  </w:t>
      </w:r>
    </w:p>
    <w:p w14:paraId="1C777E26" w14:textId="77777777" w:rsidR="00D13575" w:rsidRPr="00D13575" w:rsidRDefault="00D13575" w:rsidP="00D13575">
      <w:pPr>
        <w:numPr>
          <w:ilvl w:val="0"/>
          <w:numId w:val="32"/>
        </w:numPr>
        <w:rPr>
          <w:i/>
          <w:iCs/>
        </w:rPr>
      </w:pPr>
      <w:r w:rsidRPr="00D13575">
        <w:rPr>
          <w:i/>
          <w:iCs/>
        </w:rPr>
        <w:t>teha seda „kuludele orienteeritud hinnaga, mis on arvestatud kooskõlas talle kehtestatud hinnaarvestuse kohustuste ja meetodiga.“</w:t>
      </w:r>
      <w:r w:rsidRPr="00D13575">
        <w:rPr>
          <w:i/>
          <w:iCs/>
          <w:vertAlign w:val="superscript"/>
        </w:rPr>
        <w:t>20</w:t>
      </w:r>
      <w:r w:rsidRPr="00D13575">
        <w:rPr>
          <w:i/>
          <w:iCs/>
        </w:rPr>
        <w:t xml:space="preserve"> </w:t>
      </w:r>
    </w:p>
    <w:p w14:paraId="4123293D" w14:textId="0A951AD1" w:rsidR="00D13575" w:rsidRPr="00D13575" w:rsidRDefault="00D13575" w:rsidP="00D13575">
      <w:pPr>
        <w:rPr>
          <w:i/>
          <w:iCs/>
        </w:rPr>
      </w:pPr>
      <w:r w:rsidRPr="00D13575">
        <w:rPr>
          <w:i/>
          <w:iCs/>
        </w:rPr>
        <w:t xml:space="preserve"> Teisisõnu, juhul kui ANO ei saa </w:t>
      </w:r>
      <w:r w:rsidRPr="00D13575">
        <w:rPr>
          <w:i/>
          <w:iCs/>
          <w:u w:val="single"/>
        </w:rPr>
        <w:t>piirkonnas A</w:t>
      </w:r>
      <w:r w:rsidRPr="00D13575">
        <w:rPr>
          <w:i/>
          <w:iCs/>
        </w:rPr>
        <w:t xml:space="preserve"> juurdepääsu Telia sidetorule, siis peab Telia andma talle alternatiivina (nö alternatiivkohustus) piirkonnas A juurdepääsu oma sidekaablile hoolimata sellest, et nö põhikohustusena on tal selline MTE kohustus, kohaliku juurdepääsu otsuse alusel, üksnes piirkonnas B ja ainult valguskaablivõrgu suhtes. </w:t>
      </w:r>
    </w:p>
    <w:p w14:paraId="68CBEF95" w14:textId="3C3E4E7D" w:rsidR="00D13575" w:rsidRPr="00D13575" w:rsidRDefault="00D13575" w:rsidP="00D13575">
      <w:pPr>
        <w:rPr>
          <w:i/>
          <w:iCs/>
        </w:rPr>
      </w:pPr>
      <w:r w:rsidRPr="00D13575">
        <w:rPr>
          <w:i/>
          <w:iCs/>
        </w:rPr>
        <w:t xml:space="preserve"> Elisa on jätkuvalt seda meelt, et tegemist on igati vajaliku ning erinevaid eesmärke ja huve õigesti ja mõistlikult tasakaalustava lahendusega. Regulatsioon peaks </w:t>
      </w:r>
      <w:proofErr w:type="spellStart"/>
      <w:r w:rsidRPr="00D13575">
        <w:rPr>
          <w:i/>
          <w:iCs/>
        </w:rPr>
        <w:t>prioriseerima</w:t>
      </w:r>
      <w:proofErr w:type="spellEnd"/>
      <w:r w:rsidRPr="00D13575">
        <w:rPr>
          <w:i/>
          <w:iCs/>
        </w:rPr>
        <w:t xml:space="preserve"> sidevõrgu arengut ja seega tõhusat juurdepääsu füüsilisele taristule, kuid ei saa unustada jaetasandi konkurentsi soodustamise ja edendamise eesmärki olukorras, kus see ei ole püsivalt või ajutiselt võimalik. </w:t>
      </w:r>
    </w:p>
    <w:p w14:paraId="72B306A9" w14:textId="77777777" w:rsidR="00D13575" w:rsidRPr="00D13575" w:rsidRDefault="00D13575" w:rsidP="00D13575">
      <w:pPr>
        <w:rPr>
          <w:i/>
          <w:iCs/>
        </w:rPr>
      </w:pPr>
      <w:r w:rsidRPr="00D13575">
        <w:rPr>
          <w:i/>
          <w:iCs/>
        </w:rPr>
        <w:t xml:space="preserve">Aga selleks, et kõnealune lahendus ka tegelikult ja eesmärgipäraselt tööle hakkaks, tuleb nii uut kavandit kui ST hulgituru otsuse kavandit nr 2 täiendada – seda nii, et oleks tagatud, et (i) Telia sidekaablile kohaliku juurdepääsu otsus ja (ii) Telia sidekaabli (füüsilisele) taristule juurdepääsu otsus oleksid omavahel </w:t>
      </w:r>
      <w:r w:rsidRPr="00D13575">
        <w:rPr>
          <w:i/>
          <w:iCs/>
          <w:u w:val="single"/>
        </w:rPr>
        <w:t>sünkroonis</w:t>
      </w:r>
      <w:r w:rsidRPr="00D13575">
        <w:rPr>
          <w:i/>
          <w:iCs/>
        </w:rPr>
        <w:t xml:space="preserve"> ning et juurdepääs Telia valguskaablile oleks mõlema otsuse alusel – ehk nii põhi- kui alternatiivses stsenaariumis – põhimõtteliselt </w:t>
      </w:r>
      <w:r w:rsidRPr="00D13575">
        <w:rPr>
          <w:i/>
          <w:iCs/>
          <w:u w:val="single"/>
        </w:rPr>
        <w:t>samasugune</w:t>
      </w:r>
      <w:r w:rsidRPr="00D13575">
        <w:rPr>
          <w:i/>
          <w:iCs/>
        </w:rPr>
        <w:t xml:space="preserve">. </w:t>
      </w:r>
    </w:p>
    <w:p w14:paraId="5A06D76E" w14:textId="08AFC6D3" w:rsidR="00D13575" w:rsidRPr="00D13575" w:rsidRDefault="00D13575" w:rsidP="00D13575">
      <w:pPr>
        <w:rPr>
          <w:i/>
          <w:iCs/>
        </w:rPr>
      </w:pPr>
      <w:r w:rsidRPr="00D13575">
        <w:rPr>
          <w:i/>
          <w:iCs/>
        </w:rPr>
        <w:t xml:space="preserve"> Järelikult peaks (i) uus kavand kajastama seda, et Telia valguskaablile juurdepääs ja vastav MTE kohustus kehtib ka piirkonnas A, aga üksnes ST hulgituru otsuses sätestatud juhul ja erisustega (kui neid on) ja (ii) ST hulgituru kavand nr 2 omakorda seda, et Telia valguskaablile juurdepääsu võimaldamine nö alternatiivina piirkonnas A toimub põhimõtteliselt samal viisil ja tingimustel kui nö põhikohustusena piirkonnas B. </w:t>
      </w:r>
    </w:p>
    <w:p w14:paraId="7928A4FD" w14:textId="07DB0E42" w:rsidR="00D13575" w:rsidRPr="00D13575" w:rsidRDefault="00D13575" w:rsidP="00D13575">
      <w:pPr>
        <w:rPr>
          <w:i/>
          <w:iCs/>
        </w:rPr>
      </w:pPr>
      <w:r w:rsidRPr="00D13575">
        <w:rPr>
          <w:bCs/>
          <w:i/>
          <w:iCs/>
        </w:rPr>
        <w:t xml:space="preserve"> Seega</w:t>
      </w:r>
      <w:r w:rsidRPr="00D13575">
        <w:rPr>
          <w:i/>
          <w:iCs/>
        </w:rPr>
        <w:t xml:space="preserve"> ST hulgituru otsus peab põhjendavas osas selgitama ja resolutiivosas vajalikul määral ka sätestama, et Telia valguskaablile juurdepääs sidetorule juurdepääsu </w:t>
      </w:r>
      <w:r w:rsidRPr="00D13575">
        <w:rPr>
          <w:i/>
          <w:iCs/>
          <w:u w:val="single"/>
        </w:rPr>
        <w:t>alternatiivina</w:t>
      </w:r>
      <w:r w:rsidRPr="00D13575">
        <w:rPr>
          <w:i/>
          <w:iCs/>
        </w:rPr>
        <w:t xml:space="preserve"> ST hulgituru otsuse alusel on (i) </w:t>
      </w:r>
      <w:r w:rsidRPr="00D13575">
        <w:rPr>
          <w:i/>
          <w:iCs/>
          <w:u w:val="single"/>
        </w:rPr>
        <w:t>mitte kitsama</w:t>
      </w:r>
      <w:r w:rsidRPr="00D13575">
        <w:rPr>
          <w:i/>
          <w:iCs/>
        </w:rPr>
        <w:t xml:space="preserve"> sisu ja ulatusega ning (ii) </w:t>
      </w:r>
      <w:r w:rsidRPr="00D13575">
        <w:rPr>
          <w:i/>
          <w:iCs/>
          <w:u w:val="single"/>
        </w:rPr>
        <w:t>mitte kehvematel</w:t>
      </w:r>
      <w:r w:rsidRPr="00D13575">
        <w:rPr>
          <w:i/>
          <w:iCs/>
        </w:rPr>
        <w:t xml:space="preserve"> tingimustel kui Telia valguskaablile juurdepääs nö põhikohustusena kohaliku juurdepääsu otsuse alusel (v.a. selles osas, et nö põhikohustus piirkonnas A ei kehti). </w:t>
      </w:r>
    </w:p>
    <w:p w14:paraId="085A5AF2" w14:textId="42C43852" w:rsidR="00D13575" w:rsidRPr="00D13575" w:rsidRDefault="00D13575" w:rsidP="00D13575">
      <w:pPr>
        <w:rPr>
          <w:i/>
          <w:iCs/>
        </w:rPr>
      </w:pPr>
      <w:r w:rsidRPr="00D13575">
        <w:rPr>
          <w:i/>
          <w:iCs/>
        </w:rPr>
        <w:t xml:space="preserve"> Muuhulgas peab ST hulgituru otsus sätestama ja kohaliku juurdepääsu otsus fikseerima, et Telia valguskaablile juurdepääs nö alternatiivkohustuse raames on samuti (a) nö reguleeritud hinnaga ja (b) hõlmab nii Telia valguskaabli kliendi- kui ka alamkliendiliini, mis on (c) füüsiliselt eraldatud või kui see ei ole võimalik, siis (d) virtuaalselt eraldatud – ning seda kõike kohaliku juurdepääsu otsuses sätestatud või selle alusel kehtestatud viisil ja tingimustel. </w:t>
      </w:r>
    </w:p>
    <w:p w14:paraId="588C2929" w14:textId="77777777" w:rsidR="00A500BC" w:rsidRDefault="00A500BC" w:rsidP="00A500BC"/>
    <w:p w14:paraId="6C7AD7B7" w14:textId="5580C170" w:rsidR="000915B3" w:rsidRDefault="000915B3" w:rsidP="000915B3">
      <w:pPr>
        <w:pStyle w:val="Pealkiri2"/>
      </w:pPr>
      <w:bookmarkStart w:id="48" w:name="_Toc182488056"/>
      <w:r>
        <w:t>TTJA</w:t>
      </w:r>
      <w:bookmarkEnd w:id="48"/>
    </w:p>
    <w:p w14:paraId="0BF27F4B" w14:textId="77777777" w:rsidR="000915B3" w:rsidRDefault="000915B3" w:rsidP="00A500BC"/>
    <w:p w14:paraId="11CE8733" w14:textId="54B2483C" w:rsidR="004B394F" w:rsidRDefault="004B394F" w:rsidP="004B394F">
      <w:r>
        <w:t xml:space="preserve">Nõustume, et </w:t>
      </w:r>
      <w:r w:rsidR="00870D2E">
        <w:t xml:space="preserve">taotletud sidekaabli </w:t>
      </w:r>
      <w:r>
        <w:t>paigalduskoha puudumisel side</w:t>
      </w:r>
      <w:r w:rsidR="00870D2E">
        <w:t>kaablitaristu</w:t>
      </w:r>
      <w:r w:rsidR="00060022">
        <w:t xml:space="preserve"> mõnes lõigus</w:t>
      </w:r>
      <w:r>
        <w:t xml:space="preserve"> peaks Telia pakkuma </w:t>
      </w:r>
      <w:r w:rsidR="00870D2E">
        <w:t>asendusteenus</w:t>
      </w:r>
      <w:r w:rsidR="008A5597">
        <w:t>t</w:t>
      </w:r>
      <w:r w:rsidR="006B608A">
        <w:t>,</w:t>
      </w:r>
      <w:r>
        <w:t xml:space="preserve"> n</w:t>
      </w:r>
      <w:r w:rsidR="008A5597">
        <w:t>äiteks</w:t>
      </w:r>
      <w:r>
        <w:t xml:space="preserve"> </w:t>
      </w:r>
      <w:r w:rsidR="001C5B29">
        <w:t xml:space="preserve">oma </w:t>
      </w:r>
      <w:r>
        <w:t xml:space="preserve">valguskaabli kiule </w:t>
      </w:r>
      <w:r w:rsidR="001C5B29">
        <w:t xml:space="preserve">või alamtorule </w:t>
      </w:r>
      <w:r>
        <w:lastRenderedPageBreak/>
        <w:t>juurdepääsu</w:t>
      </w:r>
      <w:r w:rsidR="006B608A">
        <w:t>,</w:t>
      </w:r>
      <w:r>
        <w:t xml:space="preserve"> ja seda kuludele orienteeritud hinnaga. Samas juhime tähelepanu, et </w:t>
      </w:r>
      <w:r w:rsidR="006B608A">
        <w:t>side</w:t>
      </w:r>
      <w:r>
        <w:t xml:space="preserve">kaablitaristule juurdepääsu </w:t>
      </w:r>
      <w:r w:rsidR="006B608A">
        <w:t>valdkonnaspetsiifi</w:t>
      </w:r>
      <w:r w:rsidR="001965E2">
        <w:t xml:space="preserve">list </w:t>
      </w:r>
      <w:r>
        <w:t xml:space="preserve">regulatsiooni sh Telia kohustusi </w:t>
      </w:r>
      <w:r w:rsidR="001965E2">
        <w:t xml:space="preserve">taotletud </w:t>
      </w:r>
      <w:r>
        <w:t xml:space="preserve">paigalduskoha puudumise korral, käsitleb </w:t>
      </w:r>
      <w:r w:rsidR="00371CE1">
        <w:t xml:space="preserve">vastav TTJA </w:t>
      </w:r>
      <w:r>
        <w:t>sidekaablitaristule juurdepääsu hulgituru otsus</w:t>
      </w:r>
      <w:r w:rsidR="00F5411A">
        <w:t>.</w:t>
      </w:r>
      <w:r>
        <w:t xml:space="preserve"> </w:t>
      </w:r>
      <w:r w:rsidR="006A77D3">
        <w:t xml:space="preserve">Regulatsioonide selguse tagamiseks </w:t>
      </w:r>
      <w:r>
        <w:t xml:space="preserve">ja segaduste vältimiseks on </w:t>
      </w:r>
      <w:r w:rsidR="006A77D3">
        <w:t>Telia kohustusi</w:t>
      </w:r>
      <w:r w:rsidR="00FD6B7B">
        <w:t xml:space="preserve"> taotletud</w:t>
      </w:r>
      <w:r w:rsidR="006A77D3">
        <w:t xml:space="preserve"> paigalduskoha puudumise</w:t>
      </w:r>
      <w:r w:rsidR="00FD6B7B">
        <w:t>l</w:t>
      </w:r>
      <w:r>
        <w:t xml:space="preserve"> mõistlik käsitleda ühe turu</w:t>
      </w:r>
      <w:r w:rsidR="00FD6B7B">
        <w:t xml:space="preserve"> raames</w:t>
      </w:r>
      <w:r>
        <w:t xml:space="preserve"> ehk sidekaablitaristule juurdepääsu hulgituru otsuse</w:t>
      </w:r>
      <w:r w:rsidR="00FD6B7B">
        <w:t xml:space="preserve"> raames</w:t>
      </w:r>
      <w:r w:rsidR="00EE16F9">
        <w:t xml:space="preserve"> ning</w:t>
      </w:r>
      <w:r>
        <w:t xml:space="preserve"> mitte lisada paigalduskoha puudumisega seotud </w:t>
      </w:r>
      <w:r w:rsidR="00EE16F9">
        <w:t>kohustusi näiteks</w:t>
      </w:r>
      <w:r>
        <w:t xml:space="preserve"> ka </w:t>
      </w:r>
      <w:r w:rsidR="00EE16F9">
        <w:t xml:space="preserve">TTJA koostatud </w:t>
      </w:r>
      <w:r>
        <w:t>sidevõrgule kohaliku ja keskse juurdepääsu hulgituru otsusesse.</w:t>
      </w:r>
    </w:p>
    <w:p w14:paraId="37866BE1" w14:textId="5659D85B" w:rsidR="009431C3" w:rsidRDefault="009113F7" w:rsidP="004B394F">
      <w:r>
        <w:t>Vaskkaablivõrgus üle-eestiliselt ja v</w:t>
      </w:r>
      <w:r w:rsidR="00091682">
        <w:t xml:space="preserve">alguskaablivõrgu </w:t>
      </w:r>
      <w:r w:rsidR="00CA34EA">
        <w:t>A piirkonna hulgitur</w:t>
      </w:r>
      <w:r w:rsidR="00D31AD5">
        <w:t>g</w:t>
      </w:r>
      <w:r w:rsidR="00BA3B88">
        <w:t>u</w:t>
      </w:r>
      <w:r w:rsidR="00D31AD5">
        <w:t xml:space="preserve"> 1 </w:t>
      </w:r>
      <w:r w:rsidR="009C06DA">
        <w:t xml:space="preserve">ja 3b </w:t>
      </w:r>
      <w:r w:rsidR="00D31AD5">
        <w:t xml:space="preserve">ei </w:t>
      </w:r>
      <w:r w:rsidR="00BA3B88">
        <w:t>ole põhjendatud valdkonnaspetsiifiliselt reguleerida</w:t>
      </w:r>
      <w:r w:rsidR="009A4163">
        <w:t>, kuna seal eksisteerib tõhus ja jätkusuutlik konkurents ning</w:t>
      </w:r>
      <w:r w:rsidR="00BA3B88">
        <w:t xml:space="preserve"> Telia</w:t>
      </w:r>
      <w:r w:rsidR="00F43BCA">
        <w:t>l</w:t>
      </w:r>
      <w:r w:rsidR="00BA3B88">
        <w:t xml:space="preserve"> puudub seal MTE staatus, </w:t>
      </w:r>
      <w:r w:rsidR="00590F7C">
        <w:t>mistõttu</w:t>
      </w:r>
      <w:r w:rsidR="00BA3B88">
        <w:t xml:space="preserve"> </w:t>
      </w:r>
      <w:r w:rsidR="009C06DA">
        <w:t xml:space="preserve">puudub Telial ka kohustus pakkuda </w:t>
      </w:r>
      <w:r w:rsidR="00590F7C">
        <w:t xml:space="preserve">vaskkaablivõrgus üle-eestiliselt ja valguskaablivõrgus </w:t>
      </w:r>
      <w:r w:rsidR="001C19B8">
        <w:t>A piirkonnas vastavate hulgiturgude tooteid, milleks o</w:t>
      </w:r>
      <w:r w:rsidR="0062782A">
        <w:t xml:space="preserve">n </w:t>
      </w:r>
      <w:r w:rsidR="00096882">
        <w:t xml:space="preserve">sidevõrgu </w:t>
      </w:r>
      <w:r w:rsidR="0062782A">
        <w:t xml:space="preserve">füüsiliselt ja virtuaalselt eraldatud kliendiliinile juurdepääs kohalikul tasandil ja </w:t>
      </w:r>
      <w:r w:rsidR="00096882">
        <w:t xml:space="preserve">sidevõrgu </w:t>
      </w:r>
      <w:r w:rsidR="00CF6FD6">
        <w:t>virtuaalselt eraldatud lairibaühendusele juurdepääs regionaal</w:t>
      </w:r>
      <w:r w:rsidR="00C063C1">
        <w:t>s</w:t>
      </w:r>
      <w:r w:rsidR="00CF6FD6">
        <w:t>e</w:t>
      </w:r>
      <w:r w:rsidR="00C063C1">
        <w:t>l</w:t>
      </w:r>
      <w:r w:rsidR="00CF6FD6">
        <w:t xml:space="preserve"> ja riiklikul tasandil. </w:t>
      </w:r>
      <w:r w:rsidR="00EC476E">
        <w:t xml:space="preserve">Seega kui </w:t>
      </w:r>
      <w:r w:rsidR="009431C3">
        <w:t xml:space="preserve">A piirkonnas </w:t>
      </w:r>
      <w:r w:rsidR="003301D2">
        <w:t>Telia sidekaablitaristu</w:t>
      </w:r>
      <w:r w:rsidR="00A55F40">
        <w:t xml:space="preserve"> lõigus</w:t>
      </w:r>
      <w:r w:rsidR="007431FD">
        <w:t xml:space="preserve"> puudub </w:t>
      </w:r>
      <w:r w:rsidR="008C6106">
        <w:t xml:space="preserve">sidekaabli paigaldamiseks </w:t>
      </w:r>
      <w:r w:rsidR="007431FD">
        <w:t xml:space="preserve">taotletud vaba paigalduskoht, siis </w:t>
      </w:r>
      <w:r w:rsidR="00CA2A82">
        <w:t xml:space="preserve">Telia kohustus pakkuda asendusteenuseid </w:t>
      </w:r>
      <w:r w:rsidR="002F66DD">
        <w:t>(</w:t>
      </w:r>
      <w:r w:rsidR="002E2538">
        <w:t xml:space="preserve">nt </w:t>
      </w:r>
      <w:r w:rsidR="002F66DD">
        <w:t xml:space="preserve">juurdepääs </w:t>
      </w:r>
      <w:r w:rsidR="002E2538">
        <w:t xml:space="preserve">valguskaabli kiule) </w:t>
      </w:r>
      <w:r w:rsidR="00694848">
        <w:t>on seotud ainult vastava lõigu läbimisega</w:t>
      </w:r>
      <w:r w:rsidR="00061A3B">
        <w:t>.</w:t>
      </w:r>
      <w:r w:rsidR="00694848">
        <w:t xml:space="preserve"> Telial puudub kohustus pakkuda </w:t>
      </w:r>
      <w:r w:rsidR="00F75673">
        <w:t>hulgituru 1 ja 3b tooteid A piirkonnas</w:t>
      </w:r>
      <w:r w:rsidR="00061A3B">
        <w:t xml:space="preserve">. </w:t>
      </w:r>
    </w:p>
    <w:p w14:paraId="239B84CF" w14:textId="77777777" w:rsidR="000915B3" w:rsidRDefault="000915B3" w:rsidP="00A500BC"/>
    <w:p w14:paraId="06B03BB4" w14:textId="559D32B1" w:rsidR="001A62CB" w:rsidRPr="006C45AD" w:rsidRDefault="00504D3A" w:rsidP="001A62CB">
      <w:pPr>
        <w:pStyle w:val="Pealkiri1"/>
      </w:pPr>
      <w:bookmarkStart w:id="49" w:name="_Toc182488057"/>
      <w:r w:rsidRPr="00504D3A">
        <w:t>Era- ja äriklien</w:t>
      </w:r>
      <w:r w:rsidR="005F64FF">
        <w:t>t</w:t>
      </w:r>
      <w:r w:rsidRPr="00504D3A">
        <w:t>i</w:t>
      </w:r>
      <w:r w:rsidR="005F64FF">
        <w:t>de</w:t>
      </w:r>
      <w:r w:rsidR="008E526F">
        <w:t xml:space="preserve"> internetiühenduste</w:t>
      </w:r>
      <w:r w:rsidRPr="00504D3A">
        <w:t xml:space="preserve"> </w:t>
      </w:r>
      <w:r w:rsidR="005F64FF">
        <w:t>analüüs</w:t>
      </w:r>
      <w:bookmarkEnd w:id="49"/>
    </w:p>
    <w:p w14:paraId="6184281B" w14:textId="77777777" w:rsidR="002E2538" w:rsidRDefault="002E2538" w:rsidP="00A500BC"/>
    <w:p w14:paraId="48061ACD" w14:textId="77777777" w:rsidR="00504D3A" w:rsidRPr="00B72826" w:rsidRDefault="00504D3A" w:rsidP="00504D3A">
      <w:pPr>
        <w:pStyle w:val="Pealkiri2"/>
      </w:pPr>
      <w:bookmarkStart w:id="50" w:name="_Toc182488058"/>
      <w:r w:rsidRPr="00B72826">
        <w:t>Elisa</w:t>
      </w:r>
      <w:bookmarkEnd w:id="50"/>
    </w:p>
    <w:p w14:paraId="2D3F02F7" w14:textId="77777777" w:rsidR="00504D3A" w:rsidRDefault="00504D3A" w:rsidP="00504D3A">
      <w:pPr>
        <w:jc w:val="both"/>
        <w:rPr>
          <w:rFonts w:cs="Times New Roman"/>
          <w:i/>
          <w:iCs/>
          <w:szCs w:val="24"/>
        </w:rPr>
      </w:pPr>
    </w:p>
    <w:p w14:paraId="6561850F" w14:textId="77777777" w:rsidR="00504D3A" w:rsidRPr="00CF5799" w:rsidRDefault="00504D3A" w:rsidP="00504D3A">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1C9AD4FC" w14:textId="77777777" w:rsidR="006C79BC" w:rsidRPr="006C79BC" w:rsidRDefault="006C79BC" w:rsidP="006C79BC">
      <w:pPr>
        <w:rPr>
          <w:i/>
          <w:iCs/>
        </w:rPr>
      </w:pPr>
      <w:r w:rsidRPr="006C79BC">
        <w:rPr>
          <w:i/>
          <w:iCs/>
        </w:rPr>
        <w:t>6.2.</w:t>
      </w:r>
      <w:r w:rsidRPr="006C79BC">
        <w:rPr>
          <w:i/>
          <w:iCs/>
        </w:rPr>
        <w:tab/>
        <w:t xml:space="preserve">Era- ja ärikliendi eristamine ning sisuline ärikliendianalüüs on jätkuvalt puudu – see annab ebakorrektse pildi jae- ja hulgituru struktuurist ja konkurentsiprobleemidest </w:t>
      </w:r>
    </w:p>
    <w:p w14:paraId="6BFE9162" w14:textId="6F4EEABD" w:rsidR="006C79BC" w:rsidRPr="006C79BC" w:rsidRDefault="006C79BC" w:rsidP="006C79BC">
      <w:pPr>
        <w:rPr>
          <w:i/>
          <w:iCs/>
        </w:rPr>
      </w:pPr>
      <w:r w:rsidRPr="006C79BC">
        <w:rPr>
          <w:i/>
          <w:iCs/>
        </w:rPr>
        <w:t xml:space="preserve"> Mõned kriitilised vead ja puudujäägid on uues kavandis (võrreldes näiteks 2023-T1-kavandiga ja selle aluseks oleva nn jaeturu analüüsiga) õnneks kõrvaldatud. Näiteks ei arvestata piirkonna A ja B eristamisel – ehk ühe või teise piirkonna konkurentsitaseme hindamisel – ainult eluruume ja nende kaetust kahe (2) või enama püsivõrguga, vaid elu- ja mitteeluruume. See on väga oluline. </w:t>
      </w:r>
    </w:p>
    <w:p w14:paraId="76475473" w14:textId="3A0C190B" w:rsidR="006C79BC" w:rsidRPr="006C79BC" w:rsidRDefault="006C79BC" w:rsidP="006C79BC">
      <w:pPr>
        <w:rPr>
          <w:i/>
          <w:iCs/>
        </w:rPr>
      </w:pPr>
      <w:r w:rsidRPr="006C79BC">
        <w:rPr>
          <w:i/>
          <w:iCs/>
        </w:rPr>
        <w:t xml:space="preserve"> Samas, kuigi alusandmetesse on ilmselt lisatud mitteeluruumid, siis andmetes jätkuvalt ei eristata eluruume ja mitteeluruume – näitamaks näiteks seda, et vähemalt kahe (2) võrguga katvusel on või ei ole põhimõttelisi erinevusi elu- ja äriruumide vahel. </w:t>
      </w:r>
    </w:p>
    <w:p w14:paraId="22850E12" w14:textId="3DCEBAE9" w:rsidR="006C79BC" w:rsidRPr="006C79BC" w:rsidRDefault="006C79BC" w:rsidP="006C79BC">
      <w:pPr>
        <w:rPr>
          <w:i/>
          <w:iCs/>
        </w:rPr>
      </w:pPr>
      <w:r w:rsidRPr="006C79BC">
        <w:rPr>
          <w:i/>
          <w:iCs/>
        </w:rPr>
        <w:t xml:space="preserve"> Samas vaimus ei ole uues kavandis ega selle aluseks olevas jaeturu analüüsis ja turuanalüüsis tehtud üldse vahet (või mingit sisulist vahet) eraklientidel ja äriklientidel ega adresseeritud selles osas mh Elisa poolt 2023. a. septembris esitatud tagasisidet jaeturu analüüsile.  </w:t>
      </w:r>
    </w:p>
    <w:p w14:paraId="0465EB4A" w14:textId="092ECE38" w:rsidR="006C79BC" w:rsidRPr="006C79BC" w:rsidRDefault="006C79BC" w:rsidP="006C79BC">
      <w:pPr>
        <w:rPr>
          <w:i/>
          <w:iCs/>
        </w:rPr>
      </w:pPr>
      <w:r w:rsidRPr="006C79BC">
        <w:rPr>
          <w:i/>
          <w:iCs/>
        </w:rPr>
        <w:t xml:space="preserve"> Era- ja ärikliendi internetiühenduste asendatavuse käsitlus (uue kavandi p-s 2.2.6) on sisuliselt sama või sõna-sõnalt sama kui seni. Pakkumise poolse asendatavus käsitlus (mis on </w:t>
      </w:r>
      <w:r w:rsidRPr="006C79BC">
        <w:rPr>
          <w:i/>
          <w:iCs/>
        </w:rPr>
        <w:lastRenderedPageBreak/>
        <w:t xml:space="preserve">TTJA poolt era- ja äriklientide ühele turule lugemise alus) on jätkuvalt kaks (2) lõiku ja pool lehekülge. Seega on uues kavandis jätkuvalt kaks põhimõttelist puudujääki: </w:t>
      </w:r>
    </w:p>
    <w:p w14:paraId="7FC9FC6A" w14:textId="224F01A2" w:rsidR="006C79BC" w:rsidRPr="006C79BC" w:rsidRDefault="006C79BC" w:rsidP="006C79BC">
      <w:pPr>
        <w:rPr>
          <w:i/>
          <w:iCs/>
        </w:rPr>
      </w:pPr>
      <w:r w:rsidRPr="006C79BC">
        <w:rPr>
          <w:i/>
          <w:iCs/>
        </w:rPr>
        <w:t xml:space="preserve"> Esiteks, interneti püsiühendus erakliendile ja interneti püsiühendus ärikliendile on vähemalt kaks eraldi toote- ja kaubaturgu ning tõhus ja püsiv taristupõhine konkurents (jaeturul) tuleb tuvastada neist igaühel eraldi ja iseseisvalt – vt täpsemalt Elisa 09-2023 kiri26, punkt 3.5 ja 3.8. </w:t>
      </w:r>
    </w:p>
    <w:p w14:paraId="702741B8" w14:textId="1FDD412B" w:rsidR="002E2538" w:rsidRPr="006C79BC" w:rsidRDefault="006C79BC" w:rsidP="006C79BC">
      <w:pPr>
        <w:rPr>
          <w:i/>
          <w:iCs/>
        </w:rPr>
      </w:pPr>
      <w:r w:rsidRPr="006C79BC">
        <w:rPr>
          <w:i/>
          <w:iCs/>
        </w:rPr>
        <w:t xml:space="preserve"> Teiseks, igal juhul tuleb nii jaeturu analüüsis kui ka hulgituru konkurentsiolukorra (turu) analüüsis eristada era- ja ärikliente ning eraldiseisvalt analüüsida nii erakliendile kui ärikliendile pakutavaid internetiühendusi (vt Elisa 09-2023 kiri27, p 3.6). Vastasel korral lahustuvad ärikliendid ja nendele omased konkurentsiprobleemid erakliendianalüüsi sisse ära ja jäävad vajaliku tähelepanuta.</w:t>
      </w:r>
    </w:p>
    <w:p w14:paraId="7D00233C" w14:textId="77777777" w:rsidR="006D7745" w:rsidRDefault="006D7745" w:rsidP="00A500BC"/>
    <w:p w14:paraId="41C29117" w14:textId="77777777" w:rsidR="00DB0CDE" w:rsidRPr="00A500BC" w:rsidRDefault="00DB0CDE" w:rsidP="00A500BC"/>
    <w:p w14:paraId="5D0F4EA2" w14:textId="77777777" w:rsidR="00DB0CDE" w:rsidRDefault="00DB0CDE" w:rsidP="00DB0CDE">
      <w:pPr>
        <w:pStyle w:val="Pealkiri2"/>
      </w:pPr>
      <w:bookmarkStart w:id="51" w:name="_Toc182488059"/>
      <w:r>
        <w:t>TTJA</w:t>
      </w:r>
      <w:bookmarkEnd w:id="51"/>
    </w:p>
    <w:p w14:paraId="5D1F71EC" w14:textId="77777777" w:rsidR="00A500BC" w:rsidRDefault="00A500BC" w:rsidP="00A500BC"/>
    <w:p w14:paraId="041E4B41" w14:textId="5B315928" w:rsidR="006C1D72" w:rsidRPr="00044304" w:rsidRDefault="006C1D72" w:rsidP="006C1D72">
      <w:pPr>
        <w:jc w:val="both"/>
        <w:rPr>
          <w:rFonts w:cs="Times New Roman"/>
          <w:szCs w:val="24"/>
        </w:rPr>
      </w:pPr>
      <w:r w:rsidRPr="00044304">
        <w:rPr>
          <w:rFonts w:cs="Times New Roman"/>
          <w:szCs w:val="24"/>
        </w:rPr>
        <w:t>Standardsete masstoote internetiühenduse jaeturule on kaasatud nii erakliendid kui ka ärikliendid</w:t>
      </w:r>
      <w:r>
        <w:rPr>
          <w:rFonts w:cs="Times New Roman"/>
          <w:szCs w:val="24"/>
        </w:rPr>
        <w:t xml:space="preserve"> </w:t>
      </w:r>
      <w:r w:rsidRPr="00044304">
        <w:rPr>
          <w:rFonts w:cs="Times New Roman"/>
          <w:szCs w:val="24"/>
        </w:rPr>
        <w:t xml:space="preserve">Kõik jaeturule kaasatud suuremad sideettevõtjad pakuvad jaetasandil standardseid masstoote internetiühendusi äriklientidele. Näiteks Telia äriklienditele pakutavad standardsed internetiühendused on leitavad siit </w:t>
      </w:r>
      <w:hyperlink r:id="rId12" w:history="1">
        <w:r w:rsidRPr="00044304">
          <w:rPr>
            <w:rStyle w:val="Hperlink"/>
            <w:rFonts w:cs="Times New Roman"/>
            <w:szCs w:val="24"/>
          </w:rPr>
          <w:t>https://www.telia.ee/ari/kontor/kontori-internet/arikliendi-internet/</w:t>
        </w:r>
      </w:hyperlink>
      <w:r w:rsidRPr="00044304">
        <w:rPr>
          <w:rFonts w:cs="Times New Roman"/>
          <w:szCs w:val="24"/>
        </w:rPr>
        <w:t xml:space="preserve"> ja Elisa omad siit </w:t>
      </w:r>
      <w:hyperlink r:id="rId13" w:history="1">
        <w:r w:rsidRPr="00044304">
          <w:rPr>
            <w:rStyle w:val="Hperlink"/>
            <w:rFonts w:cs="Times New Roman"/>
            <w:szCs w:val="24"/>
          </w:rPr>
          <w:t>https://www.elisa.ee/et/ariklient/internet/kontori-internet/pysiinternet</w:t>
        </w:r>
      </w:hyperlink>
      <w:r w:rsidRPr="00044304">
        <w:rPr>
          <w:rFonts w:cs="Times New Roman"/>
          <w:szCs w:val="24"/>
        </w:rPr>
        <w:t xml:space="preserve"> .</w:t>
      </w:r>
    </w:p>
    <w:p w14:paraId="19399D96" w14:textId="72A0A724" w:rsidR="006C1D72" w:rsidRPr="00044304" w:rsidRDefault="006C1D72" w:rsidP="006C1D72">
      <w:pPr>
        <w:jc w:val="both"/>
        <w:rPr>
          <w:rFonts w:cs="Times New Roman"/>
          <w:szCs w:val="24"/>
        </w:rPr>
      </w:pPr>
      <w:r w:rsidRPr="00044304">
        <w:rPr>
          <w:rFonts w:cs="Times New Roman"/>
          <w:szCs w:val="24"/>
        </w:rPr>
        <w:t xml:space="preserve">Era- ja äriklientide standardsete masstoote internetiühenduste vahel eksisteerib  piisav pakkumise poolne asendatavus. Seda on leidnud ka Komisjon oma selgitavates märkustes EK 2020 </w:t>
      </w:r>
      <w:r>
        <w:rPr>
          <w:rFonts w:cs="Times New Roman"/>
          <w:szCs w:val="24"/>
        </w:rPr>
        <w:t>turgude</w:t>
      </w:r>
      <w:r w:rsidRPr="00044304">
        <w:rPr>
          <w:rFonts w:cs="Times New Roman"/>
          <w:szCs w:val="24"/>
        </w:rPr>
        <w:t xml:space="preserve"> soovitusele</w:t>
      </w:r>
      <w:r w:rsidRPr="00044304">
        <w:rPr>
          <w:rStyle w:val="Allmrkuseviide"/>
          <w:rFonts w:cs="Times New Roman"/>
          <w:szCs w:val="24"/>
        </w:rPr>
        <w:footnoteReference w:id="9"/>
      </w:r>
      <w:r w:rsidRPr="00044304">
        <w:rPr>
          <w:rFonts w:cs="Times New Roman"/>
          <w:szCs w:val="24"/>
        </w:rPr>
        <w:t>, et pakkumispoolt vaadatuna on paljud massituru lairibaühenduste pakkujad siiski valmis pakkuma ka teatavaid äritarbijatele mõeldud tooteid ning seega on need tooted pakkumise seisukohast asendustooted.</w:t>
      </w:r>
      <w:r w:rsidR="00BF636C">
        <w:rPr>
          <w:rFonts w:cs="Times New Roman"/>
          <w:szCs w:val="24"/>
        </w:rPr>
        <w:t xml:space="preserve"> </w:t>
      </w:r>
    </w:p>
    <w:p w14:paraId="525F33F8" w14:textId="73182B74" w:rsidR="006C1D72" w:rsidRDefault="006C1D72" w:rsidP="006C1D72">
      <w:pPr>
        <w:jc w:val="both"/>
        <w:rPr>
          <w:rFonts w:cs="Times New Roman"/>
          <w:szCs w:val="24"/>
        </w:rPr>
      </w:pPr>
      <w:r w:rsidRPr="00044304">
        <w:rPr>
          <w:rFonts w:cs="Times New Roman"/>
          <w:szCs w:val="24"/>
        </w:rPr>
        <w:t xml:space="preserve">Kokkuvõtvalt on EK 2020 </w:t>
      </w:r>
      <w:r>
        <w:rPr>
          <w:rFonts w:cs="Times New Roman"/>
          <w:szCs w:val="24"/>
        </w:rPr>
        <w:t>turgude</w:t>
      </w:r>
      <w:r w:rsidRPr="00044304">
        <w:rPr>
          <w:rFonts w:cs="Times New Roman"/>
          <w:szCs w:val="24"/>
        </w:rPr>
        <w:t xml:space="preserve"> soovituses valdkonnaspetsiifilist regulatsiooni vajada võivate turgude loetellu kuuluvad sidevõrgule kohaliku ja keskse juurdepääsu hulgiturud (</w:t>
      </w:r>
      <w:r>
        <w:rPr>
          <w:rFonts w:cs="Times New Roman"/>
          <w:szCs w:val="24"/>
        </w:rPr>
        <w:t xml:space="preserve">hulgiturg </w:t>
      </w:r>
      <w:r w:rsidRPr="00044304">
        <w:rPr>
          <w:rFonts w:cs="Times New Roman"/>
          <w:szCs w:val="24"/>
        </w:rPr>
        <w:t xml:space="preserve">1 ja </w:t>
      </w:r>
      <w:r>
        <w:rPr>
          <w:rFonts w:cs="Times New Roman"/>
          <w:szCs w:val="24"/>
        </w:rPr>
        <w:t xml:space="preserve">hulgiturg </w:t>
      </w:r>
      <w:r w:rsidRPr="00044304">
        <w:rPr>
          <w:rFonts w:cs="Times New Roman"/>
          <w:szCs w:val="24"/>
        </w:rPr>
        <w:t xml:space="preserve">3b)  aluseks erakliendile ning </w:t>
      </w:r>
      <w:r w:rsidR="000E104A">
        <w:rPr>
          <w:rFonts w:cs="Times New Roman"/>
          <w:szCs w:val="24"/>
        </w:rPr>
        <w:t xml:space="preserve">ärikliendile </w:t>
      </w:r>
      <w:r w:rsidRPr="00044304">
        <w:rPr>
          <w:rFonts w:cs="Times New Roman"/>
          <w:szCs w:val="24"/>
        </w:rPr>
        <w:t xml:space="preserve">standardsete masstoote jae internetiühenduste pakkumiseks. </w:t>
      </w:r>
      <w:r w:rsidR="000E104A">
        <w:rPr>
          <w:rFonts w:cs="Times New Roman"/>
          <w:szCs w:val="24"/>
        </w:rPr>
        <w:t xml:space="preserve">Äriklientidele </w:t>
      </w:r>
      <w:r w:rsidRPr="00044304">
        <w:rPr>
          <w:rFonts w:cs="Times New Roman"/>
          <w:szCs w:val="24"/>
        </w:rPr>
        <w:t xml:space="preserve">jae internetiühenduste erilahenduste pakkumise aluseks on EK soovituses </w:t>
      </w:r>
      <w:r w:rsidR="000E104A">
        <w:rPr>
          <w:rFonts w:cs="Times New Roman"/>
          <w:szCs w:val="24"/>
        </w:rPr>
        <w:t>määratud</w:t>
      </w:r>
      <w:r w:rsidRPr="00044304">
        <w:rPr>
          <w:rFonts w:cs="Times New Roman"/>
          <w:szCs w:val="24"/>
        </w:rPr>
        <w:t xml:space="preserve"> sidevõrgu </w:t>
      </w:r>
      <w:r w:rsidR="0073670B">
        <w:rPr>
          <w:rFonts w:cs="Times New Roman"/>
          <w:szCs w:val="24"/>
        </w:rPr>
        <w:t>eri</w:t>
      </w:r>
      <w:r w:rsidRPr="00044304">
        <w:rPr>
          <w:rFonts w:cs="Times New Roman"/>
          <w:szCs w:val="24"/>
        </w:rPr>
        <w:t>võimsus</w:t>
      </w:r>
      <w:r>
        <w:rPr>
          <w:rFonts w:cs="Times New Roman"/>
          <w:szCs w:val="24"/>
        </w:rPr>
        <w:t>t</w:t>
      </w:r>
      <w:r w:rsidRPr="00044304">
        <w:rPr>
          <w:rFonts w:cs="Times New Roman"/>
          <w:szCs w:val="24"/>
        </w:rPr>
        <w:t>ele juurdepääsu hulgiturg (</w:t>
      </w:r>
      <w:r>
        <w:rPr>
          <w:rFonts w:cs="Times New Roman"/>
          <w:szCs w:val="24"/>
        </w:rPr>
        <w:t xml:space="preserve">hulgiturg </w:t>
      </w:r>
      <w:r w:rsidRPr="00044304">
        <w:rPr>
          <w:rFonts w:cs="Times New Roman"/>
          <w:szCs w:val="24"/>
        </w:rPr>
        <w:t>2).</w:t>
      </w:r>
    </w:p>
    <w:p w14:paraId="42CCFA44" w14:textId="6237444A" w:rsidR="0073670B" w:rsidRPr="00044304" w:rsidRDefault="0073670B" w:rsidP="006C1D72">
      <w:pPr>
        <w:jc w:val="both"/>
        <w:rPr>
          <w:rFonts w:cs="Times New Roman"/>
          <w:szCs w:val="24"/>
        </w:rPr>
      </w:pPr>
      <w:r>
        <w:rPr>
          <w:rFonts w:cs="Times New Roman"/>
          <w:szCs w:val="24"/>
        </w:rPr>
        <w:t xml:space="preserve">TTJA 2024 hulgiturg 1 ja 3b </w:t>
      </w:r>
      <w:r w:rsidR="00017856">
        <w:rPr>
          <w:rFonts w:cs="Times New Roman"/>
          <w:szCs w:val="24"/>
        </w:rPr>
        <w:t xml:space="preserve">kavandis on käsitletud era- ja ärikliente eraldi </w:t>
      </w:r>
      <w:r w:rsidR="00735C9A">
        <w:rPr>
          <w:rFonts w:cs="Times New Roman"/>
          <w:szCs w:val="24"/>
        </w:rPr>
        <w:t>ptk.-</w:t>
      </w:r>
      <w:r w:rsidR="00017856">
        <w:rPr>
          <w:rFonts w:cs="Times New Roman"/>
          <w:szCs w:val="24"/>
        </w:rPr>
        <w:t xml:space="preserve">des </w:t>
      </w:r>
      <w:r w:rsidR="009725DB">
        <w:rPr>
          <w:rFonts w:cs="Times New Roman"/>
          <w:szCs w:val="24"/>
        </w:rPr>
        <w:t xml:space="preserve">2.2.3.3 </w:t>
      </w:r>
      <w:r w:rsidR="00FD23B1">
        <w:rPr>
          <w:rFonts w:cs="Times New Roman"/>
          <w:szCs w:val="24"/>
        </w:rPr>
        <w:t xml:space="preserve">„4G/5G </w:t>
      </w:r>
      <w:r w:rsidR="006E2C27">
        <w:rPr>
          <w:rFonts w:cs="Times New Roman"/>
          <w:szCs w:val="24"/>
        </w:rPr>
        <w:t>mobiilsidevõrgud“</w:t>
      </w:r>
      <w:r w:rsidR="00AA69A2">
        <w:rPr>
          <w:rFonts w:cs="Times New Roman"/>
          <w:szCs w:val="24"/>
        </w:rPr>
        <w:t xml:space="preserve"> ja</w:t>
      </w:r>
      <w:r w:rsidR="006E2C27">
        <w:rPr>
          <w:rFonts w:cs="Times New Roman"/>
          <w:szCs w:val="24"/>
        </w:rPr>
        <w:t xml:space="preserve"> </w:t>
      </w:r>
      <w:r w:rsidR="0043567A">
        <w:rPr>
          <w:rFonts w:cs="Times New Roman"/>
          <w:szCs w:val="24"/>
        </w:rPr>
        <w:t>2.2.6 „</w:t>
      </w:r>
      <w:r w:rsidR="002D2FCD" w:rsidRPr="002D2FCD">
        <w:rPr>
          <w:rFonts w:cs="Times New Roman"/>
          <w:szCs w:val="24"/>
        </w:rPr>
        <w:t>Era- ja äriklientide internetiühenduste segmentide piiritlemine ja jaeturule kaasamise analüüs</w:t>
      </w:r>
      <w:r w:rsidR="002D2FCD">
        <w:rPr>
          <w:rFonts w:cs="Times New Roman"/>
          <w:szCs w:val="24"/>
        </w:rPr>
        <w:t xml:space="preserve">“ </w:t>
      </w:r>
    </w:p>
    <w:p w14:paraId="5CB0EBFD" w14:textId="77777777" w:rsidR="00DB0CDE" w:rsidRPr="00A500BC" w:rsidRDefault="00DB0CDE" w:rsidP="00A500BC"/>
    <w:p w14:paraId="18034F4F" w14:textId="0EE3B412" w:rsidR="00EE2439" w:rsidRDefault="003878F6" w:rsidP="00EE2439">
      <w:pPr>
        <w:pStyle w:val="Pealkiri1"/>
      </w:pPr>
      <w:bookmarkStart w:id="52" w:name="_Toc182488060"/>
      <w:r>
        <w:lastRenderedPageBreak/>
        <w:t>Elisa m</w:t>
      </w:r>
      <w:r w:rsidR="00EE2439">
        <w:t>uud ettepanekud</w:t>
      </w:r>
      <w:bookmarkEnd w:id="52"/>
    </w:p>
    <w:p w14:paraId="7BB68D40" w14:textId="77777777" w:rsidR="00EE2439" w:rsidRDefault="00EE2439" w:rsidP="00EE2439"/>
    <w:p w14:paraId="44F1C709" w14:textId="703FB3DD" w:rsidR="009B614A" w:rsidRDefault="009B614A" w:rsidP="009F224A">
      <w:pPr>
        <w:pStyle w:val="Pealkiri2"/>
      </w:pPr>
      <w:bookmarkStart w:id="53" w:name="_Toc182488061"/>
      <w:r>
        <w:t>Elisa – kohalik</w:t>
      </w:r>
      <w:r w:rsidR="00E20791">
        <w:t>u</w:t>
      </w:r>
      <w:r>
        <w:t xml:space="preserve"> ja keskse juurdepääsu asendatavus</w:t>
      </w:r>
      <w:bookmarkEnd w:id="53"/>
    </w:p>
    <w:p w14:paraId="63D9F2C0" w14:textId="77777777" w:rsidR="005A5058" w:rsidRPr="005A5058" w:rsidRDefault="005A5058" w:rsidP="005A5058"/>
    <w:p w14:paraId="3E75E724" w14:textId="44BA94F8" w:rsidR="009B614A" w:rsidRPr="00CF5799" w:rsidRDefault="009B614A" w:rsidP="009B614A">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671F6FFD" w14:textId="47B11976" w:rsidR="00EE2439" w:rsidRDefault="009B614A" w:rsidP="00EE2439">
      <w:pPr>
        <w:rPr>
          <w:i/>
          <w:iCs/>
        </w:rPr>
      </w:pPr>
      <w:r w:rsidRPr="009B614A">
        <w:rPr>
          <w:i/>
          <w:iCs/>
        </w:rPr>
        <w:t>(A)</w:t>
      </w:r>
      <w:r w:rsidRPr="009B614A">
        <w:rPr>
          <w:i/>
          <w:iCs/>
        </w:rPr>
        <w:tab/>
        <w:t>Üldine: Uue kavandi baasil vastu võetav otsus peaks selgelt fikseerima, et kohalik juurdepääs ja keskne juurdepääs ei ole omavahel asendatavad. Vt ka punkt 4.3.</w:t>
      </w:r>
    </w:p>
    <w:p w14:paraId="6FA06886" w14:textId="77777777" w:rsidR="00E20791" w:rsidRPr="009B614A" w:rsidRDefault="00E20791" w:rsidP="00EE2439">
      <w:pPr>
        <w:rPr>
          <w:i/>
          <w:iCs/>
        </w:rPr>
      </w:pPr>
    </w:p>
    <w:p w14:paraId="46387539" w14:textId="29DC05DD" w:rsidR="00A500BC" w:rsidRDefault="009F224A" w:rsidP="009F224A">
      <w:pPr>
        <w:pStyle w:val="Pealkiri2"/>
      </w:pPr>
      <w:bookmarkStart w:id="54" w:name="_Toc182488062"/>
      <w:r>
        <w:t>TTJA</w:t>
      </w:r>
      <w:bookmarkEnd w:id="54"/>
    </w:p>
    <w:p w14:paraId="4F3B66AC" w14:textId="77777777" w:rsidR="009F224A" w:rsidRDefault="009F224A" w:rsidP="00A500BC"/>
    <w:p w14:paraId="1B4DE252" w14:textId="53E24786" w:rsidR="009F224A" w:rsidRDefault="00242DDB" w:rsidP="00A500BC">
      <w:r>
        <w:t xml:space="preserve">TTJA </w:t>
      </w:r>
      <w:r w:rsidR="00354B3E">
        <w:t xml:space="preserve">võtab </w:t>
      </w:r>
      <w:r w:rsidR="00F03CC3">
        <w:t xml:space="preserve">ettepanku arvesse ja </w:t>
      </w:r>
      <w:r w:rsidR="00FD5AF2">
        <w:t>täiendab</w:t>
      </w:r>
      <w:r w:rsidR="00AC1121">
        <w:t xml:space="preserve"> vastavalt eelnõud</w:t>
      </w:r>
      <w:r w:rsidR="0010003D">
        <w:t>.</w:t>
      </w:r>
    </w:p>
    <w:p w14:paraId="2D2970E0" w14:textId="77777777" w:rsidR="009F224A" w:rsidRDefault="009F224A" w:rsidP="00A500BC"/>
    <w:p w14:paraId="6BE5347B" w14:textId="0D75E190" w:rsidR="00E20791" w:rsidRDefault="00E20791" w:rsidP="00E20791">
      <w:pPr>
        <w:pStyle w:val="Pealkiri2"/>
      </w:pPr>
      <w:bookmarkStart w:id="55" w:name="_Toc182488063"/>
      <w:r>
        <w:t xml:space="preserve">Elisa – </w:t>
      </w:r>
      <w:r w:rsidR="004A0EA6">
        <w:t>konsulteer</w:t>
      </w:r>
      <w:r w:rsidR="00EF7DBC">
        <w:t>i</w:t>
      </w:r>
      <w:r w:rsidR="004A0EA6">
        <w:t xml:space="preserve">mine </w:t>
      </w:r>
      <w:r w:rsidR="00EF7DBC">
        <w:t>Konkurentsiametiga</w:t>
      </w:r>
      <w:bookmarkEnd w:id="55"/>
    </w:p>
    <w:p w14:paraId="7A3B52AD" w14:textId="77777777" w:rsidR="005A5058" w:rsidRDefault="005A5058" w:rsidP="005A5058"/>
    <w:p w14:paraId="06512D3E" w14:textId="77777777" w:rsidR="005A5058" w:rsidRPr="00CF5799" w:rsidRDefault="005A5058" w:rsidP="005A5058">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7E7E2B2D" w14:textId="642DDD7A" w:rsidR="00EE5CFE" w:rsidRPr="00EE5CFE" w:rsidRDefault="00EE5CFE" w:rsidP="00A500BC">
      <w:pPr>
        <w:rPr>
          <w:i/>
          <w:iCs/>
        </w:rPr>
      </w:pPr>
      <w:r w:rsidRPr="00EE5CFE">
        <w:rPr>
          <w:i/>
          <w:iCs/>
        </w:rPr>
        <w:t>(B)</w:t>
      </w:r>
      <w:r w:rsidRPr="00EE5CFE">
        <w:rPr>
          <w:i/>
          <w:iCs/>
        </w:rPr>
        <w:tab/>
        <w:t>Üldine: ESS-i kohaselt on Konkurentsiametil roll valdkonnaspetsiifilise regulatsiooni kujunemisel ja rakendamisel ning elektroonilise side valdkonna riiklikul korraldamisel. Sarnaselt ST hulgituru kavandile nr 2 peaks ka kohaliku juurdepääsu otsus sätestama, et kõigis küsimustes, kus on ette nähtud eelnev konsulteerimine teiste side-ettevõtjatega, konsulteeritakse ka Konkurentsiametiga ja talle pakutakse võimalust esitada arvamus ja ettepanekud küsimustes, kus sama pakutakse operaatoritele – vt täpsemalt Elisa 9.07.2024 kiri37, punkt 5.3.</w:t>
      </w:r>
    </w:p>
    <w:p w14:paraId="2D99B593" w14:textId="77777777" w:rsidR="00E20791" w:rsidRDefault="00E20791" w:rsidP="00A500BC"/>
    <w:p w14:paraId="39005367" w14:textId="7BB9C19C" w:rsidR="00EE5CFE" w:rsidRPr="004A0EA6" w:rsidRDefault="004A0EA6" w:rsidP="004A0EA6">
      <w:pPr>
        <w:pStyle w:val="Pealkiri2"/>
      </w:pPr>
      <w:bookmarkStart w:id="56" w:name="_Toc182488064"/>
      <w:r w:rsidRPr="004A0EA6">
        <w:t>TTJA</w:t>
      </w:r>
      <w:bookmarkEnd w:id="56"/>
    </w:p>
    <w:p w14:paraId="267BFACB" w14:textId="77777777" w:rsidR="004A0EA6" w:rsidRDefault="004A0EA6" w:rsidP="00A500BC"/>
    <w:p w14:paraId="29B8160A" w14:textId="47DC246D" w:rsidR="004A0EA6" w:rsidRDefault="00F62175" w:rsidP="00A500BC">
      <w:r>
        <w:t xml:space="preserve">Erinevalt </w:t>
      </w:r>
      <w:r w:rsidR="000E06A9">
        <w:t xml:space="preserve">TTJA 2024 </w:t>
      </w:r>
      <w:r w:rsidR="00185D8F">
        <w:t xml:space="preserve">STJ </w:t>
      </w:r>
      <w:r w:rsidR="00FB52E1">
        <w:t xml:space="preserve">hulgituru otsuse kavandist ei ole TTJA 2024 hulgiturgude </w:t>
      </w:r>
      <w:r w:rsidR="003E4900">
        <w:t xml:space="preserve">1 ja 3b kavandis </w:t>
      </w:r>
      <w:r w:rsidR="005274A9">
        <w:t>sätestatud kavandi koostamise</w:t>
      </w:r>
      <w:r w:rsidR="00B37237">
        <w:t xml:space="preserve"> aja</w:t>
      </w:r>
      <w:r w:rsidR="005274A9">
        <w:t>l veel mitte</w:t>
      </w:r>
      <w:r w:rsidR="00026C28">
        <w:t xml:space="preserve"> teada oleva</w:t>
      </w:r>
      <w:r w:rsidR="002919F5">
        <w:t xml:space="preserve"> koormusega kohustuste rakendamist Teliale, mis vajavad</w:t>
      </w:r>
      <w:r w:rsidR="00B37237">
        <w:t xml:space="preserve"> seetõttu</w:t>
      </w:r>
      <w:r w:rsidR="002919F5">
        <w:t xml:space="preserve"> </w:t>
      </w:r>
      <w:r w:rsidR="00914A6B">
        <w:t xml:space="preserve">enne lõplikku rakendamist Telia poolset analüüsi ja kohustusega kaasneva </w:t>
      </w:r>
      <w:r w:rsidR="003F7EDB">
        <w:t>koormuse ja kulude</w:t>
      </w:r>
      <w:r w:rsidR="00914A6B">
        <w:t xml:space="preserve"> hindamist ning </w:t>
      </w:r>
      <w:r w:rsidR="0083583F">
        <w:t>selle hinnangu esitamist TTJA-</w:t>
      </w:r>
      <w:proofErr w:type="spellStart"/>
      <w:r w:rsidR="0083583F">
        <w:t>le</w:t>
      </w:r>
      <w:proofErr w:type="spellEnd"/>
      <w:r w:rsidR="0083583F">
        <w:t xml:space="preserve">, mida TTJA analüüsib ja </w:t>
      </w:r>
      <w:r w:rsidR="00A91F8A">
        <w:t xml:space="preserve">konsulteerib teiste sideettevõtjate ja vajadusel Konkurentsiametiga. </w:t>
      </w:r>
      <w:r w:rsidR="00026C28">
        <w:t xml:space="preserve">Seetõttu puudub vajadus </w:t>
      </w:r>
      <w:r w:rsidR="00246E1C">
        <w:t>hulgiturgude 1 ja 3b kohustusi Elisa viidatud viisil täiendada.</w:t>
      </w:r>
    </w:p>
    <w:p w14:paraId="26010F06" w14:textId="77777777" w:rsidR="00E20791" w:rsidRDefault="00E20791" w:rsidP="00A500BC"/>
    <w:p w14:paraId="028248E4" w14:textId="1192A88D" w:rsidR="00AB0ADA" w:rsidRDefault="00AB0ADA" w:rsidP="00AB0ADA">
      <w:pPr>
        <w:pStyle w:val="Pealkiri2"/>
      </w:pPr>
      <w:bookmarkStart w:id="57" w:name="_Toc182488065"/>
      <w:r>
        <w:t xml:space="preserve">Elisa – </w:t>
      </w:r>
      <w:r w:rsidR="00D5663E">
        <w:t>valguskaabli vaba mahu defineerimine</w:t>
      </w:r>
      <w:bookmarkEnd w:id="57"/>
    </w:p>
    <w:p w14:paraId="34C7D35F" w14:textId="77777777" w:rsidR="0004552B" w:rsidRDefault="0004552B" w:rsidP="00A500BC"/>
    <w:p w14:paraId="7C6F5BF9" w14:textId="77777777" w:rsidR="0051782C" w:rsidRPr="00CF5799" w:rsidRDefault="0051782C" w:rsidP="0051782C">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5FB2823A" w14:textId="45A18D38" w:rsidR="009F224A" w:rsidRDefault="0021529A" w:rsidP="0021529A">
      <w:pPr>
        <w:rPr>
          <w:i/>
          <w:iCs/>
        </w:rPr>
      </w:pPr>
      <w:r w:rsidRPr="0021529A">
        <w:rPr>
          <w:i/>
          <w:iCs/>
        </w:rPr>
        <w:t>(C)</w:t>
      </w:r>
      <w:r w:rsidRPr="0021529A">
        <w:rPr>
          <w:i/>
          <w:iCs/>
        </w:rPr>
        <w:tab/>
        <w:t xml:space="preserve">Juurdepääs – vaba maht: uus kavand nõuab Telialt juurdepääsu valguskaabli „vabale mahule“, mille all peetakse silmas „kasutuses mitte olevat ja reserveerimata valguskaabli </w:t>
      </w:r>
      <w:r w:rsidRPr="0021529A">
        <w:rPr>
          <w:i/>
          <w:iCs/>
        </w:rPr>
        <w:lastRenderedPageBreak/>
        <w:t>kliendiliini mahtu (k.a. ühendamata kiud), arvestades seejuures Telia tulevasi vajadusi, mis peavad olema piisavalt põhjendatud.“ Konkreetselt sidetorude „vaba mahu“ osas tegi Konkurentsiamet juba aastal 2020 ettepaneku „kehtestada ammendavad tingimused „vaba mahu“, [...] jms piiritlemiseks seoses Telia enda vajadustega [ning] eriti mis puudutab [tema] tulevikuplaane.“38 Sellest ettepanekust ja vajadusest seada selgemad raamid Telia diskretsioonile mh sidetoru „vaba mahu“ määramisele kirjutas Elisa üksikasjalikult oma arvamuses ST hulgituru kavandile nr 2 (vt Elisa 9.07.2024 kiri39, punkt 4). Vaba mahu määramise „õiguse“ selgem piiritlemine ei ole vajalik mitte ainult sidetorude vaid ka Telia valguskaabli juurdepääsukohustuse puhul.</w:t>
      </w:r>
    </w:p>
    <w:p w14:paraId="5221F8AE" w14:textId="77777777" w:rsidR="00D5663E" w:rsidRDefault="00D5663E" w:rsidP="0021529A">
      <w:pPr>
        <w:rPr>
          <w:i/>
          <w:iCs/>
        </w:rPr>
      </w:pPr>
    </w:p>
    <w:p w14:paraId="4BBB7105" w14:textId="77777777" w:rsidR="00D5663E" w:rsidRDefault="00D5663E" w:rsidP="0021529A">
      <w:pPr>
        <w:rPr>
          <w:i/>
          <w:iCs/>
        </w:rPr>
      </w:pPr>
    </w:p>
    <w:p w14:paraId="1BEF467F" w14:textId="77777777" w:rsidR="00D5663E" w:rsidRPr="0021529A" w:rsidRDefault="00D5663E" w:rsidP="0021529A">
      <w:pPr>
        <w:rPr>
          <w:i/>
          <w:iCs/>
        </w:rPr>
      </w:pPr>
    </w:p>
    <w:p w14:paraId="3CB0090E" w14:textId="1EA59BA1" w:rsidR="009F224A" w:rsidRPr="0021529A" w:rsidRDefault="0021529A" w:rsidP="00D5663E">
      <w:pPr>
        <w:pStyle w:val="Pealkiri2"/>
      </w:pPr>
      <w:bookmarkStart w:id="58" w:name="_Toc182488066"/>
      <w:r w:rsidRPr="0021529A">
        <w:t>TTJA</w:t>
      </w:r>
      <w:bookmarkEnd w:id="58"/>
    </w:p>
    <w:p w14:paraId="5A271E3E" w14:textId="77777777" w:rsidR="00D5663E" w:rsidRDefault="00D5663E" w:rsidP="00A500BC"/>
    <w:p w14:paraId="6A0370C0" w14:textId="599A48AD" w:rsidR="0021529A" w:rsidRDefault="001C0EE8" w:rsidP="00A500BC">
      <w:r>
        <w:t xml:space="preserve">TTJA hinnangul on </w:t>
      </w:r>
      <w:r w:rsidR="00351CB5">
        <w:t xml:space="preserve">TTJA 2024 hulgiturgude </w:t>
      </w:r>
      <w:r w:rsidR="00E17D7D">
        <w:t xml:space="preserve">1 ja 3b otsuse kavandis </w:t>
      </w:r>
      <w:r w:rsidR="00735C9A">
        <w:t>ptk.-</w:t>
      </w:r>
      <w:r w:rsidR="004F6D46">
        <w:t xml:space="preserve">s </w:t>
      </w:r>
      <w:r w:rsidR="008E6075">
        <w:t>7.3.5 „</w:t>
      </w:r>
      <w:r w:rsidR="00C5548D">
        <w:t>Juurdepääsu kohustuste kehtestamine“ sätestatud vaba mahu piiritlus piisavalt selge</w:t>
      </w:r>
      <w:r w:rsidR="00950AA6">
        <w:t>.</w:t>
      </w:r>
      <w:r w:rsidR="00DD41BC">
        <w:t xml:space="preserve"> </w:t>
      </w:r>
      <w:r w:rsidR="00950AA6">
        <w:t>S</w:t>
      </w:r>
      <w:r w:rsidR="00DD41BC">
        <w:t xml:space="preserve">amuti ei ole Elisa teinud ühtegi konkreetset </w:t>
      </w:r>
      <w:r w:rsidR="00950AA6">
        <w:t>ettepanekut</w:t>
      </w:r>
      <w:r w:rsidR="00DD41BC">
        <w:t xml:space="preserve">, milline oleks </w:t>
      </w:r>
      <w:r w:rsidR="003D2C50">
        <w:t>Elisa</w:t>
      </w:r>
      <w:r w:rsidR="00DD41BC">
        <w:t xml:space="preserve"> </w:t>
      </w:r>
      <w:r w:rsidR="00B14034">
        <w:t xml:space="preserve">arvates veelgi selgem vaba mahu piiritlus.  Eeltoodust tulenevalt ei pea TTJA </w:t>
      </w:r>
      <w:r w:rsidR="00950AA6">
        <w:t>põhjendatuks vaba mahu piiritlust muuta.</w:t>
      </w:r>
    </w:p>
    <w:p w14:paraId="756F6A38" w14:textId="77777777" w:rsidR="003D2C50" w:rsidRDefault="003D2C50" w:rsidP="00A500BC"/>
    <w:p w14:paraId="3B8F595D" w14:textId="66AFF618" w:rsidR="00D5663E" w:rsidRDefault="00D5663E" w:rsidP="00D5663E">
      <w:pPr>
        <w:pStyle w:val="Pealkiri2"/>
      </w:pPr>
      <w:bookmarkStart w:id="59" w:name="_Toc182488067"/>
      <w:r>
        <w:t xml:space="preserve">Elisa – </w:t>
      </w:r>
      <w:r w:rsidR="00BA4BE7">
        <w:t xml:space="preserve">hulgituru 1 teenuse </w:t>
      </w:r>
      <w:r w:rsidR="00A20D8D">
        <w:t>definitsioon kohustuste osas</w:t>
      </w:r>
      <w:bookmarkEnd w:id="59"/>
    </w:p>
    <w:p w14:paraId="03E321AB" w14:textId="77777777" w:rsidR="00D5663E" w:rsidRDefault="00D5663E" w:rsidP="00A500BC"/>
    <w:p w14:paraId="222B2FEB" w14:textId="77777777" w:rsidR="00FB445F" w:rsidRPr="00CF5799" w:rsidRDefault="00FB445F" w:rsidP="00FB445F">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093053EE" w14:textId="1FDEBEAA" w:rsidR="00546579" w:rsidRPr="005F45FE" w:rsidRDefault="005F45FE" w:rsidP="00A500BC">
      <w:pPr>
        <w:rPr>
          <w:i/>
          <w:iCs/>
        </w:rPr>
      </w:pPr>
      <w:r w:rsidRPr="005F45FE">
        <w:rPr>
          <w:i/>
          <w:iCs/>
        </w:rPr>
        <w:t>(D)</w:t>
      </w:r>
      <w:r w:rsidRPr="005F45FE">
        <w:rPr>
          <w:i/>
          <w:iCs/>
        </w:rPr>
        <w:tab/>
        <w:t>Juurdepääs – juurdepääs sidekaablile (mitte teenusele): uue kavandi punkt 7.3.5, mis kehtestab juurdepääsukohustuse Telia valguskaablile, räägib segadust tekitavalt juurdepääsust mingitele „hulgituru 1 teenustele“. See imelik käsitlus tuleks eemaldada ja rääkida konkreetselt füüsilisest ja virtuaalsest juurdepääsust valguskaablile (mitte teenustele) piirkonnas A või B.</w:t>
      </w:r>
    </w:p>
    <w:p w14:paraId="3F5DFC3C" w14:textId="77777777" w:rsidR="00FB445F" w:rsidRPr="00A500BC" w:rsidRDefault="00FB445F" w:rsidP="00A500BC"/>
    <w:p w14:paraId="390CADB3" w14:textId="06A2E0EE" w:rsidR="00A500BC" w:rsidRDefault="005F45FE" w:rsidP="005F45FE">
      <w:pPr>
        <w:pStyle w:val="Pealkiri2"/>
      </w:pPr>
      <w:bookmarkStart w:id="60" w:name="_Toc182488068"/>
      <w:r>
        <w:t>TTJA</w:t>
      </w:r>
      <w:bookmarkEnd w:id="60"/>
      <w:r>
        <w:t xml:space="preserve"> </w:t>
      </w:r>
    </w:p>
    <w:p w14:paraId="3C5A0E50" w14:textId="77777777" w:rsidR="005F45FE" w:rsidRDefault="005F45FE" w:rsidP="00A500BC"/>
    <w:p w14:paraId="6D6C0052" w14:textId="31EEB2FE" w:rsidR="00FE30CA" w:rsidRDefault="00DE06DA" w:rsidP="00FE30CA">
      <w:r>
        <w:t xml:space="preserve">Hulgituru 1 teenus on </w:t>
      </w:r>
      <w:r w:rsidR="00FE30CA">
        <w:t xml:space="preserve">piisavalt detailselt </w:t>
      </w:r>
      <w:r>
        <w:t xml:space="preserve">defineeritud </w:t>
      </w:r>
      <w:r w:rsidR="008D07B2">
        <w:t xml:space="preserve">TTJA 2024 hulgituru 1 ja 3b otsuse kavandi </w:t>
      </w:r>
      <w:r w:rsidR="00735C9A">
        <w:t>ptk.-</w:t>
      </w:r>
      <w:r w:rsidR="008D07B2">
        <w:t xml:space="preserve">s </w:t>
      </w:r>
      <w:r w:rsidR="003F7169">
        <w:t>7.1.1 „</w:t>
      </w:r>
      <w:r w:rsidR="00907835">
        <w:t xml:space="preserve">Hulgiturg 1 </w:t>
      </w:r>
      <w:r w:rsidR="00FE30CA">
        <w:t xml:space="preserve">kohustuste subjekt ja objekt“. Eeltoodust tulenevalt ei pea TTJA põhjendatuks </w:t>
      </w:r>
      <w:r w:rsidR="009566FF">
        <w:t xml:space="preserve">„hulgituru 1 teenuste“ käsitlust ja kasutust </w:t>
      </w:r>
      <w:r w:rsidR="00FE30CA">
        <w:t>muuta.</w:t>
      </w:r>
    </w:p>
    <w:p w14:paraId="71D684AD" w14:textId="63552D38" w:rsidR="005F45FE" w:rsidRPr="00A500BC" w:rsidRDefault="005F45FE" w:rsidP="00A500BC"/>
    <w:p w14:paraId="188988D0" w14:textId="468BDEB3" w:rsidR="009D1BC0" w:rsidRDefault="009D1BC0" w:rsidP="009D1BC0">
      <w:pPr>
        <w:pStyle w:val="Pealkiri2"/>
      </w:pPr>
      <w:bookmarkStart w:id="61" w:name="_Toc182488069"/>
      <w:r>
        <w:t>Elisa –</w:t>
      </w:r>
      <w:r w:rsidR="002F4F1C">
        <w:t xml:space="preserve"> ESS § 64 lõige 2 punkti 3 rakendamise kontroll</w:t>
      </w:r>
      <w:bookmarkEnd w:id="61"/>
    </w:p>
    <w:p w14:paraId="6F52410B" w14:textId="77777777" w:rsidR="009D1BC0" w:rsidRDefault="009D1BC0" w:rsidP="009D1BC0"/>
    <w:p w14:paraId="419626A7" w14:textId="77777777" w:rsidR="009D1BC0" w:rsidRPr="00CF5799" w:rsidRDefault="009D1BC0" w:rsidP="009D1BC0">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1273CDDD" w14:textId="77777777" w:rsidR="00A500BC" w:rsidRDefault="00A500BC" w:rsidP="00A500BC"/>
    <w:p w14:paraId="4B76334B" w14:textId="77777777" w:rsidR="00A923A8" w:rsidRPr="00A1407F" w:rsidRDefault="00A923A8" w:rsidP="00A923A8">
      <w:pPr>
        <w:rPr>
          <w:i/>
          <w:iCs/>
        </w:rPr>
      </w:pPr>
      <w:r w:rsidRPr="00A1407F">
        <w:rPr>
          <w:i/>
          <w:iCs/>
        </w:rPr>
        <w:t>(E)</w:t>
      </w:r>
      <w:r w:rsidRPr="00A1407F">
        <w:rPr>
          <w:i/>
          <w:iCs/>
        </w:rPr>
        <w:tab/>
        <w:t xml:space="preserve">Juurdepääs – ESS § 64 lg 2 p 3: nii seaduse kui ka kehtiva ja kavandatud regulatsiooni kohaselt peab MTE/Telia „kasutama juurdepääsuga seoses saadud teavet üksnes [juurdepääsuteenuse] osutamiseks ja mitte avaldama seda 3-ndatele isikutele, kaasa arvatud oma koostööpartneritele ja tütarettevõtjatele, kui seaduses ei ole sätestatud teisiti.“ See on kohustus mis nõuab Telialt nn Hiina müüre jae- ja </w:t>
      </w:r>
      <w:proofErr w:type="spellStart"/>
      <w:r w:rsidRPr="00A1407F">
        <w:rPr>
          <w:i/>
          <w:iCs/>
        </w:rPr>
        <w:t>hulgiäri</w:t>
      </w:r>
      <w:proofErr w:type="spellEnd"/>
      <w:r w:rsidRPr="00A1407F">
        <w:rPr>
          <w:i/>
          <w:iCs/>
        </w:rPr>
        <w:t xml:space="preserve"> vahele, sh (i) kinnitust, et Telia saab aru, et tema jae- ja </w:t>
      </w:r>
      <w:proofErr w:type="spellStart"/>
      <w:r w:rsidRPr="00A1407F">
        <w:rPr>
          <w:i/>
          <w:iCs/>
        </w:rPr>
        <w:t>hulgiäri</w:t>
      </w:r>
      <w:proofErr w:type="spellEnd"/>
      <w:r w:rsidRPr="00A1407F">
        <w:rPr>
          <w:i/>
          <w:iCs/>
        </w:rPr>
        <w:t xml:space="preserve"> vahel ei või teiste operaatorite (jaetasandi konkurentide) sidetoru või sidekaabli juurdepääsu puudutav info nö vabalt liikuda ja (ii) garantiid, et seda ka päriselus aset ei leia. </w:t>
      </w:r>
    </w:p>
    <w:p w14:paraId="5B8BBA9A" w14:textId="084F5C7F" w:rsidR="009D1BC0" w:rsidRPr="00A1407F" w:rsidRDefault="00A923A8" w:rsidP="00A923A8">
      <w:pPr>
        <w:rPr>
          <w:i/>
          <w:iCs/>
        </w:rPr>
      </w:pPr>
      <w:r w:rsidRPr="00A1407F">
        <w:rPr>
          <w:i/>
          <w:iCs/>
        </w:rPr>
        <w:t xml:space="preserve"> Konkurentsiamet on ses osas öelnud väga tabavalt: „Regulatsiooni tõhusus oleneb mitte üksnes otsuses sätestatavate lahenduste idee headusest, vaid samavõrd sellest, kuidas regulatsioonialune ettevõtja talle pandud kohustusi täitma hakkab.“</w:t>
      </w:r>
      <w:r w:rsidRPr="00A1407F">
        <w:rPr>
          <w:i/>
          <w:iCs/>
          <w:vertAlign w:val="superscript"/>
        </w:rPr>
        <w:t>40</w:t>
      </w:r>
    </w:p>
    <w:p w14:paraId="3619EC83" w14:textId="77777777" w:rsidR="00A500BC" w:rsidRPr="00A500BC" w:rsidRDefault="00A500BC" w:rsidP="00A500BC"/>
    <w:p w14:paraId="79B6C926" w14:textId="644AEF01" w:rsidR="00A500BC" w:rsidRPr="00915B2D" w:rsidRDefault="00915B2D" w:rsidP="008D48FA">
      <w:pPr>
        <w:pStyle w:val="Pealkiri2"/>
      </w:pPr>
      <w:bookmarkStart w:id="62" w:name="_Toc182488070"/>
      <w:r w:rsidRPr="00915B2D">
        <w:t>TTJA</w:t>
      </w:r>
      <w:bookmarkEnd w:id="62"/>
    </w:p>
    <w:p w14:paraId="41C82486" w14:textId="43E9D332" w:rsidR="00915B2D" w:rsidRDefault="0057021A" w:rsidP="00A500BC">
      <w:r>
        <w:t xml:space="preserve">Jae- ja </w:t>
      </w:r>
      <w:proofErr w:type="spellStart"/>
      <w:r>
        <w:t>hulgiäri</w:t>
      </w:r>
      <w:proofErr w:type="spellEnd"/>
      <w:r>
        <w:t xml:space="preserve"> vahel</w:t>
      </w:r>
      <w:r w:rsidR="007A70ED">
        <w:t xml:space="preserve"> teistele sideettevõtjatele osutatava juurdepääsuga seotud </w:t>
      </w:r>
      <w:r>
        <w:t xml:space="preserve">teabe edastamise tõkestamise tõhustamiseks on TTJA 2024 </w:t>
      </w:r>
      <w:r w:rsidR="004D2E9A">
        <w:t xml:space="preserve">hulgituru 1 ja 3b otsuse kavandi </w:t>
      </w:r>
      <w:r w:rsidR="00735C9A">
        <w:t>ptk.-</w:t>
      </w:r>
      <w:r w:rsidR="007136C0">
        <w:t xml:space="preserve">s 7.4.10 „Mittediskrimineerimise kohustuste kehtestamine“ </w:t>
      </w:r>
      <w:r w:rsidR="004D2E9A">
        <w:t>ette nähtud</w:t>
      </w:r>
      <w:r w:rsidR="00F81B55">
        <w:t xml:space="preserve"> eraldi mittediskrimineerimise alamkohustus </w:t>
      </w:r>
      <w:r w:rsidR="00977403">
        <w:t>„Teabe asüm</w:t>
      </w:r>
      <w:r w:rsidR="00262B8E">
        <w:t>meetria“</w:t>
      </w:r>
      <w:r w:rsidR="003628E1">
        <w:t>.</w:t>
      </w:r>
      <w:r w:rsidR="0064726A">
        <w:t xml:space="preserve"> </w:t>
      </w:r>
      <w:r w:rsidR="003628E1">
        <w:t>Selle</w:t>
      </w:r>
      <w:r w:rsidR="0064726A">
        <w:t xml:space="preserve"> kohaselt </w:t>
      </w:r>
      <w:r w:rsidR="003628E1">
        <w:t xml:space="preserve">peab </w:t>
      </w:r>
      <w:r w:rsidR="0064726A">
        <w:t xml:space="preserve">Telia igal </w:t>
      </w:r>
      <w:r w:rsidR="00A775F5">
        <w:t xml:space="preserve">kalendriaastal esitama </w:t>
      </w:r>
      <w:r w:rsidR="0079405E">
        <w:t>TTJA</w:t>
      </w:r>
      <w:r w:rsidR="003628E1">
        <w:t>-</w:t>
      </w:r>
      <w:proofErr w:type="spellStart"/>
      <w:r w:rsidR="003628E1">
        <w:t>le</w:t>
      </w:r>
      <w:proofErr w:type="spellEnd"/>
      <w:r w:rsidR="0079405E">
        <w:t xml:space="preserve"> aruande</w:t>
      </w:r>
      <w:r w:rsidR="00425294">
        <w:t xml:space="preserve">, milles </w:t>
      </w:r>
      <w:r w:rsidR="003A2873">
        <w:t xml:space="preserve">kirjeldatakse kuidas ja milliste meetmetega on Telias </w:t>
      </w:r>
      <w:r w:rsidR="00596C42">
        <w:t>tõkestatud</w:t>
      </w:r>
      <w:r w:rsidR="003A2873">
        <w:t xml:space="preserve"> vastav</w:t>
      </w:r>
      <w:r w:rsidR="00596C42">
        <w:t>a</w:t>
      </w:r>
      <w:r w:rsidR="003A2873">
        <w:t xml:space="preserve"> </w:t>
      </w:r>
      <w:r w:rsidR="00596C42">
        <w:t xml:space="preserve">teabe edastamine Telia </w:t>
      </w:r>
      <w:r w:rsidR="003A2873">
        <w:t xml:space="preserve">jae- ja </w:t>
      </w:r>
      <w:proofErr w:type="spellStart"/>
      <w:r w:rsidR="003A2873">
        <w:t>hulgiäri</w:t>
      </w:r>
      <w:proofErr w:type="spellEnd"/>
      <w:r w:rsidR="003A2873">
        <w:t xml:space="preserve"> vahel. </w:t>
      </w:r>
    </w:p>
    <w:p w14:paraId="044365B2" w14:textId="77777777" w:rsidR="00915B2D" w:rsidRDefault="00915B2D" w:rsidP="00A500BC"/>
    <w:p w14:paraId="16A91F82" w14:textId="0C57BD9D" w:rsidR="0037375D" w:rsidRDefault="0037375D" w:rsidP="0037375D">
      <w:pPr>
        <w:pStyle w:val="Pealkiri2"/>
      </w:pPr>
      <w:bookmarkStart w:id="63" w:name="_Toc182488071"/>
      <w:r>
        <w:t xml:space="preserve">Elisa – </w:t>
      </w:r>
      <w:r w:rsidR="006660CE">
        <w:t>ärisaladuse mõiste defineerimine</w:t>
      </w:r>
      <w:bookmarkEnd w:id="63"/>
    </w:p>
    <w:p w14:paraId="3143F209" w14:textId="77777777" w:rsidR="0037375D" w:rsidRPr="00A500BC" w:rsidRDefault="0037375D" w:rsidP="00A500BC"/>
    <w:p w14:paraId="371A3F34" w14:textId="77777777" w:rsidR="00CC6A5E" w:rsidRPr="00CF5799" w:rsidRDefault="00CC6A5E" w:rsidP="00CC6A5E">
      <w:pPr>
        <w:jc w:val="both"/>
        <w:rPr>
          <w:rFonts w:cs="Times New Roman"/>
          <w:bCs/>
          <w:szCs w:val="24"/>
        </w:rPr>
      </w:pPr>
      <w:r w:rsidRPr="00CF5799">
        <w:rPr>
          <w:rFonts w:cs="Times New Roman"/>
          <w:bCs/>
          <w:szCs w:val="24"/>
        </w:rPr>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2DD40004" w14:textId="0BF09D99" w:rsidR="00A500BC" w:rsidRPr="008D48FA" w:rsidRDefault="008D48FA" w:rsidP="00A500BC">
      <w:pPr>
        <w:rPr>
          <w:i/>
          <w:iCs/>
        </w:rPr>
      </w:pPr>
      <w:r w:rsidRPr="008D48FA">
        <w:rPr>
          <w:i/>
          <w:iCs/>
        </w:rPr>
        <w:t>(F)</w:t>
      </w:r>
      <w:r w:rsidRPr="008D48FA">
        <w:rPr>
          <w:i/>
          <w:iCs/>
        </w:rPr>
        <w:tab/>
        <w:t>Mõisted: kuna kavandi punktid 7.5.5 ja 8.5.5 viitavad Telia ärisaladustele ja piiravad sellega MTE kohustuse ulatust, siis peab otsus (selle punkt 9) defineerima mõiste „ärisaladus“ ja siduma selle ebaausa konkurentsi takistamise ja ärisaladuse kaitse seaduse (EKTÄKS) § 5 lõikega 2, samuti sätestama selgelt, et Telia võib viitega „ärisaladusele“ piirata juurdepääsu ainult konkreetsele teabele (osale), mis ise on ärisaladus EKTÄKS § 5 lg 2 alusel, mitte piirata viitega ärisaladusele juurdepääsu üldiselt (abstraktselt).</w:t>
      </w:r>
    </w:p>
    <w:p w14:paraId="68CF4BF9" w14:textId="77777777" w:rsidR="00A500BC" w:rsidRDefault="00A500BC" w:rsidP="00A500BC"/>
    <w:p w14:paraId="771BD944" w14:textId="05396FA2" w:rsidR="008D48FA" w:rsidRDefault="008D48FA" w:rsidP="008D48FA">
      <w:pPr>
        <w:pStyle w:val="Pealkiri2"/>
      </w:pPr>
      <w:bookmarkStart w:id="64" w:name="_Toc182488072"/>
      <w:r>
        <w:t>TTJA</w:t>
      </w:r>
      <w:bookmarkEnd w:id="64"/>
    </w:p>
    <w:p w14:paraId="44528873" w14:textId="77777777" w:rsidR="008D48FA" w:rsidRDefault="008D48FA" w:rsidP="00A500BC"/>
    <w:p w14:paraId="0B3E0AA3" w14:textId="36FF7683" w:rsidR="008D48FA" w:rsidRDefault="00781710" w:rsidP="00A500BC">
      <w:r>
        <w:t>Ä</w:t>
      </w:r>
      <w:r w:rsidRPr="004047A2">
        <w:t>risaladuse mõiste on piisavalt selgelt defineeritud ebaausa konkurentsi takistamise ja ärisaladuse kaitse seaduses</w:t>
      </w:r>
      <w:r>
        <w:t>.</w:t>
      </w:r>
      <w:r w:rsidRPr="004047A2">
        <w:t xml:space="preserve"> </w:t>
      </w:r>
      <w:r w:rsidR="004047A2" w:rsidRPr="004047A2">
        <w:t xml:space="preserve">TTJA ei </w:t>
      </w:r>
      <w:r>
        <w:t>pea otstarbekaks ja põhjendatuks</w:t>
      </w:r>
      <w:r w:rsidR="004047A2" w:rsidRPr="004047A2">
        <w:t xml:space="preserve"> ärisaladuse mõiste dubleerivat defineerimist ja sisustamist käesolevas otsuses.</w:t>
      </w:r>
    </w:p>
    <w:p w14:paraId="105C5EE9" w14:textId="77777777" w:rsidR="008D48FA" w:rsidRDefault="008D48FA" w:rsidP="00A500BC"/>
    <w:p w14:paraId="306DC4E8" w14:textId="3111D281" w:rsidR="00CC4EC9" w:rsidRDefault="00CC4EC9" w:rsidP="00CC4EC9">
      <w:pPr>
        <w:pStyle w:val="Pealkiri2"/>
      </w:pPr>
      <w:bookmarkStart w:id="65" w:name="_Toc182488073"/>
      <w:r>
        <w:t xml:space="preserve">Elisa – </w:t>
      </w:r>
      <w:r w:rsidR="00E32CC3">
        <w:t>resolutiivosa ja põhjendava osa kooskõla</w:t>
      </w:r>
      <w:bookmarkEnd w:id="65"/>
    </w:p>
    <w:p w14:paraId="3730FCC8" w14:textId="77777777" w:rsidR="008D48FA" w:rsidRDefault="008D48FA" w:rsidP="00A500BC"/>
    <w:p w14:paraId="0E122CB7" w14:textId="77777777" w:rsidR="00CC4EC9" w:rsidRPr="00CF5799" w:rsidRDefault="00CC4EC9" w:rsidP="00CC4EC9">
      <w:pPr>
        <w:jc w:val="both"/>
        <w:rPr>
          <w:rFonts w:cs="Times New Roman"/>
          <w:bCs/>
          <w:szCs w:val="24"/>
        </w:rPr>
      </w:pPr>
      <w:r w:rsidRPr="00CF5799">
        <w:rPr>
          <w:rFonts w:cs="Times New Roman"/>
          <w:bCs/>
          <w:szCs w:val="24"/>
        </w:rPr>
        <w:lastRenderedPageBreak/>
        <w:t xml:space="preserve">Elisa kirjutas oma </w:t>
      </w:r>
      <w:r w:rsidRPr="00D97DF0">
        <w:rPr>
          <w:rFonts w:cs="Times New Roman"/>
          <w:bCs/>
          <w:szCs w:val="24"/>
        </w:rPr>
        <w:t xml:space="preserve">30.09.2024 </w:t>
      </w:r>
      <w:r>
        <w:rPr>
          <w:rFonts w:cs="Times New Roman"/>
          <w:bCs/>
          <w:szCs w:val="24"/>
        </w:rPr>
        <w:t xml:space="preserve">kirjas </w:t>
      </w:r>
      <w:r w:rsidRPr="00D97DF0">
        <w:rPr>
          <w:rFonts w:cs="Times New Roman"/>
          <w:bCs/>
          <w:szCs w:val="24"/>
        </w:rPr>
        <w:t>nr 1-1/33</w:t>
      </w:r>
      <w:r w:rsidRPr="00CF5799">
        <w:rPr>
          <w:rFonts w:cs="Times New Roman"/>
          <w:bCs/>
          <w:szCs w:val="24"/>
        </w:rPr>
        <w:t xml:space="preserve"> järgmist:</w:t>
      </w:r>
    </w:p>
    <w:p w14:paraId="137B90EB" w14:textId="52A96679" w:rsidR="00CC4EC9" w:rsidRPr="007034D1" w:rsidRDefault="007034D1" w:rsidP="00A500BC">
      <w:pPr>
        <w:rPr>
          <w:i/>
          <w:iCs/>
        </w:rPr>
      </w:pPr>
      <w:r w:rsidRPr="007034D1">
        <w:rPr>
          <w:i/>
          <w:iCs/>
        </w:rPr>
        <w:t>(G)</w:t>
      </w:r>
      <w:r w:rsidRPr="007034D1">
        <w:rPr>
          <w:i/>
          <w:iCs/>
        </w:rPr>
        <w:tab/>
        <w:t>Otsuse eri osade kooskõla: otsuses tuleb tagada, et kõik MTE kohustuste sisustamise ja nende täitmise seisukohalt oluline saab sätestatud nö resolutiivosas, mitte (ainult) põhjendavas osas ja et (põhjendav osa ja resolutiivosa oleks omavahel kooskõlas.</w:t>
      </w:r>
    </w:p>
    <w:p w14:paraId="1FF7E90B" w14:textId="77777777" w:rsidR="007034D1" w:rsidRDefault="007034D1" w:rsidP="00A500BC"/>
    <w:p w14:paraId="09612C2F" w14:textId="7FA8954A" w:rsidR="007034D1" w:rsidRDefault="007034D1" w:rsidP="007034D1">
      <w:pPr>
        <w:pStyle w:val="Pealkiri2"/>
      </w:pPr>
      <w:bookmarkStart w:id="66" w:name="_Toc182488074"/>
      <w:r>
        <w:t>TTJA</w:t>
      </w:r>
      <w:bookmarkEnd w:id="66"/>
    </w:p>
    <w:p w14:paraId="641F6426" w14:textId="77777777" w:rsidR="007034D1" w:rsidRDefault="007034D1" w:rsidP="00A500BC"/>
    <w:p w14:paraId="1A3694F7" w14:textId="3F543093" w:rsidR="007034D1" w:rsidRDefault="00E41827" w:rsidP="00A500BC">
      <w:r w:rsidRPr="00E41827">
        <w:t>TTJA tänab ettepaneku eest. TTJA hinnangul on resolutiivosas kirjas kõik, mis on oluline MTE kohustuste sisustamise ja täitmise seisukohalt ning resolutiivosa ja põhjendav osa on omavahel kooskõlas</w:t>
      </w:r>
      <w:r w:rsidR="0095434E">
        <w:t>.</w:t>
      </w:r>
    </w:p>
    <w:p w14:paraId="2198415B" w14:textId="77777777" w:rsidR="00CC4EC9" w:rsidRDefault="00CC4EC9" w:rsidP="00A500BC"/>
    <w:p w14:paraId="06CEFC49" w14:textId="77777777" w:rsidR="00C97F5D" w:rsidRDefault="00C97F5D" w:rsidP="00A500BC"/>
    <w:p w14:paraId="22624E88" w14:textId="67C5CDEC" w:rsidR="00ED6072" w:rsidRPr="006C45AD" w:rsidRDefault="007F7610" w:rsidP="00ED6072">
      <w:pPr>
        <w:pStyle w:val="Pealkiri1"/>
      </w:pPr>
      <w:bookmarkStart w:id="67" w:name="_Toc182488075"/>
      <w:r>
        <w:t>Ä</w:t>
      </w:r>
      <w:r w:rsidR="00ED6072" w:rsidRPr="00504D3A">
        <w:t>ri</w:t>
      </w:r>
      <w:r>
        <w:t>saladus</w:t>
      </w:r>
      <w:r w:rsidR="00AB1FAC">
        <w:t xml:space="preserve">ed ja nende </w:t>
      </w:r>
      <w:r w:rsidR="00542E83">
        <w:t xml:space="preserve">mitte </w:t>
      </w:r>
      <w:r w:rsidR="00AB1FAC">
        <w:t>avaldami</w:t>
      </w:r>
      <w:r w:rsidR="00542E83">
        <w:t>s</w:t>
      </w:r>
      <w:r w:rsidR="00AB1FAC">
        <w:t>e</w:t>
      </w:r>
      <w:r w:rsidR="00092635">
        <w:t xml:space="preserve"> </w:t>
      </w:r>
      <w:r w:rsidR="008E3BEB">
        <w:t>mõju turuanalüüsiga t</w:t>
      </w:r>
      <w:r w:rsidR="00542E83">
        <w:t>utvumisele</w:t>
      </w:r>
      <w:bookmarkEnd w:id="67"/>
    </w:p>
    <w:p w14:paraId="306B74EC" w14:textId="77777777" w:rsidR="00ED6072" w:rsidRDefault="00ED6072" w:rsidP="00ED6072"/>
    <w:p w14:paraId="25716072" w14:textId="0F36EB7E" w:rsidR="00ED6072" w:rsidRPr="00B72826" w:rsidRDefault="00ED6072" w:rsidP="00ED6072">
      <w:pPr>
        <w:pStyle w:val="Pealkiri2"/>
      </w:pPr>
      <w:bookmarkStart w:id="68" w:name="_Toc182488076"/>
      <w:r>
        <w:t>Tele2</w:t>
      </w:r>
      <w:bookmarkEnd w:id="68"/>
    </w:p>
    <w:p w14:paraId="098DBFAC" w14:textId="77777777" w:rsidR="00ED6072" w:rsidRDefault="00ED6072" w:rsidP="00ED6072">
      <w:pPr>
        <w:jc w:val="both"/>
        <w:rPr>
          <w:rFonts w:cs="Times New Roman"/>
          <w:i/>
          <w:iCs/>
          <w:szCs w:val="24"/>
        </w:rPr>
      </w:pPr>
    </w:p>
    <w:p w14:paraId="1DFEDD30" w14:textId="5AB741A4" w:rsidR="00ED6072" w:rsidRPr="00CF5799" w:rsidRDefault="00ED6072" w:rsidP="00ED6072">
      <w:pPr>
        <w:jc w:val="both"/>
        <w:rPr>
          <w:rFonts w:cs="Times New Roman"/>
          <w:bCs/>
          <w:szCs w:val="24"/>
        </w:rPr>
      </w:pPr>
      <w:r>
        <w:rPr>
          <w:rFonts w:cs="Times New Roman"/>
          <w:bCs/>
          <w:szCs w:val="24"/>
        </w:rPr>
        <w:t>Tele2</w:t>
      </w:r>
      <w:r w:rsidRPr="00CF5799">
        <w:rPr>
          <w:rFonts w:cs="Times New Roman"/>
          <w:bCs/>
          <w:szCs w:val="24"/>
        </w:rPr>
        <w:t xml:space="preserve"> kirjutas oma </w:t>
      </w:r>
      <w:r w:rsidR="0022432B" w:rsidRPr="0022432B">
        <w:rPr>
          <w:rFonts w:cs="Times New Roman"/>
          <w:bCs/>
          <w:szCs w:val="24"/>
        </w:rPr>
        <w:t xml:space="preserve">23.09.2024  </w:t>
      </w:r>
      <w:r>
        <w:rPr>
          <w:rFonts w:cs="Times New Roman"/>
          <w:bCs/>
          <w:szCs w:val="24"/>
        </w:rPr>
        <w:t xml:space="preserve">kirjas </w:t>
      </w:r>
      <w:r w:rsidRPr="00CF5799">
        <w:rPr>
          <w:rFonts w:cs="Times New Roman"/>
          <w:bCs/>
          <w:szCs w:val="24"/>
        </w:rPr>
        <w:t>järgmist:</w:t>
      </w:r>
    </w:p>
    <w:p w14:paraId="1FADF0C7" w14:textId="4B0DE2BF" w:rsidR="00C97F5D" w:rsidRPr="00AD6A86" w:rsidRDefault="00AD6A86" w:rsidP="00A500BC">
      <w:pPr>
        <w:rPr>
          <w:i/>
          <w:iCs/>
        </w:rPr>
      </w:pPr>
      <w:r w:rsidRPr="00AD6A86">
        <w:rPr>
          <w:i/>
          <w:iCs/>
        </w:rPr>
        <w:t xml:space="preserve">Esiteks, soovib Tele2 välja tuua, et nii Tele2-l kui tõenäoliselt ka teistel turuosaliselt ning huvitatud isikutel pole võimalust üheselt veenduda TTJA poolt koostatud analüüsi korrektsuses, kuna vastava veendumuse saamiseks puudub huvitatud isikutel ligipääs alusandmetele (analüüsi hindamiseks vajalikud alusandmed on märgitud ärisaladusena). Mõistame osaliselt vajadust teatud algandmed märkida ärisaladusena, kuid leiame, et minimaalselt peaks analüüsis olema välja toodud (a) kõik internetiühenduse teenuse pakkujad, keda on analüüsis kaasatud, (b) kõik riigiabi toel rajatud ja puudutatud info, (c) analüüsides protsentuaalselt märgitud andmed ning (d) analüüsides tükiliselt toodud andmed regiooniti / piirkonniti ühe või teise sidevõrgu ulatusest. Eelloetletud andmete mittetäielik lahti kirjutamine (punkt a) või nende märkimine ärisaladusega (punktid </w:t>
      </w:r>
      <w:proofErr w:type="spellStart"/>
      <w:r w:rsidRPr="00AD6A86">
        <w:rPr>
          <w:i/>
          <w:iCs/>
        </w:rPr>
        <w:t>b-d</w:t>
      </w:r>
      <w:proofErr w:type="spellEnd"/>
      <w:r w:rsidRPr="00AD6A86">
        <w:rPr>
          <w:i/>
          <w:iCs/>
        </w:rPr>
        <w:t>) piirab olulisel määral teiste turuosaliste ja huvitatud isikute võimalusi hinnata konkreetsemalt TTJA poolt otsuse kavandis jõutud järelduste tõesust.</w:t>
      </w:r>
    </w:p>
    <w:p w14:paraId="24633BEB" w14:textId="77777777" w:rsidR="00CC4EC9" w:rsidRDefault="00CC4EC9" w:rsidP="00A500BC"/>
    <w:p w14:paraId="7E0B34B5" w14:textId="3E87A2A2" w:rsidR="00AD6A86" w:rsidRPr="00AF024F" w:rsidRDefault="00AD6A86" w:rsidP="007F7610">
      <w:pPr>
        <w:pStyle w:val="Pealkiri2"/>
      </w:pPr>
      <w:bookmarkStart w:id="69" w:name="_Toc182488077"/>
      <w:r w:rsidRPr="00AF024F">
        <w:t>TTJA</w:t>
      </w:r>
      <w:bookmarkEnd w:id="69"/>
    </w:p>
    <w:p w14:paraId="1318FFE2" w14:textId="5B78FED5" w:rsidR="00AF024F" w:rsidRDefault="00E425A3" w:rsidP="00A500BC">
      <w:r>
        <w:t>TTJA mõistab, et ärisaladuste</w:t>
      </w:r>
      <w:r w:rsidR="00A62EE1">
        <w:t>ga</w:t>
      </w:r>
      <w:r>
        <w:t xml:space="preserve"> kaetud analüüs</w:t>
      </w:r>
      <w:r w:rsidR="00092615">
        <w:t xml:space="preserve"> piirab huvitatud isikute võimalusi hinnata analüüsi järelduste tõesust ja vastavust tegelikkusele. Samas on iga sideettevõtjal õigus </w:t>
      </w:r>
      <w:r w:rsidR="00BD3706">
        <w:t>pidada teavet</w:t>
      </w:r>
      <w:r w:rsidR="009A17B8">
        <w:t>, mis vastab e</w:t>
      </w:r>
      <w:r w:rsidR="009A17B8" w:rsidRPr="009A17B8">
        <w:t>baausa konkurentsi takistamise ja ärisaladuse kaitse seadus</w:t>
      </w:r>
      <w:r w:rsidR="00402CCF">
        <w:t>e § 5 lõikes 2 esitatud definitsioonile, pidada</w:t>
      </w:r>
      <w:r w:rsidR="00F856CD">
        <w:t xml:space="preserve"> oma</w:t>
      </w:r>
      <w:r w:rsidR="00402CCF">
        <w:t xml:space="preserve"> ärisaladuseks ja TTJA-</w:t>
      </w:r>
      <w:proofErr w:type="spellStart"/>
      <w:r w:rsidR="00402CCF">
        <w:t>le</w:t>
      </w:r>
      <w:proofErr w:type="spellEnd"/>
      <w:r w:rsidR="00402CCF">
        <w:t xml:space="preserve"> ei ole õigust seda avaldada.</w:t>
      </w:r>
    </w:p>
    <w:p w14:paraId="1FA572FB" w14:textId="4B1DFD7F" w:rsidR="008F4AB8" w:rsidRDefault="008F4AB8" w:rsidP="00A500BC">
      <w:r>
        <w:t xml:space="preserve">TTJA </w:t>
      </w:r>
      <w:r w:rsidR="00D13D32">
        <w:t>on avaldanud TTJA 2024 hulgitur</w:t>
      </w:r>
      <w:r w:rsidR="00E169A0">
        <w:t xml:space="preserve">gude 1 ja 3b otsuse kavandis kõikide analüüsi kaasatud internetiühenduste kasutajate nimed, vt nt </w:t>
      </w:r>
      <w:r w:rsidR="00AF6A69">
        <w:t xml:space="preserve">Tabel 5 </w:t>
      </w:r>
      <w:r w:rsidR="00715B76">
        <w:t>lk 47.</w:t>
      </w:r>
    </w:p>
    <w:p w14:paraId="1153D813" w14:textId="677AC3FD" w:rsidR="00715B76" w:rsidRDefault="00D52730" w:rsidP="00A500BC">
      <w:r>
        <w:lastRenderedPageBreak/>
        <w:t xml:space="preserve">TTJA </w:t>
      </w:r>
      <w:r w:rsidR="00C93F13">
        <w:t xml:space="preserve">võtab Tele2 arvamust arvesse ja käesoleva otsuse </w:t>
      </w:r>
      <w:r w:rsidR="00D035F2">
        <w:t xml:space="preserve">ärisaladuseta väljavõttes avaldab </w:t>
      </w:r>
      <w:r w:rsidR="00356F79">
        <w:t>kõik teabe, mida sideettevõtjad ei ole märkinud oma ärisaladuseks ja mis ei vasta e</w:t>
      </w:r>
      <w:r w:rsidR="00356F79" w:rsidRPr="009A17B8">
        <w:t>baausa konkurentsi takistamise ja ärisaladuse kaitse seadus</w:t>
      </w:r>
      <w:r w:rsidR="00356F79">
        <w:t>e § 5 lõikes 2 esitatud ärisaladuse definitsioonile.</w:t>
      </w:r>
    </w:p>
    <w:p w14:paraId="662E1AA1" w14:textId="77777777" w:rsidR="00356F79" w:rsidRDefault="00356F79" w:rsidP="00A500BC"/>
    <w:p w14:paraId="2DB1E8B6" w14:textId="6CF77B60" w:rsidR="00B84972" w:rsidRPr="006C45AD" w:rsidRDefault="009164D0" w:rsidP="00B84972">
      <w:pPr>
        <w:pStyle w:val="Pealkiri1"/>
      </w:pPr>
      <w:bookmarkStart w:id="70" w:name="_Toc182488078"/>
      <w:r>
        <w:t>Hulgiturgude segmenteerimise põhjendatu</w:t>
      </w:r>
      <w:r w:rsidR="002A78DE">
        <w:t>s</w:t>
      </w:r>
      <w:bookmarkEnd w:id="70"/>
    </w:p>
    <w:p w14:paraId="1D394F75" w14:textId="77777777" w:rsidR="00B84972" w:rsidRDefault="00B84972" w:rsidP="00B84972"/>
    <w:p w14:paraId="3AA9FDF7" w14:textId="77777777" w:rsidR="00B84972" w:rsidRPr="00B72826" w:rsidRDefault="00B84972" w:rsidP="00B84972">
      <w:pPr>
        <w:pStyle w:val="Pealkiri2"/>
      </w:pPr>
      <w:bookmarkStart w:id="71" w:name="_Toc182488079"/>
      <w:r>
        <w:t>Tele2</w:t>
      </w:r>
      <w:bookmarkEnd w:id="71"/>
    </w:p>
    <w:p w14:paraId="2680CAFE" w14:textId="77777777" w:rsidR="00B84972" w:rsidRDefault="00B84972" w:rsidP="00B84972">
      <w:pPr>
        <w:jc w:val="both"/>
        <w:rPr>
          <w:rFonts w:cs="Times New Roman"/>
          <w:i/>
          <w:iCs/>
          <w:szCs w:val="24"/>
        </w:rPr>
      </w:pPr>
    </w:p>
    <w:p w14:paraId="35F83915" w14:textId="77777777" w:rsidR="00B84972" w:rsidRPr="00CF5799" w:rsidRDefault="00B84972" w:rsidP="00B84972">
      <w:pPr>
        <w:jc w:val="both"/>
        <w:rPr>
          <w:rFonts w:cs="Times New Roman"/>
          <w:bCs/>
          <w:szCs w:val="24"/>
        </w:rPr>
      </w:pPr>
      <w:r>
        <w:rPr>
          <w:rFonts w:cs="Times New Roman"/>
          <w:bCs/>
          <w:szCs w:val="24"/>
        </w:rPr>
        <w:t>Tele2</w:t>
      </w:r>
      <w:r w:rsidRPr="00CF5799">
        <w:rPr>
          <w:rFonts w:cs="Times New Roman"/>
          <w:bCs/>
          <w:szCs w:val="24"/>
        </w:rPr>
        <w:t xml:space="preserve"> kirjutas oma </w:t>
      </w:r>
      <w:r w:rsidRPr="0022432B">
        <w:rPr>
          <w:rFonts w:cs="Times New Roman"/>
          <w:bCs/>
          <w:szCs w:val="24"/>
        </w:rPr>
        <w:t xml:space="preserve">23.09.2024  </w:t>
      </w:r>
      <w:r>
        <w:rPr>
          <w:rFonts w:cs="Times New Roman"/>
          <w:bCs/>
          <w:szCs w:val="24"/>
        </w:rPr>
        <w:t xml:space="preserve">kirjas </w:t>
      </w:r>
      <w:r w:rsidRPr="00CF5799">
        <w:rPr>
          <w:rFonts w:cs="Times New Roman"/>
          <w:bCs/>
          <w:szCs w:val="24"/>
        </w:rPr>
        <w:t>järgmist:</w:t>
      </w:r>
    </w:p>
    <w:p w14:paraId="3F98BFC4" w14:textId="77777777" w:rsidR="002C0C44" w:rsidRPr="002C0C44" w:rsidRDefault="002C0C44" w:rsidP="002C0C44">
      <w:pPr>
        <w:rPr>
          <w:i/>
          <w:iCs/>
        </w:rPr>
      </w:pPr>
      <w:r w:rsidRPr="002C0C44">
        <w:rPr>
          <w:i/>
          <w:iCs/>
        </w:rPr>
        <w:t xml:space="preserve">Teiseks, on käesoleva otsuse kavandiga teinud TTJA muudatusi hulgiturgude geograafilises ulatuses, jättes Jõhvi, Kohtla-Järve (Ahtme ja Järve linnaosad), Maardu, Narva. Sillamäe, Tallinn (Haabersti, Lasnamäe, Mustamäe ja Põhja-Tallinna linnaosad) reguleeritavalt turult välja.  </w:t>
      </w:r>
    </w:p>
    <w:p w14:paraId="6201A0D6" w14:textId="77777777" w:rsidR="002C0C44" w:rsidRPr="002C0C44" w:rsidRDefault="002C0C44" w:rsidP="002C0C44">
      <w:pPr>
        <w:rPr>
          <w:i/>
          <w:iCs/>
        </w:rPr>
      </w:pPr>
      <w:r w:rsidRPr="002C0C44">
        <w:rPr>
          <w:i/>
          <w:iCs/>
        </w:rPr>
        <w:t xml:space="preserve">TTJA sõnul on see põhjendatav turuosadega ning TTJA hinnangul tasakaalustava ostujõu olemasoluga. Komisjoni 2020.a. soovituste kohaselt tuleb konkurentsitingimusi hinnata tuleviku seisukohalt, jälgides struktuurilisi ja tegevusega seotud näitajaid, nagu näiteks võrgujalajälg, konkureerivate võrkude arv, nende vastavad turuosad, turuosade arengusuunad, kohalik või üldine hinnakäitumine, nõudluse omadused ning teenuseosutaja vahetused ja teenuslepingu lõpetamised, ning võttes arvesse eelkõige taristupõhise konkurentsi osakaalu. Kuigi TTJA on oma analüüsis enamus eelloetletud näitajaid arvesse võtnud, siis ei saa Tele2 siiski nõustuda TTJA järeldusega Eesti geograafiline hulgiturg killustada ning erinevalt reguleerida. Arvestades, et Eesti elanikkond on üsna väikesearvuline ning turul lõpptarbijale pakutavad tooted ja teenused ei ole eri geograafilistes piirkondades erinevad oma hinna ega omaduste poolest, pole geograafiline eristamine otstarbekas, seda eriti linnaosade kaupa või linnade puhul, mis kokku moodustavad Eesti elanikkonnast alla 10% või kus tegutseb üksnes kaks (2) sideoperaatorit. Alternatiivsed ettevõtjad nendes piirkondades on enamuses väikesed ja erinevalt Teliast puudub neil võimalus tugineda mastaabisäästule nagu on seda väitnud TTJA, kelle väide mastaabisäästu olemasolust tugineb suurtel sideoperaatoritel nagu Telia, Elisa ja STV. Antud mastaabisäästu analüüs ei ole aga läbi viidud iga piirkonna A geograafilise üksuse suhtes eraldi, mis tähendab, et analüüsis ei ole hinnatud piisavalt piirkondlike erinevusi. See võib viia selleni, et nendes A piirkonna asutusüksustes, kus TTJA analüüsi järgi mastaabisäästu omavad alternatiivsed sideettevõtjad Elisa ja STV ei tegutse olemasoleva MTE kõrval, siis nendes piirkondades võib turu de-reguleerimine tuua kaasa olukorra, mis võimaldab Telial hinnastada oma teenuseid viisil, mis surub alternatiivsed ettevõtjad turult välja, kuna neil pole (rahalisi) võimalusi pikaajalises perspektiivis Teliaga konkureerimiseks. </w:t>
      </w:r>
    </w:p>
    <w:p w14:paraId="73841B63" w14:textId="77777777" w:rsidR="002C0C44" w:rsidRPr="002C0C44" w:rsidRDefault="002C0C44" w:rsidP="002C0C44">
      <w:pPr>
        <w:rPr>
          <w:i/>
          <w:iCs/>
        </w:rPr>
      </w:pPr>
      <w:r w:rsidRPr="002C0C44">
        <w:rPr>
          <w:i/>
          <w:iCs/>
        </w:rPr>
        <w:t xml:space="preserve">Tele2 leiab, et potentsiaalsetel uutel turuosalistel, kes soovivad A piirkonnas peale käesoleva otsuse jõustumist turule siseneda, peaks kavandatud geograafilise eristamise tõttu olema eraldi turule (st A piirkonnale) pääsu strateegia, mis lisab tarbetult keerukust nii turuosalistele kui tõenäoliselt ka lõpptarbijatele. Tele2 on seisukohal, et Eesti turule sisenemine peaks olema suhteliselt lihtne, kuid praegune geograafiline eristamine sellele </w:t>
      </w:r>
      <w:r w:rsidRPr="002C0C44">
        <w:rPr>
          <w:i/>
          <w:iCs/>
        </w:rPr>
        <w:lastRenderedPageBreak/>
        <w:t xml:space="preserve">kaasa ei aita. Turule sisenemise tõkete olemasolu A piirkonnas juba praegu on tõdenud oma analüüsis ka TTJA, lugedes turule sisenemise tõkkeid üheks peamiseks konkurentsiprobleemiks elektroonilise side turul. Antud tõdemuse juures ei ole TTJA aga oma analüüsis arvestatud asjaoluga, et Hulgiturg 2 (mis sisaldab pimeda optika renti ja sidekanalisatsiooni renti) on tihti juba hoone sisendite osas täis või kasutuses ning uued regulatsioonid ei aita koheselt vabastada maja sisendites mahtu. Mis tähendab et reaalsuses on turule sisenemise tõkked juba praegu veelgi kõrgemad kui TTJA on oma analüüsis leidnud ning tõenäosus nende kasvamiseks peale planeeritava otsuse jõustumist on märkimisväärselt suur.  </w:t>
      </w:r>
    </w:p>
    <w:p w14:paraId="171B1317" w14:textId="2E1BA984" w:rsidR="00AF024F" w:rsidRPr="002C0C44" w:rsidRDefault="002C0C44" w:rsidP="002C0C44">
      <w:pPr>
        <w:rPr>
          <w:i/>
          <w:iCs/>
        </w:rPr>
      </w:pPr>
      <w:r w:rsidRPr="002C0C44">
        <w:rPr>
          <w:i/>
          <w:iCs/>
        </w:rPr>
        <w:t xml:space="preserve">Tele2 soovib siinkohal rõhutada ja TTJA tähelepanu juhtida asjaolule, et turu reguleerimise või mittereguleerimise eesmärk peab alati olema kindlustada parem konkurentsivõime ning seeläbi tagada lõpptarbijatele kättesaadavad, kvaliteetsemad ning mõistliku hinnaga teenused. Siinkohal on oluline arvesse võtta ning hinnata nii hulgi- kui jaeturgu tuleviku seisukohalt ning analüüsida kuidas kohustuste kehtestamine või varasemate kohustuste eemaldamine konkurentsi turul mõjutab. Tele2 soovitab </w:t>
      </w:r>
      <w:proofErr w:type="spellStart"/>
      <w:r w:rsidRPr="002C0C44">
        <w:rPr>
          <w:i/>
          <w:iCs/>
        </w:rPr>
        <w:t>TTJAl</w:t>
      </w:r>
      <w:proofErr w:type="spellEnd"/>
      <w:r w:rsidRPr="002C0C44">
        <w:rPr>
          <w:i/>
          <w:iCs/>
        </w:rPr>
        <w:t xml:space="preserve"> enne käesoleva otsuse kavandi lõpliku vastuvõtmist lisaks analüüsida hulgiturge 1 ja 3b A piirkonda tulevikku vaatavalt olukorras, kus turgudel ei ole määratud </w:t>
      </w:r>
      <w:proofErr w:type="spellStart"/>
      <w:r w:rsidRPr="002C0C44">
        <w:rPr>
          <w:i/>
          <w:iCs/>
        </w:rPr>
        <w:t>MTE-d</w:t>
      </w:r>
      <w:proofErr w:type="spellEnd"/>
      <w:r w:rsidRPr="002C0C44">
        <w:rPr>
          <w:i/>
          <w:iCs/>
        </w:rPr>
        <w:t xml:space="preserve">. Antud analüüsis on oluline arvesse võtta seda, kas hulgitasandi juurdepääs on kättesaadav igale huvitatud ettevõtjale sellistel mõistlikel kaubandustingimustel, mis võimaldavad lõppkasutajatele jaeturul konkurentsi seisukohast </w:t>
      </w:r>
      <w:proofErr w:type="spellStart"/>
      <w:r w:rsidRPr="002C0C44">
        <w:rPr>
          <w:i/>
          <w:iCs/>
        </w:rPr>
        <w:t>kestlikke</w:t>
      </w:r>
      <w:proofErr w:type="spellEnd"/>
      <w:r w:rsidRPr="002C0C44">
        <w:rPr>
          <w:i/>
          <w:iCs/>
        </w:rPr>
        <w:t xml:space="preserve"> tulemusi. Tele2 julgeb antud asjaolude esinemises kahelda ning tunneb muret nii hulgi- kui jaeturu arengute pärast järgneva reguleerimisperioodi jooksul.  </w:t>
      </w:r>
    </w:p>
    <w:p w14:paraId="4EE6F9A3" w14:textId="77777777" w:rsidR="002C0C44" w:rsidRDefault="002C0C44" w:rsidP="00A500BC"/>
    <w:p w14:paraId="74526DF9" w14:textId="6181E2CF" w:rsidR="00AD6A86" w:rsidRPr="002C0C44" w:rsidRDefault="002C0C44" w:rsidP="00A500BC">
      <w:pPr>
        <w:rPr>
          <w:b/>
          <w:bCs/>
        </w:rPr>
      </w:pPr>
      <w:r w:rsidRPr="002C0C44">
        <w:rPr>
          <w:b/>
          <w:bCs/>
        </w:rPr>
        <w:t>TTJA</w:t>
      </w:r>
    </w:p>
    <w:p w14:paraId="735934B2" w14:textId="2681C818" w:rsidR="00EC03D1" w:rsidRDefault="00636256" w:rsidP="00A500BC">
      <w:r>
        <w:t xml:space="preserve">TTJA juhib tähelepanu, et </w:t>
      </w:r>
      <w:r w:rsidR="00506299">
        <w:t xml:space="preserve">ehkki </w:t>
      </w:r>
      <w:r w:rsidR="004A327B">
        <w:t>vaskkaabli</w:t>
      </w:r>
      <w:r w:rsidR="00CF22A2">
        <w:t>- ja mobiil</w:t>
      </w:r>
      <w:r w:rsidR="00CC0D81">
        <w:t>sidevõrgu</w:t>
      </w:r>
      <w:r w:rsidR="00E971C7">
        <w:t xml:space="preserve">le </w:t>
      </w:r>
      <w:r w:rsidR="00CF47EF">
        <w:t xml:space="preserve">juurdepääsu </w:t>
      </w:r>
      <w:r w:rsidR="00506299">
        <w:t>hulgi</w:t>
      </w:r>
      <w:r w:rsidR="00CF47EF">
        <w:t>turu</w:t>
      </w:r>
      <w:r w:rsidR="00506299">
        <w:t>l 1 ja 3b</w:t>
      </w:r>
      <w:r w:rsidR="00CF47EF">
        <w:t xml:space="preserve"> </w:t>
      </w:r>
      <w:r w:rsidR="003360C8">
        <w:t xml:space="preserve">üleriigilises piirkonnas </w:t>
      </w:r>
      <w:r w:rsidR="00055A75">
        <w:t>ning</w:t>
      </w:r>
      <w:r w:rsidR="00CF47EF">
        <w:t xml:space="preserve"> valguskaablivõrgu</w:t>
      </w:r>
      <w:r w:rsidR="00055A75">
        <w:t>le juurdepääsu</w:t>
      </w:r>
      <w:r w:rsidR="00CF47EF">
        <w:t xml:space="preserve"> A piirkonnas on </w:t>
      </w:r>
      <w:r w:rsidR="00C92030">
        <w:t>käesoleva otsuse alusel</w:t>
      </w:r>
      <w:r w:rsidR="00CC71B9">
        <w:t xml:space="preserve"> valdkonnaspetsiifili</w:t>
      </w:r>
      <w:r w:rsidR="00C92030">
        <w:t>ne</w:t>
      </w:r>
      <w:r w:rsidR="00CC71B9">
        <w:t xml:space="preserve"> regul</w:t>
      </w:r>
      <w:r w:rsidR="00C92030">
        <w:t xml:space="preserve">eerimine lõpetatud, siis vastavates piirkondade on </w:t>
      </w:r>
      <w:r w:rsidR="000C327A">
        <w:t>jätkuvalt</w:t>
      </w:r>
      <w:r w:rsidR="00C92030">
        <w:t xml:space="preserve"> valdkonnaspetsiifiliselt reguleeritud </w:t>
      </w:r>
      <w:r w:rsidR="001A67C6">
        <w:t xml:space="preserve">sidekaablitaristule juurdepääsu hulgiturg </w:t>
      </w:r>
      <w:r w:rsidR="00CC71B9">
        <w:t xml:space="preserve">ja </w:t>
      </w:r>
      <w:r w:rsidR="000C327A">
        <w:t>asjakohased</w:t>
      </w:r>
      <w:r w:rsidR="00CC71B9">
        <w:t xml:space="preserve"> MTE kohustused määratud Teliale</w:t>
      </w:r>
      <w:r w:rsidR="00E5536B">
        <w:t xml:space="preserve"> sidekaablitaristule (sidetorud ja -postid) juurdepääsu osas</w:t>
      </w:r>
      <w:r w:rsidR="003A0DFC">
        <w:t xml:space="preserve">. </w:t>
      </w:r>
      <w:r w:rsidR="001A67C6">
        <w:t xml:space="preserve">Seega on </w:t>
      </w:r>
      <w:r w:rsidR="00E80EEF">
        <w:t xml:space="preserve">nendes tiheasustatud ja efektiivse konkurentsiga piirkondades </w:t>
      </w:r>
      <w:r w:rsidR="00FF4F42">
        <w:t>jätkuvalt</w:t>
      </w:r>
      <w:r w:rsidR="001A67C6">
        <w:t xml:space="preserve"> </w:t>
      </w:r>
      <w:r w:rsidR="00E80EEF">
        <w:t xml:space="preserve">tagatud </w:t>
      </w:r>
      <w:r w:rsidR="00AD72F5">
        <w:t>tõhus</w:t>
      </w:r>
      <w:r w:rsidR="00E80EEF">
        <w:t xml:space="preserve"> juurdepääs Telia sidetorude</w:t>
      </w:r>
      <w:r w:rsidR="00C86C91">
        <w:t>le ja -postidele ning seeläbi</w:t>
      </w:r>
      <w:r w:rsidR="00AD72F5">
        <w:t xml:space="preserve"> võimalused arendada sidevõ</w:t>
      </w:r>
      <w:r w:rsidR="00070E96">
        <w:t>rkude</w:t>
      </w:r>
      <w:r w:rsidR="00FF4F42">
        <w:t xml:space="preserve"> vahelist konkurentsi.</w:t>
      </w:r>
      <w:r w:rsidR="007C24AE">
        <w:t xml:space="preserve"> </w:t>
      </w:r>
    </w:p>
    <w:p w14:paraId="785B3A9F" w14:textId="54D8605A" w:rsidR="002C0C44" w:rsidRDefault="007C24AE" w:rsidP="00A500BC">
      <w:r>
        <w:t xml:space="preserve">Turgude geograafilist </w:t>
      </w:r>
      <w:r w:rsidR="00CE6B19">
        <w:t xml:space="preserve">segmenteerimist kõrgema ja madalama konkurentsiga piirkondadeks </w:t>
      </w:r>
      <w:r w:rsidR="00697CAA">
        <w:t xml:space="preserve">ning </w:t>
      </w:r>
      <w:r w:rsidR="00EC03D1">
        <w:t xml:space="preserve">valdkonnaspetsiifilise regulatsiooni rakendamise eesmärke </w:t>
      </w:r>
      <w:r w:rsidR="00CE6B19">
        <w:t xml:space="preserve">on põhjendatud </w:t>
      </w:r>
      <w:r w:rsidR="00944410">
        <w:t xml:space="preserve">TTJA 2024 hulgiturgude 1 ja 3b otsuse kavandi </w:t>
      </w:r>
      <w:r w:rsidR="00735C9A">
        <w:t>ptk.-</w:t>
      </w:r>
      <w:r w:rsidR="00944410">
        <w:t xml:space="preserve">s </w:t>
      </w:r>
      <w:r w:rsidR="009B1BD2">
        <w:t xml:space="preserve">2.1 </w:t>
      </w:r>
      <w:r w:rsidR="00697CAA">
        <w:t>koos alampeatükkidega</w:t>
      </w:r>
      <w:r w:rsidR="00C86C91">
        <w:t xml:space="preserve">, samuti </w:t>
      </w:r>
      <w:r w:rsidR="00735C9A">
        <w:t>ptk.-</w:t>
      </w:r>
      <w:r w:rsidR="00C86C91">
        <w:t xml:space="preserve">s </w:t>
      </w:r>
      <w:r w:rsidR="00234E28">
        <w:t>2.3.1.</w:t>
      </w:r>
    </w:p>
    <w:p w14:paraId="1EB6382D" w14:textId="77777777" w:rsidR="002C0C44" w:rsidRDefault="002C0C44" w:rsidP="00A500BC"/>
    <w:bookmarkEnd w:id="0"/>
    <w:p w14:paraId="04E97220" w14:textId="77777777" w:rsidR="002C0C44" w:rsidRPr="00A500BC" w:rsidRDefault="002C0C44" w:rsidP="00A500BC"/>
    <w:sectPr w:rsidR="002C0C44" w:rsidRPr="00A500BC" w:rsidSect="00573EC0">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8C49" w14:textId="77777777" w:rsidR="00E97CFF" w:rsidRDefault="00E97CFF" w:rsidP="00066BB9">
      <w:pPr>
        <w:spacing w:after="0" w:line="240" w:lineRule="auto"/>
      </w:pPr>
      <w:r>
        <w:separator/>
      </w:r>
    </w:p>
  </w:endnote>
  <w:endnote w:type="continuationSeparator" w:id="0">
    <w:p w14:paraId="7F8F1AFD" w14:textId="77777777" w:rsidR="00E97CFF" w:rsidRDefault="00E97CFF" w:rsidP="00066BB9">
      <w:pPr>
        <w:spacing w:after="0" w:line="240" w:lineRule="auto"/>
      </w:pPr>
      <w:r>
        <w:continuationSeparator/>
      </w:r>
    </w:p>
  </w:endnote>
  <w:endnote w:type="continuationNotice" w:id="1">
    <w:p w14:paraId="3BC319C6" w14:textId="77777777" w:rsidR="00E97CFF" w:rsidRDefault="00E97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aleway">
    <w:charset w:val="BA"/>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036476"/>
      <w:docPartObj>
        <w:docPartGallery w:val="Page Numbers (Bottom of Page)"/>
        <w:docPartUnique/>
      </w:docPartObj>
    </w:sdtPr>
    <w:sdtEndPr/>
    <w:sdtContent>
      <w:p w14:paraId="3443EC3D" w14:textId="410B7F90" w:rsidR="00573EC0" w:rsidRDefault="00573EC0">
        <w:pPr>
          <w:pStyle w:val="Jalus"/>
          <w:jc w:val="right"/>
        </w:pPr>
        <w:r>
          <w:fldChar w:fldCharType="begin"/>
        </w:r>
        <w:r>
          <w:instrText>PAGE   \* MERGEFORMAT</w:instrText>
        </w:r>
        <w:r>
          <w:fldChar w:fldCharType="separate"/>
        </w:r>
        <w:r>
          <w:t>2</w:t>
        </w:r>
        <w:r>
          <w:fldChar w:fldCharType="end"/>
        </w:r>
      </w:p>
    </w:sdtContent>
  </w:sdt>
  <w:p w14:paraId="16FF6BA3" w14:textId="77777777" w:rsidR="00573EC0" w:rsidRDefault="00573EC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A5AC" w14:textId="77777777" w:rsidR="00E97CFF" w:rsidRDefault="00E97CFF" w:rsidP="00066BB9">
      <w:pPr>
        <w:spacing w:after="0" w:line="240" w:lineRule="auto"/>
      </w:pPr>
      <w:r>
        <w:separator/>
      </w:r>
    </w:p>
  </w:footnote>
  <w:footnote w:type="continuationSeparator" w:id="0">
    <w:p w14:paraId="6D7C9FF7" w14:textId="77777777" w:rsidR="00E97CFF" w:rsidRDefault="00E97CFF" w:rsidP="00066BB9">
      <w:pPr>
        <w:spacing w:after="0" w:line="240" w:lineRule="auto"/>
      </w:pPr>
      <w:r>
        <w:continuationSeparator/>
      </w:r>
    </w:p>
  </w:footnote>
  <w:footnote w:type="continuationNotice" w:id="1">
    <w:p w14:paraId="00EFDD40" w14:textId="77777777" w:rsidR="00E97CFF" w:rsidRDefault="00E97CFF">
      <w:pPr>
        <w:spacing w:after="0" w:line="240" w:lineRule="auto"/>
      </w:pPr>
    </w:p>
  </w:footnote>
  <w:footnote w:id="2">
    <w:p w14:paraId="5CC82545" w14:textId="6BD90B45" w:rsidR="00FF59AC" w:rsidRDefault="00FF59AC" w:rsidP="00FF59AC">
      <w:pPr>
        <w:pStyle w:val="Allmrkusetekst"/>
      </w:pPr>
      <w:r>
        <w:rPr>
          <w:rStyle w:val="Allmrkuseviide"/>
        </w:rPr>
        <w:footnoteRef/>
      </w:r>
      <w:r>
        <w:t xml:space="preserve"> Viide allikale: </w:t>
      </w:r>
      <w:hyperlink r:id="rId1" w:anchor="sidevorgule-kohaliku" w:history="1">
        <w:r w:rsidR="00006A0D" w:rsidRPr="00CE26AA">
          <w:rPr>
            <w:rStyle w:val="Hperlink"/>
          </w:rPr>
          <w:t>https://www.ttja.ee/ariklient/ametist/avalikud-konkursid/avalikud-konkursid-ja-arutelud#sidevorgule-kohaliku</w:t>
        </w:r>
      </w:hyperlink>
      <w:r w:rsidR="00006A0D">
        <w:t xml:space="preserve"> </w:t>
      </w:r>
    </w:p>
  </w:footnote>
  <w:footnote w:id="3">
    <w:p w14:paraId="054ABE75" w14:textId="7C426D71" w:rsidR="00FF59AC" w:rsidRDefault="00FF59AC" w:rsidP="00FF59AC">
      <w:pPr>
        <w:pStyle w:val="Allmrkusetekst"/>
      </w:pPr>
      <w:r>
        <w:rPr>
          <w:rStyle w:val="Allmrkuseviide"/>
        </w:rPr>
        <w:footnoteRef/>
      </w:r>
      <w:r>
        <w:t xml:space="preserve"> </w:t>
      </w:r>
      <w:r>
        <w:t>Telia kiri</w:t>
      </w:r>
      <w:r w:rsidRPr="00F65B95">
        <w:t xml:space="preserve"> </w:t>
      </w:r>
      <w:r w:rsidR="00D75E43" w:rsidRPr="00D75E43">
        <w:t>30.09.2024 nr EC.1-5.3/942-3</w:t>
      </w:r>
    </w:p>
  </w:footnote>
  <w:footnote w:id="4">
    <w:p w14:paraId="1F7941AF" w14:textId="073A9E7E" w:rsidR="00FF59AC" w:rsidRDefault="00FF59AC" w:rsidP="00FF59AC">
      <w:pPr>
        <w:pStyle w:val="Allmrkusetekst"/>
      </w:pPr>
      <w:r>
        <w:rPr>
          <w:rStyle w:val="Allmrkuseviide"/>
        </w:rPr>
        <w:footnoteRef/>
      </w:r>
      <w:r>
        <w:t xml:space="preserve"> </w:t>
      </w:r>
      <w:r>
        <w:t xml:space="preserve">Elisa kiri </w:t>
      </w:r>
      <w:bookmarkStart w:id="2" w:name="_Hlk178857747"/>
      <w:r w:rsidR="00B60E52" w:rsidRPr="00B60E52">
        <w:t>30.09.2024 nr 1-1/33</w:t>
      </w:r>
      <w:bookmarkEnd w:id="2"/>
    </w:p>
  </w:footnote>
  <w:footnote w:id="5">
    <w:p w14:paraId="09D98C60" w14:textId="5F1190D8" w:rsidR="00FF59AC" w:rsidRDefault="00FF59AC" w:rsidP="00FF59AC">
      <w:pPr>
        <w:pStyle w:val="Allmrkusetekst"/>
      </w:pPr>
      <w:r>
        <w:rPr>
          <w:rStyle w:val="Allmrkuseviide"/>
        </w:rPr>
        <w:footnoteRef/>
      </w:r>
      <w:r>
        <w:t xml:space="preserve"> </w:t>
      </w:r>
      <w:r>
        <w:t xml:space="preserve">Tele2 kiri </w:t>
      </w:r>
      <w:r w:rsidR="0042022E" w:rsidRPr="0042022E">
        <w:t>23.09.2024</w:t>
      </w:r>
    </w:p>
  </w:footnote>
  <w:footnote w:id="6">
    <w:p w14:paraId="79EB0262" w14:textId="4B97523C" w:rsidR="00FF59AC" w:rsidRDefault="00FF59AC" w:rsidP="00FF59AC">
      <w:pPr>
        <w:pStyle w:val="Allmrkusetekst"/>
      </w:pPr>
      <w:r>
        <w:rPr>
          <w:rStyle w:val="Allmrkuseviide"/>
        </w:rPr>
        <w:footnoteRef/>
      </w:r>
      <w:r>
        <w:t xml:space="preserve"> </w:t>
      </w:r>
      <w:r>
        <w:t xml:space="preserve">Konkurentsiameti kiri </w:t>
      </w:r>
      <w:r w:rsidR="00786292" w:rsidRPr="00786292">
        <w:t>20.09.2024 nr 1</w:t>
      </w:r>
      <w:r w:rsidR="00786292">
        <w:t>-</w:t>
      </w:r>
      <w:r w:rsidR="00786292" w:rsidRPr="00786292">
        <w:t>7/2024/24</w:t>
      </w:r>
      <w:r w:rsidR="004A2B55">
        <w:t>-</w:t>
      </w:r>
      <w:r w:rsidR="00786292" w:rsidRPr="00786292">
        <w:t>056</w:t>
      </w:r>
      <w:r w:rsidR="004A2B55">
        <w:t>-</w:t>
      </w:r>
      <w:r w:rsidR="00786292" w:rsidRPr="00786292">
        <w:t>2</w:t>
      </w:r>
    </w:p>
  </w:footnote>
  <w:footnote w:id="7">
    <w:p w14:paraId="223FEF51" w14:textId="77777777" w:rsidR="000813CC" w:rsidRDefault="000813CC" w:rsidP="000813CC">
      <w:pPr>
        <w:pStyle w:val="Allmrkusetekst"/>
      </w:pPr>
      <w:r>
        <w:rPr>
          <w:rStyle w:val="Allmrkuseviide"/>
        </w:rPr>
        <w:footnoteRef/>
      </w:r>
      <w:r w:rsidRPr="00073825">
        <w:t>Digiühiskonna arengukava 2030</w:t>
      </w:r>
      <w:r>
        <w:t xml:space="preserve">, lk 34, viide allikale: </w:t>
      </w:r>
      <w:hyperlink r:id="rId2" w:history="1">
        <w:r w:rsidRPr="004A35D3">
          <w:rPr>
            <w:rStyle w:val="Hperlink"/>
          </w:rPr>
          <w:t>https://www.mkm.ee/digiriik-ja-uhenduvus/digiuhiskonna-arengukava-2030</w:t>
        </w:r>
      </w:hyperlink>
      <w:r>
        <w:t xml:space="preserve"> </w:t>
      </w:r>
    </w:p>
  </w:footnote>
  <w:footnote w:id="8">
    <w:p w14:paraId="6B756362" w14:textId="77777777" w:rsidR="00B268BE" w:rsidRDefault="00B268BE" w:rsidP="00B268BE">
      <w:pPr>
        <w:pStyle w:val="Allmrkusetekst"/>
      </w:pPr>
      <w:r>
        <w:rPr>
          <w:rStyle w:val="Allmrkuseviide"/>
        </w:rPr>
        <w:footnoteRef/>
      </w:r>
      <w:r>
        <w:t xml:space="preserve"> </w:t>
      </w:r>
      <w:r>
        <w:t>Vt fail „</w:t>
      </w:r>
      <w:r w:rsidRPr="003B1163">
        <w:t xml:space="preserve">M1 </w:t>
      </w:r>
      <w:proofErr w:type="spellStart"/>
      <w:r w:rsidRPr="003B1163">
        <w:t>Draft</w:t>
      </w:r>
      <w:proofErr w:type="spellEnd"/>
      <w:r w:rsidRPr="003B1163">
        <w:t xml:space="preserve"> </w:t>
      </w:r>
      <w:proofErr w:type="spellStart"/>
      <w:r w:rsidRPr="003B1163">
        <w:t>Decision</w:t>
      </w:r>
      <w:proofErr w:type="spellEnd"/>
      <w:r w:rsidRPr="003B1163">
        <w:t xml:space="preserve"> Market Analysis</w:t>
      </w:r>
      <w:r>
        <w:t xml:space="preserve">“ - </w:t>
      </w:r>
      <w:hyperlink r:id="rId3" w:history="1">
        <w:r w:rsidRPr="00C10AD8">
          <w:rPr>
            <w:rStyle w:val="Hperlink"/>
          </w:rPr>
          <w:t>https://circabc.europa.eu/ui/group/2328c58f-1fed-4402-a6cc-0f0237699dc3/library/043a1b2d-81ba-40ea-b3b1-1e02246d6eb3?p=1&amp;n=10&amp;sort=modified_DESC</w:t>
        </w:r>
      </w:hyperlink>
      <w:r>
        <w:t xml:space="preserve"> </w:t>
      </w:r>
    </w:p>
  </w:footnote>
  <w:footnote w:id="9">
    <w:p w14:paraId="29599EF1" w14:textId="77777777" w:rsidR="006C1D72" w:rsidRDefault="006C1D72" w:rsidP="006C1D72">
      <w:pPr>
        <w:pStyle w:val="Allmrkusetekst"/>
      </w:pPr>
      <w:r>
        <w:rPr>
          <w:rStyle w:val="Allmrkuseviide"/>
        </w:rPr>
        <w:footnoteRef/>
      </w:r>
      <w:r>
        <w:t xml:space="preserve"> </w:t>
      </w:r>
      <w:r w:rsidRPr="008D3F72">
        <w:t>EK selgitava</w:t>
      </w:r>
      <w:r>
        <w:t>d</w:t>
      </w:r>
      <w:r w:rsidRPr="008D3F72">
        <w:t xml:space="preserve"> märkuse</w:t>
      </w:r>
      <w:r>
        <w:t>d</w:t>
      </w:r>
      <w:r w:rsidRPr="008D3F72">
        <w:t xml:space="preserve"> EK 2020 </w:t>
      </w:r>
      <w:r w:rsidRPr="00581F18">
        <w:t xml:space="preserve">turgude </w:t>
      </w:r>
      <w:r w:rsidRPr="008D3F72">
        <w:t xml:space="preserve">soovitusele </w:t>
      </w:r>
      <w:r>
        <w:t>Lk 38, v</w:t>
      </w:r>
      <w:r w:rsidRPr="008D3F72">
        <w:t xml:space="preserve">iide allikale: </w:t>
      </w:r>
      <w:hyperlink r:id="rId4" w:history="1">
        <w:r w:rsidRPr="00A77844">
          <w:rPr>
            <w:rStyle w:val="Hperlink"/>
          </w:rPr>
          <w:t>https://www.nkom.no/ekom-markedet/markeder/markeder-som-reguleres/_/attachment/download/e804f701-e342-448d-95f9-0b81f4b5d144:b3bff2ccf56262242fdd0f242205cf2ab0335fb0/Kommisjonens%20Explanatory%20Note%20til%20anbefalingen%20av%2018.%20desember%202020.pdf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9573" w14:textId="77777777" w:rsidR="00922656" w:rsidRPr="00630453" w:rsidRDefault="00922656" w:rsidP="00922656">
    <w:pPr>
      <w:widowControl w:val="0"/>
      <w:autoSpaceDE w:val="0"/>
      <w:autoSpaceDN w:val="0"/>
      <w:adjustRightInd w:val="0"/>
      <w:spacing w:before="120" w:after="120"/>
      <w:ind w:left="6372"/>
      <w:jc w:val="right"/>
      <w:rPr>
        <w:rFonts w:cs="Times New Roman"/>
        <w:i/>
        <w:sz w:val="20"/>
        <w:szCs w:val="20"/>
        <w:lang w:eastAsia="et-EE"/>
      </w:rPr>
    </w:pPr>
    <w:bookmarkStart w:id="72" w:name="_Hlk118463132"/>
    <w:bookmarkEnd w:id="72"/>
    <w:r w:rsidRPr="00630453">
      <w:rPr>
        <w:rFonts w:cs="Times New Roman"/>
        <w:i/>
        <w:sz w:val="20"/>
        <w:szCs w:val="20"/>
        <w:lang w:eastAsia="et-EE"/>
      </w:rPr>
      <w:t>VÄLJAVÕTE</w:t>
    </w:r>
  </w:p>
  <w:p w14:paraId="27BF2875" w14:textId="77777777" w:rsidR="00922656" w:rsidRPr="005C7AA4" w:rsidRDefault="00922656" w:rsidP="00922656">
    <w:pPr>
      <w:widowControl w:val="0"/>
      <w:autoSpaceDE w:val="0"/>
      <w:autoSpaceDN w:val="0"/>
      <w:adjustRightInd w:val="0"/>
      <w:spacing w:before="120" w:after="120"/>
      <w:ind w:left="2835"/>
      <w:jc w:val="right"/>
      <w:rPr>
        <w:rFonts w:cs="Times New Roman"/>
        <w:i/>
        <w:sz w:val="20"/>
        <w:szCs w:val="20"/>
        <w:lang w:eastAsia="et-EE"/>
      </w:rPr>
    </w:pPr>
    <w:r w:rsidRPr="005C7AA4">
      <w:rPr>
        <w:rFonts w:cs="Times New Roman"/>
        <w:i/>
        <w:sz w:val="20"/>
        <w:szCs w:val="20"/>
        <w:lang w:eastAsia="et-EE"/>
      </w:rPr>
      <w:t>Ärisaladus välja jäetud (tähistatud ...*)</w:t>
    </w:r>
  </w:p>
  <w:p w14:paraId="344A109F" w14:textId="77777777" w:rsidR="00D34B57" w:rsidRDefault="00D34B5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4A7"/>
    <w:multiLevelType w:val="hybridMultilevel"/>
    <w:tmpl w:val="85FA3A10"/>
    <w:lvl w:ilvl="0" w:tplc="E1FC2826">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C0678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62E52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005B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4ED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8E64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4AB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A91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62F85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44DC3"/>
    <w:multiLevelType w:val="multilevel"/>
    <w:tmpl w:val="7408E97C"/>
    <w:lvl w:ilvl="0">
      <w:start w:val="1"/>
      <w:numFmt w:val="decimal"/>
      <w:lvlText w:val="%1."/>
      <w:lvlJc w:val="left"/>
      <w:pPr>
        <w:ind w:left="-436" w:hanging="360"/>
      </w:pPr>
    </w:lvl>
    <w:lvl w:ilvl="1">
      <w:start w:val="1"/>
      <w:numFmt w:val="decimal"/>
      <w:isLgl/>
      <w:lvlText w:val="%1.%2."/>
      <w:lvlJc w:val="left"/>
      <w:pPr>
        <w:ind w:left="-76" w:hanging="720"/>
      </w:pPr>
      <w:rPr>
        <w:rFonts w:hint="default"/>
      </w:rPr>
    </w:lvl>
    <w:lvl w:ilvl="2">
      <w:start w:val="1"/>
      <w:numFmt w:val="decimal"/>
      <w:isLgl/>
      <w:lvlText w:val="%1.%2.%3."/>
      <w:lvlJc w:val="left"/>
      <w:pPr>
        <w:ind w:left="-76" w:hanging="720"/>
      </w:pPr>
      <w:rPr>
        <w:rFonts w:hint="default"/>
      </w:rPr>
    </w:lvl>
    <w:lvl w:ilvl="3">
      <w:start w:val="1"/>
      <w:numFmt w:val="decimal"/>
      <w:isLgl/>
      <w:lvlText w:val="%1.%2.%3.%4."/>
      <w:lvlJc w:val="left"/>
      <w:pPr>
        <w:ind w:left="284" w:hanging="1080"/>
      </w:pPr>
      <w:rPr>
        <w:rFonts w:hint="default"/>
      </w:rPr>
    </w:lvl>
    <w:lvl w:ilvl="4">
      <w:start w:val="1"/>
      <w:numFmt w:val="decimal"/>
      <w:isLgl/>
      <w:lvlText w:val="%1.%2.%3.%4.%5."/>
      <w:lvlJc w:val="left"/>
      <w:pPr>
        <w:ind w:left="284" w:hanging="1080"/>
      </w:pPr>
      <w:rPr>
        <w:rFonts w:hint="default"/>
      </w:rPr>
    </w:lvl>
    <w:lvl w:ilvl="5">
      <w:start w:val="1"/>
      <w:numFmt w:val="decimal"/>
      <w:isLgl/>
      <w:lvlText w:val="%1.%2.%3.%4.%5.%6."/>
      <w:lvlJc w:val="left"/>
      <w:pPr>
        <w:ind w:left="644" w:hanging="1440"/>
      </w:pPr>
      <w:rPr>
        <w:rFonts w:hint="default"/>
      </w:rPr>
    </w:lvl>
    <w:lvl w:ilvl="6">
      <w:start w:val="1"/>
      <w:numFmt w:val="decimal"/>
      <w:isLgl/>
      <w:lvlText w:val="%1.%2.%3.%4.%5.%6.%7."/>
      <w:lvlJc w:val="left"/>
      <w:pPr>
        <w:ind w:left="644" w:hanging="1440"/>
      </w:pPr>
      <w:rPr>
        <w:rFonts w:hint="default"/>
      </w:rPr>
    </w:lvl>
    <w:lvl w:ilvl="7">
      <w:start w:val="1"/>
      <w:numFmt w:val="decimal"/>
      <w:isLgl/>
      <w:lvlText w:val="%1.%2.%3.%4.%5.%6.%7.%8."/>
      <w:lvlJc w:val="left"/>
      <w:pPr>
        <w:ind w:left="1004" w:hanging="1800"/>
      </w:pPr>
      <w:rPr>
        <w:rFonts w:hint="default"/>
      </w:rPr>
    </w:lvl>
    <w:lvl w:ilvl="8">
      <w:start w:val="1"/>
      <w:numFmt w:val="decimal"/>
      <w:isLgl/>
      <w:lvlText w:val="%1.%2.%3.%4.%5.%6.%7.%8.%9."/>
      <w:lvlJc w:val="left"/>
      <w:pPr>
        <w:ind w:left="1004" w:hanging="1800"/>
      </w:pPr>
      <w:rPr>
        <w:rFonts w:hint="default"/>
      </w:rPr>
    </w:lvl>
  </w:abstractNum>
  <w:abstractNum w:abstractNumId="2" w15:restartNumberingAfterBreak="0">
    <w:nsid w:val="0CA66725"/>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9518AC"/>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9D6ED1"/>
    <w:multiLevelType w:val="hybridMultilevel"/>
    <w:tmpl w:val="0B3A0914"/>
    <w:lvl w:ilvl="0" w:tplc="7E68F3AE">
      <w:start w:val="1"/>
      <w:numFmt w:val="lowerLetter"/>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A2C2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8838B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D2C0D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ACEC1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1C105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F643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868D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3CD3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291DBC"/>
    <w:multiLevelType w:val="hybridMultilevel"/>
    <w:tmpl w:val="B6546458"/>
    <w:lvl w:ilvl="0" w:tplc="04250011">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E3782F"/>
    <w:multiLevelType w:val="hybridMultilevel"/>
    <w:tmpl w:val="FA38F5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3B78E0"/>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E850F00"/>
    <w:multiLevelType w:val="multilevel"/>
    <w:tmpl w:val="6896AB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04D89"/>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3C2049A"/>
    <w:multiLevelType w:val="hybridMultilevel"/>
    <w:tmpl w:val="492EF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365AD"/>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3244A4"/>
    <w:multiLevelType w:val="hybridMultilevel"/>
    <w:tmpl w:val="22F688CC"/>
    <w:lvl w:ilvl="0" w:tplc="594627CA">
      <w:start w:val="1"/>
      <w:numFmt w:val="lowerLetter"/>
      <w:lvlText w:val="%1)"/>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EF9CCA78">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9AC47B0">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8B64FF7C">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CCFC96EE">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C6A45FE">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94040AE2">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3305062">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754C4BA">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92F49"/>
    <w:multiLevelType w:val="hybridMultilevel"/>
    <w:tmpl w:val="730888EC"/>
    <w:lvl w:ilvl="0" w:tplc="805483F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31DA3686"/>
    <w:multiLevelType w:val="hybridMultilevel"/>
    <w:tmpl w:val="C2805346"/>
    <w:lvl w:ilvl="0" w:tplc="2C34376A">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25F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04D5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388E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849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52B7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A11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020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18B3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625290"/>
    <w:multiLevelType w:val="multilevel"/>
    <w:tmpl w:val="41B88D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0700E2"/>
    <w:multiLevelType w:val="hybridMultilevel"/>
    <w:tmpl w:val="98CEC062"/>
    <w:lvl w:ilvl="0" w:tplc="54DAB08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95C4E3A"/>
    <w:multiLevelType w:val="hybridMultilevel"/>
    <w:tmpl w:val="95DED234"/>
    <w:lvl w:ilvl="0" w:tplc="AFC6E110">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B495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B2A610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D8237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4C0F6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5EF92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121AF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426601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C08F58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A046AA0"/>
    <w:multiLevelType w:val="hybridMultilevel"/>
    <w:tmpl w:val="8BF4740A"/>
    <w:lvl w:ilvl="0" w:tplc="206C4A56">
      <w:start w:val="1"/>
      <w:numFmt w:val="lowerLetter"/>
      <w:lvlText w:val="%1)"/>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160C1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A94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854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839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649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CB99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0E0D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5439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553839"/>
    <w:multiLevelType w:val="hybridMultilevel"/>
    <w:tmpl w:val="1A465F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44D0F83"/>
    <w:multiLevelType w:val="hybridMultilevel"/>
    <w:tmpl w:val="C8DAEC18"/>
    <w:lvl w:ilvl="0" w:tplc="FDA077A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6A71D7C"/>
    <w:multiLevelType w:val="hybridMultilevel"/>
    <w:tmpl w:val="BC34ADA6"/>
    <w:lvl w:ilvl="0" w:tplc="5F662E9C">
      <w:start w:val="1"/>
      <w:numFmt w:val="lowerLetter"/>
      <w:lvlText w:val="%1)"/>
      <w:lvlJc w:val="left"/>
      <w:pPr>
        <w:ind w:left="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7A6AB164">
      <w:start w:val="1"/>
      <w:numFmt w:val="lowerLetter"/>
      <w:lvlText w:val="%2"/>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C8AD27E">
      <w:start w:val="1"/>
      <w:numFmt w:val="lowerRoman"/>
      <w:lvlText w:val="%3"/>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9DE24D6">
      <w:start w:val="1"/>
      <w:numFmt w:val="decimal"/>
      <w:lvlText w:val="%4"/>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FEE84D4">
      <w:start w:val="1"/>
      <w:numFmt w:val="lowerLetter"/>
      <w:lvlText w:val="%5"/>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F10B0D0">
      <w:start w:val="1"/>
      <w:numFmt w:val="lowerRoman"/>
      <w:lvlText w:val="%6"/>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AEA46ED6">
      <w:start w:val="1"/>
      <w:numFmt w:val="decimal"/>
      <w:lvlText w:val="%7"/>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676C3738">
      <w:start w:val="1"/>
      <w:numFmt w:val="lowerLetter"/>
      <w:lvlText w:val="%8"/>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2EA0216">
      <w:start w:val="1"/>
      <w:numFmt w:val="lowerRoman"/>
      <w:lvlText w:val="%9"/>
      <w:lvlJc w:val="left"/>
      <w:pPr>
        <w:ind w:left="6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8F1E93"/>
    <w:multiLevelType w:val="multilevel"/>
    <w:tmpl w:val="5FAA6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902D91"/>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55710D5"/>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9C4C71"/>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1E7632"/>
    <w:multiLevelType w:val="hybridMultilevel"/>
    <w:tmpl w:val="B77C894A"/>
    <w:lvl w:ilvl="0" w:tplc="14542A28">
      <w:start w:val="1"/>
      <w:numFmt w:val="lowerLetter"/>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7" w15:restartNumberingAfterBreak="0">
    <w:nsid w:val="6B8F0CAB"/>
    <w:multiLevelType w:val="hybridMultilevel"/>
    <w:tmpl w:val="261C7D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0134C32"/>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0CA40B0"/>
    <w:multiLevelType w:val="hybridMultilevel"/>
    <w:tmpl w:val="B298ECAC"/>
    <w:lvl w:ilvl="0" w:tplc="0986C9D2">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56EF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85C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1C7B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4A70F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095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0CDD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C9E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78AF4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9B4A6C"/>
    <w:multiLevelType w:val="multilevel"/>
    <w:tmpl w:val="7408E9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57E4470"/>
    <w:multiLevelType w:val="hybridMultilevel"/>
    <w:tmpl w:val="BD54C9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88307057">
    <w:abstractNumId w:val="12"/>
  </w:num>
  <w:num w:numId="2" w16cid:durableId="1450196903">
    <w:abstractNumId w:val="21"/>
  </w:num>
  <w:num w:numId="3" w16cid:durableId="454830092">
    <w:abstractNumId w:val="17"/>
  </w:num>
  <w:num w:numId="4" w16cid:durableId="478234347">
    <w:abstractNumId w:val="4"/>
  </w:num>
  <w:num w:numId="5" w16cid:durableId="845166531">
    <w:abstractNumId w:val="24"/>
  </w:num>
  <w:num w:numId="6" w16cid:durableId="695082623">
    <w:abstractNumId w:val="22"/>
  </w:num>
  <w:num w:numId="7" w16cid:durableId="982386625">
    <w:abstractNumId w:val="31"/>
  </w:num>
  <w:num w:numId="8" w16cid:durableId="1991059139">
    <w:abstractNumId w:val="8"/>
  </w:num>
  <w:num w:numId="9" w16cid:durableId="41447171">
    <w:abstractNumId w:val="7"/>
  </w:num>
  <w:num w:numId="10" w16cid:durableId="920990031">
    <w:abstractNumId w:val="23"/>
  </w:num>
  <w:num w:numId="11" w16cid:durableId="2084640902">
    <w:abstractNumId w:val="28"/>
  </w:num>
  <w:num w:numId="12" w16cid:durableId="273099842">
    <w:abstractNumId w:val="11"/>
  </w:num>
  <w:num w:numId="13" w16cid:durableId="1936790839">
    <w:abstractNumId w:val="3"/>
  </w:num>
  <w:num w:numId="14" w16cid:durableId="200017807">
    <w:abstractNumId w:val="9"/>
  </w:num>
  <w:num w:numId="15" w16cid:durableId="1347631884">
    <w:abstractNumId w:val="20"/>
  </w:num>
  <w:num w:numId="16" w16cid:durableId="1914313463">
    <w:abstractNumId w:val="10"/>
  </w:num>
  <w:num w:numId="17" w16cid:durableId="1273589833">
    <w:abstractNumId w:val="2"/>
  </w:num>
  <w:num w:numId="18" w16cid:durableId="2145005279">
    <w:abstractNumId w:val="15"/>
  </w:num>
  <w:num w:numId="19" w16cid:durableId="1122574734">
    <w:abstractNumId w:val="19"/>
  </w:num>
  <w:num w:numId="20" w16cid:durableId="788747009">
    <w:abstractNumId w:val="6"/>
  </w:num>
  <w:num w:numId="21" w16cid:durableId="1050884229">
    <w:abstractNumId w:val="30"/>
  </w:num>
  <w:num w:numId="22" w16cid:durableId="520053803">
    <w:abstractNumId w:val="1"/>
  </w:num>
  <w:num w:numId="23" w16cid:durableId="1069234992">
    <w:abstractNumId w:val="25"/>
  </w:num>
  <w:num w:numId="24" w16cid:durableId="97220373">
    <w:abstractNumId w:val="18"/>
  </w:num>
  <w:num w:numId="25" w16cid:durableId="279461206">
    <w:abstractNumId w:val="5"/>
  </w:num>
  <w:num w:numId="26" w16cid:durableId="653946240">
    <w:abstractNumId w:val="26"/>
  </w:num>
  <w:num w:numId="27" w16cid:durableId="1573852816">
    <w:abstractNumId w:val="13"/>
  </w:num>
  <w:num w:numId="28" w16cid:durableId="1584025782">
    <w:abstractNumId w:val="27"/>
  </w:num>
  <w:num w:numId="29" w16cid:durableId="753546807">
    <w:abstractNumId w:val="16"/>
  </w:num>
  <w:num w:numId="30" w16cid:durableId="104665086">
    <w:abstractNumId w:val="29"/>
  </w:num>
  <w:num w:numId="31" w16cid:durableId="1631864804">
    <w:abstractNumId w:val="0"/>
  </w:num>
  <w:num w:numId="32" w16cid:durableId="1132477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B6"/>
    <w:rsid w:val="00002BFE"/>
    <w:rsid w:val="00003652"/>
    <w:rsid w:val="00003AF4"/>
    <w:rsid w:val="00004006"/>
    <w:rsid w:val="00006961"/>
    <w:rsid w:val="00006A0D"/>
    <w:rsid w:val="00007FCB"/>
    <w:rsid w:val="00010A54"/>
    <w:rsid w:val="00011C40"/>
    <w:rsid w:val="000126E1"/>
    <w:rsid w:val="000157F2"/>
    <w:rsid w:val="0001582A"/>
    <w:rsid w:val="00015847"/>
    <w:rsid w:val="00016C94"/>
    <w:rsid w:val="00017856"/>
    <w:rsid w:val="000211E0"/>
    <w:rsid w:val="000214DD"/>
    <w:rsid w:val="00021BF3"/>
    <w:rsid w:val="000225FF"/>
    <w:rsid w:val="000230FF"/>
    <w:rsid w:val="00024CD0"/>
    <w:rsid w:val="00025CD0"/>
    <w:rsid w:val="000269A0"/>
    <w:rsid w:val="00026C28"/>
    <w:rsid w:val="000277C7"/>
    <w:rsid w:val="0003114B"/>
    <w:rsid w:val="00031207"/>
    <w:rsid w:val="000327B3"/>
    <w:rsid w:val="00032FB9"/>
    <w:rsid w:val="00034468"/>
    <w:rsid w:val="00034615"/>
    <w:rsid w:val="00035F6C"/>
    <w:rsid w:val="000414E4"/>
    <w:rsid w:val="00043936"/>
    <w:rsid w:val="00045089"/>
    <w:rsid w:val="0004552B"/>
    <w:rsid w:val="000456EF"/>
    <w:rsid w:val="00046437"/>
    <w:rsid w:val="00046E3E"/>
    <w:rsid w:val="00052A17"/>
    <w:rsid w:val="000546FC"/>
    <w:rsid w:val="00054D3E"/>
    <w:rsid w:val="00055678"/>
    <w:rsid w:val="00055A75"/>
    <w:rsid w:val="000573D2"/>
    <w:rsid w:val="000574D0"/>
    <w:rsid w:val="00057731"/>
    <w:rsid w:val="00060022"/>
    <w:rsid w:val="00060EB9"/>
    <w:rsid w:val="0006165A"/>
    <w:rsid w:val="000619E2"/>
    <w:rsid w:val="00061A3B"/>
    <w:rsid w:val="000624A5"/>
    <w:rsid w:val="00062CD5"/>
    <w:rsid w:val="00063581"/>
    <w:rsid w:val="0006674F"/>
    <w:rsid w:val="00066BB9"/>
    <w:rsid w:val="000672E0"/>
    <w:rsid w:val="00067CD6"/>
    <w:rsid w:val="00070700"/>
    <w:rsid w:val="00070BFC"/>
    <w:rsid w:val="00070D88"/>
    <w:rsid w:val="00070E96"/>
    <w:rsid w:val="000710BE"/>
    <w:rsid w:val="00071586"/>
    <w:rsid w:val="00071B5C"/>
    <w:rsid w:val="00072829"/>
    <w:rsid w:val="0007335B"/>
    <w:rsid w:val="00073B43"/>
    <w:rsid w:val="00074E11"/>
    <w:rsid w:val="00074EB4"/>
    <w:rsid w:val="00080673"/>
    <w:rsid w:val="000813CC"/>
    <w:rsid w:val="00081405"/>
    <w:rsid w:val="00081886"/>
    <w:rsid w:val="000819BC"/>
    <w:rsid w:val="000834B9"/>
    <w:rsid w:val="00083965"/>
    <w:rsid w:val="00084269"/>
    <w:rsid w:val="000867B1"/>
    <w:rsid w:val="00087D60"/>
    <w:rsid w:val="000912D8"/>
    <w:rsid w:val="000915B3"/>
    <w:rsid w:val="00091682"/>
    <w:rsid w:val="00092615"/>
    <w:rsid w:val="00092635"/>
    <w:rsid w:val="00093088"/>
    <w:rsid w:val="000937FE"/>
    <w:rsid w:val="0009461D"/>
    <w:rsid w:val="00094DC1"/>
    <w:rsid w:val="00094DFA"/>
    <w:rsid w:val="00095936"/>
    <w:rsid w:val="00095AA8"/>
    <w:rsid w:val="00096691"/>
    <w:rsid w:val="00096882"/>
    <w:rsid w:val="00097238"/>
    <w:rsid w:val="000975E0"/>
    <w:rsid w:val="00097D27"/>
    <w:rsid w:val="000A2378"/>
    <w:rsid w:val="000A4A77"/>
    <w:rsid w:val="000A4D83"/>
    <w:rsid w:val="000A5AA1"/>
    <w:rsid w:val="000A600B"/>
    <w:rsid w:val="000A66E4"/>
    <w:rsid w:val="000B2EBD"/>
    <w:rsid w:val="000B3D18"/>
    <w:rsid w:val="000B57E7"/>
    <w:rsid w:val="000B5FB0"/>
    <w:rsid w:val="000B6C79"/>
    <w:rsid w:val="000C0A6A"/>
    <w:rsid w:val="000C0D6A"/>
    <w:rsid w:val="000C183B"/>
    <w:rsid w:val="000C1B24"/>
    <w:rsid w:val="000C22B7"/>
    <w:rsid w:val="000C327A"/>
    <w:rsid w:val="000C38B5"/>
    <w:rsid w:val="000C54AB"/>
    <w:rsid w:val="000C590F"/>
    <w:rsid w:val="000C711B"/>
    <w:rsid w:val="000C795C"/>
    <w:rsid w:val="000D1838"/>
    <w:rsid w:val="000D22DC"/>
    <w:rsid w:val="000D34E3"/>
    <w:rsid w:val="000D3E8C"/>
    <w:rsid w:val="000D45F3"/>
    <w:rsid w:val="000D5D11"/>
    <w:rsid w:val="000D6D08"/>
    <w:rsid w:val="000D74B4"/>
    <w:rsid w:val="000D7664"/>
    <w:rsid w:val="000D7DEB"/>
    <w:rsid w:val="000E06A9"/>
    <w:rsid w:val="000E0847"/>
    <w:rsid w:val="000E104A"/>
    <w:rsid w:val="000E1501"/>
    <w:rsid w:val="000E35B4"/>
    <w:rsid w:val="000E36B7"/>
    <w:rsid w:val="000E382E"/>
    <w:rsid w:val="000E470C"/>
    <w:rsid w:val="000E667C"/>
    <w:rsid w:val="000E76E6"/>
    <w:rsid w:val="000F0C9C"/>
    <w:rsid w:val="000F0E77"/>
    <w:rsid w:val="000F2E6F"/>
    <w:rsid w:val="000F3358"/>
    <w:rsid w:val="000F4D14"/>
    <w:rsid w:val="000F6BD0"/>
    <w:rsid w:val="0010003D"/>
    <w:rsid w:val="00100402"/>
    <w:rsid w:val="00102CC9"/>
    <w:rsid w:val="00102F88"/>
    <w:rsid w:val="0010611A"/>
    <w:rsid w:val="00106748"/>
    <w:rsid w:val="001121DE"/>
    <w:rsid w:val="001127F6"/>
    <w:rsid w:val="00113940"/>
    <w:rsid w:val="00115D4E"/>
    <w:rsid w:val="00117FAC"/>
    <w:rsid w:val="0012042A"/>
    <w:rsid w:val="001211FA"/>
    <w:rsid w:val="00121DF2"/>
    <w:rsid w:val="00122584"/>
    <w:rsid w:val="001230AE"/>
    <w:rsid w:val="0012384A"/>
    <w:rsid w:val="00123FD4"/>
    <w:rsid w:val="00124132"/>
    <w:rsid w:val="0013351A"/>
    <w:rsid w:val="0013490D"/>
    <w:rsid w:val="00134E3A"/>
    <w:rsid w:val="001353D0"/>
    <w:rsid w:val="00136BDD"/>
    <w:rsid w:val="00136DB0"/>
    <w:rsid w:val="0013761F"/>
    <w:rsid w:val="00142057"/>
    <w:rsid w:val="00142C9A"/>
    <w:rsid w:val="001436B8"/>
    <w:rsid w:val="001436C2"/>
    <w:rsid w:val="0014410B"/>
    <w:rsid w:val="001443D6"/>
    <w:rsid w:val="00146A79"/>
    <w:rsid w:val="001513CB"/>
    <w:rsid w:val="001518AB"/>
    <w:rsid w:val="001520C8"/>
    <w:rsid w:val="001524C2"/>
    <w:rsid w:val="00153A54"/>
    <w:rsid w:val="001540DE"/>
    <w:rsid w:val="001548C6"/>
    <w:rsid w:val="00157903"/>
    <w:rsid w:val="001600B5"/>
    <w:rsid w:val="0016023D"/>
    <w:rsid w:val="00160C28"/>
    <w:rsid w:val="00162286"/>
    <w:rsid w:val="00163275"/>
    <w:rsid w:val="001648C0"/>
    <w:rsid w:val="001650F9"/>
    <w:rsid w:val="001656F1"/>
    <w:rsid w:val="001674F9"/>
    <w:rsid w:val="001710EE"/>
    <w:rsid w:val="00171AE7"/>
    <w:rsid w:val="00171DEC"/>
    <w:rsid w:val="00172CC0"/>
    <w:rsid w:val="00173035"/>
    <w:rsid w:val="001734D7"/>
    <w:rsid w:val="00174B3B"/>
    <w:rsid w:val="00174C30"/>
    <w:rsid w:val="001756B4"/>
    <w:rsid w:val="00175B55"/>
    <w:rsid w:val="0018033B"/>
    <w:rsid w:val="0018165E"/>
    <w:rsid w:val="00182403"/>
    <w:rsid w:val="00185D8F"/>
    <w:rsid w:val="001912F2"/>
    <w:rsid w:val="0019214E"/>
    <w:rsid w:val="001937EA"/>
    <w:rsid w:val="0019540B"/>
    <w:rsid w:val="001954DE"/>
    <w:rsid w:val="0019553D"/>
    <w:rsid w:val="001955BC"/>
    <w:rsid w:val="00195FF0"/>
    <w:rsid w:val="001965E2"/>
    <w:rsid w:val="00196DAA"/>
    <w:rsid w:val="00196DC5"/>
    <w:rsid w:val="001A0A50"/>
    <w:rsid w:val="001A10AE"/>
    <w:rsid w:val="001A1C6F"/>
    <w:rsid w:val="001A1D2C"/>
    <w:rsid w:val="001A1F26"/>
    <w:rsid w:val="001A2DBC"/>
    <w:rsid w:val="001A3817"/>
    <w:rsid w:val="001A62CB"/>
    <w:rsid w:val="001A633D"/>
    <w:rsid w:val="001A67C6"/>
    <w:rsid w:val="001A69AD"/>
    <w:rsid w:val="001A6C28"/>
    <w:rsid w:val="001A6EB0"/>
    <w:rsid w:val="001A7CF9"/>
    <w:rsid w:val="001A7D14"/>
    <w:rsid w:val="001B0EF3"/>
    <w:rsid w:val="001B15D1"/>
    <w:rsid w:val="001B2818"/>
    <w:rsid w:val="001B3323"/>
    <w:rsid w:val="001B56B7"/>
    <w:rsid w:val="001B58EC"/>
    <w:rsid w:val="001B79CD"/>
    <w:rsid w:val="001C0C9F"/>
    <w:rsid w:val="001C0EE8"/>
    <w:rsid w:val="001C1028"/>
    <w:rsid w:val="001C19B8"/>
    <w:rsid w:val="001C3161"/>
    <w:rsid w:val="001C35AB"/>
    <w:rsid w:val="001C35CE"/>
    <w:rsid w:val="001C41C9"/>
    <w:rsid w:val="001C535C"/>
    <w:rsid w:val="001C5B29"/>
    <w:rsid w:val="001C5DD9"/>
    <w:rsid w:val="001C6E57"/>
    <w:rsid w:val="001C709A"/>
    <w:rsid w:val="001C75A5"/>
    <w:rsid w:val="001C7C27"/>
    <w:rsid w:val="001D188C"/>
    <w:rsid w:val="001D2043"/>
    <w:rsid w:val="001D30C9"/>
    <w:rsid w:val="001D3FA7"/>
    <w:rsid w:val="001D409D"/>
    <w:rsid w:val="001D4CE1"/>
    <w:rsid w:val="001E0C47"/>
    <w:rsid w:val="001E125B"/>
    <w:rsid w:val="001E1798"/>
    <w:rsid w:val="001E357C"/>
    <w:rsid w:val="001E5D0E"/>
    <w:rsid w:val="001F074E"/>
    <w:rsid w:val="001F0F76"/>
    <w:rsid w:val="001F2CFB"/>
    <w:rsid w:val="001F3FC3"/>
    <w:rsid w:val="001F55EA"/>
    <w:rsid w:val="001F56FA"/>
    <w:rsid w:val="001F597F"/>
    <w:rsid w:val="001F77D1"/>
    <w:rsid w:val="001F7908"/>
    <w:rsid w:val="001F79E7"/>
    <w:rsid w:val="00201500"/>
    <w:rsid w:val="00201A17"/>
    <w:rsid w:val="002032E4"/>
    <w:rsid w:val="00203CCD"/>
    <w:rsid w:val="00204E06"/>
    <w:rsid w:val="002053D0"/>
    <w:rsid w:val="00205558"/>
    <w:rsid w:val="002058ED"/>
    <w:rsid w:val="00205C62"/>
    <w:rsid w:val="002062C8"/>
    <w:rsid w:val="00207AC9"/>
    <w:rsid w:val="002105E6"/>
    <w:rsid w:val="002106F5"/>
    <w:rsid w:val="00211F77"/>
    <w:rsid w:val="00213B9F"/>
    <w:rsid w:val="0021529A"/>
    <w:rsid w:val="00215568"/>
    <w:rsid w:val="002162D8"/>
    <w:rsid w:val="002163C7"/>
    <w:rsid w:val="00216719"/>
    <w:rsid w:val="002167F1"/>
    <w:rsid w:val="00216A03"/>
    <w:rsid w:val="00217177"/>
    <w:rsid w:val="00217331"/>
    <w:rsid w:val="00217E3C"/>
    <w:rsid w:val="00220404"/>
    <w:rsid w:val="00220B61"/>
    <w:rsid w:val="0022109A"/>
    <w:rsid w:val="00221591"/>
    <w:rsid w:val="0022432B"/>
    <w:rsid w:val="0022470E"/>
    <w:rsid w:val="002266DE"/>
    <w:rsid w:val="002267D0"/>
    <w:rsid w:val="00227A99"/>
    <w:rsid w:val="0023020A"/>
    <w:rsid w:val="002309A9"/>
    <w:rsid w:val="002309B6"/>
    <w:rsid w:val="00231113"/>
    <w:rsid w:val="00231A51"/>
    <w:rsid w:val="00232B4F"/>
    <w:rsid w:val="002340EF"/>
    <w:rsid w:val="00234986"/>
    <w:rsid w:val="00234E28"/>
    <w:rsid w:val="002365C6"/>
    <w:rsid w:val="00236879"/>
    <w:rsid w:val="00237F5B"/>
    <w:rsid w:val="00240682"/>
    <w:rsid w:val="0024097D"/>
    <w:rsid w:val="002411B4"/>
    <w:rsid w:val="0024168D"/>
    <w:rsid w:val="00241EE5"/>
    <w:rsid w:val="00242948"/>
    <w:rsid w:val="00242DDB"/>
    <w:rsid w:val="00243880"/>
    <w:rsid w:val="0024440F"/>
    <w:rsid w:val="002447AB"/>
    <w:rsid w:val="00246D35"/>
    <w:rsid w:val="00246E1C"/>
    <w:rsid w:val="00250EFB"/>
    <w:rsid w:val="00251659"/>
    <w:rsid w:val="002551CE"/>
    <w:rsid w:val="0025569D"/>
    <w:rsid w:val="00255903"/>
    <w:rsid w:val="00255B19"/>
    <w:rsid w:val="00255DEA"/>
    <w:rsid w:val="00255EF9"/>
    <w:rsid w:val="002563E6"/>
    <w:rsid w:val="002565FE"/>
    <w:rsid w:val="00256ABB"/>
    <w:rsid w:val="00257303"/>
    <w:rsid w:val="00260DA7"/>
    <w:rsid w:val="00260E9C"/>
    <w:rsid w:val="00261015"/>
    <w:rsid w:val="0026128F"/>
    <w:rsid w:val="00261D45"/>
    <w:rsid w:val="00262B8E"/>
    <w:rsid w:val="00265CF2"/>
    <w:rsid w:val="0026674B"/>
    <w:rsid w:val="0026761A"/>
    <w:rsid w:val="00271FD4"/>
    <w:rsid w:val="0027270A"/>
    <w:rsid w:val="002730CC"/>
    <w:rsid w:val="00273769"/>
    <w:rsid w:val="00273D34"/>
    <w:rsid w:val="00274159"/>
    <w:rsid w:val="00275684"/>
    <w:rsid w:val="00276928"/>
    <w:rsid w:val="00276DCD"/>
    <w:rsid w:val="0028065E"/>
    <w:rsid w:val="00280889"/>
    <w:rsid w:val="00281A7F"/>
    <w:rsid w:val="0028309A"/>
    <w:rsid w:val="002849F4"/>
    <w:rsid w:val="00284B4B"/>
    <w:rsid w:val="002865B7"/>
    <w:rsid w:val="00286C31"/>
    <w:rsid w:val="002919F5"/>
    <w:rsid w:val="00291C10"/>
    <w:rsid w:val="002928BC"/>
    <w:rsid w:val="0029494C"/>
    <w:rsid w:val="00294FDA"/>
    <w:rsid w:val="00295437"/>
    <w:rsid w:val="002A0C86"/>
    <w:rsid w:val="002A1FA9"/>
    <w:rsid w:val="002A277D"/>
    <w:rsid w:val="002A29F7"/>
    <w:rsid w:val="002A38D6"/>
    <w:rsid w:val="002A3F0C"/>
    <w:rsid w:val="002A4B5A"/>
    <w:rsid w:val="002A587C"/>
    <w:rsid w:val="002A74E9"/>
    <w:rsid w:val="002A78DE"/>
    <w:rsid w:val="002B111E"/>
    <w:rsid w:val="002B4A8E"/>
    <w:rsid w:val="002B4DFF"/>
    <w:rsid w:val="002B5B64"/>
    <w:rsid w:val="002B6423"/>
    <w:rsid w:val="002B6BD0"/>
    <w:rsid w:val="002B6EB9"/>
    <w:rsid w:val="002B6EE0"/>
    <w:rsid w:val="002B751C"/>
    <w:rsid w:val="002C0C44"/>
    <w:rsid w:val="002C2074"/>
    <w:rsid w:val="002C26E8"/>
    <w:rsid w:val="002C275B"/>
    <w:rsid w:val="002C34EC"/>
    <w:rsid w:val="002C4A6F"/>
    <w:rsid w:val="002C51C2"/>
    <w:rsid w:val="002C56B7"/>
    <w:rsid w:val="002C5904"/>
    <w:rsid w:val="002C6127"/>
    <w:rsid w:val="002C64C4"/>
    <w:rsid w:val="002C66CC"/>
    <w:rsid w:val="002C79BB"/>
    <w:rsid w:val="002C7C81"/>
    <w:rsid w:val="002D0959"/>
    <w:rsid w:val="002D2C5C"/>
    <w:rsid w:val="002D2FCD"/>
    <w:rsid w:val="002D592A"/>
    <w:rsid w:val="002D6DE2"/>
    <w:rsid w:val="002D6E1C"/>
    <w:rsid w:val="002E03D0"/>
    <w:rsid w:val="002E052B"/>
    <w:rsid w:val="002E1C6B"/>
    <w:rsid w:val="002E2538"/>
    <w:rsid w:val="002E3EC6"/>
    <w:rsid w:val="002E4882"/>
    <w:rsid w:val="002E5E69"/>
    <w:rsid w:val="002E7522"/>
    <w:rsid w:val="002E7C8D"/>
    <w:rsid w:val="002F06A1"/>
    <w:rsid w:val="002F1B64"/>
    <w:rsid w:val="002F2625"/>
    <w:rsid w:val="002F32FF"/>
    <w:rsid w:val="002F3813"/>
    <w:rsid w:val="002F3966"/>
    <w:rsid w:val="002F3BE7"/>
    <w:rsid w:val="002F412A"/>
    <w:rsid w:val="002F4F1C"/>
    <w:rsid w:val="002F4FC2"/>
    <w:rsid w:val="002F5A3D"/>
    <w:rsid w:val="002F5AD3"/>
    <w:rsid w:val="002F66DD"/>
    <w:rsid w:val="002F6C88"/>
    <w:rsid w:val="002F71FD"/>
    <w:rsid w:val="002F72DA"/>
    <w:rsid w:val="002F7A01"/>
    <w:rsid w:val="002F7BB3"/>
    <w:rsid w:val="002F7D89"/>
    <w:rsid w:val="0030030F"/>
    <w:rsid w:val="003013B6"/>
    <w:rsid w:val="003028A2"/>
    <w:rsid w:val="00302BD8"/>
    <w:rsid w:val="003040CF"/>
    <w:rsid w:val="00304444"/>
    <w:rsid w:val="00306022"/>
    <w:rsid w:val="003063E1"/>
    <w:rsid w:val="00307E3C"/>
    <w:rsid w:val="00311CEF"/>
    <w:rsid w:val="003132A5"/>
    <w:rsid w:val="0031613A"/>
    <w:rsid w:val="00316C61"/>
    <w:rsid w:val="00316CBE"/>
    <w:rsid w:val="00317083"/>
    <w:rsid w:val="0031744B"/>
    <w:rsid w:val="0031746E"/>
    <w:rsid w:val="0032038E"/>
    <w:rsid w:val="00321250"/>
    <w:rsid w:val="003241F0"/>
    <w:rsid w:val="00326C00"/>
    <w:rsid w:val="00327899"/>
    <w:rsid w:val="00327E42"/>
    <w:rsid w:val="003301D2"/>
    <w:rsid w:val="003309E4"/>
    <w:rsid w:val="0033141A"/>
    <w:rsid w:val="00331FC9"/>
    <w:rsid w:val="00332F7D"/>
    <w:rsid w:val="003336BD"/>
    <w:rsid w:val="00335686"/>
    <w:rsid w:val="00335FB3"/>
    <w:rsid w:val="003360C8"/>
    <w:rsid w:val="00337096"/>
    <w:rsid w:val="003372AA"/>
    <w:rsid w:val="00340372"/>
    <w:rsid w:val="00343AAE"/>
    <w:rsid w:val="00344321"/>
    <w:rsid w:val="0034448E"/>
    <w:rsid w:val="003452B6"/>
    <w:rsid w:val="00345DC4"/>
    <w:rsid w:val="003463D2"/>
    <w:rsid w:val="00347404"/>
    <w:rsid w:val="00351866"/>
    <w:rsid w:val="00351CB5"/>
    <w:rsid w:val="003526EE"/>
    <w:rsid w:val="00352A25"/>
    <w:rsid w:val="00352E75"/>
    <w:rsid w:val="00353A0B"/>
    <w:rsid w:val="00353AF3"/>
    <w:rsid w:val="00354894"/>
    <w:rsid w:val="00354ABB"/>
    <w:rsid w:val="00354B3E"/>
    <w:rsid w:val="00355FC6"/>
    <w:rsid w:val="0035632C"/>
    <w:rsid w:val="00356F79"/>
    <w:rsid w:val="003600A3"/>
    <w:rsid w:val="00360B58"/>
    <w:rsid w:val="00361B7F"/>
    <w:rsid w:val="00361FC7"/>
    <w:rsid w:val="003628E1"/>
    <w:rsid w:val="003639D8"/>
    <w:rsid w:val="00363C89"/>
    <w:rsid w:val="00365655"/>
    <w:rsid w:val="00366739"/>
    <w:rsid w:val="00366D95"/>
    <w:rsid w:val="003672F3"/>
    <w:rsid w:val="00370392"/>
    <w:rsid w:val="00371CE1"/>
    <w:rsid w:val="0037375D"/>
    <w:rsid w:val="00374140"/>
    <w:rsid w:val="00374FFC"/>
    <w:rsid w:val="003771C1"/>
    <w:rsid w:val="0037796A"/>
    <w:rsid w:val="0038084E"/>
    <w:rsid w:val="00382095"/>
    <w:rsid w:val="00382421"/>
    <w:rsid w:val="003828F5"/>
    <w:rsid w:val="003830E8"/>
    <w:rsid w:val="00383C97"/>
    <w:rsid w:val="0038446A"/>
    <w:rsid w:val="00385FF7"/>
    <w:rsid w:val="003863EF"/>
    <w:rsid w:val="00386CD3"/>
    <w:rsid w:val="003878F6"/>
    <w:rsid w:val="003928D9"/>
    <w:rsid w:val="00393F38"/>
    <w:rsid w:val="00393F53"/>
    <w:rsid w:val="00394620"/>
    <w:rsid w:val="003947B5"/>
    <w:rsid w:val="003949EB"/>
    <w:rsid w:val="003951FA"/>
    <w:rsid w:val="00395785"/>
    <w:rsid w:val="00395F69"/>
    <w:rsid w:val="003968F2"/>
    <w:rsid w:val="00396E75"/>
    <w:rsid w:val="0039726A"/>
    <w:rsid w:val="003A0DFC"/>
    <w:rsid w:val="003A10EF"/>
    <w:rsid w:val="003A1702"/>
    <w:rsid w:val="003A20C1"/>
    <w:rsid w:val="003A2873"/>
    <w:rsid w:val="003A2E69"/>
    <w:rsid w:val="003A500E"/>
    <w:rsid w:val="003A560B"/>
    <w:rsid w:val="003B030A"/>
    <w:rsid w:val="003B0D60"/>
    <w:rsid w:val="003B2409"/>
    <w:rsid w:val="003B33D9"/>
    <w:rsid w:val="003B39F4"/>
    <w:rsid w:val="003B4858"/>
    <w:rsid w:val="003B4FBC"/>
    <w:rsid w:val="003B56A5"/>
    <w:rsid w:val="003B6D86"/>
    <w:rsid w:val="003B704C"/>
    <w:rsid w:val="003B7ED0"/>
    <w:rsid w:val="003C1217"/>
    <w:rsid w:val="003C46C8"/>
    <w:rsid w:val="003C5073"/>
    <w:rsid w:val="003C5543"/>
    <w:rsid w:val="003C60FC"/>
    <w:rsid w:val="003C725A"/>
    <w:rsid w:val="003C7C64"/>
    <w:rsid w:val="003D2C50"/>
    <w:rsid w:val="003D2F27"/>
    <w:rsid w:val="003D3149"/>
    <w:rsid w:val="003D366D"/>
    <w:rsid w:val="003D4BF7"/>
    <w:rsid w:val="003D4E80"/>
    <w:rsid w:val="003D57AC"/>
    <w:rsid w:val="003D7072"/>
    <w:rsid w:val="003E0184"/>
    <w:rsid w:val="003E0C31"/>
    <w:rsid w:val="003E13DD"/>
    <w:rsid w:val="003E2318"/>
    <w:rsid w:val="003E2B81"/>
    <w:rsid w:val="003E3EB0"/>
    <w:rsid w:val="003E4900"/>
    <w:rsid w:val="003E49A6"/>
    <w:rsid w:val="003E4C4B"/>
    <w:rsid w:val="003E541D"/>
    <w:rsid w:val="003E584C"/>
    <w:rsid w:val="003E5E94"/>
    <w:rsid w:val="003F00B8"/>
    <w:rsid w:val="003F2920"/>
    <w:rsid w:val="003F29EE"/>
    <w:rsid w:val="003F3EE8"/>
    <w:rsid w:val="003F4660"/>
    <w:rsid w:val="003F6348"/>
    <w:rsid w:val="003F7169"/>
    <w:rsid w:val="003F7EDB"/>
    <w:rsid w:val="0040154D"/>
    <w:rsid w:val="00401F6B"/>
    <w:rsid w:val="00402CCF"/>
    <w:rsid w:val="0040336B"/>
    <w:rsid w:val="00403FC8"/>
    <w:rsid w:val="004047A2"/>
    <w:rsid w:val="00404D1D"/>
    <w:rsid w:val="0040515D"/>
    <w:rsid w:val="00405D90"/>
    <w:rsid w:val="00405FAF"/>
    <w:rsid w:val="00406C9A"/>
    <w:rsid w:val="00406DC7"/>
    <w:rsid w:val="0040708D"/>
    <w:rsid w:val="00407DD5"/>
    <w:rsid w:val="00407F9D"/>
    <w:rsid w:val="004100B8"/>
    <w:rsid w:val="004117C0"/>
    <w:rsid w:val="00412C93"/>
    <w:rsid w:val="00412FFE"/>
    <w:rsid w:val="00413B92"/>
    <w:rsid w:val="00413FA7"/>
    <w:rsid w:val="004148C5"/>
    <w:rsid w:val="00414B8D"/>
    <w:rsid w:val="0041788F"/>
    <w:rsid w:val="004179BB"/>
    <w:rsid w:val="0042010D"/>
    <w:rsid w:val="0042022E"/>
    <w:rsid w:val="00420489"/>
    <w:rsid w:val="0042114B"/>
    <w:rsid w:val="0042275F"/>
    <w:rsid w:val="00425294"/>
    <w:rsid w:val="0042555B"/>
    <w:rsid w:val="00426658"/>
    <w:rsid w:val="0042769E"/>
    <w:rsid w:val="00427D95"/>
    <w:rsid w:val="00430ACA"/>
    <w:rsid w:val="0043155F"/>
    <w:rsid w:val="00431D7B"/>
    <w:rsid w:val="004324C8"/>
    <w:rsid w:val="00432C31"/>
    <w:rsid w:val="00433282"/>
    <w:rsid w:val="00433A08"/>
    <w:rsid w:val="0043443C"/>
    <w:rsid w:val="00434749"/>
    <w:rsid w:val="00434921"/>
    <w:rsid w:val="004349FB"/>
    <w:rsid w:val="0043567A"/>
    <w:rsid w:val="004359DD"/>
    <w:rsid w:val="00435A93"/>
    <w:rsid w:val="00437147"/>
    <w:rsid w:val="004371E4"/>
    <w:rsid w:val="00440182"/>
    <w:rsid w:val="004401ED"/>
    <w:rsid w:val="00442194"/>
    <w:rsid w:val="00442C26"/>
    <w:rsid w:val="00446CE6"/>
    <w:rsid w:val="00446EFE"/>
    <w:rsid w:val="004500AA"/>
    <w:rsid w:val="00451881"/>
    <w:rsid w:val="00452382"/>
    <w:rsid w:val="004524E7"/>
    <w:rsid w:val="0045286D"/>
    <w:rsid w:val="00452FA1"/>
    <w:rsid w:val="004540F8"/>
    <w:rsid w:val="004549B0"/>
    <w:rsid w:val="00454D97"/>
    <w:rsid w:val="00455363"/>
    <w:rsid w:val="00457240"/>
    <w:rsid w:val="004574CD"/>
    <w:rsid w:val="00460783"/>
    <w:rsid w:val="0046087B"/>
    <w:rsid w:val="00461680"/>
    <w:rsid w:val="00461AEB"/>
    <w:rsid w:val="004620D0"/>
    <w:rsid w:val="004626F3"/>
    <w:rsid w:val="00462D57"/>
    <w:rsid w:val="00464617"/>
    <w:rsid w:val="0046654C"/>
    <w:rsid w:val="00466DB0"/>
    <w:rsid w:val="00467080"/>
    <w:rsid w:val="00470075"/>
    <w:rsid w:val="004702C2"/>
    <w:rsid w:val="00470470"/>
    <w:rsid w:val="0047101E"/>
    <w:rsid w:val="00471BE0"/>
    <w:rsid w:val="00471DA6"/>
    <w:rsid w:val="00472C4F"/>
    <w:rsid w:val="00475482"/>
    <w:rsid w:val="00475F01"/>
    <w:rsid w:val="00476011"/>
    <w:rsid w:val="0047709B"/>
    <w:rsid w:val="00477DD0"/>
    <w:rsid w:val="00482130"/>
    <w:rsid w:val="00482726"/>
    <w:rsid w:val="004830BA"/>
    <w:rsid w:val="00484851"/>
    <w:rsid w:val="00484BCD"/>
    <w:rsid w:val="00484C44"/>
    <w:rsid w:val="00485B18"/>
    <w:rsid w:val="004860C6"/>
    <w:rsid w:val="00486A77"/>
    <w:rsid w:val="004872A6"/>
    <w:rsid w:val="00490165"/>
    <w:rsid w:val="004908EC"/>
    <w:rsid w:val="0049113F"/>
    <w:rsid w:val="004924BD"/>
    <w:rsid w:val="00492B2B"/>
    <w:rsid w:val="0049421E"/>
    <w:rsid w:val="004972EF"/>
    <w:rsid w:val="004A0EA6"/>
    <w:rsid w:val="004A16D3"/>
    <w:rsid w:val="004A1954"/>
    <w:rsid w:val="004A1C45"/>
    <w:rsid w:val="004A223D"/>
    <w:rsid w:val="004A22E7"/>
    <w:rsid w:val="004A2B55"/>
    <w:rsid w:val="004A3021"/>
    <w:rsid w:val="004A327B"/>
    <w:rsid w:val="004A5BC5"/>
    <w:rsid w:val="004A6E32"/>
    <w:rsid w:val="004B18C5"/>
    <w:rsid w:val="004B3822"/>
    <w:rsid w:val="004B394F"/>
    <w:rsid w:val="004B44A5"/>
    <w:rsid w:val="004B5F78"/>
    <w:rsid w:val="004B6E8F"/>
    <w:rsid w:val="004B7809"/>
    <w:rsid w:val="004B7DA7"/>
    <w:rsid w:val="004C074B"/>
    <w:rsid w:val="004C17BE"/>
    <w:rsid w:val="004C2615"/>
    <w:rsid w:val="004C2987"/>
    <w:rsid w:val="004C3159"/>
    <w:rsid w:val="004C37C7"/>
    <w:rsid w:val="004C44D3"/>
    <w:rsid w:val="004C6D49"/>
    <w:rsid w:val="004C7070"/>
    <w:rsid w:val="004D0BEE"/>
    <w:rsid w:val="004D15D7"/>
    <w:rsid w:val="004D2E3F"/>
    <w:rsid w:val="004D2E9A"/>
    <w:rsid w:val="004D38CB"/>
    <w:rsid w:val="004D4533"/>
    <w:rsid w:val="004D4BEF"/>
    <w:rsid w:val="004D4FC1"/>
    <w:rsid w:val="004D558C"/>
    <w:rsid w:val="004D5AF9"/>
    <w:rsid w:val="004D5CA9"/>
    <w:rsid w:val="004D5EAC"/>
    <w:rsid w:val="004D68A0"/>
    <w:rsid w:val="004E0ACA"/>
    <w:rsid w:val="004E1008"/>
    <w:rsid w:val="004E17D0"/>
    <w:rsid w:val="004E185E"/>
    <w:rsid w:val="004E371F"/>
    <w:rsid w:val="004E57D6"/>
    <w:rsid w:val="004E5A38"/>
    <w:rsid w:val="004F107C"/>
    <w:rsid w:val="004F1089"/>
    <w:rsid w:val="004F2465"/>
    <w:rsid w:val="004F27C5"/>
    <w:rsid w:val="004F4A2D"/>
    <w:rsid w:val="004F4ED4"/>
    <w:rsid w:val="004F4F64"/>
    <w:rsid w:val="004F627A"/>
    <w:rsid w:val="004F640A"/>
    <w:rsid w:val="004F6621"/>
    <w:rsid w:val="004F67C6"/>
    <w:rsid w:val="004F6D46"/>
    <w:rsid w:val="00500048"/>
    <w:rsid w:val="005012E4"/>
    <w:rsid w:val="00502DDF"/>
    <w:rsid w:val="00503EEB"/>
    <w:rsid w:val="00504339"/>
    <w:rsid w:val="00504D3A"/>
    <w:rsid w:val="00506299"/>
    <w:rsid w:val="0050647D"/>
    <w:rsid w:val="00507EB0"/>
    <w:rsid w:val="00511D61"/>
    <w:rsid w:val="0051689A"/>
    <w:rsid w:val="00516EB9"/>
    <w:rsid w:val="0051740E"/>
    <w:rsid w:val="0051782C"/>
    <w:rsid w:val="00517B0D"/>
    <w:rsid w:val="00520D7F"/>
    <w:rsid w:val="00524777"/>
    <w:rsid w:val="00524CB8"/>
    <w:rsid w:val="0052550C"/>
    <w:rsid w:val="00525C4F"/>
    <w:rsid w:val="00525D74"/>
    <w:rsid w:val="00526D8A"/>
    <w:rsid w:val="005271D6"/>
    <w:rsid w:val="005274A9"/>
    <w:rsid w:val="0053046B"/>
    <w:rsid w:val="00531186"/>
    <w:rsid w:val="00531970"/>
    <w:rsid w:val="005360EC"/>
    <w:rsid w:val="00536CB0"/>
    <w:rsid w:val="00537EA3"/>
    <w:rsid w:val="00540554"/>
    <w:rsid w:val="00541CB7"/>
    <w:rsid w:val="00541F9B"/>
    <w:rsid w:val="00542E83"/>
    <w:rsid w:val="005438D7"/>
    <w:rsid w:val="0054598A"/>
    <w:rsid w:val="00545CDF"/>
    <w:rsid w:val="0054651C"/>
    <w:rsid w:val="00546579"/>
    <w:rsid w:val="0054708A"/>
    <w:rsid w:val="005470DF"/>
    <w:rsid w:val="00550B4C"/>
    <w:rsid w:val="00550FF2"/>
    <w:rsid w:val="00551A69"/>
    <w:rsid w:val="00552512"/>
    <w:rsid w:val="005532BE"/>
    <w:rsid w:val="00553D8D"/>
    <w:rsid w:val="00553E4B"/>
    <w:rsid w:val="005541CE"/>
    <w:rsid w:val="0055517E"/>
    <w:rsid w:val="0055598A"/>
    <w:rsid w:val="00555D5A"/>
    <w:rsid w:val="00556FD4"/>
    <w:rsid w:val="0055709F"/>
    <w:rsid w:val="00557CFE"/>
    <w:rsid w:val="00560256"/>
    <w:rsid w:val="00560A50"/>
    <w:rsid w:val="005614C3"/>
    <w:rsid w:val="00561A20"/>
    <w:rsid w:val="00562422"/>
    <w:rsid w:val="005633CF"/>
    <w:rsid w:val="00563937"/>
    <w:rsid w:val="00563A94"/>
    <w:rsid w:val="00566CC3"/>
    <w:rsid w:val="00566F66"/>
    <w:rsid w:val="00567AD4"/>
    <w:rsid w:val="0057021A"/>
    <w:rsid w:val="00570F78"/>
    <w:rsid w:val="00571046"/>
    <w:rsid w:val="005722E4"/>
    <w:rsid w:val="0057335E"/>
    <w:rsid w:val="005737C9"/>
    <w:rsid w:val="00573EC0"/>
    <w:rsid w:val="00577648"/>
    <w:rsid w:val="0057781E"/>
    <w:rsid w:val="00581C12"/>
    <w:rsid w:val="0058361F"/>
    <w:rsid w:val="005836A7"/>
    <w:rsid w:val="005844E3"/>
    <w:rsid w:val="00584BC9"/>
    <w:rsid w:val="00586FDA"/>
    <w:rsid w:val="005877BB"/>
    <w:rsid w:val="00587C07"/>
    <w:rsid w:val="00587C65"/>
    <w:rsid w:val="00590F7C"/>
    <w:rsid w:val="00592577"/>
    <w:rsid w:val="005935C1"/>
    <w:rsid w:val="00593917"/>
    <w:rsid w:val="005943BF"/>
    <w:rsid w:val="005947DC"/>
    <w:rsid w:val="005951F3"/>
    <w:rsid w:val="00595859"/>
    <w:rsid w:val="005958D4"/>
    <w:rsid w:val="00596C42"/>
    <w:rsid w:val="00597051"/>
    <w:rsid w:val="005978ED"/>
    <w:rsid w:val="00597E95"/>
    <w:rsid w:val="005A1506"/>
    <w:rsid w:val="005A165D"/>
    <w:rsid w:val="005A2721"/>
    <w:rsid w:val="005A29B0"/>
    <w:rsid w:val="005A2E72"/>
    <w:rsid w:val="005A3FD2"/>
    <w:rsid w:val="005A4837"/>
    <w:rsid w:val="005A4AF0"/>
    <w:rsid w:val="005A4EB4"/>
    <w:rsid w:val="005A5058"/>
    <w:rsid w:val="005A515F"/>
    <w:rsid w:val="005B061B"/>
    <w:rsid w:val="005B0AC1"/>
    <w:rsid w:val="005B0C60"/>
    <w:rsid w:val="005B29C4"/>
    <w:rsid w:val="005B3F13"/>
    <w:rsid w:val="005B4EF4"/>
    <w:rsid w:val="005B528F"/>
    <w:rsid w:val="005B78E7"/>
    <w:rsid w:val="005C0333"/>
    <w:rsid w:val="005C0CD8"/>
    <w:rsid w:val="005C2F02"/>
    <w:rsid w:val="005C44F6"/>
    <w:rsid w:val="005C5BAC"/>
    <w:rsid w:val="005C5BDB"/>
    <w:rsid w:val="005C5EAA"/>
    <w:rsid w:val="005C7FA8"/>
    <w:rsid w:val="005D2125"/>
    <w:rsid w:val="005D2804"/>
    <w:rsid w:val="005D3377"/>
    <w:rsid w:val="005D3611"/>
    <w:rsid w:val="005D3B35"/>
    <w:rsid w:val="005D3C84"/>
    <w:rsid w:val="005D4213"/>
    <w:rsid w:val="005D582E"/>
    <w:rsid w:val="005E065C"/>
    <w:rsid w:val="005E06DE"/>
    <w:rsid w:val="005E13D8"/>
    <w:rsid w:val="005E28E9"/>
    <w:rsid w:val="005E2E28"/>
    <w:rsid w:val="005E3086"/>
    <w:rsid w:val="005E3546"/>
    <w:rsid w:val="005E4A54"/>
    <w:rsid w:val="005E5049"/>
    <w:rsid w:val="005E62AF"/>
    <w:rsid w:val="005E78C8"/>
    <w:rsid w:val="005F09D8"/>
    <w:rsid w:val="005F295C"/>
    <w:rsid w:val="005F2A20"/>
    <w:rsid w:val="005F3197"/>
    <w:rsid w:val="005F45FE"/>
    <w:rsid w:val="005F6165"/>
    <w:rsid w:val="005F64FF"/>
    <w:rsid w:val="005F7611"/>
    <w:rsid w:val="006020F2"/>
    <w:rsid w:val="00602289"/>
    <w:rsid w:val="006033D2"/>
    <w:rsid w:val="00603C6A"/>
    <w:rsid w:val="006040F1"/>
    <w:rsid w:val="006058C4"/>
    <w:rsid w:val="006066F9"/>
    <w:rsid w:val="00606B82"/>
    <w:rsid w:val="00607DF1"/>
    <w:rsid w:val="00610895"/>
    <w:rsid w:val="00611BCD"/>
    <w:rsid w:val="00613B20"/>
    <w:rsid w:val="00613D38"/>
    <w:rsid w:val="00613E3A"/>
    <w:rsid w:val="00615265"/>
    <w:rsid w:val="006155C7"/>
    <w:rsid w:val="00615FEB"/>
    <w:rsid w:val="00616771"/>
    <w:rsid w:val="00617E94"/>
    <w:rsid w:val="006206EB"/>
    <w:rsid w:val="00624C4F"/>
    <w:rsid w:val="00624DF6"/>
    <w:rsid w:val="006260A5"/>
    <w:rsid w:val="0062630D"/>
    <w:rsid w:val="0062782A"/>
    <w:rsid w:val="0063082B"/>
    <w:rsid w:val="00634FBB"/>
    <w:rsid w:val="0063542C"/>
    <w:rsid w:val="00635C2F"/>
    <w:rsid w:val="00636256"/>
    <w:rsid w:val="00636C07"/>
    <w:rsid w:val="00637199"/>
    <w:rsid w:val="0064344E"/>
    <w:rsid w:val="006454D7"/>
    <w:rsid w:val="0064616A"/>
    <w:rsid w:val="0064726A"/>
    <w:rsid w:val="00647BF3"/>
    <w:rsid w:val="00647CA3"/>
    <w:rsid w:val="00650002"/>
    <w:rsid w:val="0065012E"/>
    <w:rsid w:val="006543EB"/>
    <w:rsid w:val="00654478"/>
    <w:rsid w:val="006546F1"/>
    <w:rsid w:val="006562C6"/>
    <w:rsid w:val="0065684A"/>
    <w:rsid w:val="00656BBF"/>
    <w:rsid w:val="00660E69"/>
    <w:rsid w:val="0066128C"/>
    <w:rsid w:val="00661593"/>
    <w:rsid w:val="00661999"/>
    <w:rsid w:val="006625F2"/>
    <w:rsid w:val="00663E75"/>
    <w:rsid w:val="006644D8"/>
    <w:rsid w:val="00665878"/>
    <w:rsid w:val="00665C06"/>
    <w:rsid w:val="006660CE"/>
    <w:rsid w:val="00667466"/>
    <w:rsid w:val="0066771F"/>
    <w:rsid w:val="00670128"/>
    <w:rsid w:val="00670156"/>
    <w:rsid w:val="006703EC"/>
    <w:rsid w:val="006709DC"/>
    <w:rsid w:val="0067102B"/>
    <w:rsid w:val="00671167"/>
    <w:rsid w:val="006724F5"/>
    <w:rsid w:val="00672B86"/>
    <w:rsid w:val="00673637"/>
    <w:rsid w:val="00673750"/>
    <w:rsid w:val="006749FF"/>
    <w:rsid w:val="0067736D"/>
    <w:rsid w:val="006803E6"/>
    <w:rsid w:val="00682682"/>
    <w:rsid w:val="00683AC0"/>
    <w:rsid w:val="00683B10"/>
    <w:rsid w:val="00683C9B"/>
    <w:rsid w:val="006844AD"/>
    <w:rsid w:val="0068540E"/>
    <w:rsid w:val="00686586"/>
    <w:rsid w:val="00686622"/>
    <w:rsid w:val="00686895"/>
    <w:rsid w:val="00687E4F"/>
    <w:rsid w:val="0069099D"/>
    <w:rsid w:val="00691230"/>
    <w:rsid w:val="006917B6"/>
    <w:rsid w:val="0069258E"/>
    <w:rsid w:val="00693440"/>
    <w:rsid w:val="006941A8"/>
    <w:rsid w:val="00694848"/>
    <w:rsid w:val="00694E91"/>
    <w:rsid w:val="006951E7"/>
    <w:rsid w:val="00695FC4"/>
    <w:rsid w:val="00696905"/>
    <w:rsid w:val="00696D06"/>
    <w:rsid w:val="006977ED"/>
    <w:rsid w:val="00697CAA"/>
    <w:rsid w:val="006A1BC8"/>
    <w:rsid w:val="006A1D49"/>
    <w:rsid w:val="006A1FCE"/>
    <w:rsid w:val="006A210F"/>
    <w:rsid w:val="006A242D"/>
    <w:rsid w:val="006A27FD"/>
    <w:rsid w:val="006A2CB2"/>
    <w:rsid w:val="006A3DA7"/>
    <w:rsid w:val="006A42ED"/>
    <w:rsid w:val="006A5308"/>
    <w:rsid w:val="006A621E"/>
    <w:rsid w:val="006A6706"/>
    <w:rsid w:val="006A67DA"/>
    <w:rsid w:val="006A7578"/>
    <w:rsid w:val="006A77D3"/>
    <w:rsid w:val="006B0525"/>
    <w:rsid w:val="006B0D2E"/>
    <w:rsid w:val="006B1A48"/>
    <w:rsid w:val="006B326A"/>
    <w:rsid w:val="006B47F9"/>
    <w:rsid w:val="006B5BC1"/>
    <w:rsid w:val="006B5F49"/>
    <w:rsid w:val="006B608A"/>
    <w:rsid w:val="006B61AE"/>
    <w:rsid w:val="006B66E6"/>
    <w:rsid w:val="006B6AE1"/>
    <w:rsid w:val="006C1C27"/>
    <w:rsid w:val="006C1D72"/>
    <w:rsid w:val="006C3316"/>
    <w:rsid w:val="006C4204"/>
    <w:rsid w:val="006C45AD"/>
    <w:rsid w:val="006C79BC"/>
    <w:rsid w:val="006D10A3"/>
    <w:rsid w:val="006D208D"/>
    <w:rsid w:val="006D2DC0"/>
    <w:rsid w:val="006D341A"/>
    <w:rsid w:val="006D39E9"/>
    <w:rsid w:val="006D3A9E"/>
    <w:rsid w:val="006D3C65"/>
    <w:rsid w:val="006D4E5C"/>
    <w:rsid w:val="006D7745"/>
    <w:rsid w:val="006E0445"/>
    <w:rsid w:val="006E164E"/>
    <w:rsid w:val="006E232C"/>
    <w:rsid w:val="006E2C27"/>
    <w:rsid w:val="006E3C7E"/>
    <w:rsid w:val="006E3DBD"/>
    <w:rsid w:val="006E432B"/>
    <w:rsid w:val="006E4A25"/>
    <w:rsid w:val="006E4C1F"/>
    <w:rsid w:val="006E5DB6"/>
    <w:rsid w:val="006E6F0C"/>
    <w:rsid w:val="006F0FAD"/>
    <w:rsid w:val="006F1263"/>
    <w:rsid w:val="006F250E"/>
    <w:rsid w:val="006F3DAD"/>
    <w:rsid w:val="006F4037"/>
    <w:rsid w:val="006F6C8A"/>
    <w:rsid w:val="0070055A"/>
    <w:rsid w:val="00702033"/>
    <w:rsid w:val="00702243"/>
    <w:rsid w:val="00702499"/>
    <w:rsid w:val="00702CFB"/>
    <w:rsid w:val="007034D1"/>
    <w:rsid w:val="00703AC5"/>
    <w:rsid w:val="00703C10"/>
    <w:rsid w:val="00704429"/>
    <w:rsid w:val="00704A5D"/>
    <w:rsid w:val="00705439"/>
    <w:rsid w:val="0070590B"/>
    <w:rsid w:val="00705A34"/>
    <w:rsid w:val="0070656C"/>
    <w:rsid w:val="00706A69"/>
    <w:rsid w:val="00707ED6"/>
    <w:rsid w:val="0071030C"/>
    <w:rsid w:val="007120E0"/>
    <w:rsid w:val="007136C0"/>
    <w:rsid w:val="00713C16"/>
    <w:rsid w:val="00715B76"/>
    <w:rsid w:val="007161BD"/>
    <w:rsid w:val="00716852"/>
    <w:rsid w:val="0071691D"/>
    <w:rsid w:val="00717D09"/>
    <w:rsid w:val="007218E0"/>
    <w:rsid w:val="00721A4A"/>
    <w:rsid w:val="00722BD3"/>
    <w:rsid w:val="00726CC2"/>
    <w:rsid w:val="00727534"/>
    <w:rsid w:val="007300E6"/>
    <w:rsid w:val="007307A2"/>
    <w:rsid w:val="00731D0E"/>
    <w:rsid w:val="007333F4"/>
    <w:rsid w:val="0073379E"/>
    <w:rsid w:val="0073435D"/>
    <w:rsid w:val="00734580"/>
    <w:rsid w:val="00734811"/>
    <w:rsid w:val="00735C9A"/>
    <w:rsid w:val="007363E2"/>
    <w:rsid w:val="0073647D"/>
    <w:rsid w:val="0073670B"/>
    <w:rsid w:val="007374DB"/>
    <w:rsid w:val="00737628"/>
    <w:rsid w:val="007377A2"/>
    <w:rsid w:val="00737BBF"/>
    <w:rsid w:val="0074068E"/>
    <w:rsid w:val="00741273"/>
    <w:rsid w:val="007413E8"/>
    <w:rsid w:val="007425A7"/>
    <w:rsid w:val="0074281D"/>
    <w:rsid w:val="007431FD"/>
    <w:rsid w:val="007434CF"/>
    <w:rsid w:val="00743CF8"/>
    <w:rsid w:val="007444CC"/>
    <w:rsid w:val="00744AE2"/>
    <w:rsid w:val="00744EB8"/>
    <w:rsid w:val="0074578C"/>
    <w:rsid w:val="00745DAB"/>
    <w:rsid w:val="00746628"/>
    <w:rsid w:val="00746845"/>
    <w:rsid w:val="00746933"/>
    <w:rsid w:val="0074734D"/>
    <w:rsid w:val="00747F1D"/>
    <w:rsid w:val="00750156"/>
    <w:rsid w:val="007501A3"/>
    <w:rsid w:val="007502E1"/>
    <w:rsid w:val="0075068D"/>
    <w:rsid w:val="00750C03"/>
    <w:rsid w:val="007527E3"/>
    <w:rsid w:val="0075347E"/>
    <w:rsid w:val="00754668"/>
    <w:rsid w:val="00754CAF"/>
    <w:rsid w:val="0075551A"/>
    <w:rsid w:val="00755646"/>
    <w:rsid w:val="00757ACF"/>
    <w:rsid w:val="007611BC"/>
    <w:rsid w:val="0076188A"/>
    <w:rsid w:val="00761B87"/>
    <w:rsid w:val="007630C1"/>
    <w:rsid w:val="00764287"/>
    <w:rsid w:val="00764C4C"/>
    <w:rsid w:val="00764F6F"/>
    <w:rsid w:val="007662A4"/>
    <w:rsid w:val="0076674D"/>
    <w:rsid w:val="00767330"/>
    <w:rsid w:val="007675E4"/>
    <w:rsid w:val="007703AB"/>
    <w:rsid w:val="007707BB"/>
    <w:rsid w:val="007715AE"/>
    <w:rsid w:val="00771F2F"/>
    <w:rsid w:val="007748D8"/>
    <w:rsid w:val="007762F5"/>
    <w:rsid w:val="007769D8"/>
    <w:rsid w:val="0078033D"/>
    <w:rsid w:val="0078080F"/>
    <w:rsid w:val="00780A78"/>
    <w:rsid w:val="00781710"/>
    <w:rsid w:val="007819CD"/>
    <w:rsid w:val="00782843"/>
    <w:rsid w:val="00783F2C"/>
    <w:rsid w:val="00784472"/>
    <w:rsid w:val="00786292"/>
    <w:rsid w:val="00790341"/>
    <w:rsid w:val="007907C8"/>
    <w:rsid w:val="0079203E"/>
    <w:rsid w:val="0079405E"/>
    <w:rsid w:val="007947B3"/>
    <w:rsid w:val="00794B8B"/>
    <w:rsid w:val="00795FA0"/>
    <w:rsid w:val="0079679E"/>
    <w:rsid w:val="00796A46"/>
    <w:rsid w:val="00797F3E"/>
    <w:rsid w:val="007A02E1"/>
    <w:rsid w:val="007A0CA7"/>
    <w:rsid w:val="007A173A"/>
    <w:rsid w:val="007A386D"/>
    <w:rsid w:val="007A4BF6"/>
    <w:rsid w:val="007A70ED"/>
    <w:rsid w:val="007B08EF"/>
    <w:rsid w:val="007B13EA"/>
    <w:rsid w:val="007B18AE"/>
    <w:rsid w:val="007B1BC1"/>
    <w:rsid w:val="007B2D95"/>
    <w:rsid w:val="007B2F03"/>
    <w:rsid w:val="007B6C2A"/>
    <w:rsid w:val="007B6F2A"/>
    <w:rsid w:val="007C0149"/>
    <w:rsid w:val="007C018B"/>
    <w:rsid w:val="007C2360"/>
    <w:rsid w:val="007C24AE"/>
    <w:rsid w:val="007C24ED"/>
    <w:rsid w:val="007C2B1F"/>
    <w:rsid w:val="007C2E52"/>
    <w:rsid w:val="007C3A35"/>
    <w:rsid w:val="007C4905"/>
    <w:rsid w:val="007C58CF"/>
    <w:rsid w:val="007D0A8A"/>
    <w:rsid w:val="007D0C3B"/>
    <w:rsid w:val="007D1B04"/>
    <w:rsid w:val="007D1D01"/>
    <w:rsid w:val="007D6155"/>
    <w:rsid w:val="007D616E"/>
    <w:rsid w:val="007D64DE"/>
    <w:rsid w:val="007D68B1"/>
    <w:rsid w:val="007D7614"/>
    <w:rsid w:val="007D7A45"/>
    <w:rsid w:val="007E123A"/>
    <w:rsid w:val="007E225F"/>
    <w:rsid w:val="007E2426"/>
    <w:rsid w:val="007E2780"/>
    <w:rsid w:val="007E3139"/>
    <w:rsid w:val="007E542D"/>
    <w:rsid w:val="007E69E4"/>
    <w:rsid w:val="007E79B9"/>
    <w:rsid w:val="007F0535"/>
    <w:rsid w:val="007F138F"/>
    <w:rsid w:val="007F1510"/>
    <w:rsid w:val="007F167C"/>
    <w:rsid w:val="007F1EAB"/>
    <w:rsid w:val="007F2E2F"/>
    <w:rsid w:val="007F2E54"/>
    <w:rsid w:val="007F6309"/>
    <w:rsid w:val="007F7084"/>
    <w:rsid w:val="007F7610"/>
    <w:rsid w:val="0080073B"/>
    <w:rsid w:val="00800CD5"/>
    <w:rsid w:val="00802A15"/>
    <w:rsid w:val="00803AF1"/>
    <w:rsid w:val="00804CC8"/>
    <w:rsid w:val="0080563C"/>
    <w:rsid w:val="0080606A"/>
    <w:rsid w:val="0080620A"/>
    <w:rsid w:val="008062AC"/>
    <w:rsid w:val="0080693D"/>
    <w:rsid w:val="00810072"/>
    <w:rsid w:val="00810C5D"/>
    <w:rsid w:val="00811F22"/>
    <w:rsid w:val="00811F4E"/>
    <w:rsid w:val="00812972"/>
    <w:rsid w:val="00812C4D"/>
    <w:rsid w:val="00814B37"/>
    <w:rsid w:val="00815848"/>
    <w:rsid w:val="0082070C"/>
    <w:rsid w:val="00821DFC"/>
    <w:rsid w:val="00821E35"/>
    <w:rsid w:val="00822CBB"/>
    <w:rsid w:val="00822CE5"/>
    <w:rsid w:val="00825CB3"/>
    <w:rsid w:val="00827A5B"/>
    <w:rsid w:val="00830646"/>
    <w:rsid w:val="0083088A"/>
    <w:rsid w:val="00830D7F"/>
    <w:rsid w:val="00831747"/>
    <w:rsid w:val="00831962"/>
    <w:rsid w:val="00831E67"/>
    <w:rsid w:val="00832C63"/>
    <w:rsid w:val="0083583F"/>
    <w:rsid w:val="00836137"/>
    <w:rsid w:val="00836199"/>
    <w:rsid w:val="0083687B"/>
    <w:rsid w:val="00836968"/>
    <w:rsid w:val="0083776F"/>
    <w:rsid w:val="00841924"/>
    <w:rsid w:val="008432B6"/>
    <w:rsid w:val="00844693"/>
    <w:rsid w:val="00844C88"/>
    <w:rsid w:val="00844F77"/>
    <w:rsid w:val="00845858"/>
    <w:rsid w:val="00845A54"/>
    <w:rsid w:val="008463B1"/>
    <w:rsid w:val="00846E92"/>
    <w:rsid w:val="00847686"/>
    <w:rsid w:val="00847E2B"/>
    <w:rsid w:val="00847E5E"/>
    <w:rsid w:val="00847F56"/>
    <w:rsid w:val="00850517"/>
    <w:rsid w:val="008525BE"/>
    <w:rsid w:val="00852BD5"/>
    <w:rsid w:val="00852FDC"/>
    <w:rsid w:val="008537AF"/>
    <w:rsid w:val="00853842"/>
    <w:rsid w:val="00853CBE"/>
    <w:rsid w:val="00853FAA"/>
    <w:rsid w:val="008555E3"/>
    <w:rsid w:val="00855D4F"/>
    <w:rsid w:val="00856C89"/>
    <w:rsid w:val="008572B2"/>
    <w:rsid w:val="00857B4B"/>
    <w:rsid w:val="008606C9"/>
    <w:rsid w:val="00860A7B"/>
    <w:rsid w:val="00860E5D"/>
    <w:rsid w:val="00861A56"/>
    <w:rsid w:val="00861FE5"/>
    <w:rsid w:val="008627A9"/>
    <w:rsid w:val="00864290"/>
    <w:rsid w:val="00864A51"/>
    <w:rsid w:val="008652B7"/>
    <w:rsid w:val="00865D87"/>
    <w:rsid w:val="00865E15"/>
    <w:rsid w:val="00865F9C"/>
    <w:rsid w:val="0086619D"/>
    <w:rsid w:val="00866F47"/>
    <w:rsid w:val="0087000A"/>
    <w:rsid w:val="00870D2E"/>
    <w:rsid w:val="00875DD9"/>
    <w:rsid w:val="0088050E"/>
    <w:rsid w:val="008810FB"/>
    <w:rsid w:val="008816A3"/>
    <w:rsid w:val="0088219B"/>
    <w:rsid w:val="00882247"/>
    <w:rsid w:val="00884741"/>
    <w:rsid w:val="00884EBB"/>
    <w:rsid w:val="00885A1B"/>
    <w:rsid w:val="00887187"/>
    <w:rsid w:val="0088767B"/>
    <w:rsid w:val="00887741"/>
    <w:rsid w:val="00887D90"/>
    <w:rsid w:val="0089235C"/>
    <w:rsid w:val="00892BA7"/>
    <w:rsid w:val="00893C11"/>
    <w:rsid w:val="00897026"/>
    <w:rsid w:val="00897BE1"/>
    <w:rsid w:val="00897CB7"/>
    <w:rsid w:val="008A1367"/>
    <w:rsid w:val="008A1457"/>
    <w:rsid w:val="008A1AE3"/>
    <w:rsid w:val="008A2D98"/>
    <w:rsid w:val="008A3A00"/>
    <w:rsid w:val="008A4028"/>
    <w:rsid w:val="008A465B"/>
    <w:rsid w:val="008A5597"/>
    <w:rsid w:val="008A5DF1"/>
    <w:rsid w:val="008A6B31"/>
    <w:rsid w:val="008A6D7E"/>
    <w:rsid w:val="008A6FB7"/>
    <w:rsid w:val="008B0079"/>
    <w:rsid w:val="008B2183"/>
    <w:rsid w:val="008B3889"/>
    <w:rsid w:val="008B4155"/>
    <w:rsid w:val="008B45E1"/>
    <w:rsid w:val="008B7AA0"/>
    <w:rsid w:val="008B7CBC"/>
    <w:rsid w:val="008C147A"/>
    <w:rsid w:val="008C3A82"/>
    <w:rsid w:val="008C6106"/>
    <w:rsid w:val="008C6282"/>
    <w:rsid w:val="008C778A"/>
    <w:rsid w:val="008D07B2"/>
    <w:rsid w:val="008D0D89"/>
    <w:rsid w:val="008D2407"/>
    <w:rsid w:val="008D36F5"/>
    <w:rsid w:val="008D3FFF"/>
    <w:rsid w:val="008D42E0"/>
    <w:rsid w:val="008D42F9"/>
    <w:rsid w:val="008D48FA"/>
    <w:rsid w:val="008D4A45"/>
    <w:rsid w:val="008D5FBE"/>
    <w:rsid w:val="008D772B"/>
    <w:rsid w:val="008E0F21"/>
    <w:rsid w:val="008E0F7A"/>
    <w:rsid w:val="008E226A"/>
    <w:rsid w:val="008E25D9"/>
    <w:rsid w:val="008E27EB"/>
    <w:rsid w:val="008E2FCE"/>
    <w:rsid w:val="008E3BEB"/>
    <w:rsid w:val="008E3FB4"/>
    <w:rsid w:val="008E5260"/>
    <w:rsid w:val="008E526F"/>
    <w:rsid w:val="008E593C"/>
    <w:rsid w:val="008E5E72"/>
    <w:rsid w:val="008E6075"/>
    <w:rsid w:val="008E6AE3"/>
    <w:rsid w:val="008E7965"/>
    <w:rsid w:val="008E7CE5"/>
    <w:rsid w:val="008E7D04"/>
    <w:rsid w:val="008F139A"/>
    <w:rsid w:val="008F1DEC"/>
    <w:rsid w:val="008F2D6F"/>
    <w:rsid w:val="008F300A"/>
    <w:rsid w:val="008F335A"/>
    <w:rsid w:val="008F342A"/>
    <w:rsid w:val="008F3C70"/>
    <w:rsid w:val="008F4242"/>
    <w:rsid w:val="008F42B7"/>
    <w:rsid w:val="008F4643"/>
    <w:rsid w:val="008F4AB8"/>
    <w:rsid w:val="008F4D1D"/>
    <w:rsid w:val="008F4EC9"/>
    <w:rsid w:val="008F64EF"/>
    <w:rsid w:val="008F6FBC"/>
    <w:rsid w:val="008F7553"/>
    <w:rsid w:val="008F7DC2"/>
    <w:rsid w:val="00900AF5"/>
    <w:rsid w:val="0090277B"/>
    <w:rsid w:val="00902FC9"/>
    <w:rsid w:val="009032B1"/>
    <w:rsid w:val="00904334"/>
    <w:rsid w:val="009052BC"/>
    <w:rsid w:val="0090548E"/>
    <w:rsid w:val="00905D33"/>
    <w:rsid w:val="0090602F"/>
    <w:rsid w:val="00906B59"/>
    <w:rsid w:val="00907835"/>
    <w:rsid w:val="00907F47"/>
    <w:rsid w:val="00910416"/>
    <w:rsid w:val="009113F7"/>
    <w:rsid w:val="00911750"/>
    <w:rsid w:val="00911DE2"/>
    <w:rsid w:val="0091254B"/>
    <w:rsid w:val="00912F2E"/>
    <w:rsid w:val="00912F55"/>
    <w:rsid w:val="00913014"/>
    <w:rsid w:val="009138C2"/>
    <w:rsid w:val="00914A6B"/>
    <w:rsid w:val="00914B35"/>
    <w:rsid w:val="009150B0"/>
    <w:rsid w:val="00915B2D"/>
    <w:rsid w:val="009164D0"/>
    <w:rsid w:val="00920140"/>
    <w:rsid w:val="00921482"/>
    <w:rsid w:val="00921906"/>
    <w:rsid w:val="00922656"/>
    <w:rsid w:val="00923715"/>
    <w:rsid w:val="00923C61"/>
    <w:rsid w:val="00925B6C"/>
    <w:rsid w:val="00926479"/>
    <w:rsid w:val="00926EBD"/>
    <w:rsid w:val="00931044"/>
    <w:rsid w:val="009313DB"/>
    <w:rsid w:val="00931F8B"/>
    <w:rsid w:val="009326EF"/>
    <w:rsid w:val="00933881"/>
    <w:rsid w:val="00933F5B"/>
    <w:rsid w:val="00935029"/>
    <w:rsid w:val="009350AA"/>
    <w:rsid w:val="009357E9"/>
    <w:rsid w:val="00937029"/>
    <w:rsid w:val="0094032E"/>
    <w:rsid w:val="00941867"/>
    <w:rsid w:val="009431C3"/>
    <w:rsid w:val="00943719"/>
    <w:rsid w:val="00943927"/>
    <w:rsid w:val="00944410"/>
    <w:rsid w:val="00944764"/>
    <w:rsid w:val="00945418"/>
    <w:rsid w:val="009454FA"/>
    <w:rsid w:val="009461D8"/>
    <w:rsid w:val="00946C98"/>
    <w:rsid w:val="00947CFE"/>
    <w:rsid w:val="00950AA6"/>
    <w:rsid w:val="00950FD0"/>
    <w:rsid w:val="00953BA7"/>
    <w:rsid w:val="0095434E"/>
    <w:rsid w:val="0095603E"/>
    <w:rsid w:val="00956623"/>
    <w:rsid w:val="009566FF"/>
    <w:rsid w:val="009574EC"/>
    <w:rsid w:val="009600B4"/>
    <w:rsid w:val="0096036E"/>
    <w:rsid w:val="00961797"/>
    <w:rsid w:val="009628FB"/>
    <w:rsid w:val="00962B6B"/>
    <w:rsid w:val="00963088"/>
    <w:rsid w:val="00963956"/>
    <w:rsid w:val="00965385"/>
    <w:rsid w:val="0096553E"/>
    <w:rsid w:val="009656DF"/>
    <w:rsid w:val="009667CE"/>
    <w:rsid w:val="0096686F"/>
    <w:rsid w:val="00967156"/>
    <w:rsid w:val="0096762E"/>
    <w:rsid w:val="00967CCE"/>
    <w:rsid w:val="00972194"/>
    <w:rsid w:val="009725DB"/>
    <w:rsid w:val="00972DE3"/>
    <w:rsid w:val="009734F8"/>
    <w:rsid w:val="00973BB8"/>
    <w:rsid w:val="00973F4E"/>
    <w:rsid w:val="009772BF"/>
    <w:rsid w:val="00977403"/>
    <w:rsid w:val="0097746B"/>
    <w:rsid w:val="0098109C"/>
    <w:rsid w:val="009826B4"/>
    <w:rsid w:val="0098372B"/>
    <w:rsid w:val="00983B99"/>
    <w:rsid w:val="00983F44"/>
    <w:rsid w:val="00984AD8"/>
    <w:rsid w:val="00984C39"/>
    <w:rsid w:val="0098513D"/>
    <w:rsid w:val="00985674"/>
    <w:rsid w:val="00986D54"/>
    <w:rsid w:val="00986FF2"/>
    <w:rsid w:val="0098757C"/>
    <w:rsid w:val="00987A43"/>
    <w:rsid w:val="00990B9F"/>
    <w:rsid w:val="00991A85"/>
    <w:rsid w:val="00991B38"/>
    <w:rsid w:val="00992190"/>
    <w:rsid w:val="00992232"/>
    <w:rsid w:val="0099277D"/>
    <w:rsid w:val="00995C3C"/>
    <w:rsid w:val="00997733"/>
    <w:rsid w:val="009A0210"/>
    <w:rsid w:val="009A04FA"/>
    <w:rsid w:val="009A17B8"/>
    <w:rsid w:val="009A1D95"/>
    <w:rsid w:val="009A3B54"/>
    <w:rsid w:val="009A4163"/>
    <w:rsid w:val="009A42B4"/>
    <w:rsid w:val="009A50CD"/>
    <w:rsid w:val="009A5169"/>
    <w:rsid w:val="009A678E"/>
    <w:rsid w:val="009A69E9"/>
    <w:rsid w:val="009A7879"/>
    <w:rsid w:val="009B09E6"/>
    <w:rsid w:val="009B11E3"/>
    <w:rsid w:val="009B1BD2"/>
    <w:rsid w:val="009B2C42"/>
    <w:rsid w:val="009B3241"/>
    <w:rsid w:val="009B3C3B"/>
    <w:rsid w:val="009B47DD"/>
    <w:rsid w:val="009B614A"/>
    <w:rsid w:val="009B7010"/>
    <w:rsid w:val="009B7EF3"/>
    <w:rsid w:val="009C06DA"/>
    <w:rsid w:val="009C0DD5"/>
    <w:rsid w:val="009C1889"/>
    <w:rsid w:val="009C3288"/>
    <w:rsid w:val="009C3A0B"/>
    <w:rsid w:val="009C3D3F"/>
    <w:rsid w:val="009C5515"/>
    <w:rsid w:val="009C5596"/>
    <w:rsid w:val="009C5BF0"/>
    <w:rsid w:val="009C7099"/>
    <w:rsid w:val="009C76F6"/>
    <w:rsid w:val="009C79BB"/>
    <w:rsid w:val="009C7FBF"/>
    <w:rsid w:val="009D0C2F"/>
    <w:rsid w:val="009D17D8"/>
    <w:rsid w:val="009D1BC0"/>
    <w:rsid w:val="009D2387"/>
    <w:rsid w:val="009D2AB7"/>
    <w:rsid w:val="009D42E9"/>
    <w:rsid w:val="009D4750"/>
    <w:rsid w:val="009D4F7B"/>
    <w:rsid w:val="009D6077"/>
    <w:rsid w:val="009E19B0"/>
    <w:rsid w:val="009E2276"/>
    <w:rsid w:val="009E295A"/>
    <w:rsid w:val="009E3561"/>
    <w:rsid w:val="009E3C94"/>
    <w:rsid w:val="009E436D"/>
    <w:rsid w:val="009E441F"/>
    <w:rsid w:val="009E4C12"/>
    <w:rsid w:val="009E7D88"/>
    <w:rsid w:val="009F102F"/>
    <w:rsid w:val="009F224A"/>
    <w:rsid w:val="009F2335"/>
    <w:rsid w:val="009F26E8"/>
    <w:rsid w:val="009F43A6"/>
    <w:rsid w:val="009F44F1"/>
    <w:rsid w:val="009F6855"/>
    <w:rsid w:val="009F7005"/>
    <w:rsid w:val="009F7692"/>
    <w:rsid w:val="009F7FEC"/>
    <w:rsid w:val="00A0056A"/>
    <w:rsid w:val="00A014C8"/>
    <w:rsid w:val="00A0294C"/>
    <w:rsid w:val="00A03043"/>
    <w:rsid w:val="00A05E27"/>
    <w:rsid w:val="00A06224"/>
    <w:rsid w:val="00A07180"/>
    <w:rsid w:val="00A071D7"/>
    <w:rsid w:val="00A1117E"/>
    <w:rsid w:val="00A11C14"/>
    <w:rsid w:val="00A120BA"/>
    <w:rsid w:val="00A12585"/>
    <w:rsid w:val="00A12CA2"/>
    <w:rsid w:val="00A1407F"/>
    <w:rsid w:val="00A15459"/>
    <w:rsid w:val="00A17144"/>
    <w:rsid w:val="00A1727C"/>
    <w:rsid w:val="00A2098D"/>
    <w:rsid w:val="00A20BF0"/>
    <w:rsid w:val="00A20D8D"/>
    <w:rsid w:val="00A212A8"/>
    <w:rsid w:val="00A21516"/>
    <w:rsid w:val="00A21FF0"/>
    <w:rsid w:val="00A221BB"/>
    <w:rsid w:val="00A22AEA"/>
    <w:rsid w:val="00A22B92"/>
    <w:rsid w:val="00A23558"/>
    <w:rsid w:val="00A246FF"/>
    <w:rsid w:val="00A25735"/>
    <w:rsid w:val="00A26322"/>
    <w:rsid w:val="00A27069"/>
    <w:rsid w:val="00A2764A"/>
    <w:rsid w:val="00A2766B"/>
    <w:rsid w:val="00A279B0"/>
    <w:rsid w:val="00A3074B"/>
    <w:rsid w:val="00A30AA1"/>
    <w:rsid w:val="00A30E9A"/>
    <w:rsid w:val="00A32A3C"/>
    <w:rsid w:val="00A32D22"/>
    <w:rsid w:val="00A339C2"/>
    <w:rsid w:val="00A33F72"/>
    <w:rsid w:val="00A3413E"/>
    <w:rsid w:val="00A35485"/>
    <w:rsid w:val="00A3685C"/>
    <w:rsid w:val="00A3689E"/>
    <w:rsid w:val="00A371F4"/>
    <w:rsid w:val="00A37993"/>
    <w:rsid w:val="00A400CD"/>
    <w:rsid w:val="00A40A9A"/>
    <w:rsid w:val="00A412EC"/>
    <w:rsid w:val="00A414C4"/>
    <w:rsid w:val="00A43596"/>
    <w:rsid w:val="00A43D9C"/>
    <w:rsid w:val="00A444D5"/>
    <w:rsid w:val="00A451D4"/>
    <w:rsid w:val="00A451E8"/>
    <w:rsid w:val="00A453F2"/>
    <w:rsid w:val="00A454DA"/>
    <w:rsid w:val="00A45B47"/>
    <w:rsid w:val="00A475F3"/>
    <w:rsid w:val="00A500BC"/>
    <w:rsid w:val="00A50A69"/>
    <w:rsid w:val="00A50D0D"/>
    <w:rsid w:val="00A50F7A"/>
    <w:rsid w:val="00A51765"/>
    <w:rsid w:val="00A520E1"/>
    <w:rsid w:val="00A522EF"/>
    <w:rsid w:val="00A53C6C"/>
    <w:rsid w:val="00A553FB"/>
    <w:rsid w:val="00A5549A"/>
    <w:rsid w:val="00A55542"/>
    <w:rsid w:val="00A558E6"/>
    <w:rsid w:val="00A55F40"/>
    <w:rsid w:val="00A5674C"/>
    <w:rsid w:val="00A56A57"/>
    <w:rsid w:val="00A579A4"/>
    <w:rsid w:val="00A60070"/>
    <w:rsid w:val="00A6161D"/>
    <w:rsid w:val="00A61F78"/>
    <w:rsid w:val="00A62EE1"/>
    <w:rsid w:val="00A6348E"/>
    <w:rsid w:val="00A64BAD"/>
    <w:rsid w:val="00A66B68"/>
    <w:rsid w:val="00A66F0B"/>
    <w:rsid w:val="00A6746A"/>
    <w:rsid w:val="00A67C13"/>
    <w:rsid w:val="00A70198"/>
    <w:rsid w:val="00A70678"/>
    <w:rsid w:val="00A73CBC"/>
    <w:rsid w:val="00A74D7A"/>
    <w:rsid w:val="00A74DC8"/>
    <w:rsid w:val="00A762A4"/>
    <w:rsid w:val="00A765FE"/>
    <w:rsid w:val="00A76860"/>
    <w:rsid w:val="00A76C21"/>
    <w:rsid w:val="00A76D42"/>
    <w:rsid w:val="00A775F5"/>
    <w:rsid w:val="00A778A9"/>
    <w:rsid w:val="00A807F2"/>
    <w:rsid w:val="00A808BA"/>
    <w:rsid w:val="00A819CF"/>
    <w:rsid w:val="00A82389"/>
    <w:rsid w:val="00A83E28"/>
    <w:rsid w:val="00A859C0"/>
    <w:rsid w:val="00A90336"/>
    <w:rsid w:val="00A91840"/>
    <w:rsid w:val="00A91F8A"/>
    <w:rsid w:val="00A923A8"/>
    <w:rsid w:val="00A9271F"/>
    <w:rsid w:val="00A932F2"/>
    <w:rsid w:val="00A93ACF"/>
    <w:rsid w:val="00A93AF0"/>
    <w:rsid w:val="00A9442A"/>
    <w:rsid w:val="00A9464B"/>
    <w:rsid w:val="00A9481E"/>
    <w:rsid w:val="00A9616F"/>
    <w:rsid w:val="00A96F6E"/>
    <w:rsid w:val="00A977DC"/>
    <w:rsid w:val="00A97A3E"/>
    <w:rsid w:val="00AA0172"/>
    <w:rsid w:val="00AA0919"/>
    <w:rsid w:val="00AA0FA5"/>
    <w:rsid w:val="00AA194D"/>
    <w:rsid w:val="00AA2910"/>
    <w:rsid w:val="00AA29FD"/>
    <w:rsid w:val="00AA3D92"/>
    <w:rsid w:val="00AA48DF"/>
    <w:rsid w:val="00AA69A2"/>
    <w:rsid w:val="00AB0ADA"/>
    <w:rsid w:val="00AB1F54"/>
    <w:rsid w:val="00AB1FAC"/>
    <w:rsid w:val="00AB27CF"/>
    <w:rsid w:val="00AB3952"/>
    <w:rsid w:val="00AB44B1"/>
    <w:rsid w:val="00AB507B"/>
    <w:rsid w:val="00AB5E1B"/>
    <w:rsid w:val="00AB6598"/>
    <w:rsid w:val="00AB6AC5"/>
    <w:rsid w:val="00AC095A"/>
    <w:rsid w:val="00AC1121"/>
    <w:rsid w:val="00AC2F50"/>
    <w:rsid w:val="00AC40CD"/>
    <w:rsid w:val="00AC50C3"/>
    <w:rsid w:val="00AC5F44"/>
    <w:rsid w:val="00AC6974"/>
    <w:rsid w:val="00AC6CA8"/>
    <w:rsid w:val="00AC7134"/>
    <w:rsid w:val="00AD03A2"/>
    <w:rsid w:val="00AD0C0D"/>
    <w:rsid w:val="00AD0F75"/>
    <w:rsid w:val="00AD12C7"/>
    <w:rsid w:val="00AD2AD4"/>
    <w:rsid w:val="00AD33D2"/>
    <w:rsid w:val="00AD3A0C"/>
    <w:rsid w:val="00AD5F2A"/>
    <w:rsid w:val="00AD6A86"/>
    <w:rsid w:val="00AD6E9C"/>
    <w:rsid w:val="00AD708D"/>
    <w:rsid w:val="00AD72F5"/>
    <w:rsid w:val="00AD72FF"/>
    <w:rsid w:val="00AD77A0"/>
    <w:rsid w:val="00AE1DFD"/>
    <w:rsid w:val="00AE377E"/>
    <w:rsid w:val="00AE3BE4"/>
    <w:rsid w:val="00AE588F"/>
    <w:rsid w:val="00AE618B"/>
    <w:rsid w:val="00AE74B6"/>
    <w:rsid w:val="00AE7753"/>
    <w:rsid w:val="00AE7CE9"/>
    <w:rsid w:val="00AF024F"/>
    <w:rsid w:val="00AF02C6"/>
    <w:rsid w:val="00AF097C"/>
    <w:rsid w:val="00AF20DB"/>
    <w:rsid w:val="00AF25E5"/>
    <w:rsid w:val="00AF26F1"/>
    <w:rsid w:val="00AF2BD0"/>
    <w:rsid w:val="00AF3289"/>
    <w:rsid w:val="00AF4954"/>
    <w:rsid w:val="00AF55DB"/>
    <w:rsid w:val="00AF5F1D"/>
    <w:rsid w:val="00AF617E"/>
    <w:rsid w:val="00AF6A69"/>
    <w:rsid w:val="00AF76AE"/>
    <w:rsid w:val="00B00C81"/>
    <w:rsid w:val="00B00DFC"/>
    <w:rsid w:val="00B01997"/>
    <w:rsid w:val="00B02752"/>
    <w:rsid w:val="00B02F2D"/>
    <w:rsid w:val="00B03B48"/>
    <w:rsid w:val="00B03FF8"/>
    <w:rsid w:val="00B0470F"/>
    <w:rsid w:val="00B05297"/>
    <w:rsid w:val="00B0552C"/>
    <w:rsid w:val="00B06A23"/>
    <w:rsid w:val="00B1009F"/>
    <w:rsid w:val="00B101A5"/>
    <w:rsid w:val="00B11C5E"/>
    <w:rsid w:val="00B11DF2"/>
    <w:rsid w:val="00B12823"/>
    <w:rsid w:val="00B12DC7"/>
    <w:rsid w:val="00B12E5C"/>
    <w:rsid w:val="00B13C17"/>
    <w:rsid w:val="00B14006"/>
    <w:rsid w:val="00B14034"/>
    <w:rsid w:val="00B174A8"/>
    <w:rsid w:val="00B20478"/>
    <w:rsid w:val="00B2131D"/>
    <w:rsid w:val="00B21492"/>
    <w:rsid w:val="00B21C28"/>
    <w:rsid w:val="00B21EBA"/>
    <w:rsid w:val="00B23B55"/>
    <w:rsid w:val="00B23F42"/>
    <w:rsid w:val="00B24FD5"/>
    <w:rsid w:val="00B2511A"/>
    <w:rsid w:val="00B26323"/>
    <w:rsid w:val="00B268BE"/>
    <w:rsid w:val="00B30BEF"/>
    <w:rsid w:val="00B31E29"/>
    <w:rsid w:val="00B3331E"/>
    <w:rsid w:val="00B33BC4"/>
    <w:rsid w:val="00B3400E"/>
    <w:rsid w:val="00B343FF"/>
    <w:rsid w:val="00B34CF1"/>
    <w:rsid w:val="00B36A42"/>
    <w:rsid w:val="00B36F4C"/>
    <w:rsid w:val="00B37237"/>
    <w:rsid w:val="00B372DF"/>
    <w:rsid w:val="00B40304"/>
    <w:rsid w:val="00B409A0"/>
    <w:rsid w:val="00B409E0"/>
    <w:rsid w:val="00B40A3C"/>
    <w:rsid w:val="00B42ECB"/>
    <w:rsid w:val="00B4329E"/>
    <w:rsid w:val="00B433F5"/>
    <w:rsid w:val="00B436A1"/>
    <w:rsid w:val="00B44B5B"/>
    <w:rsid w:val="00B451DD"/>
    <w:rsid w:val="00B459C9"/>
    <w:rsid w:val="00B50779"/>
    <w:rsid w:val="00B51B3D"/>
    <w:rsid w:val="00B52362"/>
    <w:rsid w:val="00B54018"/>
    <w:rsid w:val="00B545CD"/>
    <w:rsid w:val="00B54DFA"/>
    <w:rsid w:val="00B55099"/>
    <w:rsid w:val="00B55FC7"/>
    <w:rsid w:val="00B5611C"/>
    <w:rsid w:val="00B56124"/>
    <w:rsid w:val="00B56802"/>
    <w:rsid w:val="00B56D5C"/>
    <w:rsid w:val="00B603C8"/>
    <w:rsid w:val="00B60ABF"/>
    <w:rsid w:val="00B60E52"/>
    <w:rsid w:val="00B6161B"/>
    <w:rsid w:val="00B61A4E"/>
    <w:rsid w:val="00B61DFF"/>
    <w:rsid w:val="00B61EEC"/>
    <w:rsid w:val="00B62399"/>
    <w:rsid w:val="00B624D6"/>
    <w:rsid w:val="00B637F5"/>
    <w:rsid w:val="00B63C51"/>
    <w:rsid w:val="00B64154"/>
    <w:rsid w:val="00B65528"/>
    <w:rsid w:val="00B65936"/>
    <w:rsid w:val="00B71DC2"/>
    <w:rsid w:val="00B7231E"/>
    <w:rsid w:val="00B72826"/>
    <w:rsid w:val="00B72A6A"/>
    <w:rsid w:val="00B72ADC"/>
    <w:rsid w:val="00B75DAF"/>
    <w:rsid w:val="00B8287F"/>
    <w:rsid w:val="00B8369B"/>
    <w:rsid w:val="00B8440F"/>
    <w:rsid w:val="00B84972"/>
    <w:rsid w:val="00B84A5D"/>
    <w:rsid w:val="00B85243"/>
    <w:rsid w:val="00B867CC"/>
    <w:rsid w:val="00B87302"/>
    <w:rsid w:val="00B87EE4"/>
    <w:rsid w:val="00B91CB7"/>
    <w:rsid w:val="00B9218A"/>
    <w:rsid w:val="00B928B8"/>
    <w:rsid w:val="00B92B2F"/>
    <w:rsid w:val="00B94B8B"/>
    <w:rsid w:val="00B953F9"/>
    <w:rsid w:val="00B97167"/>
    <w:rsid w:val="00BA02D0"/>
    <w:rsid w:val="00BA04C1"/>
    <w:rsid w:val="00BA084B"/>
    <w:rsid w:val="00BA2822"/>
    <w:rsid w:val="00BA2F1E"/>
    <w:rsid w:val="00BA2FC9"/>
    <w:rsid w:val="00BA3B88"/>
    <w:rsid w:val="00BA4BE7"/>
    <w:rsid w:val="00BA56D5"/>
    <w:rsid w:val="00BA59E5"/>
    <w:rsid w:val="00BA5DBB"/>
    <w:rsid w:val="00BA7113"/>
    <w:rsid w:val="00BA7267"/>
    <w:rsid w:val="00BB04A1"/>
    <w:rsid w:val="00BB0752"/>
    <w:rsid w:val="00BB07D3"/>
    <w:rsid w:val="00BB2DCE"/>
    <w:rsid w:val="00BB30F5"/>
    <w:rsid w:val="00BB3608"/>
    <w:rsid w:val="00BC03F2"/>
    <w:rsid w:val="00BC2EB6"/>
    <w:rsid w:val="00BC37BD"/>
    <w:rsid w:val="00BC3C27"/>
    <w:rsid w:val="00BC52BA"/>
    <w:rsid w:val="00BC5A00"/>
    <w:rsid w:val="00BD01CF"/>
    <w:rsid w:val="00BD07FF"/>
    <w:rsid w:val="00BD08ED"/>
    <w:rsid w:val="00BD0D3A"/>
    <w:rsid w:val="00BD1778"/>
    <w:rsid w:val="00BD24F0"/>
    <w:rsid w:val="00BD3706"/>
    <w:rsid w:val="00BD4359"/>
    <w:rsid w:val="00BD44C6"/>
    <w:rsid w:val="00BD51A0"/>
    <w:rsid w:val="00BD557D"/>
    <w:rsid w:val="00BD6DFA"/>
    <w:rsid w:val="00BD6F0D"/>
    <w:rsid w:val="00BD73C2"/>
    <w:rsid w:val="00BE2317"/>
    <w:rsid w:val="00BE3125"/>
    <w:rsid w:val="00BE4A5C"/>
    <w:rsid w:val="00BE4E5C"/>
    <w:rsid w:val="00BE5807"/>
    <w:rsid w:val="00BE5D31"/>
    <w:rsid w:val="00BE7917"/>
    <w:rsid w:val="00BF30D9"/>
    <w:rsid w:val="00BF32A1"/>
    <w:rsid w:val="00BF3C76"/>
    <w:rsid w:val="00BF636C"/>
    <w:rsid w:val="00BF6859"/>
    <w:rsid w:val="00BF7222"/>
    <w:rsid w:val="00C00222"/>
    <w:rsid w:val="00C006A4"/>
    <w:rsid w:val="00C00D55"/>
    <w:rsid w:val="00C00E3B"/>
    <w:rsid w:val="00C022BE"/>
    <w:rsid w:val="00C0452E"/>
    <w:rsid w:val="00C0540E"/>
    <w:rsid w:val="00C05C1A"/>
    <w:rsid w:val="00C063C1"/>
    <w:rsid w:val="00C07562"/>
    <w:rsid w:val="00C07885"/>
    <w:rsid w:val="00C100A6"/>
    <w:rsid w:val="00C107F0"/>
    <w:rsid w:val="00C111DD"/>
    <w:rsid w:val="00C11769"/>
    <w:rsid w:val="00C11772"/>
    <w:rsid w:val="00C11835"/>
    <w:rsid w:val="00C11960"/>
    <w:rsid w:val="00C11F15"/>
    <w:rsid w:val="00C12964"/>
    <w:rsid w:val="00C13995"/>
    <w:rsid w:val="00C1468F"/>
    <w:rsid w:val="00C16961"/>
    <w:rsid w:val="00C23BFD"/>
    <w:rsid w:val="00C24FBD"/>
    <w:rsid w:val="00C24FC8"/>
    <w:rsid w:val="00C2544B"/>
    <w:rsid w:val="00C257F5"/>
    <w:rsid w:val="00C26A62"/>
    <w:rsid w:val="00C273C0"/>
    <w:rsid w:val="00C30816"/>
    <w:rsid w:val="00C32125"/>
    <w:rsid w:val="00C3320D"/>
    <w:rsid w:val="00C33768"/>
    <w:rsid w:val="00C33EDD"/>
    <w:rsid w:val="00C3573E"/>
    <w:rsid w:val="00C363C3"/>
    <w:rsid w:val="00C40A41"/>
    <w:rsid w:val="00C42845"/>
    <w:rsid w:val="00C4426B"/>
    <w:rsid w:val="00C4611E"/>
    <w:rsid w:val="00C503EB"/>
    <w:rsid w:val="00C5129C"/>
    <w:rsid w:val="00C51A44"/>
    <w:rsid w:val="00C52D1A"/>
    <w:rsid w:val="00C52DE1"/>
    <w:rsid w:val="00C52F42"/>
    <w:rsid w:val="00C53646"/>
    <w:rsid w:val="00C550D9"/>
    <w:rsid w:val="00C5548D"/>
    <w:rsid w:val="00C55837"/>
    <w:rsid w:val="00C56850"/>
    <w:rsid w:val="00C56E72"/>
    <w:rsid w:val="00C5773E"/>
    <w:rsid w:val="00C6153E"/>
    <w:rsid w:val="00C6176B"/>
    <w:rsid w:val="00C63974"/>
    <w:rsid w:val="00C64897"/>
    <w:rsid w:val="00C64A26"/>
    <w:rsid w:val="00C67DEB"/>
    <w:rsid w:val="00C708BC"/>
    <w:rsid w:val="00C719D3"/>
    <w:rsid w:val="00C71D8E"/>
    <w:rsid w:val="00C72B8C"/>
    <w:rsid w:val="00C73434"/>
    <w:rsid w:val="00C74014"/>
    <w:rsid w:val="00C77462"/>
    <w:rsid w:val="00C846C2"/>
    <w:rsid w:val="00C84D3C"/>
    <w:rsid w:val="00C85609"/>
    <w:rsid w:val="00C865ED"/>
    <w:rsid w:val="00C86873"/>
    <w:rsid w:val="00C86C91"/>
    <w:rsid w:val="00C86E5D"/>
    <w:rsid w:val="00C91027"/>
    <w:rsid w:val="00C91DF7"/>
    <w:rsid w:val="00C92030"/>
    <w:rsid w:val="00C9205E"/>
    <w:rsid w:val="00C937A1"/>
    <w:rsid w:val="00C93F13"/>
    <w:rsid w:val="00C95B18"/>
    <w:rsid w:val="00C95C3E"/>
    <w:rsid w:val="00C967C6"/>
    <w:rsid w:val="00C97F5D"/>
    <w:rsid w:val="00CA0D51"/>
    <w:rsid w:val="00CA0E88"/>
    <w:rsid w:val="00CA10E7"/>
    <w:rsid w:val="00CA18BD"/>
    <w:rsid w:val="00CA2155"/>
    <w:rsid w:val="00CA2A82"/>
    <w:rsid w:val="00CA2C4E"/>
    <w:rsid w:val="00CA2F26"/>
    <w:rsid w:val="00CA34EA"/>
    <w:rsid w:val="00CA42FF"/>
    <w:rsid w:val="00CA4CD0"/>
    <w:rsid w:val="00CA5D6D"/>
    <w:rsid w:val="00CA69FA"/>
    <w:rsid w:val="00CA70A4"/>
    <w:rsid w:val="00CA77F0"/>
    <w:rsid w:val="00CA7B73"/>
    <w:rsid w:val="00CB09DD"/>
    <w:rsid w:val="00CB0EF6"/>
    <w:rsid w:val="00CB12E4"/>
    <w:rsid w:val="00CB2463"/>
    <w:rsid w:val="00CB361E"/>
    <w:rsid w:val="00CB5175"/>
    <w:rsid w:val="00CC0AAC"/>
    <w:rsid w:val="00CC0D81"/>
    <w:rsid w:val="00CC0DB9"/>
    <w:rsid w:val="00CC0DC0"/>
    <w:rsid w:val="00CC1553"/>
    <w:rsid w:val="00CC162F"/>
    <w:rsid w:val="00CC1CA2"/>
    <w:rsid w:val="00CC2367"/>
    <w:rsid w:val="00CC23CE"/>
    <w:rsid w:val="00CC390B"/>
    <w:rsid w:val="00CC446D"/>
    <w:rsid w:val="00CC4EC9"/>
    <w:rsid w:val="00CC6729"/>
    <w:rsid w:val="00CC6A5E"/>
    <w:rsid w:val="00CC71B9"/>
    <w:rsid w:val="00CC7958"/>
    <w:rsid w:val="00CD0E4B"/>
    <w:rsid w:val="00CD1808"/>
    <w:rsid w:val="00CD25A1"/>
    <w:rsid w:val="00CD45E6"/>
    <w:rsid w:val="00CD47A3"/>
    <w:rsid w:val="00CE00E1"/>
    <w:rsid w:val="00CE0950"/>
    <w:rsid w:val="00CE14FF"/>
    <w:rsid w:val="00CE19B7"/>
    <w:rsid w:val="00CE2CF0"/>
    <w:rsid w:val="00CE2E59"/>
    <w:rsid w:val="00CE6B19"/>
    <w:rsid w:val="00CF0659"/>
    <w:rsid w:val="00CF22A2"/>
    <w:rsid w:val="00CF2730"/>
    <w:rsid w:val="00CF3A63"/>
    <w:rsid w:val="00CF3D9C"/>
    <w:rsid w:val="00CF47EF"/>
    <w:rsid w:val="00CF6A5F"/>
    <w:rsid w:val="00CF6CFC"/>
    <w:rsid w:val="00CF6FD6"/>
    <w:rsid w:val="00CF7833"/>
    <w:rsid w:val="00CF7F99"/>
    <w:rsid w:val="00D017B2"/>
    <w:rsid w:val="00D01DAC"/>
    <w:rsid w:val="00D02387"/>
    <w:rsid w:val="00D027C8"/>
    <w:rsid w:val="00D030AB"/>
    <w:rsid w:val="00D033E7"/>
    <w:rsid w:val="00D035F2"/>
    <w:rsid w:val="00D046EA"/>
    <w:rsid w:val="00D04EA8"/>
    <w:rsid w:val="00D05150"/>
    <w:rsid w:val="00D05B3A"/>
    <w:rsid w:val="00D0608E"/>
    <w:rsid w:val="00D06100"/>
    <w:rsid w:val="00D0684D"/>
    <w:rsid w:val="00D1050E"/>
    <w:rsid w:val="00D115E0"/>
    <w:rsid w:val="00D11F58"/>
    <w:rsid w:val="00D1241B"/>
    <w:rsid w:val="00D12FF0"/>
    <w:rsid w:val="00D13575"/>
    <w:rsid w:val="00D13857"/>
    <w:rsid w:val="00D138C8"/>
    <w:rsid w:val="00D13D32"/>
    <w:rsid w:val="00D144A5"/>
    <w:rsid w:val="00D14963"/>
    <w:rsid w:val="00D16E42"/>
    <w:rsid w:val="00D20D8E"/>
    <w:rsid w:val="00D22951"/>
    <w:rsid w:val="00D22D72"/>
    <w:rsid w:val="00D231F9"/>
    <w:rsid w:val="00D236C0"/>
    <w:rsid w:val="00D24505"/>
    <w:rsid w:val="00D274DE"/>
    <w:rsid w:val="00D31835"/>
    <w:rsid w:val="00D31AD5"/>
    <w:rsid w:val="00D31C23"/>
    <w:rsid w:val="00D32545"/>
    <w:rsid w:val="00D34B57"/>
    <w:rsid w:val="00D3550C"/>
    <w:rsid w:val="00D35CF5"/>
    <w:rsid w:val="00D40988"/>
    <w:rsid w:val="00D40FF6"/>
    <w:rsid w:val="00D4322D"/>
    <w:rsid w:val="00D44AFF"/>
    <w:rsid w:val="00D44B8C"/>
    <w:rsid w:val="00D4512E"/>
    <w:rsid w:val="00D451D4"/>
    <w:rsid w:val="00D459B9"/>
    <w:rsid w:val="00D459D5"/>
    <w:rsid w:val="00D467F5"/>
    <w:rsid w:val="00D46A00"/>
    <w:rsid w:val="00D4734D"/>
    <w:rsid w:val="00D47BB1"/>
    <w:rsid w:val="00D52730"/>
    <w:rsid w:val="00D53FE5"/>
    <w:rsid w:val="00D5473A"/>
    <w:rsid w:val="00D55E89"/>
    <w:rsid w:val="00D5663E"/>
    <w:rsid w:val="00D56F74"/>
    <w:rsid w:val="00D60D5F"/>
    <w:rsid w:val="00D60DD7"/>
    <w:rsid w:val="00D6285F"/>
    <w:rsid w:val="00D6301D"/>
    <w:rsid w:val="00D654D6"/>
    <w:rsid w:val="00D6605B"/>
    <w:rsid w:val="00D66494"/>
    <w:rsid w:val="00D67761"/>
    <w:rsid w:val="00D72939"/>
    <w:rsid w:val="00D75E43"/>
    <w:rsid w:val="00D761C2"/>
    <w:rsid w:val="00D76AC6"/>
    <w:rsid w:val="00D76AC9"/>
    <w:rsid w:val="00D80A0B"/>
    <w:rsid w:val="00D80F55"/>
    <w:rsid w:val="00D81B24"/>
    <w:rsid w:val="00D81BD1"/>
    <w:rsid w:val="00D81BF1"/>
    <w:rsid w:val="00D82BFB"/>
    <w:rsid w:val="00D82CF2"/>
    <w:rsid w:val="00D8368F"/>
    <w:rsid w:val="00D83F15"/>
    <w:rsid w:val="00D860DC"/>
    <w:rsid w:val="00D930E8"/>
    <w:rsid w:val="00D9355A"/>
    <w:rsid w:val="00D949F7"/>
    <w:rsid w:val="00D95CC4"/>
    <w:rsid w:val="00D96ED2"/>
    <w:rsid w:val="00D9734A"/>
    <w:rsid w:val="00D97DF0"/>
    <w:rsid w:val="00DA065C"/>
    <w:rsid w:val="00DA0C74"/>
    <w:rsid w:val="00DA204C"/>
    <w:rsid w:val="00DA2BDB"/>
    <w:rsid w:val="00DA3878"/>
    <w:rsid w:val="00DA3C85"/>
    <w:rsid w:val="00DA4709"/>
    <w:rsid w:val="00DA600A"/>
    <w:rsid w:val="00DA6D3C"/>
    <w:rsid w:val="00DA6F2E"/>
    <w:rsid w:val="00DA771A"/>
    <w:rsid w:val="00DA77DB"/>
    <w:rsid w:val="00DB0013"/>
    <w:rsid w:val="00DB0CDE"/>
    <w:rsid w:val="00DB176C"/>
    <w:rsid w:val="00DB2BCB"/>
    <w:rsid w:val="00DB2D93"/>
    <w:rsid w:val="00DB33FF"/>
    <w:rsid w:val="00DB386A"/>
    <w:rsid w:val="00DB3B8B"/>
    <w:rsid w:val="00DB494A"/>
    <w:rsid w:val="00DB6491"/>
    <w:rsid w:val="00DB696C"/>
    <w:rsid w:val="00DB78A2"/>
    <w:rsid w:val="00DC256F"/>
    <w:rsid w:val="00DC3815"/>
    <w:rsid w:val="00DC3E06"/>
    <w:rsid w:val="00DC3F8A"/>
    <w:rsid w:val="00DC42CE"/>
    <w:rsid w:val="00DC4B6C"/>
    <w:rsid w:val="00DC5CCE"/>
    <w:rsid w:val="00DC73C9"/>
    <w:rsid w:val="00DD0EA0"/>
    <w:rsid w:val="00DD1CCC"/>
    <w:rsid w:val="00DD41BC"/>
    <w:rsid w:val="00DD433A"/>
    <w:rsid w:val="00DD544E"/>
    <w:rsid w:val="00DD5749"/>
    <w:rsid w:val="00DD6737"/>
    <w:rsid w:val="00DD6A46"/>
    <w:rsid w:val="00DD6FD4"/>
    <w:rsid w:val="00DD7362"/>
    <w:rsid w:val="00DE06DA"/>
    <w:rsid w:val="00DE262D"/>
    <w:rsid w:val="00DE298E"/>
    <w:rsid w:val="00DE3702"/>
    <w:rsid w:val="00DE671C"/>
    <w:rsid w:val="00DE6802"/>
    <w:rsid w:val="00DE7A94"/>
    <w:rsid w:val="00DF003E"/>
    <w:rsid w:val="00DF00B2"/>
    <w:rsid w:val="00DF097F"/>
    <w:rsid w:val="00DF1341"/>
    <w:rsid w:val="00DF1BE6"/>
    <w:rsid w:val="00DF3565"/>
    <w:rsid w:val="00DF3666"/>
    <w:rsid w:val="00DF378B"/>
    <w:rsid w:val="00DF4C99"/>
    <w:rsid w:val="00DF590F"/>
    <w:rsid w:val="00DF5B95"/>
    <w:rsid w:val="00DF5E83"/>
    <w:rsid w:val="00DF6057"/>
    <w:rsid w:val="00DF6A89"/>
    <w:rsid w:val="00DF6BC8"/>
    <w:rsid w:val="00DF6DFC"/>
    <w:rsid w:val="00E017F3"/>
    <w:rsid w:val="00E01FFA"/>
    <w:rsid w:val="00E02203"/>
    <w:rsid w:val="00E0254C"/>
    <w:rsid w:val="00E0504C"/>
    <w:rsid w:val="00E05E40"/>
    <w:rsid w:val="00E06B93"/>
    <w:rsid w:val="00E06CBD"/>
    <w:rsid w:val="00E0753F"/>
    <w:rsid w:val="00E11BEE"/>
    <w:rsid w:val="00E11FF7"/>
    <w:rsid w:val="00E12AC8"/>
    <w:rsid w:val="00E1341F"/>
    <w:rsid w:val="00E15236"/>
    <w:rsid w:val="00E15698"/>
    <w:rsid w:val="00E15E67"/>
    <w:rsid w:val="00E16543"/>
    <w:rsid w:val="00E169A0"/>
    <w:rsid w:val="00E16D73"/>
    <w:rsid w:val="00E170FB"/>
    <w:rsid w:val="00E17BF2"/>
    <w:rsid w:val="00E17D7D"/>
    <w:rsid w:val="00E20791"/>
    <w:rsid w:val="00E21661"/>
    <w:rsid w:val="00E2276A"/>
    <w:rsid w:val="00E23B4D"/>
    <w:rsid w:val="00E24635"/>
    <w:rsid w:val="00E253D6"/>
    <w:rsid w:val="00E25724"/>
    <w:rsid w:val="00E26390"/>
    <w:rsid w:val="00E265D7"/>
    <w:rsid w:val="00E26C40"/>
    <w:rsid w:val="00E273D8"/>
    <w:rsid w:val="00E27B42"/>
    <w:rsid w:val="00E30523"/>
    <w:rsid w:val="00E30DC5"/>
    <w:rsid w:val="00E31D27"/>
    <w:rsid w:val="00E32CC3"/>
    <w:rsid w:val="00E34DCF"/>
    <w:rsid w:val="00E34F99"/>
    <w:rsid w:val="00E35207"/>
    <w:rsid w:val="00E36E08"/>
    <w:rsid w:val="00E407D5"/>
    <w:rsid w:val="00E41224"/>
    <w:rsid w:val="00E415FF"/>
    <w:rsid w:val="00E417A4"/>
    <w:rsid w:val="00E41827"/>
    <w:rsid w:val="00E424BC"/>
    <w:rsid w:val="00E425A3"/>
    <w:rsid w:val="00E42F0B"/>
    <w:rsid w:val="00E441AE"/>
    <w:rsid w:val="00E45494"/>
    <w:rsid w:val="00E4637D"/>
    <w:rsid w:val="00E50546"/>
    <w:rsid w:val="00E505EB"/>
    <w:rsid w:val="00E5139E"/>
    <w:rsid w:val="00E51471"/>
    <w:rsid w:val="00E51D0C"/>
    <w:rsid w:val="00E524A0"/>
    <w:rsid w:val="00E5536B"/>
    <w:rsid w:val="00E56071"/>
    <w:rsid w:val="00E56A4D"/>
    <w:rsid w:val="00E617D1"/>
    <w:rsid w:val="00E62345"/>
    <w:rsid w:val="00E62BD6"/>
    <w:rsid w:val="00E64B1C"/>
    <w:rsid w:val="00E654A7"/>
    <w:rsid w:val="00E656C9"/>
    <w:rsid w:val="00E65C1F"/>
    <w:rsid w:val="00E67217"/>
    <w:rsid w:val="00E6785C"/>
    <w:rsid w:val="00E70864"/>
    <w:rsid w:val="00E713AD"/>
    <w:rsid w:val="00E7142C"/>
    <w:rsid w:val="00E71A31"/>
    <w:rsid w:val="00E725EE"/>
    <w:rsid w:val="00E72683"/>
    <w:rsid w:val="00E73AB3"/>
    <w:rsid w:val="00E75581"/>
    <w:rsid w:val="00E75799"/>
    <w:rsid w:val="00E76010"/>
    <w:rsid w:val="00E764B3"/>
    <w:rsid w:val="00E76E73"/>
    <w:rsid w:val="00E80EEF"/>
    <w:rsid w:val="00E8184A"/>
    <w:rsid w:val="00E818DC"/>
    <w:rsid w:val="00E8268D"/>
    <w:rsid w:val="00E82C6B"/>
    <w:rsid w:val="00E834F2"/>
    <w:rsid w:val="00E85655"/>
    <w:rsid w:val="00E879E9"/>
    <w:rsid w:val="00E92083"/>
    <w:rsid w:val="00E9334F"/>
    <w:rsid w:val="00E93E70"/>
    <w:rsid w:val="00E94DD3"/>
    <w:rsid w:val="00E9533E"/>
    <w:rsid w:val="00E95C55"/>
    <w:rsid w:val="00E96C8A"/>
    <w:rsid w:val="00E96DEC"/>
    <w:rsid w:val="00E971C7"/>
    <w:rsid w:val="00E97434"/>
    <w:rsid w:val="00E977E9"/>
    <w:rsid w:val="00E97CFF"/>
    <w:rsid w:val="00EA1907"/>
    <w:rsid w:val="00EA1CA5"/>
    <w:rsid w:val="00EA3847"/>
    <w:rsid w:val="00EA451B"/>
    <w:rsid w:val="00EA4AB2"/>
    <w:rsid w:val="00EA5139"/>
    <w:rsid w:val="00EA5326"/>
    <w:rsid w:val="00EA69F7"/>
    <w:rsid w:val="00EA6C1E"/>
    <w:rsid w:val="00EA6E5B"/>
    <w:rsid w:val="00EA742D"/>
    <w:rsid w:val="00EA7D51"/>
    <w:rsid w:val="00EB0072"/>
    <w:rsid w:val="00EB0173"/>
    <w:rsid w:val="00EB25A2"/>
    <w:rsid w:val="00EB402B"/>
    <w:rsid w:val="00EB51CB"/>
    <w:rsid w:val="00EB6759"/>
    <w:rsid w:val="00EB7C5D"/>
    <w:rsid w:val="00EC03D1"/>
    <w:rsid w:val="00EC0D9C"/>
    <w:rsid w:val="00EC1D2A"/>
    <w:rsid w:val="00EC2BBD"/>
    <w:rsid w:val="00EC476E"/>
    <w:rsid w:val="00EC4911"/>
    <w:rsid w:val="00EC4E05"/>
    <w:rsid w:val="00EC694F"/>
    <w:rsid w:val="00EC6D5F"/>
    <w:rsid w:val="00EC7464"/>
    <w:rsid w:val="00ED35A4"/>
    <w:rsid w:val="00ED3B96"/>
    <w:rsid w:val="00ED40C5"/>
    <w:rsid w:val="00ED529E"/>
    <w:rsid w:val="00ED55A3"/>
    <w:rsid w:val="00ED6072"/>
    <w:rsid w:val="00ED6241"/>
    <w:rsid w:val="00ED7832"/>
    <w:rsid w:val="00ED7AB8"/>
    <w:rsid w:val="00EE0484"/>
    <w:rsid w:val="00EE07E9"/>
    <w:rsid w:val="00EE0C8A"/>
    <w:rsid w:val="00EE16F9"/>
    <w:rsid w:val="00EE2439"/>
    <w:rsid w:val="00EE2EBC"/>
    <w:rsid w:val="00EE3269"/>
    <w:rsid w:val="00EE3705"/>
    <w:rsid w:val="00EE3755"/>
    <w:rsid w:val="00EE5921"/>
    <w:rsid w:val="00EE5CFE"/>
    <w:rsid w:val="00EE74A7"/>
    <w:rsid w:val="00EF0869"/>
    <w:rsid w:val="00EF1E02"/>
    <w:rsid w:val="00EF2641"/>
    <w:rsid w:val="00EF279A"/>
    <w:rsid w:val="00EF46A7"/>
    <w:rsid w:val="00EF52EB"/>
    <w:rsid w:val="00EF5FAD"/>
    <w:rsid w:val="00EF743F"/>
    <w:rsid w:val="00EF7DBC"/>
    <w:rsid w:val="00F003A1"/>
    <w:rsid w:val="00F004A5"/>
    <w:rsid w:val="00F00F66"/>
    <w:rsid w:val="00F016FC"/>
    <w:rsid w:val="00F02145"/>
    <w:rsid w:val="00F03806"/>
    <w:rsid w:val="00F03CC3"/>
    <w:rsid w:val="00F04BB8"/>
    <w:rsid w:val="00F06077"/>
    <w:rsid w:val="00F06826"/>
    <w:rsid w:val="00F107EB"/>
    <w:rsid w:val="00F1121C"/>
    <w:rsid w:val="00F13010"/>
    <w:rsid w:val="00F13370"/>
    <w:rsid w:val="00F1620A"/>
    <w:rsid w:val="00F16982"/>
    <w:rsid w:val="00F16A2C"/>
    <w:rsid w:val="00F16B2F"/>
    <w:rsid w:val="00F17F38"/>
    <w:rsid w:val="00F20938"/>
    <w:rsid w:val="00F216F7"/>
    <w:rsid w:val="00F21DBC"/>
    <w:rsid w:val="00F247AC"/>
    <w:rsid w:val="00F261CB"/>
    <w:rsid w:val="00F26D6B"/>
    <w:rsid w:val="00F27D86"/>
    <w:rsid w:val="00F301EC"/>
    <w:rsid w:val="00F30309"/>
    <w:rsid w:val="00F3050E"/>
    <w:rsid w:val="00F3058F"/>
    <w:rsid w:val="00F324DA"/>
    <w:rsid w:val="00F3410D"/>
    <w:rsid w:val="00F34629"/>
    <w:rsid w:val="00F34E95"/>
    <w:rsid w:val="00F35B7A"/>
    <w:rsid w:val="00F37602"/>
    <w:rsid w:val="00F376EF"/>
    <w:rsid w:val="00F37B4D"/>
    <w:rsid w:val="00F4188E"/>
    <w:rsid w:val="00F41BEE"/>
    <w:rsid w:val="00F42400"/>
    <w:rsid w:val="00F42F5F"/>
    <w:rsid w:val="00F43BB5"/>
    <w:rsid w:val="00F43BCA"/>
    <w:rsid w:val="00F440D0"/>
    <w:rsid w:val="00F4416A"/>
    <w:rsid w:val="00F44E3B"/>
    <w:rsid w:val="00F45B37"/>
    <w:rsid w:val="00F46927"/>
    <w:rsid w:val="00F46B89"/>
    <w:rsid w:val="00F473CE"/>
    <w:rsid w:val="00F474D9"/>
    <w:rsid w:val="00F47B31"/>
    <w:rsid w:val="00F51A94"/>
    <w:rsid w:val="00F53464"/>
    <w:rsid w:val="00F5361D"/>
    <w:rsid w:val="00F5411A"/>
    <w:rsid w:val="00F548B4"/>
    <w:rsid w:val="00F55EC4"/>
    <w:rsid w:val="00F56331"/>
    <w:rsid w:val="00F57DFB"/>
    <w:rsid w:val="00F62175"/>
    <w:rsid w:val="00F63F9E"/>
    <w:rsid w:val="00F64F37"/>
    <w:rsid w:val="00F67665"/>
    <w:rsid w:val="00F7437C"/>
    <w:rsid w:val="00F74635"/>
    <w:rsid w:val="00F75673"/>
    <w:rsid w:val="00F75B96"/>
    <w:rsid w:val="00F76CA3"/>
    <w:rsid w:val="00F76D05"/>
    <w:rsid w:val="00F77EF6"/>
    <w:rsid w:val="00F81B55"/>
    <w:rsid w:val="00F823A2"/>
    <w:rsid w:val="00F856CD"/>
    <w:rsid w:val="00F8786F"/>
    <w:rsid w:val="00F9400B"/>
    <w:rsid w:val="00F956EC"/>
    <w:rsid w:val="00F95830"/>
    <w:rsid w:val="00F9625E"/>
    <w:rsid w:val="00F973A0"/>
    <w:rsid w:val="00F975C0"/>
    <w:rsid w:val="00FA010A"/>
    <w:rsid w:val="00FA1034"/>
    <w:rsid w:val="00FA106C"/>
    <w:rsid w:val="00FA1F6A"/>
    <w:rsid w:val="00FA372D"/>
    <w:rsid w:val="00FA3829"/>
    <w:rsid w:val="00FA3914"/>
    <w:rsid w:val="00FA6603"/>
    <w:rsid w:val="00FA7204"/>
    <w:rsid w:val="00FB0843"/>
    <w:rsid w:val="00FB0BB1"/>
    <w:rsid w:val="00FB1FA6"/>
    <w:rsid w:val="00FB29AA"/>
    <w:rsid w:val="00FB338E"/>
    <w:rsid w:val="00FB445F"/>
    <w:rsid w:val="00FB52E1"/>
    <w:rsid w:val="00FB6C65"/>
    <w:rsid w:val="00FB6EEC"/>
    <w:rsid w:val="00FB70C3"/>
    <w:rsid w:val="00FC0A4A"/>
    <w:rsid w:val="00FC0D6C"/>
    <w:rsid w:val="00FC1579"/>
    <w:rsid w:val="00FC23A7"/>
    <w:rsid w:val="00FC27E8"/>
    <w:rsid w:val="00FC3814"/>
    <w:rsid w:val="00FC44CC"/>
    <w:rsid w:val="00FC4C20"/>
    <w:rsid w:val="00FC531C"/>
    <w:rsid w:val="00FC5562"/>
    <w:rsid w:val="00FC60CB"/>
    <w:rsid w:val="00FC62B2"/>
    <w:rsid w:val="00FC7365"/>
    <w:rsid w:val="00FC74D7"/>
    <w:rsid w:val="00FC7FB9"/>
    <w:rsid w:val="00FD00B8"/>
    <w:rsid w:val="00FD0158"/>
    <w:rsid w:val="00FD23B1"/>
    <w:rsid w:val="00FD2463"/>
    <w:rsid w:val="00FD37C4"/>
    <w:rsid w:val="00FD59F5"/>
    <w:rsid w:val="00FD5AF2"/>
    <w:rsid w:val="00FD6925"/>
    <w:rsid w:val="00FD6B7B"/>
    <w:rsid w:val="00FD7742"/>
    <w:rsid w:val="00FE0453"/>
    <w:rsid w:val="00FE0731"/>
    <w:rsid w:val="00FE1151"/>
    <w:rsid w:val="00FE2354"/>
    <w:rsid w:val="00FE30CA"/>
    <w:rsid w:val="00FE538E"/>
    <w:rsid w:val="00FE5CA1"/>
    <w:rsid w:val="00FE69D1"/>
    <w:rsid w:val="00FE6D8A"/>
    <w:rsid w:val="00FE797F"/>
    <w:rsid w:val="00FE7C81"/>
    <w:rsid w:val="00FF14C2"/>
    <w:rsid w:val="00FF2379"/>
    <w:rsid w:val="00FF2A2D"/>
    <w:rsid w:val="00FF2F5B"/>
    <w:rsid w:val="00FF311F"/>
    <w:rsid w:val="00FF41E0"/>
    <w:rsid w:val="00FF4F42"/>
    <w:rsid w:val="00FF5029"/>
    <w:rsid w:val="00FF59AC"/>
    <w:rsid w:val="00FF5A96"/>
    <w:rsid w:val="00FF62BB"/>
    <w:rsid w:val="00FF71A4"/>
    <w:rsid w:val="00FF7C41"/>
    <w:rsid w:val="00FF7D59"/>
    <w:rsid w:val="247804EB"/>
    <w:rsid w:val="30F55109"/>
    <w:rsid w:val="5E5BB071"/>
    <w:rsid w:val="5FAD523D"/>
    <w:rsid w:val="7D86F03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6E0D"/>
  <w15:chartTrackingRefBased/>
  <w15:docId w15:val="{10EBA2A0-036F-4107-A57C-53AF2806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4E3B"/>
    <w:rPr>
      <w:rFonts w:ascii="Times New Roman" w:hAnsi="Times New Roman"/>
      <w:sz w:val="24"/>
      <w:lang w:val="et-EE"/>
    </w:rPr>
  </w:style>
  <w:style w:type="paragraph" w:styleId="Pealkiri1">
    <w:name w:val="heading 1"/>
    <w:basedOn w:val="Normaallaad"/>
    <w:next w:val="Normaallaad"/>
    <w:link w:val="Pealkiri1Mrk"/>
    <w:autoRedefine/>
    <w:uiPriority w:val="9"/>
    <w:qFormat/>
    <w:rsid w:val="00394620"/>
    <w:pPr>
      <w:keepNext/>
      <w:keepLines/>
      <w:spacing w:before="240" w:after="0"/>
      <w:outlineLvl w:val="0"/>
    </w:pPr>
    <w:rPr>
      <w:rFonts w:eastAsiaTheme="majorEastAsia" w:cstheme="majorBidi"/>
      <w:b/>
      <w:sz w:val="28"/>
      <w:szCs w:val="32"/>
    </w:rPr>
  </w:style>
  <w:style w:type="paragraph" w:styleId="Pealkiri2">
    <w:name w:val="heading 2"/>
    <w:basedOn w:val="Normaallaad"/>
    <w:next w:val="Normaallaad"/>
    <w:link w:val="Pealkiri2Mrk"/>
    <w:autoRedefine/>
    <w:uiPriority w:val="9"/>
    <w:unhideWhenUsed/>
    <w:qFormat/>
    <w:rsid w:val="00394620"/>
    <w:pPr>
      <w:keepNext/>
      <w:keepLines/>
      <w:spacing w:before="40" w:after="0"/>
      <w:outlineLvl w:val="1"/>
    </w:pPr>
    <w:rPr>
      <w:rFonts w:eastAsiaTheme="majorEastAsia" w:cstheme="majorBidi"/>
      <w:b/>
      <w:color w:val="000000" w:themeColor="text1"/>
      <w:sz w:val="26"/>
      <w:szCs w:val="26"/>
    </w:rPr>
  </w:style>
  <w:style w:type="paragraph" w:styleId="Pealkiri3">
    <w:name w:val="heading 3"/>
    <w:basedOn w:val="Normaallaad"/>
    <w:next w:val="Normaallaad"/>
    <w:link w:val="Pealkiri3Mrk"/>
    <w:autoRedefine/>
    <w:uiPriority w:val="9"/>
    <w:unhideWhenUsed/>
    <w:qFormat/>
    <w:rsid w:val="00702243"/>
    <w:pPr>
      <w:keepNext/>
      <w:keepLines/>
      <w:spacing w:before="40" w:after="0"/>
      <w:outlineLvl w:val="2"/>
    </w:pPr>
    <w:rPr>
      <w:rFonts w:eastAsiaTheme="majorEastAsia" w:cstheme="majorBidi"/>
      <w:b/>
      <w:bCs/>
      <w:szCs w:val="24"/>
    </w:rPr>
  </w:style>
  <w:style w:type="paragraph" w:styleId="Pealkiri4">
    <w:name w:val="heading 4"/>
    <w:basedOn w:val="Normaallaad"/>
    <w:next w:val="Normaallaad"/>
    <w:link w:val="Pealkiri4Mrk"/>
    <w:uiPriority w:val="9"/>
    <w:unhideWhenUsed/>
    <w:qFormat/>
    <w:rsid w:val="002062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06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Graafik">
    <w:name w:val="Graafik"/>
    <w:basedOn w:val="Pealdis"/>
    <w:link w:val="GraafikChar"/>
    <w:autoRedefine/>
    <w:qFormat/>
    <w:rsid w:val="002563E6"/>
    <w:pPr>
      <w:spacing w:before="120" w:after="120"/>
    </w:pPr>
    <w:rPr>
      <w:rFonts w:ascii="Raleway" w:eastAsia="Times New Roman" w:hAnsi="Raleway" w:cs="Times New Roman"/>
      <w:bCs/>
      <w:iCs w:val="0"/>
      <w:color w:val="0070C0"/>
      <w:sz w:val="22"/>
      <w:szCs w:val="20"/>
      <w:lang w:eastAsia="et-EE"/>
    </w:rPr>
  </w:style>
  <w:style w:type="character" w:customStyle="1" w:styleId="GraafikChar">
    <w:name w:val="Graafik Char"/>
    <w:basedOn w:val="Liguvaikefont"/>
    <w:link w:val="Graafik"/>
    <w:rsid w:val="002563E6"/>
    <w:rPr>
      <w:rFonts w:ascii="Raleway" w:eastAsia="Times New Roman" w:hAnsi="Raleway" w:cs="Times New Roman"/>
      <w:bCs/>
      <w:i/>
      <w:color w:val="0070C0"/>
      <w:szCs w:val="20"/>
      <w:lang w:eastAsia="et-EE"/>
    </w:rPr>
  </w:style>
  <w:style w:type="paragraph" w:styleId="Pealdis">
    <w:name w:val="caption"/>
    <w:basedOn w:val="Normaallaad"/>
    <w:next w:val="Normaallaad"/>
    <w:uiPriority w:val="35"/>
    <w:semiHidden/>
    <w:unhideWhenUsed/>
    <w:qFormat/>
    <w:rsid w:val="002563E6"/>
    <w:pPr>
      <w:spacing w:after="200" w:line="240" w:lineRule="auto"/>
    </w:pPr>
    <w:rPr>
      <w:i/>
      <w:iCs/>
      <w:color w:val="44546A" w:themeColor="text2"/>
      <w:sz w:val="18"/>
      <w:szCs w:val="18"/>
    </w:rPr>
  </w:style>
  <w:style w:type="character" w:customStyle="1" w:styleId="Pealkiri1Mrk">
    <w:name w:val="Pealkiri 1 Märk"/>
    <w:basedOn w:val="Liguvaikefont"/>
    <w:link w:val="Pealkiri1"/>
    <w:uiPriority w:val="9"/>
    <w:rsid w:val="00394620"/>
    <w:rPr>
      <w:rFonts w:ascii="Times New Roman" w:eastAsiaTheme="majorEastAsia" w:hAnsi="Times New Roman" w:cstheme="majorBidi"/>
      <w:b/>
      <w:sz w:val="28"/>
      <w:szCs w:val="32"/>
      <w:lang w:val="et-EE"/>
    </w:r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Footnote Text Char"/>
    <w:basedOn w:val="Normaallaad"/>
    <w:link w:val="AllmrkusetekstMrk"/>
    <w:unhideWhenUsed/>
    <w:rsid w:val="00066BB9"/>
    <w:pPr>
      <w:spacing w:after="0" w:line="240" w:lineRule="auto"/>
    </w:pPr>
    <w:rPr>
      <w:sz w:val="20"/>
      <w:szCs w:val="20"/>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Footnote Text Char Märk"/>
    <w:basedOn w:val="Liguvaikefont"/>
    <w:link w:val="Allmrkusetekst"/>
    <w:rsid w:val="00066BB9"/>
    <w:rPr>
      <w:sz w:val="20"/>
      <w:szCs w:val="20"/>
      <w:lang w:val="et-EE"/>
    </w:rPr>
  </w:style>
  <w:style w:type="character" w:styleId="Allmrkuseviide">
    <w:name w:val="footnote reference"/>
    <w:aliases w:val="Footnote,Appel note de bas de p,SUPERS,Nota,Footnote symbol,(NECG) Footnote Reference,FC,fr"/>
    <w:basedOn w:val="Liguvaikefont"/>
    <w:uiPriority w:val="99"/>
    <w:unhideWhenUsed/>
    <w:rsid w:val="00066BB9"/>
    <w:rPr>
      <w:vertAlign w:val="superscript"/>
    </w:rPr>
  </w:style>
  <w:style w:type="character" w:customStyle="1" w:styleId="Pealkiri2Mrk">
    <w:name w:val="Pealkiri 2 Märk"/>
    <w:basedOn w:val="Liguvaikefont"/>
    <w:link w:val="Pealkiri2"/>
    <w:uiPriority w:val="9"/>
    <w:rsid w:val="00394620"/>
    <w:rPr>
      <w:rFonts w:ascii="Times New Roman" w:eastAsiaTheme="majorEastAsia" w:hAnsi="Times New Roman" w:cstheme="majorBidi"/>
      <w:b/>
      <w:color w:val="000000" w:themeColor="text1"/>
      <w:sz w:val="26"/>
      <w:szCs w:val="26"/>
      <w:lang w:val="et-EE"/>
    </w:rPr>
  </w:style>
  <w:style w:type="character" w:customStyle="1" w:styleId="Pealkiri3Mrk">
    <w:name w:val="Pealkiri 3 Märk"/>
    <w:basedOn w:val="Liguvaikefont"/>
    <w:link w:val="Pealkiri3"/>
    <w:uiPriority w:val="9"/>
    <w:rsid w:val="00702243"/>
    <w:rPr>
      <w:rFonts w:ascii="Times New Roman" w:eastAsiaTheme="majorEastAsia" w:hAnsi="Times New Roman" w:cstheme="majorBidi"/>
      <w:b/>
      <w:bCs/>
      <w:sz w:val="24"/>
      <w:szCs w:val="24"/>
      <w:lang w:val="et-EE"/>
    </w:rPr>
  </w:style>
  <w:style w:type="character" w:customStyle="1" w:styleId="Pealkiri4Mrk">
    <w:name w:val="Pealkiri 4 Märk"/>
    <w:basedOn w:val="Liguvaikefont"/>
    <w:link w:val="Pealkiri4"/>
    <w:uiPriority w:val="9"/>
    <w:rsid w:val="002062C8"/>
    <w:rPr>
      <w:rFonts w:asciiTheme="majorHAnsi" w:eastAsiaTheme="majorEastAsia" w:hAnsiTheme="majorHAnsi" w:cstheme="majorBidi"/>
      <w:i/>
      <w:iCs/>
      <w:color w:val="2F5496" w:themeColor="accent1" w:themeShade="BF"/>
    </w:rPr>
  </w:style>
  <w:style w:type="character" w:customStyle="1" w:styleId="Pealkiri5Mrk">
    <w:name w:val="Pealkiri 5 Märk"/>
    <w:basedOn w:val="Liguvaikefont"/>
    <w:link w:val="Pealkiri5"/>
    <w:uiPriority w:val="9"/>
    <w:semiHidden/>
    <w:rsid w:val="002062C8"/>
    <w:rPr>
      <w:rFonts w:asciiTheme="majorHAnsi" w:eastAsiaTheme="majorEastAsia" w:hAnsiTheme="majorHAnsi" w:cstheme="majorBidi"/>
      <w:color w:val="2F5496" w:themeColor="accent1" w:themeShade="BF"/>
    </w:rPr>
  </w:style>
  <w:style w:type="paragraph" w:styleId="Loendilik">
    <w:name w:val="List Paragraph"/>
    <w:basedOn w:val="Normaallaad"/>
    <w:uiPriority w:val="34"/>
    <w:qFormat/>
    <w:rsid w:val="00CC7958"/>
    <w:pPr>
      <w:ind w:left="720"/>
      <w:contextualSpacing/>
    </w:pPr>
  </w:style>
  <w:style w:type="character" w:styleId="Kommentaariviide">
    <w:name w:val="annotation reference"/>
    <w:basedOn w:val="Liguvaikefont"/>
    <w:uiPriority w:val="99"/>
    <w:semiHidden/>
    <w:unhideWhenUsed/>
    <w:rsid w:val="005D3C84"/>
    <w:rPr>
      <w:sz w:val="16"/>
      <w:szCs w:val="16"/>
    </w:rPr>
  </w:style>
  <w:style w:type="paragraph" w:styleId="Kommentaaritekst">
    <w:name w:val="annotation text"/>
    <w:basedOn w:val="Normaallaad"/>
    <w:link w:val="KommentaaritekstMrk"/>
    <w:uiPriority w:val="99"/>
    <w:unhideWhenUsed/>
    <w:rsid w:val="005D3C84"/>
    <w:pPr>
      <w:spacing w:after="4" w:line="240" w:lineRule="auto"/>
      <w:ind w:left="10" w:hanging="10"/>
      <w:jc w:val="both"/>
    </w:pPr>
    <w:rPr>
      <w:rFonts w:ascii="Arial" w:eastAsia="Arial" w:hAnsi="Arial" w:cs="Arial"/>
      <w:color w:val="000000"/>
      <w:sz w:val="20"/>
      <w:szCs w:val="20"/>
      <w:lang w:eastAsia="et-EE"/>
    </w:rPr>
  </w:style>
  <w:style w:type="character" w:customStyle="1" w:styleId="KommentaaritekstMrk">
    <w:name w:val="Kommentaari tekst Märk"/>
    <w:basedOn w:val="Liguvaikefont"/>
    <w:link w:val="Kommentaaritekst"/>
    <w:uiPriority w:val="99"/>
    <w:rsid w:val="005D3C84"/>
    <w:rPr>
      <w:rFonts w:ascii="Arial" w:eastAsia="Arial" w:hAnsi="Arial" w:cs="Arial"/>
      <w:color w:val="000000"/>
      <w:sz w:val="20"/>
      <w:szCs w:val="20"/>
      <w:lang w:val="et-EE" w:eastAsia="et-EE"/>
    </w:rPr>
  </w:style>
  <w:style w:type="paragraph" w:styleId="Pis">
    <w:name w:val="header"/>
    <w:basedOn w:val="Normaallaad"/>
    <w:link w:val="PisMrk"/>
    <w:uiPriority w:val="99"/>
    <w:unhideWhenUsed/>
    <w:rsid w:val="00573EC0"/>
    <w:pPr>
      <w:tabs>
        <w:tab w:val="center" w:pos="4536"/>
        <w:tab w:val="right" w:pos="9072"/>
      </w:tabs>
      <w:spacing w:after="0" w:line="240" w:lineRule="auto"/>
    </w:pPr>
  </w:style>
  <w:style w:type="character" w:customStyle="1" w:styleId="PisMrk">
    <w:name w:val="Päis Märk"/>
    <w:basedOn w:val="Liguvaikefont"/>
    <w:link w:val="Pis"/>
    <w:uiPriority w:val="99"/>
    <w:rsid w:val="00573EC0"/>
    <w:rPr>
      <w:rFonts w:ascii="Times New Roman" w:hAnsi="Times New Roman"/>
      <w:sz w:val="24"/>
      <w:lang w:val="et-EE"/>
    </w:rPr>
  </w:style>
  <w:style w:type="paragraph" w:styleId="Jalus">
    <w:name w:val="footer"/>
    <w:basedOn w:val="Normaallaad"/>
    <w:link w:val="JalusMrk"/>
    <w:uiPriority w:val="99"/>
    <w:unhideWhenUsed/>
    <w:rsid w:val="00573EC0"/>
    <w:pPr>
      <w:tabs>
        <w:tab w:val="center" w:pos="4536"/>
        <w:tab w:val="right" w:pos="9072"/>
      </w:tabs>
      <w:spacing w:after="0" w:line="240" w:lineRule="auto"/>
    </w:pPr>
  </w:style>
  <w:style w:type="character" w:customStyle="1" w:styleId="JalusMrk">
    <w:name w:val="Jalus Märk"/>
    <w:basedOn w:val="Liguvaikefont"/>
    <w:link w:val="Jalus"/>
    <w:uiPriority w:val="99"/>
    <w:rsid w:val="00573EC0"/>
    <w:rPr>
      <w:rFonts w:ascii="Times New Roman" w:hAnsi="Times New Roman"/>
      <w:sz w:val="24"/>
      <w:lang w:val="et-EE"/>
    </w:rPr>
  </w:style>
  <w:style w:type="paragraph" w:styleId="Sisukorrapealkiri">
    <w:name w:val="TOC Heading"/>
    <w:basedOn w:val="Pealkiri1"/>
    <w:next w:val="Normaallaad"/>
    <w:uiPriority w:val="39"/>
    <w:unhideWhenUsed/>
    <w:qFormat/>
    <w:rsid w:val="001F7908"/>
    <w:pPr>
      <w:outlineLvl w:val="9"/>
    </w:pPr>
    <w:rPr>
      <w:rFonts w:asciiTheme="majorHAnsi" w:hAnsiTheme="majorHAnsi"/>
      <w:color w:val="2F5496" w:themeColor="accent1" w:themeShade="BF"/>
      <w:sz w:val="32"/>
      <w:lang w:eastAsia="et-EE"/>
    </w:rPr>
  </w:style>
  <w:style w:type="paragraph" w:styleId="SK1">
    <w:name w:val="toc 1"/>
    <w:basedOn w:val="Normaallaad"/>
    <w:next w:val="Normaallaad"/>
    <w:autoRedefine/>
    <w:uiPriority w:val="39"/>
    <w:unhideWhenUsed/>
    <w:rsid w:val="00046437"/>
    <w:pPr>
      <w:tabs>
        <w:tab w:val="right" w:leader="dot" w:pos="9062"/>
      </w:tabs>
      <w:spacing w:after="100"/>
    </w:pPr>
  </w:style>
  <w:style w:type="paragraph" w:styleId="SK2">
    <w:name w:val="toc 2"/>
    <w:basedOn w:val="Normaallaad"/>
    <w:next w:val="Normaallaad"/>
    <w:autoRedefine/>
    <w:uiPriority w:val="39"/>
    <w:unhideWhenUsed/>
    <w:rsid w:val="001F7908"/>
    <w:pPr>
      <w:spacing w:after="100"/>
      <w:ind w:left="240"/>
    </w:pPr>
  </w:style>
  <w:style w:type="paragraph" w:styleId="SK3">
    <w:name w:val="toc 3"/>
    <w:basedOn w:val="Normaallaad"/>
    <w:next w:val="Normaallaad"/>
    <w:autoRedefine/>
    <w:uiPriority w:val="39"/>
    <w:unhideWhenUsed/>
    <w:rsid w:val="001F7908"/>
    <w:pPr>
      <w:spacing w:after="100"/>
      <w:ind w:left="480"/>
    </w:pPr>
  </w:style>
  <w:style w:type="character" w:styleId="Hperlink">
    <w:name w:val="Hyperlink"/>
    <w:basedOn w:val="Liguvaikefont"/>
    <w:uiPriority w:val="99"/>
    <w:unhideWhenUsed/>
    <w:qFormat/>
    <w:rsid w:val="001F7908"/>
    <w:rPr>
      <w:color w:val="0563C1" w:themeColor="hyperlink"/>
      <w:u w:val="single"/>
    </w:rPr>
  </w:style>
  <w:style w:type="paragraph" w:styleId="Kommentaariteema">
    <w:name w:val="annotation subject"/>
    <w:basedOn w:val="Kommentaaritekst"/>
    <w:next w:val="Kommentaaritekst"/>
    <w:link w:val="KommentaariteemaMrk"/>
    <w:uiPriority w:val="99"/>
    <w:semiHidden/>
    <w:unhideWhenUsed/>
    <w:rsid w:val="00E30523"/>
    <w:pPr>
      <w:spacing w:after="160"/>
      <w:ind w:left="0" w:firstLine="0"/>
      <w:jc w:val="left"/>
    </w:pPr>
    <w:rPr>
      <w:rFonts w:ascii="Times New Roman" w:eastAsiaTheme="minorHAnsi" w:hAnsi="Times New Roman" w:cstheme="minorBidi"/>
      <w:b/>
      <w:bCs/>
      <w:color w:val="auto"/>
      <w:lang w:eastAsia="en-US"/>
    </w:rPr>
  </w:style>
  <w:style w:type="character" w:customStyle="1" w:styleId="KommentaariteemaMrk">
    <w:name w:val="Kommentaari teema Märk"/>
    <w:basedOn w:val="KommentaaritekstMrk"/>
    <w:link w:val="Kommentaariteema"/>
    <w:uiPriority w:val="99"/>
    <w:semiHidden/>
    <w:rsid w:val="00E30523"/>
    <w:rPr>
      <w:rFonts w:ascii="Times New Roman" w:eastAsia="Arial" w:hAnsi="Times New Roman" w:cs="Arial"/>
      <w:b/>
      <w:bCs/>
      <w:color w:val="000000"/>
      <w:sz w:val="20"/>
      <w:szCs w:val="20"/>
      <w:lang w:val="et-EE" w:eastAsia="et-EE"/>
    </w:rPr>
  </w:style>
  <w:style w:type="character" w:styleId="Lahendamatamainimine">
    <w:name w:val="Unresolved Mention"/>
    <w:basedOn w:val="Liguvaikefont"/>
    <w:uiPriority w:val="99"/>
    <w:semiHidden/>
    <w:unhideWhenUsed/>
    <w:rsid w:val="00C84D3C"/>
    <w:rPr>
      <w:color w:val="605E5C"/>
      <w:shd w:val="clear" w:color="auto" w:fill="E1DFDD"/>
    </w:rPr>
  </w:style>
  <w:style w:type="paragraph" w:styleId="Normaallaadveeb">
    <w:name w:val="Normal (Web)"/>
    <w:basedOn w:val="Normaallaad"/>
    <w:uiPriority w:val="99"/>
    <w:semiHidden/>
    <w:unhideWhenUsed/>
    <w:rsid w:val="00C84D3C"/>
    <w:rPr>
      <w:rFonts w:cs="Times New Roman"/>
      <w:szCs w:val="24"/>
    </w:rPr>
  </w:style>
  <w:style w:type="character" w:styleId="Klastatudhperlink">
    <w:name w:val="FollowedHyperlink"/>
    <w:basedOn w:val="Liguvaikefont"/>
    <w:uiPriority w:val="99"/>
    <w:semiHidden/>
    <w:unhideWhenUsed/>
    <w:rsid w:val="00705A34"/>
    <w:rPr>
      <w:color w:val="954F72" w:themeColor="followedHyperlink"/>
      <w:u w:val="single"/>
    </w:rPr>
  </w:style>
  <w:style w:type="character" w:customStyle="1" w:styleId="Laad1Mrk">
    <w:name w:val="Laad1 Märk"/>
    <w:rsid w:val="001D4CE1"/>
    <w:rPr>
      <w:rFonts w:ascii="Times New Roman" w:eastAsia="Times New Roman" w:hAnsi="Times New Roman" w:cs="Times New Roman"/>
      <w:sz w:val="18"/>
      <w:szCs w:val="20"/>
      <w:lang w:eastAsia="ar-SA"/>
    </w:rPr>
  </w:style>
  <w:style w:type="paragraph" w:styleId="Redaktsioon">
    <w:name w:val="Revision"/>
    <w:hidden/>
    <w:uiPriority w:val="99"/>
    <w:semiHidden/>
    <w:rsid w:val="007501A3"/>
    <w:pPr>
      <w:spacing w:after="0" w:line="240" w:lineRule="auto"/>
    </w:pPr>
    <w:rPr>
      <w:rFonts w:ascii="Times New Roman" w:hAnsi="Times New Roman"/>
      <w:sz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17927">
      <w:bodyDiv w:val="1"/>
      <w:marLeft w:val="0"/>
      <w:marRight w:val="0"/>
      <w:marTop w:val="0"/>
      <w:marBottom w:val="0"/>
      <w:divBdr>
        <w:top w:val="none" w:sz="0" w:space="0" w:color="auto"/>
        <w:left w:val="none" w:sz="0" w:space="0" w:color="auto"/>
        <w:bottom w:val="none" w:sz="0" w:space="0" w:color="auto"/>
        <w:right w:val="none" w:sz="0" w:space="0" w:color="auto"/>
      </w:divBdr>
    </w:div>
    <w:div w:id="558051605">
      <w:bodyDiv w:val="1"/>
      <w:marLeft w:val="0"/>
      <w:marRight w:val="0"/>
      <w:marTop w:val="0"/>
      <w:marBottom w:val="0"/>
      <w:divBdr>
        <w:top w:val="none" w:sz="0" w:space="0" w:color="auto"/>
        <w:left w:val="none" w:sz="0" w:space="0" w:color="auto"/>
        <w:bottom w:val="none" w:sz="0" w:space="0" w:color="auto"/>
        <w:right w:val="none" w:sz="0" w:space="0" w:color="auto"/>
      </w:divBdr>
    </w:div>
    <w:div w:id="1576626699">
      <w:bodyDiv w:val="1"/>
      <w:marLeft w:val="0"/>
      <w:marRight w:val="0"/>
      <w:marTop w:val="0"/>
      <w:marBottom w:val="0"/>
      <w:divBdr>
        <w:top w:val="none" w:sz="0" w:space="0" w:color="auto"/>
        <w:left w:val="none" w:sz="0" w:space="0" w:color="auto"/>
        <w:bottom w:val="none" w:sz="0" w:space="0" w:color="auto"/>
        <w:right w:val="none" w:sz="0" w:space="0" w:color="auto"/>
      </w:divBdr>
    </w:div>
    <w:div w:id="194838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lisa.ee/et/ariklient/internet/kontori-internet/pysiint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ia.ee/ari/kontor/kontori-internet/arikliendi-inte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ia.ee/partnerile/sideettevotjale/vorguressursi-r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elia.ee/partnerile/sideettevotjale/vorguressursi-r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ircabc.europa.eu/ui/group/2328c58f-1fed-4402-a6cc-0f0237699dc3/library/043a1b2d-81ba-40ea-b3b1-1e02246d6eb3?p=1&amp;n=10&amp;sort=modified_DESC" TargetMode="External"/><Relationship Id="rId2" Type="http://schemas.openxmlformats.org/officeDocument/2006/relationships/hyperlink" Target="https://www.mkm.ee/digiriik-ja-uhenduvus/digiuhiskonna-arengukava-2030" TargetMode="External"/><Relationship Id="rId1" Type="http://schemas.openxmlformats.org/officeDocument/2006/relationships/hyperlink" Target="https://www.ttja.ee/ariklient/ametist/avalikud-konkursid/avalikud-konkursid-ja-arutelud" TargetMode="External"/><Relationship Id="rId4" Type="http://schemas.openxmlformats.org/officeDocument/2006/relationships/hyperlink" Target="https://www.nkom.no/ekom-markedet/markeder/markeder-som-reguleres/_/attachment/download/e804f701-e342-448d-95f9-0b81f4b5d144:b3bff2ccf56262242fdd0f242205cf2ab0335fb0/Kommisjonens%20Explanatory%20Note%20til%20anbefalingen%20av%2018.%20desember%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292C-8E4D-40B1-A90C-03B46B69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15942</Words>
  <Characters>92470</Characters>
  <Application>Microsoft Office Word</Application>
  <DocSecurity>0</DocSecurity>
  <Lines>770</Lines>
  <Paragraphs>216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MKM</Company>
  <LinksUpToDate>false</LinksUpToDate>
  <CharactersWithSpaces>108196</CharactersWithSpaces>
  <SharedDoc>false</SharedDoc>
  <HLinks>
    <vt:vector size="168" baseType="variant">
      <vt:variant>
        <vt:i4>5308447</vt:i4>
      </vt:variant>
      <vt:variant>
        <vt:i4>126</vt:i4>
      </vt:variant>
      <vt:variant>
        <vt:i4>0</vt:i4>
      </vt:variant>
      <vt:variant>
        <vt:i4>5</vt:i4>
      </vt:variant>
      <vt:variant>
        <vt:lpwstr>https://www.elisa.ee/et/ariklient/internet/kontori-internet/pysiinternet</vt:lpwstr>
      </vt:variant>
      <vt:variant>
        <vt:lpwstr/>
      </vt:variant>
      <vt:variant>
        <vt:i4>5111836</vt:i4>
      </vt:variant>
      <vt:variant>
        <vt:i4>123</vt:i4>
      </vt:variant>
      <vt:variant>
        <vt:i4>0</vt:i4>
      </vt:variant>
      <vt:variant>
        <vt:i4>5</vt:i4>
      </vt:variant>
      <vt:variant>
        <vt:lpwstr>https://www.telia.ee/ari/kontor/kontori-internet/arikliendi-internet/</vt:lpwstr>
      </vt:variant>
      <vt:variant>
        <vt:lpwstr/>
      </vt:variant>
      <vt:variant>
        <vt:i4>3801199</vt:i4>
      </vt:variant>
      <vt:variant>
        <vt:i4>120</vt:i4>
      </vt:variant>
      <vt:variant>
        <vt:i4>0</vt:i4>
      </vt:variant>
      <vt:variant>
        <vt:i4>5</vt:i4>
      </vt:variant>
      <vt:variant>
        <vt:lpwstr>https://www.telia.ee/partnerile/sideettevotjale/vorguressursi-rent</vt:lpwstr>
      </vt:variant>
      <vt:variant>
        <vt:lpwstr/>
      </vt:variant>
      <vt:variant>
        <vt:i4>3801199</vt:i4>
      </vt:variant>
      <vt:variant>
        <vt:i4>117</vt:i4>
      </vt:variant>
      <vt:variant>
        <vt:i4>0</vt:i4>
      </vt:variant>
      <vt:variant>
        <vt:i4>5</vt:i4>
      </vt:variant>
      <vt:variant>
        <vt:lpwstr>https://www.telia.ee/partnerile/sideettevotjale/vorguressursi-rent</vt:lpwstr>
      </vt:variant>
      <vt:variant>
        <vt:lpwstr/>
      </vt:variant>
      <vt:variant>
        <vt:i4>1376308</vt:i4>
      </vt:variant>
      <vt:variant>
        <vt:i4>110</vt:i4>
      </vt:variant>
      <vt:variant>
        <vt:i4>0</vt:i4>
      </vt:variant>
      <vt:variant>
        <vt:i4>5</vt:i4>
      </vt:variant>
      <vt:variant>
        <vt:lpwstr/>
      </vt:variant>
      <vt:variant>
        <vt:lpwstr>_Toc151031769</vt:lpwstr>
      </vt:variant>
      <vt:variant>
        <vt:i4>1376308</vt:i4>
      </vt:variant>
      <vt:variant>
        <vt:i4>104</vt:i4>
      </vt:variant>
      <vt:variant>
        <vt:i4>0</vt:i4>
      </vt:variant>
      <vt:variant>
        <vt:i4>5</vt:i4>
      </vt:variant>
      <vt:variant>
        <vt:lpwstr/>
      </vt:variant>
      <vt:variant>
        <vt:lpwstr>_Toc151031768</vt:lpwstr>
      </vt:variant>
      <vt:variant>
        <vt:i4>1376308</vt:i4>
      </vt:variant>
      <vt:variant>
        <vt:i4>98</vt:i4>
      </vt:variant>
      <vt:variant>
        <vt:i4>0</vt:i4>
      </vt:variant>
      <vt:variant>
        <vt:i4>5</vt:i4>
      </vt:variant>
      <vt:variant>
        <vt:lpwstr/>
      </vt:variant>
      <vt:variant>
        <vt:lpwstr>_Toc151031767</vt:lpwstr>
      </vt:variant>
      <vt:variant>
        <vt:i4>1376308</vt:i4>
      </vt:variant>
      <vt:variant>
        <vt:i4>92</vt:i4>
      </vt:variant>
      <vt:variant>
        <vt:i4>0</vt:i4>
      </vt:variant>
      <vt:variant>
        <vt:i4>5</vt:i4>
      </vt:variant>
      <vt:variant>
        <vt:lpwstr/>
      </vt:variant>
      <vt:variant>
        <vt:lpwstr>_Toc151031766</vt:lpwstr>
      </vt:variant>
      <vt:variant>
        <vt:i4>1376308</vt:i4>
      </vt:variant>
      <vt:variant>
        <vt:i4>86</vt:i4>
      </vt:variant>
      <vt:variant>
        <vt:i4>0</vt:i4>
      </vt:variant>
      <vt:variant>
        <vt:i4>5</vt:i4>
      </vt:variant>
      <vt:variant>
        <vt:lpwstr/>
      </vt:variant>
      <vt:variant>
        <vt:lpwstr>_Toc151031765</vt:lpwstr>
      </vt:variant>
      <vt:variant>
        <vt:i4>1376308</vt:i4>
      </vt:variant>
      <vt:variant>
        <vt:i4>80</vt:i4>
      </vt:variant>
      <vt:variant>
        <vt:i4>0</vt:i4>
      </vt:variant>
      <vt:variant>
        <vt:i4>5</vt:i4>
      </vt:variant>
      <vt:variant>
        <vt:lpwstr/>
      </vt:variant>
      <vt:variant>
        <vt:lpwstr>_Toc151031764</vt:lpwstr>
      </vt:variant>
      <vt:variant>
        <vt:i4>1376308</vt:i4>
      </vt:variant>
      <vt:variant>
        <vt:i4>74</vt:i4>
      </vt:variant>
      <vt:variant>
        <vt:i4>0</vt:i4>
      </vt:variant>
      <vt:variant>
        <vt:i4>5</vt:i4>
      </vt:variant>
      <vt:variant>
        <vt:lpwstr/>
      </vt:variant>
      <vt:variant>
        <vt:lpwstr>_Toc151031763</vt:lpwstr>
      </vt:variant>
      <vt:variant>
        <vt:i4>1376308</vt:i4>
      </vt:variant>
      <vt:variant>
        <vt:i4>68</vt:i4>
      </vt:variant>
      <vt:variant>
        <vt:i4>0</vt:i4>
      </vt:variant>
      <vt:variant>
        <vt:i4>5</vt:i4>
      </vt:variant>
      <vt:variant>
        <vt:lpwstr/>
      </vt:variant>
      <vt:variant>
        <vt:lpwstr>_Toc151031762</vt:lpwstr>
      </vt:variant>
      <vt:variant>
        <vt:i4>1376308</vt:i4>
      </vt:variant>
      <vt:variant>
        <vt:i4>62</vt:i4>
      </vt:variant>
      <vt:variant>
        <vt:i4>0</vt:i4>
      </vt:variant>
      <vt:variant>
        <vt:i4>5</vt:i4>
      </vt:variant>
      <vt:variant>
        <vt:lpwstr/>
      </vt:variant>
      <vt:variant>
        <vt:lpwstr>_Toc151031761</vt:lpwstr>
      </vt:variant>
      <vt:variant>
        <vt:i4>1376308</vt:i4>
      </vt:variant>
      <vt:variant>
        <vt:i4>56</vt:i4>
      </vt:variant>
      <vt:variant>
        <vt:i4>0</vt:i4>
      </vt:variant>
      <vt:variant>
        <vt:i4>5</vt:i4>
      </vt:variant>
      <vt:variant>
        <vt:lpwstr/>
      </vt:variant>
      <vt:variant>
        <vt:lpwstr>_Toc151031760</vt:lpwstr>
      </vt:variant>
      <vt:variant>
        <vt:i4>1441844</vt:i4>
      </vt:variant>
      <vt:variant>
        <vt:i4>50</vt:i4>
      </vt:variant>
      <vt:variant>
        <vt:i4>0</vt:i4>
      </vt:variant>
      <vt:variant>
        <vt:i4>5</vt:i4>
      </vt:variant>
      <vt:variant>
        <vt:lpwstr/>
      </vt:variant>
      <vt:variant>
        <vt:lpwstr>_Toc151031759</vt:lpwstr>
      </vt:variant>
      <vt:variant>
        <vt:i4>1441844</vt:i4>
      </vt:variant>
      <vt:variant>
        <vt:i4>44</vt:i4>
      </vt:variant>
      <vt:variant>
        <vt:i4>0</vt:i4>
      </vt:variant>
      <vt:variant>
        <vt:i4>5</vt:i4>
      </vt:variant>
      <vt:variant>
        <vt:lpwstr/>
      </vt:variant>
      <vt:variant>
        <vt:lpwstr>_Toc151031758</vt:lpwstr>
      </vt:variant>
      <vt:variant>
        <vt:i4>1441844</vt:i4>
      </vt:variant>
      <vt:variant>
        <vt:i4>38</vt:i4>
      </vt:variant>
      <vt:variant>
        <vt:i4>0</vt:i4>
      </vt:variant>
      <vt:variant>
        <vt:i4>5</vt:i4>
      </vt:variant>
      <vt:variant>
        <vt:lpwstr/>
      </vt:variant>
      <vt:variant>
        <vt:lpwstr>_Toc151031757</vt:lpwstr>
      </vt:variant>
      <vt:variant>
        <vt:i4>1441844</vt:i4>
      </vt:variant>
      <vt:variant>
        <vt:i4>32</vt:i4>
      </vt:variant>
      <vt:variant>
        <vt:i4>0</vt:i4>
      </vt:variant>
      <vt:variant>
        <vt:i4>5</vt:i4>
      </vt:variant>
      <vt:variant>
        <vt:lpwstr/>
      </vt:variant>
      <vt:variant>
        <vt:lpwstr>_Toc151031756</vt:lpwstr>
      </vt:variant>
      <vt:variant>
        <vt:i4>1441844</vt:i4>
      </vt:variant>
      <vt:variant>
        <vt:i4>26</vt:i4>
      </vt:variant>
      <vt:variant>
        <vt:i4>0</vt:i4>
      </vt:variant>
      <vt:variant>
        <vt:i4>5</vt:i4>
      </vt:variant>
      <vt:variant>
        <vt:lpwstr/>
      </vt:variant>
      <vt:variant>
        <vt:lpwstr>_Toc151031755</vt:lpwstr>
      </vt:variant>
      <vt:variant>
        <vt:i4>1441844</vt:i4>
      </vt:variant>
      <vt:variant>
        <vt:i4>20</vt:i4>
      </vt:variant>
      <vt:variant>
        <vt:i4>0</vt:i4>
      </vt:variant>
      <vt:variant>
        <vt:i4>5</vt:i4>
      </vt:variant>
      <vt:variant>
        <vt:lpwstr/>
      </vt:variant>
      <vt:variant>
        <vt:lpwstr>_Toc151031754</vt:lpwstr>
      </vt:variant>
      <vt:variant>
        <vt:i4>1441844</vt:i4>
      </vt:variant>
      <vt:variant>
        <vt:i4>14</vt:i4>
      </vt:variant>
      <vt:variant>
        <vt:i4>0</vt:i4>
      </vt:variant>
      <vt:variant>
        <vt:i4>5</vt:i4>
      </vt:variant>
      <vt:variant>
        <vt:lpwstr/>
      </vt:variant>
      <vt:variant>
        <vt:lpwstr>_Toc151031753</vt:lpwstr>
      </vt:variant>
      <vt:variant>
        <vt:i4>1441844</vt:i4>
      </vt:variant>
      <vt:variant>
        <vt:i4>8</vt:i4>
      </vt:variant>
      <vt:variant>
        <vt:i4>0</vt:i4>
      </vt:variant>
      <vt:variant>
        <vt:i4>5</vt:i4>
      </vt:variant>
      <vt:variant>
        <vt:lpwstr/>
      </vt:variant>
      <vt:variant>
        <vt:lpwstr>_Toc151031752</vt:lpwstr>
      </vt:variant>
      <vt:variant>
        <vt:i4>1441844</vt:i4>
      </vt:variant>
      <vt:variant>
        <vt:i4>2</vt:i4>
      </vt:variant>
      <vt:variant>
        <vt:i4>0</vt:i4>
      </vt:variant>
      <vt:variant>
        <vt:i4>5</vt:i4>
      </vt:variant>
      <vt:variant>
        <vt:lpwstr/>
      </vt:variant>
      <vt:variant>
        <vt:lpwstr>_Toc151031751</vt:lpwstr>
      </vt:variant>
      <vt:variant>
        <vt:i4>1376371</vt:i4>
      </vt:variant>
      <vt:variant>
        <vt:i4>12</vt:i4>
      </vt:variant>
      <vt:variant>
        <vt:i4>0</vt:i4>
      </vt:variant>
      <vt:variant>
        <vt:i4>5</vt:i4>
      </vt:variant>
      <vt:variant>
        <vt:lpwstr>https://www.nkom.no/ekom-markedet/markeder/markeder-som-reguleres/_/attachment/download/e804f701-e342-448d-95f9-0b81f4b5d144:b3bff2ccf56262242fdd0f242205cf2ab0335fb0/Kommisjonens Explanatory Note til anbefalingen av 18. desember 2020.pdf</vt:lpwstr>
      </vt:variant>
      <vt:variant>
        <vt:lpwstr/>
      </vt:variant>
      <vt:variant>
        <vt:i4>2097258</vt:i4>
      </vt:variant>
      <vt:variant>
        <vt:i4>9</vt:i4>
      </vt:variant>
      <vt:variant>
        <vt:i4>0</vt:i4>
      </vt:variant>
      <vt:variant>
        <vt:i4>5</vt:i4>
      </vt:variant>
      <vt:variant>
        <vt:lpwstr>https://www.berec.europa.eu/en/document-categories/berec/reports/berec-report-on-common-characteristics-of-layer-2-wholesale-access-products-in-the-european-union</vt:lpwstr>
      </vt:variant>
      <vt:variant>
        <vt:lpwstr/>
      </vt:variant>
      <vt:variant>
        <vt:i4>3145813</vt:i4>
      </vt:variant>
      <vt:variant>
        <vt:i4>6</vt:i4>
      </vt:variant>
      <vt:variant>
        <vt:i4>0</vt:i4>
      </vt:variant>
      <vt:variant>
        <vt:i4>5</vt:i4>
      </vt:variant>
      <vt:variant>
        <vt:lpwstr>https://circabc.europa.eu/ui/group/2328c58f-1fed-4402-a6cc-0f0237699dc3/library/043a1b2d-81ba-40ea-b3b1-1e02246d6eb3?p=1&amp;n=10&amp;sort=modified_DESC</vt:lpwstr>
      </vt:variant>
      <vt:variant>
        <vt:lpwstr/>
      </vt:variant>
      <vt:variant>
        <vt:i4>6619193</vt:i4>
      </vt:variant>
      <vt:variant>
        <vt:i4>3</vt:i4>
      </vt:variant>
      <vt:variant>
        <vt:i4>0</vt:i4>
      </vt:variant>
      <vt:variant>
        <vt:i4>5</vt:i4>
      </vt:variant>
      <vt:variant>
        <vt:lpwstr>https://www.mkm.ee/digiriik-ja-uhenduvus/digiuhiskonna-arengukava-2030</vt:lpwstr>
      </vt:variant>
      <vt:variant>
        <vt:lpwstr/>
      </vt:variant>
      <vt:variant>
        <vt:i4>2097184</vt:i4>
      </vt:variant>
      <vt:variant>
        <vt:i4>0</vt:i4>
      </vt:variant>
      <vt:variant>
        <vt:i4>0</vt:i4>
      </vt:variant>
      <vt:variant>
        <vt:i4>5</vt:i4>
      </vt:variant>
      <vt:variant>
        <vt:lpwstr>https://www.ttja.ee/ariklient/ametist/avalikud-konkursid/avalikud-konkursid-ja-arutelud</vt:lpwstr>
      </vt:variant>
      <vt:variant>
        <vt:lpwstr>sidevorgule-kohaliku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Kiik</dc:creator>
  <cp:keywords/>
  <dc:description/>
  <cp:lastModifiedBy>Peeter Lutsoja</cp:lastModifiedBy>
  <cp:revision>3</cp:revision>
  <dcterms:created xsi:type="dcterms:W3CDTF">2025-02-07T09:36:00Z</dcterms:created>
  <dcterms:modified xsi:type="dcterms:W3CDTF">2025-02-07T09:39:00Z</dcterms:modified>
</cp:coreProperties>
</file>