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2" w:type="dxa"/>
        <w:tblLook w:val="04A0" w:firstRow="1" w:lastRow="0" w:firstColumn="1" w:lastColumn="0" w:noHBand="0" w:noVBand="1"/>
      </w:tblPr>
      <w:tblGrid>
        <w:gridCol w:w="4531"/>
        <w:gridCol w:w="4531"/>
      </w:tblGrid>
      <w:tr w:rsidR="00D66340" w14:paraId="5A9908A1" w14:textId="77777777" w:rsidTr="00D66340">
        <w:tc>
          <w:tcPr>
            <w:tcW w:w="4531" w:type="dxa"/>
          </w:tcPr>
          <w:p w14:paraId="1D57142D" w14:textId="77777777" w:rsidR="00D66340" w:rsidRPr="004256BA" w:rsidRDefault="00D66340" w:rsidP="008A7796">
            <w:pPr>
              <w:pStyle w:val="ListParagraph"/>
              <w:ind w:left="360"/>
              <w:jc w:val="center"/>
              <w:rPr>
                <w:rFonts w:cs="Arial"/>
                <w:b/>
                <w:noProof/>
                <w:szCs w:val="20"/>
                <w:lang w:eastAsia="ar-SA"/>
              </w:rPr>
            </w:pPr>
            <w:r w:rsidRPr="004256BA">
              <w:rPr>
                <w:rFonts w:cs="Arial"/>
                <w:b/>
                <w:noProof/>
                <w:szCs w:val="20"/>
                <w:lang w:eastAsia="ar-SA"/>
              </w:rPr>
              <w:t>Konfidentsiaalsusleping</w:t>
            </w:r>
          </w:p>
          <w:p w14:paraId="1AD539DF" w14:textId="06AECBF5" w:rsidR="00D66340" w:rsidRPr="007E6328" w:rsidRDefault="000965CC" w:rsidP="000965CC">
            <w:pPr>
              <w:jc w:val="center"/>
              <w:rPr>
                <w:rFonts w:cs="Arial"/>
                <w:b/>
                <w:noProof/>
                <w:szCs w:val="20"/>
                <w:lang w:eastAsia="ar-SA"/>
              </w:rPr>
            </w:pPr>
            <w:r>
              <w:rPr>
                <w:rFonts w:cs="Arial"/>
                <w:b/>
                <w:noProof/>
                <w:szCs w:val="20"/>
                <w:lang w:eastAsia="ar-SA"/>
              </w:rPr>
              <w:t>KAVAND</w:t>
            </w:r>
          </w:p>
        </w:tc>
        <w:tc>
          <w:tcPr>
            <w:tcW w:w="4531" w:type="dxa"/>
          </w:tcPr>
          <w:p w14:paraId="14974694" w14:textId="77777777" w:rsidR="00D66340" w:rsidRDefault="007E6328" w:rsidP="008A7796">
            <w:pPr>
              <w:pStyle w:val="ListParagraph"/>
              <w:ind w:left="360"/>
              <w:jc w:val="center"/>
              <w:rPr>
                <w:rFonts w:cs="Arial"/>
                <w:b/>
                <w:bCs/>
                <w:noProof/>
                <w:szCs w:val="20"/>
                <w:lang w:val="en-GB" w:eastAsia="ar-SA"/>
              </w:rPr>
            </w:pPr>
            <w:r w:rsidRPr="004256BA">
              <w:rPr>
                <w:rFonts w:cs="Arial"/>
                <w:b/>
                <w:bCs/>
                <w:noProof/>
                <w:szCs w:val="20"/>
                <w:lang w:val="en-GB" w:eastAsia="ar-SA"/>
              </w:rPr>
              <w:t>Non-Disclosure Agreement</w:t>
            </w:r>
          </w:p>
          <w:p w14:paraId="0119ECAB" w14:textId="4EF846AA" w:rsidR="000965CC" w:rsidRPr="004256BA" w:rsidRDefault="000965CC" w:rsidP="008A7796">
            <w:pPr>
              <w:pStyle w:val="ListParagraph"/>
              <w:ind w:left="360"/>
              <w:jc w:val="center"/>
              <w:rPr>
                <w:rFonts w:cs="Arial"/>
                <w:b/>
                <w:bCs/>
                <w:noProof/>
                <w:szCs w:val="20"/>
                <w:lang w:val="en-GB" w:eastAsia="ar-SA"/>
              </w:rPr>
            </w:pPr>
            <w:r>
              <w:rPr>
                <w:rFonts w:cs="Arial"/>
                <w:b/>
                <w:bCs/>
                <w:noProof/>
                <w:szCs w:val="20"/>
                <w:lang w:val="en-GB" w:eastAsia="ar-SA"/>
              </w:rPr>
              <w:t>DRAFT</w:t>
            </w:r>
          </w:p>
        </w:tc>
      </w:tr>
      <w:tr w:rsidR="00D66340" w14:paraId="0573BAF3" w14:textId="77777777" w:rsidTr="00D66340">
        <w:tc>
          <w:tcPr>
            <w:tcW w:w="4531" w:type="dxa"/>
          </w:tcPr>
          <w:p w14:paraId="5B9F5357" w14:textId="77777777" w:rsidR="00D66340" w:rsidRPr="004256BA" w:rsidRDefault="00D66340" w:rsidP="00AA09CA">
            <w:pPr>
              <w:pStyle w:val="ListParagraph"/>
              <w:ind w:left="360"/>
              <w:jc w:val="both"/>
              <w:rPr>
                <w:rFonts w:cs="Arial"/>
                <w:bCs/>
                <w:noProof/>
                <w:szCs w:val="20"/>
                <w:lang w:eastAsia="ar-SA"/>
              </w:rPr>
            </w:pPr>
            <w:r w:rsidRPr="004256BA">
              <w:rPr>
                <w:rFonts w:cs="Arial"/>
                <w:bCs/>
                <w:noProof/>
                <w:szCs w:val="20"/>
                <w:lang w:eastAsia="ar-SA"/>
              </w:rPr>
              <w:t xml:space="preserve">Käesolev konfidentsiaalsusleping (edaspidi </w:t>
            </w:r>
            <w:r w:rsidRPr="004256BA">
              <w:rPr>
                <w:rFonts w:cs="Arial"/>
                <w:b/>
                <w:noProof/>
                <w:szCs w:val="20"/>
                <w:lang w:eastAsia="ar-SA"/>
              </w:rPr>
              <w:t>Leping</w:t>
            </w:r>
            <w:r w:rsidRPr="004256BA">
              <w:rPr>
                <w:rFonts w:cs="Arial"/>
                <w:bCs/>
                <w:noProof/>
                <w:szCs w:val="20"/>
                <w:lang w:eastAsia="ar-SA"/>
              </w:rPr>
              <w:t>) on sõlmitud sellele viimase Poole poolt antud allkirja andmise kuupäeval</w:t>
            </w:r>
            <w:r w:rsidRPr="004256BA">
              <w:rPr>
                <w:rFonts w:cs="Arial"/>
                <w:b/>
                <w:bCs/>
                <w:noProof/>
                <w:szCs w:val="20"/>
                <w:lang w:eastAsia="ar-SA"/>
              </w:rPr>
              <w:t xml:space="preserve"> </w:t>
            </w:r>
            <w:r w:rsidRPr="004256BA">
              <w:rPr>
                <w:rFonts w:cs="Arial"/>
                <w:bCs/>
                <w:noProof/>
                <w:szCs w:val="20"/>
                <w:lang w:eastAsia="ar-SA"/>
              </w:rPr>
              <w:t>järgmiste isikute poolt:</w:t>
            </w:r>
          </w:p>
          <w:p w14:paraId="3BECDE48" w14:textId="77777777" w:rsidR="00D66340" w:rsidRDefault="00D66340" w:rsidP="00AA09CA">
            <w:pPr>
              <w:jc w:val="both"/>
              <w:rPr>
                <w:rFonts w:cs="Arial"/>
                <w:b/>
                <w:bCs/>
                <w:noProof/>
                <w:szCs w:val="20"/>
                <w:lang w:eastAsia="ar-SA"/>
              </w:rPr>
            </w:pPr>
          </w:p>
        </w:tc>
        <w:tc>
          <w:tcPr>
            <w:tcW w:w="4531" w:type="dxa"/>
          </w:tcPr>
          <w:p w14:paraId="091854A4" w14:textId="5EB4AC35" w:rsidR="00D66340" w:rsidRPr="004256BA" w:rsidRDefault="003E7C7B" w:rsidP="00AA09CA">
            <w:pPr>
              <w:pStyle w:val="ListParagraph"/>
              <w:ind w:left="360"/>
              <w:jc w:val="both"/>
              <w:rPr>
                <w:rFonts w:cs="Arial"/>
                <w:b/>
                <w:bCs/>
                <w:noProof/>
                <w:szCs w:val="20"/>
                <w:lang w:val="en-GB" w:eastAsia="ar-SA"/>
              </w:rPr>
            </w:pPr>
            <w:r w:rsidRPr="004256BA">
              <w:rPr>
                <w:rFonts w:cs="Arial"/>
                <w:bCs/>
                <w:noProof/>
                <w:szCs w:val="20"/>
                <w:lang w:val="en-GB" w:eastAsia="ar-SA"/>
              </w:rPr>
              <w:t>This Non-Disclosure Agreement (hereinafter referred to as</w:t>
            </w:r>
            <w:r w:rsidRPr="004256BA">
              <w:rPr>
                <w:rFonts w:cs="Arial"/>
                <w:b/>
                <w:noProof/>
                <w:szCs w:val="20"/>
                <w:lang w:val="en-GB" w:eastAsia="ar-SA"/>
              </w:rPr>
              <w:t xml:space="preserve"> the Agreement</w:t>
            </w:r>
            <w:r w:rsidRPr="004256BA">
              <w:rPr>
                <w:rFonts w:cs="Arial"/>
                <w:bCs/>
                <w:noProof/>
                <w:szCs w:val="20"/>
                <w:lang w:val="en-GB" w:eastAsia="ar-SA"/>
              </w:rPr>
              <w:t>) has been entered into on the date of signature by the last Party by the following persons</w:t>
            </w:r>
            <w:r w:rsidR="00F77A3E">
              <w:rPr>
                <w:rFonts w:cs="Arial"/>
                <w:bCs/>
                <w:noProof/>
                <w:szCs w:val="20"/>
                <w:lang w:val="en-GB" w:eastAsia="ar-SA"/>
              </w:rPr>
              <w:t>:</w:t>
            </w:r>
          </w:p>
        </w:tc>
        <w:bookmarkStart w:id="0" w:name="_GoBack"/>
        <w:bookmarkEnd w:id="0"/>
      </w:tr>
      <w:tr w:rsidR="00D66340" w14:paraId="2785C748" w14:textId="77777777" w:rsidTr="00D66340">
        <w:tc>
          <w:tcPr>
            <w:tcW w:w="4531" w:type="dxa"/>
          </w:tcPr>
          <w:p w14:paraId="3408BC1F" w14:textId="3D278428" w:rsidR="00D66340" w:rsidRPr="004256BA" w:rsidRDefault="00D66340" w:rsidP="00AA09CA">
            <w:pPr>
              <w:pStyle w:val="ListParagraph"/>
              <w:spacing w:after="200" w:line="276" w:lineRule="auto"/>
              <w:ind w:left="360"/>
              <w:jc w:val="both"/>
              <w:rPr>
                <w:rFonts w:cs="Arial"/>
                <w:bCs/>
                <w:noProof/>
                <w:szCs w:val="20"/>
                <w:lang w:eastAsia="ar-SA"/>
              </w:rPr>
            </w:pPr>
            <w:r w:rsidRPr="004256BA">
              <w:rPr>
                <w:rFonts w:cs="Arial"/>
                <w:b/>
                <w:bCs/>
                <w:noProof/>
                <w:szCs w:val="20"/>
                <w:lang w:eastAsia="ar-SA"/>
              </w:rPr>
              <w:t xml:space="preserve">Riigi Kaitseinvesteeringute Keskus, </w:t>
            </w:r>
            <w:r w:rsidRPr="004256BA">
              <w:rPr>
                <w:rFonts w:cs="Arial"/>
                <w:bCs/>
                <w:noProof/>
                <w:szCs w:val="20"/>
                <w:lang w:eastAsia="ar-SA"/>
              </w:rPr>
              <w:t xml:space="preserve">registrikood 70009764, asukoht Järve tn 34a, 11314 Tallinn, keda esindab põhimääruse alusel [●] (edaspidi </w:t>
            </w:r>
            <w:r w:rsidRPr="004256BA">
              <w:rPr>
                <w:rFonts w:cs="Arial"/>
                <w:b/>
                <w:bCs/>
                <w:noProof/>
                <w:szCs w:val="20"/>
                <w:lang w:eastAsia="ar-SA"/>
              </w:rPr>
              <w:t>RKIK</w:t>
            </w:r>
            <w:r w:rsidRPr="004256BA">
              <w:rPr>
                <w:rFonts w:cs="Arial"/>
                <w:bCs/>
                <w:noProof/>
                <w:szCs w:val="20"/>
                <w:lang w:eastAsia="ar-SA"/>
              </w:rPr>
              <w:t>); ja </w:t>
            </w:r>
          </w:p>
          <w:p w14:paraId="43D7A590" w14:textId="77777777" w:rsidR="00D66340" w:rsidRDefault="00D66340" w:rsidP="00AA09CA">
            <w:pPr>
              <w:jc w:val="both"/>
              <w:rPr>
                <w:rFonts w:cs="Arial"/>
                <w:b/>
                <w:bCs/>
                <w:noProof/>
                <w:szCs w:val="20"/>
                <w:lang w:eastAsia="ar-SA"/>
              </w:rPr>
            </w:pPr>
          </w:p>
        </w:tc>
        <w:tc>
          <w:tcPr>
            <w:tcW w:w="4531" w:type="dxa"/>
          </w:tcPr>
          <w:p w14:paraId="724D66A6" w14:textId="20FDA173" w:rsidR="003E7C7B" w:rsidRPr="004256BA" w:rsidRDefault="008C51AF" w:rsidP="00AA09CA">
            <w:pPr>
              <w:pStyle w:val="ListParagraph"/>
              <w:spacing w:after="200" w:line="276" w:lineRule="auto"/>
              <w:ind w:left="360"/>
              <w:jc w:val="both"/>
              <w:rPr>
                <w:rFonts w:cs="Arial"/>
                <w:bCs/>
                <w:noProof/>
                <w:szCs w:val="20"/>
                <w:lang w:val="en-GB" w:eastAsia="ar-SA"/>
              </w:rPr>
            </w:pPr>
            <w:r>
              <w:rPr>
                <w:rFonts w:cs="Arial"/>
                <w:b/>
                <w:bCs/>
                <w:noProof/>
                <w:szCs w:val="20"/>
                <w:lang w:val="en-GB" w:eastAsia="ar-SA"/>
              </w:rPr>
              <w:t>Estonian</w:t>
            </w:r>
            <w:r w:rsidR="003E7C7B" w:rsidRPr="004256BA">
              <w:rPr>
                <w:rFonts w:cs="Arial"/>
                <w:b/>
                <w:bCs/>
                <w:noProof/>
                <w:szCs w:val="20"/>
                <w:lang w:val="en-GB" w:eastAsia="ar-SA"/>
              </w:rPr>
              <w:t xml:space="preserve"> Centre for Defence Investment</w:t>
            </w:r>
            <w:r>
              <w:rPr>
                <w:rFonts w:cs="Arial"/>
                <w:b/>
                <w:bCs/>
                <w:noProof/>
                <w:szCs w:val="20"/>
                <w:lang w:val="en-GB" w:eastAsia="ar-SA"/>
              </w:rPr>
              <w:t>s</w:t>
            </w:r>
            <w:r w:rsidR="003E7C7B" w:rsidRPr="004256BA">
              <w:rPr>
                <w:rFonts w:cs="Arial"/>
                <w:b/>
                <w:bCs/>
                <w:noProof/>
                <w:szCs w:val="20"/>
                <w:lang w:val="en-GB" w:eastAsia="ar-SA"/>
              </w:rPr>
              <w:t xml:space="preserve">, </w:t>
            </w:r>
            <w:r w:rsidR="003E7C7B" w:rsidRPr="004256BA">
              <w:rPr>
                <w:rFonts w:cs="Arial"/>
                <w:bCs/>
                <w:noProof/>
                <w:szCs w:val="20"/>
                <w:lang w:val="en-GB" w:eastAsia="ar-SA"/>
              </w:rPr>
              <w:t xml:space="preserve">registry code 70009764, located at Järve tn 34a, 11314 Tallinn, represented by [●] on the basis of the statutes (hereinafter </w:t>
            </w:r>
            <w:r w:rsidR="003E7C7B" w:rsidRPr="004256BA">
              <w:rPr>
                <w:rFonts w:cs="Arial"/>
                <w:b/>
                <w:bCs/>
                <w:noProof/>
                <w:szCs w:val="20"/>
                <w:lang w:val="en-GB" w:eastAsia="ar-SA"/>
              </w:rPr>
              <w:t>ECDI</w:t>
            </w:r>
            <w:r w:rsidR="003E7C7B" w:rsidRPr="004256BA">
              <w:rPr>
                <w:rFonts w:cs="Arial"/>
                <w:bCs/>
                <w:noProof/>
                <w:szCs w:val="20"/>
                <w:lang w:val="en-GB" w:eastAsia="ar-SA"/>
              </w:rPr>
              <w:t xml:space="preserve">); and </w:t>
            </w:r>
          </w:p>
          <w:p w14:paraId="42F76260" w14:textId="77777777" w:rsidR="00D66340" w:rsidRPr="007254C4" w:rsidRDefault="00D66340" w:rsidP="00AA09CA">
            <w:pPr>
              <w:jc w:val="both"/>
              <w:rPr>
                <w:rFonts w:cs="Arial"/>
                <w:b/>
                <w:bCs/>
                <w:noProof/>
                <w:szCs w:val="20"/>
                <w:lang w:val="en-GB" w:eastAsia="ar-SA"/>
              </w:rPr>
            </w:pPr>
          </w:p>
        </w:tc>
      </w:tr>
      <w:tr w:rsidR="00D66340" w14:paraId="1E96015F" w14:textId="77777777" w:rsidTr="00D66340">
        <w:tc>
          <w:tcPr>
            <w:tcW w:w="4531" w:type="dxa"/>
          </w:tcPr>
          <w:p w14:paraId="11BB31B7" w14:textId="6B6474BB" w:rsidR="00D66340" w:rsidRPr="004256BA" w:rsidRDefault="00D66340" w:rsidP="00AA09CA">
            <w:pPr>
              <w:pStyle w:val="ListParagraph"/>
              <w:spacing w:after="200" w:line="276" w:lineRule="auto"/>
              <w:ind w:left="360"/>
              <w:jc w:val="both"/>
              <w:rPr>
                <w:rFonts w:cs="Arial"/>
                <w:bCs/>
                <w:noProof/>
                <w:szCs w:val="20"/>
                <w:lang w:eastAsia="ar-SA"/>
              </w:rPr>
            </w:pPr>
            <w:r w:rsidRPr="004256BA">
              <w:rPr>
                <w:rFonts w:cs="Arial"/>
                <w:bCs/>
                <w:noProof/>
                <w:szCs w:val="20"/>
                <w:lang w:eastAsia="ar-SA"/>
              </w:rPr>
              <w:t>[●]</w:t>
            </w:r>
            <w:r w:rsidRPr="004256BA">
              <w:rPr>
                <w:rFonts w:cs="Arial"/>
                <w:b/>
                <w:bCs/>
                <w:noProof/>
                <w:szCs w:val="20"/>
                <w:lang w:eastAsia="ar-SA"/>
              </w:rPr>
              <w:t> </w:t>
            </w:r>
            <w:r w:rsidRPr="004256BA">
              <w:rPr>
                <w:rFonts w:cs="Arial"/>
                <w:bCs/>
                <w:noProof/>
                <w:szCs w:val="20"/>
                <w:lang w:eastAsia="ar-SA"/>
              </w:rPr>
              <w:t xml:space="preserve">(edaspidi </w:t>
            </w:r>
            <w:r w:rsidRPr="004256BA">
              <w:rPr>
                <w:rFonts w:cs="Arial"/>
                <w:b/>
                <w:bCs/>
                <w:noProof/>
                <w:szCs w:val="20"/>
                <w:lang w:eastAsia="ar-SA"/>
              </w:rPr>
              <w:t>Osaleja</w:t>
            </w:r>
            <w:r w:rsidRPr="004256BA">
              <w:rPr>
                <w:rFonts w:cs="Arial"/>
                <w:bCs/>
                <w:noProof/>
                <w:szCs w:val="20"/>
                <w:lang w:eastAsia="ar-SA"/>
              </w:rPr>
              <w:t>), registrikood [●],</w:t>
            </w:r>
            <w:r w:rsidRPr="004256BA">
              <w:rPr>
                <w:rFonts w:cs="Arial"/>
                <w:b/>
                <w:bCs/>
                <w:noProof/>
                <w:szCs w:val="20"/>
                <w:lang w:eastAsia="ar-SA"/>
              </w:rPr>
              <w:t xml:space="preserve"> </w:t>
            </w:r>
            <w:r w:rsidRPr="004256BA">
              <w:rPr>
                <w:rFonts w:cs="Arial"/>
                <w:bCs/>
                <w:noProof/>
                <w:szCs w:val="20"/>
                <w:lang w:eastAsia="ar-SA"/>
              </w:rPr>
              <w:t>aadress</w:t>
            </w:r>
            <w:r w:rsidRPr="004256BA">
              <w:rPr>
                <w:rFonts w:cs="Arial"/>
                <w:b/>
                <w:bCs/>
                <w:noProof/>
                <w:szCs w:val="20"/>
                <w:lang w:eastAsia="ar-SA"/>
              </w:rPr>
              <w:t xml:space="preserve"> </w:t>
            </w:r>
            <w:r w:rsidRPr="004256BA">
              <w:rPr>
                <w:rFonts w:cs="Arial"/>
                <w:bCs/>
                <w:noProof/>
                <w:szCs w:val="20"/>
                <w:lang w:eastAsia="ar-SA"/>
              </w:rPr>
              <w:t>[●], keda esindab juhatuse liige [●]</w:t>
            </w:r>
            <w:r w:rsidR="007F6A8D">
              <w:rPr>
                <w:rFonts w:cs="Arial"/>
                <w:bCs/>
                <w:noProof/>
                <w:szCs w:val="20"/>
                <w:lang w:eastAsia="ar-SA"/>
              </w:rPr>
              <w:t>,</w:t>
            </w:r>
            <w:r w:rsidRPr="004256BA">
              <w:rPr>
                <w:rFonts w:cs="Arial"/>
                <w:bCs/>
                <w:noProof/>
                <w:szCs w:val="20"/>
                <w:lang w:eastAsia="ar-SA"/>
              </w:rPr>
              <w:t> </w:t>
            </w:r>
          </w:p>
        </w:tc>
        <w:tc>
          <w:tcPr>
            <w:tcW w:w="4531" w:type="dxa"/>
          </w:tcPr>
          <w:p w14:paraId="56A996CD" w14:textId="4E376E3F" w:rsidR="00EF0E1E" w:rsidRPr="004256BA" w:rsidRDefault="00EF0E1E" w:rsidP="00AA09CA">
            <w:pPr>
              <w:pStyle w:val="ListParagraph"/>
              <w:spacing w:after="200" w:line="276" w:lineRule="auto"/>
              <w:ind w:left="360"/>
              <w:jc w:val="both"/>
              <w:rPr>
                <w:rFonts w:cs="Arial"/>
                <w:bCs/>
                <w:noProof/>
                <w:szCs w:val="20"/>
                <w:lang w:val="en-GB" w:eastAsia="ar-SA"/>
              </w:rPr>
            </w:pPr>
            <w:r w:rsidRPr="004256BA">
              <w:rPr>
                <w:rFonts w:cs="Arial"/>
                <w:bCs/>
                <w:noProof/>
                <w:szCs w:val="20"/>
                <w:lang w:val="en-GB" w:eastAsia="ar-SA"/>
              </w:rPr>
              <w:t>[●] (hereinafter referred to as</w:t>
            </w:r>
            <w:r w:rsidRPr="004256BA">
              <w:rPr>
                <w:rFonts w:cs="Arial"/>
                <w:b/>
                <w:bCs/>
                <w:noProof/>
                <w:szCs w:val="20"/>
                <w:lang w:val="en-GB" w:eastAsia="ar-SA"/>
              </w:rPr>
              <w:t xml:space="preserve"> the Participant</w:t>
            </w:r>
            <w:r w:rsidRPr="004256BA">
              <w:rPr>
                <w:rFonts w:cs="Arial"/>
                <w:bCs/>
                <w:noProof/>
                <w:szCs w:val="20"/>
                <w:lang w:val="en-GB" w:eastAsia="ar-SA"/>
              </w:rPr>
              <w:t>), registry code [●], address [●], represented by a member of the Management Board [●]</w:t>
            </w:r>
            <w:r w:rsidR="007F6A8D">
              <w:rPr>
                <w:rFonts w:cs="Arial"/>
                <w:bCs/>
                <w:noProof/>
                <w:szCs w:val="20"/>
                <w:lang w:val="en-GB" w:eastAsia="ar-SA"/>
              </w:rPr>
              <w:t>,</w:t>
            </w:r>
            <w:r w:rsidRPr="004256BA">
              <w:rPr>
                <w:rFonts w:cs="Arial"/>
                <w:bCs/>
                <w:noProof/>
                <w:szCs w:val="20"/>
                <w:lang w:val="en-GB" w:eastAsia="ar-SA"/>
              </w:rPr>
              <w:t xml:space="preserve"> </w:t>
            </w:r>
          </w:p>
          <w:p w14:paraId="556F0169" w14:textId="77777777" w:rsidR="00D66340" w:rsidRPr="007254C4" w:rsidRDefault="00D66340" w:rsidP="00AA09CA">
            <w:pPr>
              <w:jc w:val="both"/>
              <w:rPr>
                <w:rFonts w:cs="Arial"/>
                <w:b/>
                <w:bCs/>
                <w:noProof/>
                <w:szCs w:val="20"/>
                <w:lang w:val="en-GB" w:eastAsia="ar-SA"/>
              </w:rPr>
            </w:pPr>
          </w:p>
        </w:tc>
      </w:tr>
      <w:tr w:rsidR="00D66340" w14:paraId="7BC48A5D" w14:textId="77777777" w:rsidTr="00D66340">
        <w:tc>
          <w:tcPr>
            <w:tcW w:w="4531" w:type="dxa"/>
          </w:tcPr>
          <w:p w14:paraId="1EB7EEB3" w14:textId="77777777" w:rsidR="00D66340" w:rsidRPr="004256BA" w:rsidRDefault="00D66340" w:rsidP="00AA09CA">
            <w:pPr>
              <w:pStyle w:val="ListParagraph"/>
              <w:ind w:left="360"/>
              <w:jc w:val="both"/>
              <w:rPr>
                <w:rFonts w:cs="Arial"/>
                <w:bCs/>
                <w:noProof/>
                <w:szCs w:val="20"/>
                <w:lang w:eastAsia="ar-SA"/>
              </w:rPr>
            </w:pPr>
            <w:r w:rsidRPr="004256BA">
              <w:rPr>
                <w:rFonts w:cs="Arial"/>
                <w:bCs/>
                <w:noProof/>
                <w:szCs w:val="20"/>
                <w:lang w:eastAsia="ar-SA"/>
              </w:rPr>
              <w:t>edaspidi koos „</w:t>
            </w:r>
            <w:r w:rsidRPr="004256BA">
              <w:rPr>
                <w:rFonts w:cs="Arial"/>
                <w:b/>
                <w:bCs/>
                <w:noProof/>
                <w:szCs w:val="20"/>
                <w:lang w:eastAsia="ar-SA"/>
              </w:rPr>
              <w:t>Pooled</w:t>
            </w:r>
            <w:r w:rsidRPr="004256BA">
              <w:rPr>
                <w:rFonts w:cs="Arial"/>
                <w:bCs/>
                <w:noProof/>
                <w:szCs w:val="20"/>
                <w:lang w:eastAsia="ar-SA"/>
              </w:rPr>
              <w:t>” ja eraldi „</w:t>
            </w:r>
            <w:r w:rsidRPr="004256BA">
              <w:rPr>
                <w:rFonts w:cs="Arial"/>
                <w:b/>
                <w:bCs/>
                <w:noProof/>
                <w:szCs w:val="20"/>
                <w:lang w:eastAsia="ar-SA"/>
              </w:rPr>
              <w:t>Pool</w:t>
            </w:r>
            <w:r w:rsidRPr="004256BA">
              <w:rPr>
                <w:rFonts w:cs="Arial"/>
                <w:bCs/>
                <w:noProof/>
                <w:szCs w:val="20"/>
                <w:lang w:eastAsia="ar-SA"/>
              </w:rPr>
              <w:t xml:space="preserve">”.  </w:t>
            </w:r>
          </w:p>
          <w:p w14:paraId="6F6C2457" w14:textId="77777777" w:rsidR="00D66340" w:rsidRPr="006F4A86" w:rsidRDefault="00D66340" w:rsidP="00AA09CA">
            <w:pPr>
              <w:spacing w:after="200" w:line="276" w:lineRule="auto"/>
              <w:jc w:val="both"/>
              <w:rPr>
                <w:rFonts w:cs="Arial"/>
                <w:bCs/>
                <w:noProof/>
                <w:szCs w:val="20"/>
                <w:lang w:eastAsia="ar-SA"/>
              </w:rPr>
            </w:pPr>
          </w:p>
        </w:tc>
        <w:tc>
          <w:tcPr>
            <w:tcW w:w="4531" w:type="dxa"/>
          </w:tcPr>
          <w:p w14:paraId="0B1D9E23" w14:textId="77777777" w:rsidR="00EF0E1E" w:rsidRPr="004256BA" w:rsidRDefault="00EF0E1E" w:rsidP="00AA09CA">
            <w:pPr>
              <w:pStyle w:val="ListParagraph"/>
              <w:ind w:left="360"/>
              <w:jc w:val="both"/>
              <w:rPr>
                <w:rFonts w:cs="Arial"/>
                <w:bCs/>
                <w:noProof/>
                <w:szCs w:val="20"/>
                <w:lang w:val="en-GB" w:eastAsia="ar-SA"/>
              </w:rPr>
            </w:pPr>
            <w:r w:rsidRPr="004256BA">
              <w:rPr>
                <w:rFonts w:cs="Arial"/>
                <w:bCs/>
                <w:noProof/>
                <w:szCs w:val="20"/>
                <w:lang w:val="en-GB" w:eastAsia="ar-SA"/>
              </w:rPr>
              <w:t>hereinafter referred to collectively as the "</w:t>
            </w:r>
            <w:r w:rsidRPr="004256BA">
              <w:rPr>
                <w:rFonts w:cs="Arial"/>
                <w:b/>
                <w:bCs/>
                <w:noProof/>
                <w:szCs w:val="20"/>
                <w:lang w:val="en-GB" w:eastAsia="ar-SA"/>
              </w:rPr>
              <w:t>Parties</w:t>
            </w:r>
            <w:r w:rsidRPr="004256BA">
              <w:rPr>
                <w:rFonts w:cs="Arial"/>
                <w:bCs/>
                <w:noProof/>
                <w:szCs w:val="20"/>
                <w:lang w:val="en-GB" w:eastAsia="ar-SA"/>
              </w:rPr>
              <w:t>" and separately as the "</w:t>
            </w:r>
            <w:r w:rsidRPr="004256BA">
              <w:rPr>
                <w:rFonts w:cs="Arial"/>
                <w:b/>
                <w:bCs/>
                <w:noProof/>
                <w:szCs w:val="20"/>
                <w:lang w:val="en-GB" w:eastAsia="ar-SA"/>
              </w:rPr>
              <w:t>Party</w:t>
            </w:r>
            <w:r w:rsidRPr="004256BA">
              <w:rPr>
                <w:rFonts w:cs="Arial"/>
                <w:bCs/>
                <w:noProof/>
                <w:szCs w:val="20"/>
                <w:lang w:val="en-GB" w:eastAsia="ar-SA"/>
              </w:rPr>
              <w:t xml:space="preserve">".  </w:t>
            </w:r>
          </w:p>
          <w:p w14:paraId="22BB053C" w14:textId="77777777" w:rsidR="00D66340" w:rsidRPr="007254C4" w:rsidRDefault="00D66340" w:rsidP="00AA09CA">
            <w:pPr>
              <w:ind w:left="179"/>
              <w:jc w:val="both"/>
              <w:rPr>
                <w:rFonts w:cs="Arial"/>
                <w:b/>
                <w:bCs/>
                <w:noProof/>
                <w:szCs w:val="20"/>
                <w:lang w:val="en-GB" w:eastAsia="ar-SA"/>
              </w:rPr>
            </w:pPr>
          </w:p>
        </w:tc>
      </w:tr>
      <w:tr w:rsidR="00D66340" w14:paraId="1C5A4412" w14:textId="77777777" w:rsidTr="00D66340">
        <w:tc>
          <w:tcPr>
            <w:tcW w:w="4531" w:type="dxa"/>
          </w:tcPr>
          <w:p w14:paraId="1D245641" w14:textId="77777777" w:rsidR="00D66340" w:rsidRPr="004256BA" w:rsidRDefault="00D66340" w:rsidP="00AA09CA">
            <w:pPr>
              <w:pStyle w:val="ListParagraph"/>
              <w:ind w:left="360"/>
              <w:jc w:val="both"/>
              <w:rPr>
                <w:rFonts w:cs="Arial"/>
                <w:b/>
                <w:noProof/>
                <w:szCs w:val="20"/>
                <w:lang w:eastAsia="ar-SA"/>
              </w:rPr>
            </w:pPr>
            <w:r w:rsidRPr="004256BA">
              <w:rPr>
                <w:rFonts w:cs="Arial"/>
                <w:bCs/>
                <w:noProof/>
                <w:szCs w:val="20"/>
                <w:lang w:eastAsia="ar-SA"/>
              </w:rPr>
              <w:t>Võttes</w:t>
            </w:r>
            <w:r w:rsidRPr="004256BA">
              <w:rPr>
                <w:rFonts w:cs="Arial"/>
                <w:b/>
                <w:noProof/>
                <w:szCs w:val="20"/>
                <w:lang w:eastAsia="ar-SA"/>
              </w:rPr>
              <w:t xml:space="preserve"> arvesse, et: </w:t>
            </w:r>
          </w:p>
          <w:p w14:paraId="539C6F24" w14:textId="77777777" w:rsidR="00D66340" w:rsidRPr="006F4A86" w:rsidRDefault="00D66340" w:rsidP="00AA09CA">
            <w:pPr>
              <w:ind w:left="-142"/>
              <w:jc w:val="both"/>
              <w:rPr>
                <w:rFonts w:cs="Arial"/>
                <w:bCs/>
                <w:noProof/>
                <w:szCs w:val="20"/>
                <w:lang w:eastAsia="ar-SA"/>
              </w:rPr>
            </w:pPr>
          </w:p>
        </w:tc>
        <w:tc>
          <w:tcPr>
            <w:tcW w:w="4531" w:type="dxa"/>
          </w:tcPr>
          <w:p w14:paraId="6613DFB3" w14:textId="77777777" w:rsidR="00EF0E1E" w:rsidRPr="004256BA" w:rsidRDefault="00EF0E1E" w:rsidP="00AA09CA">
            <w:pPr>
              <w:pStyle w:val="ListParagraph"/>
              <w:ind w:left="360"/>
              <w:jc w:val="both"/>
              <w:rPr>
                <w:rFonts w:cs="Arial"/>
                <w:b/>
                <w:noProof/>
                <w:szCs w:val="20"/>
                <w:lang w:val="en-GB" w:eastAsia="ar-SA"/>
              </w:rPr>
            </w:pPr>
            <w:r w:rsidRPr="004256BA">
              <w:rPr>
                <w:rFonts w:cs="Arial"/>
                <w:bCs/>
                <w:noProof/>
                <w:szCs w:val="20"/>
                <w:lang w:val="en-GB" w:eastAsia="ar-SA"/>
              </w:rPr>
              <w:t>Taking</w:t>
            </w:r>
            <w:r w:rsidRPr="004256BA">
              <w:rPr>
                <w:rFonts w:cs="Arial"/>
                <w:b/>
                <w:noProof/>
                <w:szCs w:val="20"/>
                <w:lang w:val="en-GB" w:eastAsia="ar-SA"/>
              </w:rPr>
              <w:t xml:space="preserve"> into account that: </w:t>
            </w:r>
          </w:p>
          <w:p w14:paraId="33609C55" w14:textId="77777777" w:rsidR="00D66340" w:rsidRPr="007254C4" w:rsidRDefault="00D66340" w:rsidP="00AA09CA">
            <w:pPr>
              <w:jc w:val="both"/>
              <w:rPr>
                <w:rFonts w:cs="Arial"/>
                <w:b/>
                <w:bCs/>
                <w:noProof/>
                <w:szCs w:val="20"/>
                <w:lang w:val="en-GB" w:eastAsia="ar-SA"/>
              </w:rPr>
            </w:pPr>
          </w:p>
        </w:tc>
      </w:tr>
      <w:tr w:rsidR="00D66340" w14:paraId="031D5957" w14:textId="77777777" w:rsidTr="00D66340">
        <w:tc>
          <w:tcPr>
            <w:tcW w:w="4531" w:type="dxa"/>
          </w:tcPr>
          <w:p w14:paraId="660A7748" w14:textId="43C56432" w:rsidR="00D66340" w:rsidRPr="00275F7C" w:rsidRDefault="008C51AF" w:rsidP="00AA09CA">
            <w:pPr>
              <w:pStyle w:val="ListParagraph"/>
              <w:suppressAutoHyphens/>
              <w:ind w:left="360"/>
              <w:jc w:val="both"/>
              <w:rPr>
                <w:rFonts w:cs="Arial"/>
                <w:bCs/>
                <w:noProof/>
                <w:szCs w:val="20"/>
              </w:rPr>
            </w:pPr>
            <w:r w:rsidRPr="00275F7C">
              <w:rPr>
                <w:rFonts w:cs="Arial"/>
                <w:bCs/>
                <w:noProof/>
                <w:szCs w:val="20"/>
              </w:rPr>
              <w:t xml:space="preserve">1) </w:t>
            </w:r>
            <w:r w:rsidR="00D66340" w:rsidRPr="00275F7C">
              <w:rPr>
                <w:rFonts w:cs="Arial"/>
                <w:bCs/>
                <w:noProof/>
                <w:szCs w:val="20"/>
              </w:rPr>
              <w:t xml:space="preserve">RKIK on </w:t>
            </w:r>
            <w:r w:rsidR="00275F7C">
              <w:rPr>
                <w:rFonts w:cs="Arial"/>
                <w:bCs/>
                <w:noProof/>
                <w:szCs w:val="20"/>
              </w:rPr>
              <w:t>09.</w:t>
            </w:r>
            <w:r w:rsidR="00D66340" w:rsidRPr="00275F7C">
              <w:rPr>
                <w:rFonts w:cs="Arial"/>
                <w:bCs/>
                <w:noProof/>
                <w:szCs w:val="20"/>
              </w:rPr>
              <w:t xml:space="preserve">04.2025 kuulutanud välja valikpakkumise nr […] (väljaanne Ametlikud Teadaanded, teadaanne nr […]) riigi kaitsetööstuspargi loomiseks (edaspidi </w:t>
            </w:r>
            <w:r w:rsidR="00D66340" w:rsidRPr="00275F7C">
              <w:rPr>
                <w:rFonts w:cs="Arial"/>
                <w:b/>
                <w:noProof/>
                <w:szCs w:val="20"/>
              </w:rPr>
              <w:t>valikpakkumine</w:t>
            </w:r>
            <w:r w:rsidR="00D66340" w:rsidRPr="00275F7C">
              <w:rPr>
                <w:rFonts w:cs="Arial"/>
                <w:bCs/>
                <w:noProof/>
                <w:szCs w:val="20"/>
              </w:rPr>
              <w:t>)</w:t>
            </w:r>
            <w:r w:rsidR="00FE2D95" w:rsidRPr="00275F7C">
              <w:rPr>
                <w:rFonts w:cs="Arial"/>
                <w:bCs/>
                <w:noProof/>
                <w:szCs w:val="20"/>
              </w:rPr>
              <w:t>;</w:t>
            </w:r>
          </w:p>
          <w:p w14:paraId="0AEE890D" w14:textId="77777777" w:rsidR="00D66340" w:rsidRPr="00275F7C" w:rsidRDefault="00D66340" w:rsidP="00AA09CA">
            <w:pPr>
              <w:ind w:left="-142"/>
              <w:jc w:val="both"/>
              <w:rPr>
                <w:rFonts w:cs="Arial"/>
                <w:b/>
                <w:noProof/>
                <w:szCs w:val="20"/>
                <w:lang w:eastAsia="ar-SA"/>
              </w:rPr>
            </w:pPr>
          </w:p>
        </w:tc>
        <w:tc>
          <w:tcPr>
            <w:tcW w:w="4531" w:type="dxa"/>
          </w:tcPr>
          <w:p w14:paraId="7AFA5FEA" w14:textId="3A2F09DD" w:rsidR="00EF0E1E" w:rsidRPr="00275F7C" w:rsidRDefault="008C51AF" w:rsidP="00AA09CA">
            <w:pPr>
              <w:pStyle w:val="ListParagraph"/>
              <w:suppressAutoHyphens/>
              <w:ind w:left="360"/>
              <w:jc w:val="both"/>
              <w:rPr>
                <w:rFonts w:cs="Arial"/>
                <w:bCs/>
                <w:noProof/>
                <w:szCs w:val="20"/>
                <w:lang w:val="en-GB"/>
              </w:rPr>
            </w:pPr>
            <w:r w:rsidRPr="00275F7C">
              <w:rPr>
                <w:rFonts w:cs="Arial"/>
                <w:bCs/>
                <w:noProof/>
                <w:szCs w:val="20"/>
                <w:lang w:val="en-GB"/>
              </w:rPr>
              <w:t xml:space="preserve">1) </w:t>
            </w:r>
            <w:r w:rsidR="00EF0E1E" w:rsidRPr="00275F7C">
              <w:rPr>
                <w:rFonts w:cs="Arial"/>
                <w:bCs/>
                <w:noProof/>
                <w:szCs w:val="20"/>
                <w:lang w:val="en-GB"/>
              </w:rPr>
              <w:t xml:space="preserve">On </w:t>
            </w:r>
            <w:r w:rsidR="00275F7C">
              <w:rPr>
                <w:rFonts w:cs="Arial"/>
                <w:bCs/>
                <w:noProof/>
                <w:szCs w:val="20"/>
                <w:lang w:val="en-GB"/>
              </w:rPr>
              <w:t>09.</w:t>
            </w:r>
            <w:r w:rsidR="00EF0E1E" w:rsidRPr="00275F7C">
              <w:rPr>
                <w:rFonts w:cs="Arial"/>
                <w:bCs/>
                <w:noProof/>
                <w:szCs w:val="20"/>
                <w:lang w:val="en-GB"/>
              </w:rPr>
              <w:t>04.2025, the ECDI has announced a selective tender no. [...] (</w:t>
            </w:r>
            <w:r w:rsidRPr="00275F7C">
              <w:rPr>
                <w:rFonts w:cs="Arial"/>
                <w:bCs/>
                <w:i/>
                <w:iCs/>
                <w:noProof/>
                <w:szCs w:val="20"/>
                <w:lang w:val="en-GB"/>
              </w:rPr>
              <w:t>Ametlikud Teadaanded</w:t>
            </w:r>
            <w:r w:rsidR="00EF0E1E" w:rsidRPr="00275F7C">
              <w:rPr>
                <w:rFonts w:cs="Arial"/>
                <w:bCs/>
                <w:noProof/>
                <w:szCs w:val="20"/>
                <w:lang w:val="en-GB"/>
              </w:rPr>
              <w:t xml:space="preserve">, </w:t>
            </w:r>
            <w:r w:rsidRPr="00275F7C">
              <w:rPr>
                <w:rFonts w:cs="Arial"/>
                <w:bCs/>
                <w:noProof/>
                <w:szCs w:val="20"/>
                <w:lang w:val="en-GB"/>
              </w:rPr>
              <w:t>notice</w:t>
            </w:r>
            <w:r w:rsidR="00EF0E1E" w:rsidRPr="00275F7C">
              <w:rPr>
                <w:rFonts w:cs="Arial"/>
                <w:bCs/>
                <w:noProof/>
                <w:szCs w:val="20"/>
                <w:lang w:val="en-GB"/>
              </w:rPr>
              <w:t xml:space="preserve"> </w:t>
            </w:r>
            <w:r w:rsidR="00101871" w:rsidRPr="00275F7C">
              <w:rPr>
                <w:rFonts w:cs="Arial"/>
                <w:bCs/>
                <w:noProof/>
                <w:szCs w:val="20"/>
                <w:lang w:val="en-GB"/>
              </w:rPr>
              <w:t>n</w:t>
            </w:r>
            <w:r w:rsidR="00EF0E1E" w:rsidRPr="00275F7C">
              <w:rPr>
                <w:rFonts w:cs="Arial"/>
                <w:bCs/>
                <w:noProof/>
                <w:szCs w:val="20"/>
                <w:lang w:val="en-GB"/>
              </w:rPr>
              <w:t>o</w:t>
            </w:r>
            <w:r w:rsidR="00101871" w:rsidRPr="00275F7C">
              <w:rPr>
                <w:rFonts w:cs="Arial"/>
                <w:bCs/>
                <w:noProof/>
                <w:szCs w:val="20"/>
                <w:lang w:val="en-GB"/>
              </w:rPr>
              <w:t>.</w:t>
            </w:r>
            <w:r w:rsidR="00EF0E1E" w:rsidRPr="00275F7C">
              <w:rPr>
                <w:rFonts w:cs="Arial"/>
                <w:bCs/>
                <w:noProof/>
                <w:szCs w:val="20"/>
                <w:lang w:val="en-GB"/>
              </w:rPr>
              <w:t xml:space="preserve"> [...]) for the establishment of a national defence </w:t>
            </w:r>
            <w:r w:rsidRPr="00275F7C">
              <w:rPr>
                <w:rFonts w:cs="Arial"/>
                <w:bCs/>
                <w:noProof/>
                <w:szCs w:val="20"/>
                <w:lang w:val="en-GB"/>
              </w:rPr>
              <w:t>industry</w:t>
            </w:r>
            <w:r w:rsidR="00EF0E1E" w:rsidRPr="00275F7C">
              <w:rPr>
                <w:rFonts w:cs="Arial"/>
                <w:bCs/>
                <w:noProof/>
                <w:szCs w:val="20"/>
                <w:lang w:val="en-GB"/>
              </w:rPr>
              <w:t xml:space="preserve"> park (hereinafter</w:t>
            </w:r>
            <w:r w:rsidR="00EF0E1E" w:rsidRPr="00275F7C">
              <w:rPr>
                <w:rFonts w:cs="Arial"/>
                <w:b/>
                <w:noProof/>
                <w:szCs w:val="20"/>
                <w:lang w:val="en-GB"/>
              </w:rPr>
              <w:t xml:space="preserve"> the selective tender</w:t>
            </w:r>
            <w:r w:rsidR="00EF0E1E" w:rsidRPr="00275F7C">
              <w:rPr>
                <w:rFonts w:cs="Arial"/>
                <w:bCs/>
                <w:noProof/>
                <w:szCs w:val="20"/>
                <w:lang w:val="en-GB"/>
              </w:rPr>
              <w:t>)</w:t>
            </w:r>
            <w:r w:rsidR="00101871" w:rsidRPr="00275F7C">
              <w:rPr>
                <w:rFonts w:cs="Arial"/>
                <w:bCs/>
                <w:noProof/>
                <w:szCs w:val="20"/>
                <w:lang w:val="en-GB"/>
              </w:rPr>
              <w:t>;</w:t>
            </w:r>
          </w:p>
          <w:p w14:paraId="7C0C68CC" w14:textId="77777777" w:rsidR="00D66340" w:rsidRPr="00275F7C" w:rsidRDefault="00D66340" w:rsidP="00AA09CA">
            <w:pPr>
              <w:jc w:val="both"/>
              <w:rPr>
                <w:rFonts w:cs="Arial"/>
                <w:b/>
                <w:bCs/>
                <w:noProof/>
                <w:szCs w:val="20"/>
                <w:lang w:val="en-GB" w:eastAsia="ar-SA"/>
              </w:rPr>
            </w:pPr>
          </w:p>
        </w:tc>
      </w:tr>
      <w:tr w:rsidR="00D66340" w14:paraId="15A18970" w14:textId="77777777" w:rsidTr="00D66340">
        <w:tc>
          <w:tcPr>
            <w:tcW w:w="4531" w:type="dxa"/>
          </w:tcPr>
          <w:p w14:paraId="579A38DC" w14:textId="4C9539CC" w:rsidR="00D66340" w:rsidRPr="00F02BC7" w:rsidRDefault="008C51AF" w:rsidP="00AA09CA">
            <w:pPr>
              <w:pStyle w:val="ListParagraph"/>
              <w:suppressAutoHyphens/>
              <w:ind w:left="360"/>
              <w:jc w:val="both"/>
              <w:rPr>
                <w:rFonts w:cs="Arial"/>
                <w:bCs/>
                <w:noProof/>
                <w:szCs w:val="20"/>
              </w:rPr>
            </w:pPr>
            <w:r>
              <w:rPr>
                <w:rFonts w:cs="Arial"/>
                <w:bCs/>
                <w:noProof/>
                <w:szCs w:val="20"/>
              </w:rPr>
              <w:t xml:space="preserve">2) </w:t>
            </w:r>
            <w:r w:rsidR="00D66340">
              <w:rPr>
                <w:rFonts w:cs="Arial"/>
                <w:bCs/>
                <w:noProof/>
                <w:szCs w:val="20"/>
              </w:rPr>
              <w:t xml:space="preserve">Valikpakkumisel osalemise ning valikpakkumisel taotluste ja pakkumiste esitamise ja menetlemisega seoses võivad Pooled avaldada üksteisele konfidentsiaalset informatsiooni </w:t>
            </w:r>
            <w:r w:rsidR="00D66340" w:rsidRPr="00F02BC7">
              <w:rPr>
                <w:rFonts w:cs="Arial"/>
                <w:bCs/>
                <w:noProof/>
                <w:szCs w:val="20"/>
              </w:rPr>
              <w:t xml:space="preserve">(edaspidi ka </w:t>
            </w:r>
            <w:r w:rsidR="00D66340" w:rsidRPr="00F02BC7">
              <w:rPr>
                <w:rFonts w:cs="Arial"/>
                <w:b/>
                <w:noProof/>
                <w:szCs w:val="20"/>
              </w:rPr>
              <w:t xml:space="preserve">Konfidentsiaalne </w:t>
            </w:r>
            <w:r w:rsidR="00D66340">
              <w:rPr>
                <w:rFonts w:cs="Arial"/>
                <w:b/>
                <w:noProof/>
                <w:szCs w:val="20"/>
              </w:rPr>
              <w:t>T</w:t>
            </w:r>
            <w:r w:rsidR="00D66340" w:rsidRPr="00F02BC7">
              <w:rPr>
                <w:rFonts w:cs="Arial"/>
                <w:b/>
                <w:noProof/>
                <w:szCs w:val="20"/>
              </w:rPr>
              <w:t>eave</w:t>
            </w:r>
            <w:r w:rsidR="00D66340" w:rsidRPr="00F02BC7">
              <w:rPr>
                <w:rFonts w:cs="Arial"/>
                <w:bCs/>
                <w:noProof/>
                <w:szCs w:val="20"/>
              </w:rPr>
              <w:t xml:space="preserve"> või </w:t>
            </w:r>
            <w:r w:rsidR="00D66340" w:rsidRPr="00F02BC7">
              <w:rPr>
                <w:rFonts w:cs="Arial"/>
                <w:b/>
                <w:noProof/>
                <w:szCs w:val="20"/>
              </w:rPr>
              <w:t>Teave</w:t>
            </w:r>
            <w:r w:rsidR="00D66340" w:rsidRPr="00F02BC7">
              <w:rPr>
                <w:rFonts w:cs="Arial"/>
                <w:bCs/>
                <w:noProof/>
                <w:szCs w:val="20"/>
              </w:rPr>
              <w:t>)</w:t>
            </w:r>
            <w:r w:rsidR="00D66340">
              <w:rPr>
                <w:rFonts w:cs="Arial"/>
                <w:bCs/>
                <w:noProof/>
                <w:szCs w:val="20"/>
              </w:rPr>
              <w:t>,</w:t>
            </w:r>
          </w:p>
          <w:p w14:paraId="3702EAAA" w14:textId="77777777" w:rsidR="00D66340" w:rsidRPr="00D66340" w:rsidRDefault="00D66340" w:rsidP="00AA09CA">
            <w:pPr>
              <w:suppressAutoHyphens/>
              <w:ind w:left="-142"/>
              <w:jc w:val="both"/>
              <w:rPr>
                <w:rFonts w:cs="Arial"/>
                <w:bCs/>
                <w:noProof/>
                <w:szCs w:val="20"/>
              </w:rPr>
            </w:pPr>
          </w:p>
        </w:tc>
        <w:tc>
          <w:tcPr>
            <w:tcW w:w="4531" w:type="dxa"/>
          </w:tcPr>
          <w:p w14:paraId="1159585D" w14:textId="18BC4D24" w:rsidR="00EF0E1E" w:rsidRPr="001174F5" w:rsidRDefault="008C51AF" w:rsidP="00AA09CA">
            <w:pPr>
              <w:pStyle w:val="ListParagraph"/>
              <w:suppressAutoHyphens/>
              <w:ind w:left="360"/>
              <w:jc w:val="both"/>
              <w:rPr>
                <w:rFonts w:cs="Arial"/>
                <w:bCs/>
                <w:noProof/>
                <w:szCs w:val="20"/>
                <w:lang w:val="en-GB"/>
              </w:rPr>
            </w:pPr>
            <w:r>
              <w:rPr>
                <w:rFonts w:cs="Arial"/>
                <w:bCs/>
                <w:noProof/>
                <w:szCs w:val="20"/>
                <w:lang w:val="en-GB"/>
              </w:rPr>
              <w:t xml:space="preserve">2) </w:t>
            </w:r>
            <w:r w:rsidR="00EF0E1E" w:rsidRPr="001174F5">
              <w:rPr>
                <w:rFonts w:cs="Arial"/>
                <w:bCs/>
                <w:noProof/>
                <w:szCs w:val="20"/>
                <w:lang w:val="en-GB"/>
              </w:rPr>
              <w:t xml:space="preserve">In connection with participation in the selective tender and the submission and processing of applications and offers in the selective tender, the Parties may disclose confidential information to each other (hereinafter also referred to as </w:t>
            </w:r>
            <w:r w:rsidR="00EF0E1E" w:rsidRPr="001174F5">
              <w:rPr>
                <w:rFonts w:cs="Arial"/>
                <w:b/>
                <w:noProof/>
                <w:szCs w:val="20"/>
                <w:lang w:val="en-GB"/>
              </w:rPr>
              <w:t>Confidential Information</w:t>
            </w:r>
            <w:r w:rsidR="00EF0E1E" w:rsidRPr="001174F5">
              <w:rPr>
                <w:rFonts w:cs="Arial"/>
                <w:bCs/>
                <w:noProof/>
                <w:szCs w:val="20"/>
                <w:lang w:val="en-GB"/>
              </w:rPr>
              <w:t xml:space="preserve"> or </w:t>
            </w:r>
            <w:r w:rsidR="00EF0E1E" w:rsidRPr="001174F5">
              <w:rPr>
                <w:rFonts w:cs="Arial"/>
                <w:b/>
                <w:noProof/>
                <w:szCs w:val="20"/>
                <w:lang w:val="en-GB"/>
              </w:rPr>
              <w:t>Information</w:t>
            </w:r>
            <w:r w:rsidR="00EF0E1E" w:rsidRPr="001174F5">
              <w:rPr>
                <w:rFonts w:cs="Arial"/>
                <w:bCs/>
                <w:noProof/>
                <w:szCs w:val="20"/>
                <w:lang w:val="en-GB"/>
              </w:rPr>
              <w:t>),</w:t>
            </w:r>
          </w:p>
          <w:p w14:paraId="05F15048" w14:textId="77777777" w:rsidR="00D66340" w:rsidRPr="007254C4" w:rsidRDefault="00D66340" w:rsidP="00AA09CA">
            <w:pPr>
              <w:jc w:val="both"/>
              <w:rPr>
                <w:rFonts w:cs="Arial"/>
                <w:b/>
                <w:bCs/>
                <w:noProof/>
                <w:szCs w:val="20"/>
                <w:lang w:val="en-GB" w:eastAsia="ar-SA"/>
              </w:rPr>
            </w:pPr>
          </w:p>
        </w:tc>
      </w:tr>
      <w:tr w:rsidR="00D66340" w14:paraId="00B378BA" w14:textId="77777777" w:rsidTr="00D66340">
        <w:tc>
          <w:tcPr>
            <w:tcW w:w="4531" w:type="dxa"/>
          </w:tcPr>
          <w:p w14:paraId="2CA70CA1" w14:textId="3F9BFDC6" w:rsidR="00D66340" w:rsidRPr="004256BA" w:rsidRDefault="00D66340" w:rsidP="00AA09CA">
            <w:pPr>
              <w:pStyle w:val="ListParagraph"/>
              <w:ind w:left="360"/>
              <w:jc w:val="both"/>
              <w:rPr>
                <w:rFonts w:cs="Arial"/>
                <w:b/>
                <w:noProof/>
                <w:szCs w:val="20"/>
                <w:lang w:eastAsia="ar-SA"/>
              </w:rPr>
            </w:pPr>
            <w:r w:rsidRPr="004256BA">
              <w:rPr>
                <w:rFonts w:cs="Arial"/>
                <w:b/>
                <w:noProof/>
                <w:szCs w:val="20"/>
                <w:lang w:eastAsia="ar-SA"/>
              </w:rPr>
              <w:t>on Pooled kokku leppinud alljärgnevas</w:t>
            </w:r>
            <w:r w:rsidR="00A546F1">
              <w:rPr>
                <w:rFonts w:cs="Arial"/>
                <w:b/>
                <w:noProof/>
                <w:szCs w:val="20"/>
                <w:lang w:eastAsia="ar-SA"/>
              </w:rPr>
              <w:t>:</w:t>
            </w:r>
          </w:p>
          <w:p w14:paraId="43FDE985" w14:textId="77777777" w:rsidR="00D66340" w:rsidRDefault="00D66340" w:rsidP="00AA09CA">
            <w:pPr>
              <w:pStyle w:val="ListParagraph"/>
              <w:suppressAutoHyphens/>
              <w:ind w:left="218"/>
              <w:contextualSpacing w:val="0"/>
              <w:jc w:val="both"/>
              <w:rPr>
                <w:rFonts w:cs="Arial"/>
                <w:bCs/>
                <w:noProof/>
                <w:szCs w:val="20"/>
              </w:rPr>
            </w:pPr>
          </w:p>
        </w:tc>
        <w:tc>
          <w:tcPr>
            <w:tcW w:w="4531" w:type="dxa"/>
          </w:tcPr>
          <w:p w14:paraId="7431327F" w14:textId="5E636E51" w:rsidR="00EF0E1E" w:rsidRPr="004256BA" w:rsidRDefault="00EF0E1E" w:rsidP="00AA09CA">
            <w:pPr>
              <w:pStyle w:val="ListParagraph"/>
              <w:ind w:left="360"/>
              <w:jc w:val="both"/>
              <w:rPr>
                <w:rFonts w:cs="Arial"/>
                <w:b/>
                <w:noProof/>
                <w:szCs w:val="20"/>
                <w:lang w:val="en-GB" w:eastAsia="ar-SA"/>
              </w:rPr>
            </w:pPr>
            <w:r w:rsidRPr="004256BA">
              <w:rPr>
                <w:rFonts w:cs="Arial"/>
                <w:b/>
                <w:noProof/>
                <w:szCs w:val="20"/>
                <w:lang w:val="en-GB" w:eastAsia="ar-SA"/>
              </w:rPr>
              <w:t>the Parties have agreed on the following</w:t>
            </w:r>
            <w:r w:rsidR="00A546F1">
              <w:rPr>
                <w:rFonts w:cs="Arial"/>
                <w:b/>
                <w:noProof/>
                <w:szCs w:val="20"/>
                <w:lang w:val="en-GB" w:eastAsia="ar-SA"/>
              </w:rPr>
              <w:t>:</w:t>
            </w:r>
          </w:p>
          <w:p w14:paraId="7EF46429" w14:textId="77777777" w:rsidR="00D66340" w:rsidRPr="007254C4" w:rsidRDefault="00D66340" w:rsidP="00AA09CA">
            <w:pPr>
              <w:jc w:val="both"/>
              <w:rPr>
                <w:rFonts w:cs="Arial"/>
                <w:b/>
                <w:bCs/>
                <w:noProof/>
                <w:szCs w:val="20"/>
                <w:lang w:val="en-GB" w:eastAsia="ar-SA"/>
              </w:rPr>
            </w:pPr>
          </w:p>
        </w:tc>
      </w:tr>
      <w:tr w:rsidR="00D66340" w14:paraId="1BEB5AB8" w14:textId="77777777" w:rsidTr="00D66340">
        <w:tc>
          <w:tcPr>
            <w:tcW w:w="4531" w:type="dxa"/>
          </w:tcPr>
          <w:p w14:paraId="71BB7690" w14:textId="77777777" w:rsidR="00D66340" w:rsidRPr="00F02BC7" w:rsidRDefault="00D66340" w:rsidP="00AA09CA">
            <w:pPr>
              <w:pStyle w:val="ListParagraph"/>
              <w:numPr>
                <w:ilvl w:val="0"/>
                <w:numId w:val="19"/>
              </w:numPr>
              <w:suppressAutoHyphens/>
              <w:contextualSpacing w:val="0"/>
              <w:jc w:val="both"/>
              <w:rPr>
                <w:rFonts w:cs="Arial"/>
                <w:b/>
                <w:noProof/>
                <w:szCs w:val="20"/>
              </w:rPr>
            </w:pPr>
            <w:r w:rsidRPr="00F02BC7">
              <w:rPr>
                <w:rFonts w:cs="Arial"/>
                <w:b/>
                <w:noProof/>
                <w:szCs w:val="20"/>
              </w:rPr>
              <w:t>Üldtingimused</w:t>
            </w:r>
          </w:p>
          <w:p w14:paraId="3089B984" w14:textId="77777777" w:rsidR="00D66340" w:rsidRDefault="00D66340" w:rsidP="00AA09CA">
            <w:pPr>
              <w:jc w:val="both"/>
              <w:rPr>
                <w:rFonts w:cs="Arial"/>
                <w:b/>
                <w:noProof/>
                <w:szCs w:val="20"/>
                <w:lang w:eastAsia="ar-SA"/>
              </w:rPr>
            </w:pPr>
          </w:p>
        </w:tc>
        <w:tc>
          <w:tcPr>
            <w:tcW w:w="4531" w:type="dxa"/>
          </w:tcPr>
          <w:p w14:paraId="0A23BBC7" w14:textId="0EDC4D4D" w:rsidR="009203A8" w:rsidRPr="007254C4" w:rsidRDefault="009203A8" w:rsidP="00AA09CA">
            <w:pPr>
              <w:pStyle w:val="ListParagraph"/>
              <w:numPr>
                <w:ilvl w:val="0"/>
                <w:numId w:val="20"/>
              </w:numPr>
              <w:suppressAutoHyphens/>
              <w:contextualSpacing w:val="0"/>
              <w:jc w:val="both"/>
              <w:rPr>
                <w:rFonts w:cs="Arial"/>
                <w:b/>
                <w:noProof/>
                <w:szCs w:val="20"/>
                <w:lang w:val="en-GB"/>
              </w:rPr>
            </w:pPr>
            <w:r w:rsidRPr="007254C4">
              <w:rPr>
                <w:rFonts w:cs="Arial"/>
                <w:b/>
                <w:noProof/>
                <w:szCs w:val="20"/>
                <w:lang w:val="en-GB"/>
              </w:rPr>
              <w:t>General Terms and Conditions</w:t>
            </w:r>
          </w:p>
          <w:p w14:paraId="2E9EC4A9" w14:textId="77777777" w:rsidR="00D66340" w:rsidRPr="007254C4" w:rsidRDefault="00D66340" w:rsidP="00AA09CA">
            <w:pPr>
              <w:jc w:val="both"/>
              <w:rPr>
                <w:rFonts w:cs="Arial"/>
                <w:b/>
                <w:bCs/>
                <w:noProof/>
                <w:szCs w:val="20"/>
                <w:lang w:val="en-GB" w:eastAsia="ar-SA"/>
              </w:rPr>
            </w:pPr>
          </w:p>
        </w:tc>
      </w:tr>
      <w:tr w:rsidR="00D66340" w14:paraId="0E3355A7" w14:textId="77777777" w:rsidTr="00D66340">
        <w:tc>
          <w:tcPr>
            <w:tcW w:w="4531" w:type="dxa"/>
          </w:tcPr>
          <w:p w14:paraId="39CEF91D" w14:textId="6865A715" w:rsidR="00D66340" w:rsidRPr="006F4A86" w:rsidRDefault="00D66340" w:rsidP="00AA09CA">
            <w:pPr>
              <w:pStyle w:val="ListParagraph"/>
              <w:numPr>
                <w:ilvl w:val="1"/>
                <w:numId w:val="19"/>
              </w:numPr>
              <w:spacing w:line="276" w:lineRule="auto"/>
              <w:ind w:left="456" w:hanging="426"/>
              <w:jc w:val="both"/>
              <w:rPr>
                <w:rFonts w:cs="Arial"/>
                <w:bCs/>
                <w:noProof/>
                <w:szCs w:val="20"/>
              </w:rPr>
            </w:pPr>
            <w:r>
              <w:rPr>
                <w:rFonts w:cs="Arial"/>
                <w:bCs/>
                <w:noProof/>
                <w:szCs w:val="20"/>
              </w:rPr>
              <w:t>Lepingu</w:t>
            </w:r>
            <w:r w:rsidRPr="006F4A86">
              <w:rPr>
                <w:rFonts w:cs="Arial"/>
                <w:bCs/>
                <w:noProof/>
                <w:szCs w:val="20"/>
              </w:rPr>
              <w:t xml:space="preserve"> eesmärk on </w:t>
            </w:r>
            <w:r>
              <w:rPr>
                <w:rFonts w:cs="Arial"/>
                <w:bCs/>
                <w:noProof/>
                <w:szCs w:val="20"/>
              </w:rPr>
              <w:t>valikpakkumise</w:t>
            </w:r>
            <w:r w:rsidRPr="006F4A86">
              <w:rPr>
                <w:rFonts w:cs="Arial"/>
                <w:bCs/>
                <w:noProof/>
                <w:szCs w:val="20"/>
              </w:rPr>
              <w:t xml:space="preserve"> käigus </w:t>
            </w:r>
            <w:r>
              <w:rPr>
                <w:rFonts w:cs="Arial"/>
                <w:bCs/>
                <w:noProof/>
                <w:szCs w:val="20"/>
              </w:rPr>
              <w:t>Poolte</w:t>
            </w:r>
            <w:r w:rsidRPr="006F4A86">
              <w:rPr>
                <w:rFonts w:cs="Arial"/>
                <w:bCs/>
                <w:noProof/>
                <w:szCs w:val="20"/>
              </w:rPr>
              <w:t xml:space="preserve"> </w:t>
            </w:r>
            <w:r>
              <w:rPr>
                <w:rFonts w:cs="Arial"/>
                <w:bCs/>
                <w:noProof/>
                <w:szCs w:val="20"/>
              </w:rPr>
              <w:t>K</w:t>
            </w:r>
            <w:r w:rsidRPr="006F4A86">
              <w:rPr>
                <w:rFonts w:cs="Arial"/>
                <w:bCs/>
                <w:noProof/>
                <w:szCs w:val="20"/>
              </w:rPr>
              <w:t xml:space="preserve">onfidentsiaalse teabe kaitsmine. Käesoleva </w:t>
            </w:r>
            <w:r>
              <w:rPr>
                <w:rFonts w:cs="Arial"/>
                <w:bCs/>
                <w:noProof/>
                <w:szCs w:val="20"/>
              </w:rPr>
              <w:t xml:space="preserve">Lepingu </w:t>
            </w:r>
            <w:r w:rsidRPr="006F4A86">
              <w:rPr>
                <w:rFonts w:cs="Arial"/>
                <w:bCs/>
                <w:noProof/>
                <w:szCs w:val="20"/>
              </w:rPr>
              <w:t>allkirjastamisega kohustu</w:t>
            </w:r>
            <w:r>
              <w:rPr>
                <w:rFonts w:cs="Arial"/>
                <w:bCs/>
                <w:noProof/>
                <w:szCs w:val="20"/>
              </w:rPr>
              <w:t xml:space="preserve">vad Pooled </w:t>
            </w:r>
            <w:r w:rsidRPr="006F4A86">
              <w:rPr>
                <w:rFonts w:cs="Arial"/>
                <w:bCs/>
                <w:noProof/>
                <w:szCs w:val="20"/>
              </w:rPr>
              <w:t xml:space="preserve">hoidma </w:t>
            </w:r>
            <w:r>
              <w:rPr>
                <w:rFonts w:cs="Arial"/>
                <w:bCs/>
                <w:noProof/>
                <w:szCs w:val="20"/>
              </w:rPr>
              <w:t>konfidentsiaalsena teise Poole K</w:t>
            </w:r>
            <w:r w:rsidRPr="006F4A86">
              <w:rPr>
                <w:rFonts w:cs="Arial"/>
                <w:bCs/>
                <w:noProof/>
                <w:szCs w:val="20"/>
              </w:rPr>
              <w:t>onfidentsiaalse</w:t>
            </w:r>
            <w:r>
              <w:rPr>
                <w:rFonts w:cs="Arial"/>
                <w:bCs/>
                <w:noProof/>
                <w:szCs w:val="20"/>
              </w:rPr>
              <w:t>t Teavet</w:t>
            </w:r>
            <w:r w:rsidRPr="006F4A86">
              <w:rPr>
                <w:rFonts w:cs="Arial"/>
                <w:bCs/>
                <w:noProof/>
                <w:szCs w:val="20"/>
              </w:rPr>
              <w:t xml:space="preserve"> (edaspidi ka </w:t>
            </w:r>
            <w:r>
              <w:rPr>
                <w:rFonts w:cs="Arial"/>
                <w:b/>
                <w:noProof/>
                <w:szCs w:val="20"/>
              </w:rPr>
              <w:t>K</w:t>
            </w:r>
            <w:r w:rsidRPr="00F02BC7">
              <w:rPr>
                <w:rFonts w:cs="Arial"/>
                <w:b/>
                <w:noProof/>
                <w:szCs w:val="20"/>
              </w:rPr>
              <w:t>onfidentsiaalsuskohustus</w:t>
            </w:r>
            <w:r w:rsidRPr="006F4A86">
              <w:rPr>
                <w:rFonts w:cs="Arial"/>
                <w:bCs/>
                <w:noProof/>
                <w:szCs w:val="20"/>
              </w:rPr>
              <w:t>).</w:t>
            </w:r>
          </w:p>
          <w:p w14:paraId="55D41346" w14:textId="77777777" w:rsidR="00D66340" w:rsidRPr="00F02BC7" w:rsidRDefault="00D66340" w:rsidP="00AA09CA">
            <w:pPr>
              <w:pStyle w:val="ListParagraph"/>
              <w:suppressAutoHyphens/>
              <w:ind w:left="567"/>
              <w:contextualSpacing w:val="0"/>
              <w:jc w:val="both"/>
              <w:rPr>
                <w:rFonts w:cs="Arial"/>
                <w:b/>
                <w:noProof/>
                <w:szCs w:val="20"/>
              </w:rPr>
            </w:pPr>
          </w:p>
        </w:tc>
        <w:tc>
          <w:tcPr>
            <w:tcW w:w="4531" w:type="dxa"/>
          </w:tcPr>
          <w:p w14:paraId="2D542647" w14:textId="7DC0156D" w:rsidR="009203A8" w:rsidRPr="001174F5" w:rsidRDefault="009203A8" w:rsidP="00AA09CA">
            <w:pPr>
              <w:pStyle w:val="ListParagraph"/>
              <w:numPr>
                <w:ilvl w:val="1"/>
                <w:numId w:val="20"/>
              </w:numPr>
              <w:spacing w:line="276" w:lineRule="auto"/>
              <w:ind w:left="463" w:hanging="463"/>
              <w:jc w:val="both"/>
              <w:rPr>
                <w:rFonts w:cs="Arial"/>
                <w:bCs/>
                <w:noProof/>
                <w:szCs w:val="20"/>
                <w:lang w:val="en-GB"/>
              </w:rPr>
            </w:pPr>
            <w:r w:rsidRPr="001174F5">
              <w:rPr>
                <w:rFonts w:cs="Arial"/>
                <w:bCs/>
                <w:noProof/>
                <w:szCs w:val="20"/>
                <w:lang w:val="en-GB"/>
              </w:rPr>
              <w:t xml:space="preserve">The purpose of the Agreement is to protect the Confidential Information of the Parties during the selective tender. By signing this Agreement, the Parties undertake to keep confidential the Confidential Information of the other Party (hereinafter also referred to as </w:t>
            </w:r>
            <w:r w:rsidRPr="001174F5">
              <w:rPr>
                <w:rFonts w:cs="Arial"/>
                <w:b/>
                <w:noProof/>
                <w:szCs w:val="20"/>
                <w:lang w:val="en-GB"/>
              </w:rPr>
              <w:t>the Confidentiality Obligation</w:t>
            </w:r>
            <w:r w:rsidRPr="001174F5">
              <w:rPr>
                <w:rFonts w:cs="Arial"/>
                <w:bCs/>
                <w:noProof/>
                <w:szCs w:val="20"/>
                <w:lang w:val="en-GB"/>
              </w:rPr>
              <w:t>).</w:t>
            </w:r>
          </w:p>
          <w:p w14:paraId="43F44CCE" w14:textId="77777777" w:rsidR="00D66340" w:rsidRPr="007254C4" w:rsidRDefault="00D66340" w:rsidP="00AA09CA">
            <w:pPr>
              <w:jc w:val="both"/>
              <w:rPr>
                <w:rFonts w:cs="Arial"/>
                <w:b/>
                <w:bCs/>
                <w:noProof/>
                <w:szCs w:val="20"/>
                <w:lang w:val="en-GB" w:eastAsia="ar-SA"/>
              </w:rPr>
            </w:pPr>
          </w:p>
        </w:tc>
      </w:tr>
      <w:tr w:rsidR="00D66340" w14:paraId="26D41206" w14:textId="77777777" w:rsidTr="00D66340">
        <w:tc>
          <w:tcPr>
            <w:tcW w:w="4531" w:type="dxa"/>
          </w:tcPr>
          <w:p w14:paraId="4E7D9967" w14:textId="74F0C47C" w:rsidR="00D66340" w:rsidRPr="00D66340" w:rsidRDefault="00D66340" w:rsidP="00AA09CA">
            <w:pPr>
              <w:pStyle w:val="ListParagraph"/>
              <w:numPr>
                <w:ilvl w:val="1"/>
                <w:numId w:val="19"/>
              </w:numPr>
              <w:spacing w:line="276" w:lineRule="auto"/>
              <w:ind w:left="456" w:hanging="426"/>
              <w:jc w:val="both"/>
              <w:rPr>
                <w:rFonts w:cs="Arial"/>
                <w:bCs/>
                <w:noProof/>
                <w:szCs w:val="20"/>
              </w:rPr>
            </w:pPr>
            <w:r w:rsidRPr="006F4A86">
              <w:rPr>
                <w:rFonts w:cs="Arial"/>
                <w:bCs/>
                <w:noProof/>
                <w:szCs w:val="20"/>
              </w:rPr>
              <w:t>RKIK</w:t>
            </w:r>
            <w:r>
              <w:rPr>
                <w:rFonts w:cs="Arial"/>
                <w:bCs/>
                <w:noProof/>
                <w:szCs w:val="20"/>
              </w:rPr>
              <w:t xml:space="preserve"> on valikpakkumises riigivara kasutusse andmise korraldaja riigivara valitseja ülesandel ning RKIK-i</w:t>
            </w:r>
            <w:r w:rsidRPr="006F4A86">
              <w:rPr>
                <w:rFonts w:cs="Arial"/>
                <w:bCs/>
                <w:noProof/>
                <w:szCs w:val="20"/>
              </w:rPr>
              <w:t xml:space="preserve"> all peetakse </w:t>
            </w:r>
            <w:r w:rsidR="00AE3D73">
              <w:rPr>
                <w:rFonts w:cs="Arial"/>
                <w:bCs/>
                <w:noProof/>
                <w:szCs w:val="20"/>
              </w:rPr>
              <w:t xml:space="preserve">käesolevas Lepingus </w:t>
            </w:r>
            <w:r w:rsidRPr="006F4A86">
              <w:rPr>
                <w:rFonts w:cs="Arial"/>
                <w:bCs/>
                <w:noProof/>
                <w:szCs w:val="20"/>
              </w:rPr>
              <w:t xml:space="preserve">silmas ka </w:t>
            </w:r>
            <w:r>
              <w:rPr>
                <w:rFonts w:cs="Arial"/>
                <w:bCs/>
                <w:noProof/>
                <w:szCs w:val="20"/>
              </w:rPr>
              <w:t xml:space="preserve">riigivara valitsejat (Kaitseministeerium) ja tema valitsemisala riigikaitselisi asutusi. </w:t>
            </w:r>
          </w:p>
        </w:tc>
        <w:tc>
          <w:tcPr>
            <w:tcW w:w="4531" w:type="dxa"/>
          </w:tcPr>
          <w:p w14:paraId="4372D14B" w14:textId="70032282" w:rsidR="00D66340" w:rsidRPr="001174F5" w:rsidRDefault="009203A8" w:rsidP="00AA09CA">
            <w:pPr>
              <w:pStyle w:val="ListParagraph"/>
              <w:numPr>
                <w:ilvl w:val="1"/>
                <w:numId w:val="20"/>
              </w:numPr>
              <w:spacing w:line="276" w:lineRule="auto"/>
              <w:ind w:left="463" w:hanging="463"/>
              <w:jc w:val="both"/>
              <w:rPr>
                <w:rFonts w:cs="Arial"/>
                <w:b/>
                <w:bCs/>
                <w:noProof/>
                <w:szCs w:val="20"/>
                <w:lang w:val="en-GB" w:eastAsia="ar-SA"/>
              </w:rPr>
            </w:pPr>
            <w:r w:rsidRPr="001174F5">
              <w:rPr>
                <w:rFonts w:cs="Arial"/>
                <w:bCs/>
                <w:noProof/>
                <w:szCs w:val="20"/>
                <w:lang w:val="en-GB"/>
              </w:rPr>
              <w:t xml:space="preserve">In the selective tender, the ECDI is the organiser of granting the use of state assets on behalf of the administrator of state assets, and </w:t>
            </w:r>
            <w:r w:rsidR="004663D0">
              <w:rPr>
                <w:rFonts w:cs="Arial"/>
                <w:bCs/>
                <w:noProof/>
                <w:szCs w:val="20"/>
                <w:lang w:val="en-GB"/>
              </w:rPr>
              <w:t xml:space="preserve">in this Agreement </w:t>
            </w:r>
            <w:r w:rsidRPr="001174F5">
              <w:rPr>
                <w:rFonts w:cs="Arial"/>
                <w:bCs/>
                <w:noProof/>
                <w:szCs w:val="20"/>
                <w:lang w:val="en-GB"/>
              </w:rPr>
              <w:t>the ECDI also refers to the administrator of state assets (Ministry of Defence) and the national defence agencies in its area of government.</w:t>
            </w:r>
          </w:p>
        </w:tc>
      </w:tr>
      <w:tr w:rsidR="00D66340" w14:paraId="386A75FB" w14:textId="77777777" w:rsidTr="00D66340">
        <w:tc>
          <w:tcPr>
            <w:tcW w:w="4531" w:type="dxa"/>
          </w:tcPr>
          <w:p w14:paraId="381AAD5C" w14:textId="500D1F83" w:rsidR="00D66340" w:rsidRPr="006F4A86" w:rsidRDefault="00D66340" w:rsidP="00AA09CA">
            <w:pPr>
              <w:pStyle w:val="ListParagraph"/>
              <w:numPr>
                <w:ilvl w:val="1"/>
                <w:numId w:val="19"/>
              </w:numPr>
              <w:spacing w:line="276" w:lineRule="auto"/>
              <w:ind w:left="456" w:hanging="426"/>
              <w:jc w:val="both"/>
              <w:rPr>
                <w:rFonts w:cs="Arial"/>
                <w:bCs/>
                <w:noProof/>
                <w:szCs w:val="20"/>
              </w:rPr>
            </w:pPr>
            <w:r w:rsidRPr="001434E3">
              <w:rPr>
                <w:rFonts w:cs="Arial"/>
                <w:bCs/>
                <w:noProof/>
                <w:szCs w:val="20"/>
              </w:rPr>
              <w:lastRenderedPageBreak/>
              <w:t>Käesolev</w:t>
            </w:r>
            <w:r>
              <w:t xml:space="preserve"> Leping ei reguleeri riigisaladuse või salastatud </w:t>
            </w:r>
            <w:proofErr w:type="spellStart"/>
            <w:r>
              <w:t>välisteabe</w:t>
            </w:r>
            <w:proofErr w:type="spellEnd"/>
            <w:r>
              <w:t xml:space="preserve"> avaldamist, mida reguleerivad vahetult asjaomased õigusaktid.</w:t>
            </w:r>
          </w:p>
        </w:tc>
        <w:tc>
          <w:tcPr>
            <w:tcW w:w="4531" w:type="dxa"/>
          </w:tcPr>
          <w:p w14:paraId="7279742A" w14:textId="18555D32" w:rsidR="00D66340" w:rsidRPr="001174F5" w:rsidRDefault="009203A8" w:rsidP="00AA09CA">
            <w:pPr>
              <w:pStyle w:val="ListParagraph"/>
              <w:numPr>
                <w:ilvl w:val="1"/>
                <w:numId w:val="20"/>
              </w:numPr>
              <w:spacing w:line="276" w:lineRule="auto"/>
              <w:ind w:left="463" w:hanging="463"/>
              <w:jc w:val="both"/>
              <w:rPr>
                <w:rFonts w:cs="Arial"/>
                <w:b/>
                <w:bCs/>
                <w:noProof/>
                <w:szCs w:val="20"/>
                <w:lang w:val="en-GB" w:eastAsia="ar-SA"/>
              </w:rPr>
            </w:pPr>
            <w:r w:rsidRPr="001174F5">
              <w:rPr>
                <w:rFonts w:cs="Arial"/>
                <w:bCs/>
                <w:noProof/>
                <w:szCs w:val="20"/>
                <w:lang w:val="en-GB"/>
              </w:rPr>
              <w:t>This</w:t>
            </w:r>
            <w:r w:rsidRPr="001174F5">
              <w:rPr>
                <w:lang w:val="en-GB"/>
              </w:rPr>
              <w:t xml:space="preserve"> Agreement does not regulate the disclosure of state secrets or classified information of foreign </w:t>
            </w:r>
            <w:r w:rsidR="008C51AF">
              <w:rPr>
                <w:lang w:val="en-GB"/>
              </w:rPr>
              <w:t>states</w:t>
            </w:r>
            <w:r w:rsidRPr="001174F5">
              <w:rPr>
                <w:lang w:val="en-GB"/>
              </w:rPr>
              <w:t>, which is directly regulated by the relevant legislation</w:t>
            </w:r>
            <w:r w:rsidR="0030404C">
              <w:rPr>
                <w:lang w:val="en-GB"/>
              </w:rPr>
              <w:t>.</w:t>
            </w:r>
          </w:p>
        </w:tc>
      </w:tr>
      <w:tr w:rsidR="00D66340" w14:paraId="37ACA75B" w14:textId="77777777" w:rsidTr="00D66340">
        <w:tc>
          <w:tcPr>
            <w:tcW w:w="4531" w:type="dxa"/>
          </w:tcPr>
          <w:p w14:paraId="3236C745" w14:textId="486FBD75" w:rsidR="00D66340" w:rsidRPr="00D66340" w:rsidRDefault="00D66340" w:rsidP="00AA09CA">
            <w:pPr>
              <w:pStyle w:val="ListParagraph"/>
              <w:numPr>
                <w:ilvl w:val="0"/>
                <w:numId w:val="19"/>
              </w:numPr>
              <w:tabs>
                <w:tab w:val="clear" w:pos="360"/>
              </w:tabs>
              <w:suppressAutoHyphens/>
              <w:contextualSpacing w:val="0"/>
              <w:jc w:val="both"/>
              <w:rPr>
                <w:b/>
                <w:bCs/>
              </w:rPr>
            </w:pPr>
            <w:r w:rsidRPr="006711FC">
              <w:rPr>
                <w:b/>
                <w:bCs/>
              </w:rPr>
              <w:t>Konfidentsiaalne teave</w:t>
            </w:r>
          </w:p>
        </w:tc>
        <w:tc>
          <w:tcPr>
            <w:tcW w:w="4531" w:type="dxa"/>
          </w:tcPr>
          <w:p w14:paraId="7A8767F9" w14:textId="4BDF2053" w:rsidR="00D66340" w:rsidRPr="001174F5" w:rsidRDefault="007E6328" w:rsidP="00AA09CA">
            <w:pPr>
              <w:pStyle w:val="ListParagraph"/>
              <w:numPr>
                <w:ilvl w:val="0"/>
                <w:numId w:val="20"/>
              </w:numPr>
              <w:suppressAutoHyphens/>
              <w:contextualSpacing w:val="0"/>
              <w:jc w:val="both"/>
              <w:rPr>
                <w:rFonts w:cs="Arial"/>
                <w:b/>
                <w:bCs/>
                <w:noProof/>
                <w:szCs w:val="20"/>
                <w:lang w:val="en-GB" w:eastAsia="ar-SA"/>
              </w:rPr>
            </w:pPr>
            <w:r w:rsidRPr="009E674E">
              <w:rPr>
                <w:rFonts w:cs="Arial"/>
                <w:b/>
                <w:noProof/>
                <w:szCs w:val="20"/>
                <w:lang w:val="en-GB"/>
              </w:rPr>
              <w:t>Confidential</w:t>
            </w:r>
            <w:r w:rsidRPr="001174F5">
              <w:rPr>
                <w:b/>
                <w:bCs/>
                <w:lang w:val="en-GB"/>
              </w:rPr>
              <w:t xml:space="preserve"> information</w:t>
            </w:r>
          </w:p>
        </w:tc>
      </w:tr>
      <w:tr w:rsidR="00D66340" w14:paraId="3A451957" w14:textId="77777777" w:rsidTr="00D66340">
        <w:tc>
          <w:tcPr>
            <w:tcW w:w="4531" w:type="dxa"/>
          </w:tcPr>
          <w:p w14:paraId="751B589D" w14:textId="6A246D91" w:rsidR="00D66340" w:rsidRDefault="00D66340" w:rsidP="00AA09CA">
            <w:pPr>
              <w:pStyle w:val="ListParagraph"/>
              <w:numPr>
                <w:ilvl w:val="1"/>
                <w:numId w:val="19"/>
              </w:numPr>
              <w:spacing w:line="276" w:lineRule="auto"/>
              <w:ind w:left="456" w:hanging="426"/>
              <w:jc w:val="both"/>
            </w:pPr>
            <w:r w:rsidRPr="009203A8">
              <w:t>Konfidentsiaalne</w:t>
            </w:r>
            <w:r w:rsidRPr="002A351D">
              <w:t xml:space="preserve"> teave Lepingu tähenduses  on: </w:t>
            </w:r>
          </w:p>
          <w:p w14:paraId="48C625EE" w14:textId="77777777" w:rsidR="00D66340" w:rsidRPr="006711FC" w:rsidRDefault="00D66340" w:rsidP="00AA09CA">
            <w:pPr>
              <w:pStyle w:val="ListParagraph"/>
              <w:suppressAutoHyphens/>
              <w:ind w:left="567"/>
              <w:contextualSpacing w:val="0"/>
              <w:jc w:val="both"/>
              <w:rPr>
                <w:b/>
                <w:bCs/>
              </w:rPr>
            </w:pPr>
          </w:p>
        </w:tc>
        <w:tc>
          <w:tcPr>
            <w:tcW w:w="4531" w:type="dxa"/>
          </w:tcPr>
          <w:p w14:paraId="74AA09C1" w14:textId="643909D8" w:rsidR="00D66340" w:rsidRPr="001174F5" w:rsidRDefault="007E6328" w:rsidP="00AA09CA">
            <w:pPr>
              <w:pStyle w:val="ListParagraph"/>
              <w:numPr>
                <w:ilvl w:val="1"/>
                <w:numId w:val="20"/>
              </w:numPr>
              <w:spacing w:line="276" w:lineRule="auto"/>
              <w:ind w:left="463" w:hanging="463"/>
              <w:jc w:val="both"/>
              <w:rPr>
                <w:rFonts w:cs="Arial"/>
                <w:b/>
                <w:bCs/>
                <w:noProof/>
                <w:szCs w:val="20"/>
                <w:lang w:val="en-GB" w:eastAsia="ar-SA"/>
              </w:rPr>
            </w:pPr>
            <w:r w:rsidRPr="001174F5">
              <w:rPr>
                <w:rFonts w:cs="Arial"/>
                <w:bCs/>
                <w:noProof/>
                <w:szCs w:val="20"/>
                <w:lang w:val="en-GB"/>
              </w:rPr>
              <w:t>Confidential</w:t>
            </w:r>
            <w:r w:rsidRPr="001174F5">
              <w:rPr>
                <w:lang w:val="en-GB"/>
              </w:rPr>
              <w:t xml:space="preserve"> information for the purposes of the Agreement is:</w:t>
            </w:r>
          </w:p>
        </w:tc>
      </w:tr>
      <w:tr w:rsidR="003E7C7B" w14:paraId="1A978719" w14:textId="77777777" w:rsidTr="00D66340">
        <w:tc>
          <w:tcPr>
            <w:tcW w:w="4531" w:type="dxa"/>
          </w:tcPr>
          <w:p w14:paraId="5BB480EB" w14:textId="1D8ABC69" w:rsidR="003E7C7B" w:rsidRDefault="003E7C7B" w:rsidP="00AA09CA">
            <w:pPr>
              <w:pStyle w:val="ListParagraph"/>
              <w:numPr>
                <w:ilvl w:val="2"/>
                <w:numId w:val="19"/>
              </w:numPr>
              <w:spacing w:after="160" w:line="278" w:lineRule="auto"/>
              <w:ind w:left="597" w:hanging="567"/>
              <w:jc w:val="both"/>
            </w:pPr>
            <w:r>
              <w:t>valikpakkumise käigus Osaleja poolt taotluses</w:t>
            </w:r>
            <w:r w:rsidR="00957AAB">
              <w:t>, esialgses pakkumises</w:t>
            </w:r>
            <w:r w:rsidR="00993BFC">
              <w:t>, läbirääkimiste käigus</w:t>
            </w:r>
            <w:r>
              <w:t xml:space="preserve"> ja </w:t>
            </w:r>
            <w:r w:rsidR="00993BFC">
              <w:t xml:space="preserve">Osaleja </w:t>
            </w:r>
            <w:r w:rsidR="00547D44">
              <w:t xml:space="preserve">lõplikus </w:t>
            </w:r>
            <w:r>
              <w:t>pakkum</w:t>
            </w:r>
            <w:r w:rsidR="00957AAB">
              <w:t>i</w:t>
            </w:r>
            <w:r>
              <w:t>ses RKIK-</w:t>
            </w:r>
            <w:proofErr w:type="spellStart"/>
            <w:r>
              <w:t>ile</w:t>
            </w:r>
            <w:proofErr w:type="spellEnd"/>
            <w:r>
              <w:t xml:space="preserve"> esitatud teave Osaleja majandustegevuse kohta (muu hulgas teave </w:t>
            </w:r>
            <w:r w:rsidR="008C51AF">
              <w:t xml:space="preserve">toodete, </w:t>
            </w:r>
            <w:r>
              <w:t>seadmete, tarkvara, finantsnäitajate, klientide, tarnijate, ostu ja müügi mahtude</w:t>
            </w:r>
            <w:r w:rsidR="008C51AF">
              <w:t>,</w:t>
            </w:r>
            <w:r>
              <w:t xml:space="preserve"> hinnastamise kohta</w:t>
            </w:r>
            <w:r w:rsidR="008C51AF">
              <w:t xml:space="preserve"> jne</w:t>
            </w:r>
            <w:r>
              <w:t>);</w:t>
            </w:r>
          </w:p>
          <w:p w14:paraId="713C9F2B" w14:textId="77777777" w:rsidR="003E7C7B" w:rsidRPr="004E5BA0" w:rsidRDefault="003E7C7B" w:rsidP="00AA09CA">
            <w:pPr>
              <w:pStyle w:val="ListParagraph"/>
              <w:spacing w:line="276" w:lineRule="auto"/>
              <w:ind w:left="567"/>
              <w:jc w:val="both"/>
              <w:rPr>
                <w:rFonts w:cs="Arial"/>
                <w:bCs/>
                <w:noProof/>
                <w:szCs w:val="20"/>
              </w:rPr>
            </w:pPr>
          </w:p>
        </w:tc>
        <w:tc>
          <w:tcPr>
            <w:tcW w:w="4531" w:type="dxa"/>
          </w:tcPr>
          <w:p w14:paraId="3DB31774" w14:textId="440535D7"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30404C">
              <w:rPr>
                <w:rFonts w:cs="Arial"/>
                <w:bCs/>
                <w:noProof/>
                <w:szCs w:val="20"/>
                <w:lang w:val="en-GB"/>
              </w:rPr>
              <w:t>information</w:t>
            </w:r>
            <w:r w:rsidRPr="001174F5">
              <w:rPr>
                <w:lang w:val="en-GB"/>
              </w:rPr>
              <w:t xml:space="preserve"> submitted by the Participant to ECDI in the application</w:t>
            </w:r>
            <w:r w:rsidR="00C96F57">
              <w:rPr>
                <w:lang w:val="en-GB"/>
              </w:rPr>
              <w:t xml:space="preserve"> and</w:t>
            </w:r>
            <w:r w:rsidR="000B6374">
              <w:rPr>
                <w:lang w:val="en-GB"/>
              </w:rPr>
              <w:t xml:space="preserve"> </w:t>
            </w:r>
            <w:r w:rsidR="006B08A5">
              <w:rPr>
                <w:lang w:val="en-GB"/>
              </w:rPr>
              <w:t>preliminary offer</w:t>
            </w:r>
            <w:r w:rsidR="00C947C6">
              <w:rPr>
                <w:lang w:val="en-GB"/>
              </w:rPr>
              <w:t>, during the negotiations</w:t>
            </w:r>
            <w:r w:rsidRPr="001174F5">
              <w:rPr>
                <w:lang w:val="en-GB"/>
              </w:rPr>
              <w:t xml:space="preserve"> and </w:t>
            </w:r>
            <w:r w:rsidR="00C947C6">
              <w:rPr>
                <w:lang w:val="en-GB"/>
              </w:rPr>
              <w:t xml:space="preserve">in the Participant´s </w:t>
            </w:r>
            <w:r w:rsidR="00547D44">
              <w:rPr>
                <w:lang w:val="en-GB"/>
              </w:rPr>
              <w:t xml:space="preserve">final </w:t>
            </w:r>
            <w:r w:rsidRPr="001174F5">
              <w:rPr>
                <w:lang w:val="en-GB"/>
              </w:rPr>
              <w:t xml:space="preserve">offer in the course of the </w:t>
            </w:r>
            <w:r w:rsidRPr="001174F5">
              <w:rPr>
                <w:rFonts w:cs="Arial"/>
                <w:bCs/>
                <w:noProof/>
                <w:szCs w:val="20"/>
                <w:lang w:val="en-GB"/>
              </w:rPr>
              <w:t xml:space="preserve">selective tender </w:t>
            </w:r>
            <w:r w:rsidRPr="001174F5">
              <w:rPr>
                <w:lang w:val="en-GB"/>
              </w:rPr>
              <w:t xml:space="preserve">(including information on </w:t>
            </w:r>
            <w:r w:rsidR="008C51AF">
              <w:rPr>
                <w:lang w:val="en-GB"/>
              </w:rPr>
              <w:t xml:space="preserve">products, </w:t>
            </w:r>
            <w:r w:rsidRPr="001174F5">
              <w:rPr>
                <w:lang w:val="en-GB"/>
              </w:rPr>
              <w:t>equipment, software, financial indicators, customers, suppliers, purchase and sales volumes, pricing</w:t>
            </w:r>
            <w:r w:rsidR="007D661C">
              <w:rPr>
                <w:lang w:val="en-GB"/>
              </w:rPr>
              <w:t>,</w:t>
            </w:r>
            <w:r w:rsidR="008C51AF">
              <w:rPr>
                <w:lang w:val="en-GB"/>
              </w:rPr>
              <w:t xml:space="preserve"> </w:t>
            </w:r>
            <w:r w:rsidR="008C51AF" w:rsidRPr="008C51AF">
              <w:rPr>
                <w:i/>
                <w:iCs/>
                <w:lang w:val="en-GB"/>
              </w:rPr>
              <w:t>etc</w:t>
            </w:r>
            <w:r w:rsidR="008C51AF">
              <w:rPr>
                <w:lang w:val="en-GB"/>
              </w:rPr>
              <w:t>.</w:t>
            </w:r>
            <w:r w:rsidRPr="001174F5">
              <w:rPr>
                <w:lang w:val="en-GB"/>
              </w:rPr>
              <w:t>);</w:t>
            </w:r>
          </w:p>
        </w:tc>
      </w:tr>
      <w:tr w:rsidR="003E7C7B" w14:paraId="6B779985" w14:textId="77777777" w:rsidTr="00D66340">
        <w:tc>
          <w:tcPr>
            <w:tcW w:w="4531" w:type="dxa"/>
          </w:tcPr>
          <w:p w14:paraId="49EB7C4A" w14:textId="525C085A" w:rsidR="003E7C7B" w:rsidRDefault="003E7C7B" w:rsidP="00AA09CA">
            <w:pPr>
              <w:pStyle w:val="ListParagraph"/>
              <w:numPr>
                <w:ilvl w:val="2"/>
                <w:numId w:val="19"/>
              </w:numPr>
              <w:spacing w:after="160" w:line="278" w:lineRule="auto"/>
              <w:ind w:left="597" w:hanging="567"/>
              <w:jc w:val="both"/>
            </w:pPr>
            <w:proofErr w:type="spellStart"/>
            <w:r>
              <w:t>RKIK-i</w:t>
            </w:r>
            <w:proofErr w:type="spellEnd"/>
            <w:r>
              <w:t xml:space="preserve"> poolt valikpakkumise käigus Osalejale avaldatud teave riigikaitseliste strateegiate ja strateegiadokumentide kohta, kui teave on juurdepääsupiiranguga;</w:t>
            </w:r>
          </w:p>
        </w:tc>
        <w:tc>
          <w:tcPr>
            <w:tcW w:w="4531" w:type="dxa"/>
          </w:tcPr>
          <w:p w14:paraId="2AD484E6" w14:textId="5C6FDF8A" w:rsidR="007E6328" w:rsidRPr="001174F5" w:rsidRDefault="007E6328" w:rsidP="00AA09CA">
            <w:pPr>
              <w:pStyle w:val="ListParagraph"/>
              <w:numPr>
                <w:ilvl w:val="2"/>
                <w:numId w:val="20"/>
              </w:numPr>
              <w:spacing w:line="276" w:lineRule="auto"/>
              <w:ind w:left="604" w:hanging="604"/>
              <w:jc w:val="both"/>
              <w:rPr>
                <w:lang w:val="en-GB"/>
              </w:rPr>
            </w:pPr>
            <w:r w:rsidRPr="004256BA">
              <w:rPr>
                <w:rFonts w:cs="Arial"/>
                <w:bCs/>
                <w:noProof/>
                <w:szCs w:val="20"/>
                <w:lang w:val="en-GB"/>
              </w:rPr>
              <w:t>information</w:t>
            </w:r>
            <w:r w:rsidRPr="001174F5">
              <w:rPr>
                <w:lang w:val="en-GB"/>
              </w:rPr>
              <w:t xml:space="preserve"> disclosed by the ECDI to the Participant in the course of </w:t>
            </w:r>
            <w:r w:rsidR="00742B89">
              <w:rPr>
                <w:lang w:val="en-GB"/>
              </w:rPr>
              <w:t>the</w:t>
            </w:r>
            <w:r w:rsidRPr="001174F5">
              <w:rPr>
                <w:lang w:val="en-GB"/>
              </w:rPr>
              <w:t xml:space="preserve"> </w:t>
            </w:r>
            <w:r w:rsidRPr="001174F5">
              <w:rPr>
                <w:rFonts w:cs="Arial"/>
                <w:bCs/>
                <w:noProof/>
                <w:szCs w:val="20"/>
                <w:lang w:val="en-GB"/>
              </w:rPr>
              <w:t xml:space="preserve">selective tender </w:t>
            </w:r>
            <w:r w:rsidRPr="001174F5">
              <w:rPr>
                <w:lang w:val="en-GB"/>
              </w:rPr>
              <w:t xml:space="preserve">about national defence strategies and strategy documents, if the information is restricted </w:t>
            </w:r>
            <w:r w:rsidR="008C51AF">
              <w:rPr>
                <w:lang w:val="en-GB"/>
              </w:rPr>
              <w:t>information</w:t>
            </w:r>
            <w:r w:rsidRPr="001174F5">
              <w:rPr>
                <w:lang w:val="en-GB"/>
              </w:rPr>
              <w:t>;</w:t>
            </w:r>
          </w:p>
          <w:p w14:paraId="6A0C0DBA" w14:textId="77777777" w:rsidR="003E7C7B" w:rsidRPr="007254C4" w:rsidRDefault="003E7C7B" w:rsidP="00AA09CA">
            <w:pPr>
              <w:jc w:val="both"/>
              <w:rPr>
                <w:rFonts w:cs="Arial"/>
                <w:b/>
                <w:bCs/>
                <w:noProof/>
                <w:szCs w:val="20"/>
                <w:lang w:val="en-GB" w:eastAsia="ar-SA"/>
              </w:rPr>
            </w:pPr>
          </w:p>
        </w:tc>
      </w:tr>
      <w:tr w:rsidR="003E7C7B" w14:paraId="0B1257AC" w14:textId="77777777" w:rsidTr="00D66340">
        <w:tc>
          <w:tcPr>
            <w:tcW w:w="4531" w:type="dxa"/>
          </w:tcPr>
          <w:p w14:paraId="01B76175" w14:textId="566A9828" w:rsidR="003E7C7B" w:rsidRDefault="003E7C7B" w:rsidP="00AA09CA">
            <w:pPr>
              <w:pStyle w:val="ListParagraph"/>
              <w:numPr>
                <w:ilvl w:val="2"/>
                <w:numId w:val="19"/>
              </w:numPr>
              <w:spacing w:after="160" w:line="278" w:lineRule="auto"/>
              <w:ind w:left="597" w:hanging="567"/>
              <w:jc w:val="both"/>
            </w:pPr>
            <w:r>
              <w:t>valikpakkumise tulemusel sõlmitud lepingud ulatuses, milles need sisaldavad Konfidentsiaalset Teavet;</w:t>
            </w:r>
          </w:p>
        </w:tc>
        <w:tc>
          <w:tcPr>
            <w:tcW w:w="4531" w:type="dxa"/>
          </w:tcPr>
          <w:p w14:paraId="73226F3C" w14:textId="3437FD1D"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9E674E">
              <w:rPr>
                <w:rFonts w:cs="Arial"/>
                <w:bCs/>
                <w:noProof/>
                <w:szCs w:val="20"/>
                <w:lang w:val="en-GB"/>
              </w:rPr>
              <w:t>contracts</w:t>
            </w:r>
            <w:r w:rsidRPr="001174F5">
              <w:rPr>
                <w:lang w:val="en-GB"/>
              </w:rPr>
              <w:t xml:space="preserve"> </w:t>
            </w:r>
            <w:r w:rsidR="008C51AF">
              <w:rPr>
                <w:lang w:val="en-GB"/>
              </w:rPr>
              <w:t>concluded</w:t>
            </w:r>
            <w:r w:rsidRPr="001174F5">
              <w:rPr>
                <w:lang w:val="en-GB"/>
              </w:rPr>
              <w:t xml:space="preserve"> as a result of </w:t>
            </w:r>
            <w:r w:rsidR="00092D2E">
              <w:rPr>
                <w:lang w:val="en-GB"/>
              </w:rPr>
              <w:t>the</w:t>
            </w:r>
            <w:r w:rsidRPr="001174F5">
              <w:rPr>
                <w:lang w:val="en-GB"/>
              </w:rPr>
              <w:t xml:space="preserve"> </w:t>
            </w:r>
            <w:r w:rsidRPr="001174F5">
              <w:rPr>
                <w:rFonts w:cs="Arial"/>
                <w:bCs/>
                <w:noProof/>
                <w:szCs w:val="20"/>
                <w:lang w:val="en-GB"/>
              </w:rPr>
              <w:t xml:space="preserve">selective tender </w:t>
            </w:r>
            <w:r w:rsidRPr="001174F5">
              <w:rPr>
                <w:lang w:val="en-GB"/>
              </w:rPr>
              <w:t>to the extent that they contain Confidential Information</w:t>
            </w:r>
            <w:r w:rsidR="004256BA">
              <w:rPr>
                <w:lang w:val="en-GB"/>
              </w:rPr>
              <w:t>;</w:t>
            </w:r>
          </w:p>
        </w:tc>
      </w:tr>
      <w:tr w:rsidR="003E7C7B" w14:paraId="3573C9E9" w14:textId="77777777" w:rsidTr="00D66340">
        <w:tc>
          <w:tcPr>
            <w:tcW w:w="4531" w:type="dxa"/>
          </w:tcPr>
          <w:p w14:paraId="702B3FC2" w14:textId="4CEABD5D" w:rsidR="003E7C7B" w:rsidRDefault="003E7C7B" w:rsidP="00AA09CA">
            <w:pPr>
              <w:pStyle w:val="ListParagraph"/>
              <w:numPr>
                <w:ilvl w:val="2"/>
                <w:numId w:val="19"/>
              </w:numPr>
              <w:spacing w:after="160" w:line="278" w:lineRule="auto"/>
              <w:ind w:left="597" w:hanging="567"/>
              <w:jc w:val="both"/>
            </w:pPr>
            <w:r w:rsidRPr="00573283">
              <w:t xml:space="preserve">teave, mis on seotud </w:t>
            </w:r>
            <w:proofErr w:type="spellStart"/>
            <w:r w:rsidRPr="00573283">
              <w:t>RKIK-i</w:t>
            </w:r>
            <w:proofErr w:type="spellEnd"/>
            <w:r w:rsidRPr="00573283">
              <w:t xml:space="preserve"> või teiste riigiasutuste poolt kasutatavate ja loodavate IT-süsteemidega, sh kasutatavate süsteemilahenduste ja programmidega ning nende funktsionaalsusega</w:t>
            </w:r>
            <w:r>
              <w:t>;</w:t>
            </w:r>
          </w:p>
        </w:tc>
        <w:tc>
          <w:tcPr>
            <w:tcW w:w="4531" w:type="dxa"/>
          </w:tcPr>
          <w:p w14:paraId="4639E0D9" w14:textId="298BAB02"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9E674E">
              <w:rPr>
                <w:rFonts w:cs="Arial"/>
                <w:bCs/>
                <w:noProof/>
                <w:szCs w:val="20"/>
                <w:lang w:val="en-GB"/>
              </w:rPr>
              <w:t>information</w:t>
            </w:r>
            <w:r w:rsidRPr="001174F5">
              <w:rPr>
                <w:lang w:val="en-GB"/>
              </w:rPr>
              <w:t xml:space="preserve"> related to the IT </w:t>
            </w:r>
            <w:r w:rsidRPr="001434E3">
              <w:rPr>
                <w:rFonts w:cs="Arial"/>
                <w:bCs/>
                <w:noProof/>
                <w:szCs w:val="20"/>
                <w:lang w:val="en-GB"/>
              </w:rPr>
              <w:t>systems</w:t>
            </w:r>
            <w:r w:rsidRPr="001174F5">
              <w:rPr>
                <w:lang w:val="en-GB"/>
              </w:rPr>
              <w:t xml:space="preserve"> used and created by the ECDI or other state authorities, including the system solutions and programs used and their functionality</w:t>
            </w:r>
            <w:r w:rsidR="004256BA">
              <w:rPr>
                <w:lang w:val="en-GB"/>
              </w:rPr>
              <w:t>;</w:t>
            </w:r>
          </w:p>
        </w:tc>
      </w:tr>
      <w:tr w:rsidR="003E7C7B" w14:paraId="47F3901A" w14:textId="77777777" w:rsidTr="00D66340">
        <w:tc>
          <w:tcPr>
            <w:tcW w:w="4531" w:type="dxa"/>
          </w:tcPr>
          <w:p w14:paraId="2A5A966B" w14:textId="2FD4CAC4" w:rsidR="003E7C7B" w:rsidRPr="00573283" w:rsidRDefault="003E7C7B" w:rsidP="00AA09CA">
            <w:pPr>
              <w:pStyle w:val="ListParagraph"/>
              <w:numPr>
                <w:ilvl w:val="2"/>
                <w:numId w:val="19"/>
              </w:numPr>
              <w:spacing w:after="160" w:line="278" w:lineRule="auto"/>
              <w:ind w:left="597" w:hanging="567"/>
              <w:jc w:val="both"/>
            </w:pPr>
            <w:r w:rsidRPr="002A351D">
              <w:t xml:space="preserve">teave, mis on kaitstud </w:t>
            </w:r>
            <w:r>
              <w:t>Poolele</w:t>
            </w:r>
            <w:r w:rsidRPr="002A351D">
              <w:t xml:space="preserve"> kuuluvate intellektuaalse omandi õigustega või mille kasutamise õigus on </w:t>
            </w:r>
            <w:proofErr w:type="spellStart"/>
            <w:r w:rsidRPr="002A351D">
              <w:t>Pooltevahelises</w:t>
            </w:r>
            <w:proofErr w:type="spellEnd"/>
            <w:r w:rsidRPr="002A351D">
              <w:t xml:space="preserve"> suhtes vaid </w:t>
            </w:r>
            <w:r>
              <w:t>ühel Poolel;</w:t>
            </w:r>
          </w:p>
        </w:tc>
        <w:tc>
          <w:tcPr>
            <w:tcW w:w="4531" w:type="dxa"/>
          </w:tcPr>
          <w:p w14:paraId="7049529F" w14:textId="53EAB9B0"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9E674E">
              <w:rPr>
                <w:rFonts w:cs="Arial"/>
                <w:bCs/>
                <w:noProof/>
                <w:szCs w:val="20"/>
                <w:lang w:val="en-GB"/>
              </w:rPr>
              <w:t>information</w:t>
            </w:r>
            <w:r w:rsidRPr="001174F5">
              <w:rPr>
                <w:lang w:val="en-GB"/>
              </w:rPr>
              <w:t xml:space="preserve"> that is protected by </w:t>
            </w:r>
            <w:r w:rsidRPr="001434E3">
              <w:rPr>
                <w:rFonts w:cs="Arial"/>
                <w:bCs/>
                <w:noProof/>
                <w:szCs w:val="20"/>
                <w:lang w:val="en-GB"/>
              </w:rPr>
              <w:t>intellectual</w:t>
            </w:r>
            <w:r w:rsidRPr="001174F5">
              <w:rPr>
                <w:lang w:val="en-GB"/>
              </w:rPr>
              <w:t xml:space="preserve"> property rights belonging to a Party or </w:t>
            </w:r>
            <w:r w:rsidR="00E67CA5">
              <w:rPr>
                <w:lang w:val="en-GB"/>
              </w:rPr>
              <w:t xml:space="preserve">to which only one Party has the </w:t>
            </w:r>
            <w:r w:rsidRPr="001174F5">
              <w:rPr>
                <w:lang w:val="en-GB"/>
              </w:rPr>
              <w:t xml:space="preserve">right </w:t>
            </w:r>
            <w:r w:rsidR="00E67CA5">
              <w:rPr>
                <w:lang w:val="en-GB"/>
              </w:rPr>
              <w:t>of</w:t>
            </w:r>
            <w:r w:rsidRPr="001174F5">
              <w:rPr>
                <w:lang w:val="en-GB"/>
              </w:rPr>
              <w:t xml:space="preserve"> use </w:t>
            </w:r>
            <w:r w:rsidR="00E67CA5">
              <w:rPr>
                <w:lang w:val="en-GB"/>
              </w:rPr>
              <w:t>within the relationship between the Parties</w:t>
            </w:r>
            <w:r w:rsidR="004256BA">
              <w:rPr>
                <w:lang w:val="en-GB"/>
              </w:rPr>
              <w:t>;</w:t>
            </w:r>
          </w:p>
        </w:tc>
      </w:tr>
      <w:tr w:rsidR="003E7C7B" w14:paraId="54C4F573" w14:textId="77777777" w:rsidTr="00D66340">
        <w:tc>
          <w:tcPr>
            <w:tcW w:w="4531" w:type="dxa"/>
          </w:tcPr>
          <w:p w14:paraId="74F5B6B0" w14:textId="43106D6D" w:rsidR="003E7C7B" w:rsidRPr="002A351D" w:rsidRDefault="003E7C7B" w:rsidP="00AA09CA">
            <w:pPr>
              <w:pStyle w:val="ListParagraph"/>
              <w:numPr>
                <w:ilvl w:val="2"/>
                <w:numId w:val="19"/>
              </w:numPr>
              <w:spacing w:after="160" w:line="278" w:lineRule="auto"/>
              <w:ind w:left="597" w:hanging="567"/>
              <w:jc w:val="both"/>
            </w:pPr>
            <w:r>
              <w:t>Poolte</w:t>
            </w:r>
            <w:r w:rsidRPr="002A351D">
              <w:t xml:space="preserve"> rakendatavad turvanõuded</w:t>
            </w:r>
            <w:r>
              <w:t>;</w:t>
            </w:r>
          </w:p>
        </w:tc>
        <w:tc>
          <w:tcPr>
            <w:tcW w:w="4531" w:type="dxa"/>
          </w:tcPr>
          <w:p w14:paraId="116E6FD5" w14:textId="3085ED77"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9E674E">
              <w:rPr>
                <w:rFonts w:cs="Arial"/>
                <w:bCs/>
                <w:noProof/>
                <w:szCs w:val="20"/>
                <w:lang w:val="en-GB"/>
              </w:rPr>
              <w:t>Security</w:t>
            </w:r>
            <w:r w:rsidRPr="001174F5">
              <w:rPr>
                <w:lang w:val="en-GB"/>
              </w:rPr>
              <w:t xml:space="preserve"> requirements applied by the </w:t>
            </w:r>
            <w:r w:rsidR="00E67CA5">
              <w:rPr>
                <w:lang w:val="en-GB"/>
              </w:rPr>
              <w:t>P</w:t>
            </w:r>
            <w:r w:rsidRPr="001174F5">
              <w:rPr>
                <w:lang w:val="en-GB"/>
              </w:rPr>
              <w:t>arties</w:t>
            </w:r>
            <w:r w:rsidR="004256BA">
              <w:rPr>
                <w:lang w:val="en-GB"/>
              </w:rPr>
              <w:t>;</w:t>
            </w:r>
          </w:p>
        </w:tc>
      </w:tr>
      <w:tr w:rsidR="003E7C7B" w14:paraId="725FE988" w14:textId="77777777" w:rsidTr="00D66340">
        <w:tc>
          <w:tcPr>
            <w:tcW w:w="4531" w:type="dxa"/>
          </w:tcPr>
          <w:p w14:paraId="6D2D9702" w14:textId="05446249" w:rsidR="003E7C7B" w:rsidRDefault="003E7C7B" w:rsidP="00AA09CA">
            <w:pPr>
              <w:pStyle w:val="ListParagraph"/>
              <w:numPr>
                <w:ilvl w:val="2"/>
                <w:numId w:val="19"/>
              </w:numPr>
              <w:spacing w:after="160" w:line="278" w:lineRule="auto"/>
              <w:ind w:left="597" w:hanging="567"/>
              <w:jc w:val="both"/>
            </w:pPr>
            <w:r w:rsidRPr="002A351D">
              <w:t xml:space="preserve">dokumendid </w:t>
            </w:r>
            <w:r>
              <w:t>ja</w:t>
            </w:r>
            <w:r w:rsidRPr="002A351D">
              <w:t xml:space="preserve"> materjalid, mida </w:t>
            </w:r>
            <w:r>
              <w:t xml:space="preserve">Pool on teiselt Poolelt </w:t>
            </w:r>
            <w:r w:rsidRPr="002A351D">
              <w:t>kas suuliselt, kirjalikult või muus vormis, enne või pärast Lepingu sõlmimist, saanud ja mis on tähistatud kui “juurdepääsupiirang”, “</w:t>
            </w:r>
            <w:r w:rsidR="00E67CA5">
              <w:t>asutusesiseseks kasutamiseks</w:t>
            </w:r>
            <w:r w:rsidRPr="002A351D">
              <w:t>”,</w:t>
            </w:r>
            <w:r w:rsidR="007C0FD5">
              <w:t xml:space="preserve"> </w:t>
            </w:r>
            <w:r w:rsidRPr="002A351D">
              <w:t>„piiratud“,</w:t>
            </w:r>
            <w:r w:rsidR="007C0FD5">
              <w:t xml:space="preserve"> </w:t>
            </w:r>
            <w:r w:rsidRPr="002A351D">
              <w:t xml:space="preserve">„konfidentsiaalne“ või muul sarnasel viisil, mis lubab </w:t>
            </w:r>
            <w:r w:rsidR="00FE4DB1">
              <w:t xml:space="preserve">teisel </w:t>
            </w:r>
            <w:r>
              <w:t>Poolel</w:t>
            </w:r>
            <w:r w:rsidRPr="002A351D">
              <w:t xml:space="preserve"> mõistlikult ära tunda teabe konfidentsiaalsuse</w:t>
            </w:r>
            <w:r>
              <w:t>;</w:t>
            </w:r>
          </w:p>
        </w:tc>
        <w:tc>
          <w:tcPr>
            <w:tcW w:w="4531" w:type="dxa"/>
          </w:tcPr>
          <w:p w14:paraId="09072695" w14:textId="70B0C410"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9E674E">
              <w:rPr>
                <w:rFonts w:cs="Arial"/>
                <w:bCs/>
                <w:noProof/>
                <w:szCs w:val="20"/>
                <w:lang w:val="en-GB"/>
              </w:rPr>
              <w:t>documents</w:t>
            </w:r>
            <w:r w:rsidRPr="001174F5">
              <w:rPr>
                <w:lang w:val="en-GB"/>
              </w:rPr>
              <w:t xml:space="preserve"> and materials received by a Party from the other Party, </w:t>
            </w:r>
            <w:r w:rsidRPr="001434E3">
              <w:rPr>
                <w:rFonts w:cs="Arial"/>
                <w:bCs/>
                <w:noProof/>
                <w:szCs w:val="20"/>
                <w:lang w:val="en-GB"/>
              </w:rPr>
              <w:t>whether</w:t>
            </w:r>
            <w:r w:rsidRPr="001174F5">
              <w:rPr>
                <w:lang w:val="en-GB"/>
              </w:rPr>
              <w:t xml:space="preserve"> orally, in writing or in any other form, before or after the conclusion of the Agreement, which are marked as "access restriction", "</w:t>
            </w:r>
            <w:r w:rsidR="00E67CA5">
              <w:rPr>
                <w:lang w:val="en-GB"/>
              </w:rPr>
              <w:t>for internal use</w:t>
            </w:r>
            <w:r w:rsidRPr="001174F5">
              <w:rPr>
                <w:lang w:val="en-GB"/>
              </w:rPr>
              <w:t xml:space="preserve">", "restricted", "confidential" or in any other similar manner that permits the </w:t>
            </w:r>
            <w:r w:rsidR="00FE4DB1">
              <w:rPr>
                <w:lang w:val="en-GB"/>
              </w:rPr>
              <w:t xml:space="preserve">other </w:t>
            </w:r>
            <w:r w:rsidRPr="001174F5">
              <w:rPr>
                <w:lang w:val="en-GB"/>
              </w:rPr>
              <w:t>Party to reasonably recognize the confidentiality of the information</w:t>
            </w:r>
            <w:r w:rsidR="004256BA">
              <w:rPr>
                <w:lang w:val="en-GB"/>
              </w:rPr>
              <w:t>;</w:t>
            </w:r>
          </w:p>
        </w:tc>
      </w:tr>
      <w:tr w:rsidR="003E7C7B" w14:paraId="4A2A30AD" w14:textId="77777777" w:rsidTr="00D66340">
        <w:tc>
          <w:tcPr>
            <w:tcW w:w="4531" w:type="dxa"/>
          </w:tcPr>
          <w:p w14:paraId="254CFA67" w14:textId="712B5555" w:rsidR="003E7C7B" w:rsidRPr="002A351D" w:rsidRDefault="003E7C7B" w:rsidP="00AA09CA">
            <w:pPr>
              <w:pStyle w:val="ListParagraph"/>
              <w:numPr>
                <w:ilvl w:val="2"/>
                <w:numId w:val="19"/>
              </w:numPr>
              <w:spacing w:after="160" w:line="278" w:lineRule="auto"/>
              <w:ind w:left="597" w:hanging="567"/>
              <w:jc w:val="both"/>
            </w:pPr>
            <w:r w:rsidRPr="002A351D">
              <w:t xml:space="preserve">mis tahes muu eelnevalt nimetamata teave ja materjal, mille </w:t>
            </w:r>
            <w:r>
              <w:t>üks Pool</w:t>
            </w:r>
            <w:r w:rsidRPr="002A351D">
              <w:t xml:space="preserve"> on edastanud </w:t>
            </w:r>
            <w:r>
              <w:t>teisele Poolele</w:t>
            </w:r>
            <w:r w:rsidRPr="002A351D">
              <w:t xml:space="preserve"> enne või pärast </w:t>
            </w:r>
            <w:r w:rsidRPr="002A351D">
              <w:lastRenderedPageBreak/>
              <w:t>Lepingu sõlmimist ja määratlenud</w:t>
            </w:r>
            <w:r>
              <w:t xml:space="preserve"> </w:t>
            </w:r>
            <w:r w:rsidRPr="002A351D">
              <w:t>selle Konfidentsiaalse Teabena või mis on mõistlikult arusaadav kui konfidentsiaalne</w:t>
            </w:r>
            <w:r>
              <w:t>.</w:t>
            </w:r>
          </w:p>
        </w:tc>
        <w:tc>
          <w:tcPr>
            <w:tcW w:w="4531" w:type="dxa"/>
          </w:tcPr>
          <w:p w14:paraId="152F144B" w14:textId="79A846DC"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proofErr w:type="gramStart"/>
            <w:r w:rsidRPr="001174F5">
              <w:rPr>
                <w:lang w:val="en-GB"/>
              </w:rPr>
              <w:lastRenderedPageBreak/>
              <w:t>any</w:t>
            </w:r>
            <w:proofErr w:type="gramEnd"/>
            <w:r w:rsidRPr="001174F5">
              <w:rPr>
                <w:lang w:val="en-GB"/>
              </w:rPr>
              <w:t xml:space="preserve"> other information and material </w:t>
            </w:r>
            <w:r w:rsidR="00E67CA5">
              <w:rPr>
                <w:lang w:val="en-GB"/>
              </w:rPr>
              <w:t xml:space="preserve">not specified above, </w:t>
            </w:r>
            <w:r w:rsidRPr="001174F5">
              <w:rPr>
                <w:lang w:val="en-GB"/>
              </w:rPr>
              <w:t xml:space="preserve">provided by one Party to the other Party prior to or after the </w:t>
            </w:r>
            <w:r w:rsidRPr="001174F5">
              <w:rPr>
                <w:lang w:val="en-GB"/>
              </w:rPr>
              <w:lastRenderedPageBreak/>
              <w:t xml:space="preserve">conclusion of the Agreement and designated as Confidential Information or reasonably understood as </w:t>
            </w:r>
            <w:r w:rsidR="00E67CA5">
              <w:rPr>
                <w:lang w:val="en-GB"/>
              </w:rPr>
              <w:t>c</w:t>
            </w:r>
            <w:r w:rsidRPr="001174F5">
              <w:rPr>
                <w:lang w:val="en-GB"/>
              </w:rPr>
              <w:t>onfidential</w:t>
            </w:r>
            <w:r w:rsidR="00DB2D39">
              <w:rPr>
                <w:lang w:val="en-GB"/>
              </w:rPr>
              <w:t>.</w:t>
            </w:r>
          </w:p>
        </w:tc>
      </w:tr>
      <w:tr w:rsidR="003E7C7B" w14:paraId="2E8CB9CB" w14:textId="77777777" w:rsidTr="00D66340">
        <w:tc>
          <w:tcPr>
            <w:tcW w:w="4531" w:type="dxa"/>
          </w:tcPr>
          <w:p w14:paraId="507EA2D5" w14:textId="7CF498EA" w:rsidR="003E7C7B" w:rsidRPr="002A351D" w:rsidRDefault="003E7C7B" w:rsidP="00AA09CA">
            <w:pPr>
              <w:pStyle w:val="ListParagraph"/>
              <w:numPr>
                <w:ilvl w:val="1"/>
                <w:numId w:val="19"/>
              </w:numPr>
              <w:spacing w:line="276" w:lineRule="auto"/>
              <w:ind w:left="456" w:hanging="426"/>
              <w:jc w:val="both"/>
            </w:pPr>
            <w:r w:rsidRPr="001434E3">
              <w:rPr>
                <w:rFonts w:cs="Arial"/>
                <w:bCs/>
                <w:noProof/>
                <w:szCs w:val="20"/>
              </w:rPr>
              <w:lastRenderedPageBreak/>
              <w:t>Konfidentsiaalne</w:t>
            </w:r>
            <w:r w:rsidRPr="002A351D">
              <w:t xml:space="preserve"> Teave ei hõlma</w:t>
            </w:r>
            <w:r>
              <w:t xml:space="preserve"> järgmist</w:t>
            </w:r>
            <w:r w:rsidRPr="002A351D">
              <w:t xml:space="preserve"> teavet ega materjale</w:t>
            </w:r>
            <w:r>
              <w:t>:</w:t>
            </w:r>
          </w:p>
        </w:tc>
        <w:tc>
          <w:tcPr>
            <w:tcW w:w="4531" w:type="dxa"/>
          </w:tcPr>
          <w:p w14:paraId="25399EC5" w14:textId="47B35A83" w:rsidR="003E7C7B" w:rsidRPr="001174F5" w:rsidRDefault="007E6328" w:rsidP="00AA09CA">
            <w:pPr>
              <w:pStyle w:val="ListParagraph"/>
              <w:numPr>
                <w:ilvl w:val="1"/>
                <w:numId w:val="20"/>
              </w:numPr>
              <w:spacing w:line="276" w:lineRule="auto"/>
              <w:ind w:left="463" w:hanging="463"/>
              <w:jc w:val="both"/>
              <w:rPr>
                <w:rFonts w:cs="Arial"/>
                <w:b/>
                <w:bCs/>
                <w:noProof/>
                <w:szCs w:val="20"/>
                <w:lang w:val="en-GB" w:eastAsia="ar-SA"/>
              </w:rPr>
            </w:pPr>
            <w:r w:rsidRPr="001434E3">
              <w:rPr>
                <w:rFonts w:cs="Arial"/>
                <w:bCs/>
                <w:noProof/>
                <w:szCs w:val="20"/>
                <w:lang w:val="en-GB"/>
              </w:rPr>
              <w:t>Confidential</w:t>
            </w:r>
            <w:r w:rsidRPr="001174F5">
              <w:rPr>
                <w:lang w:val="en-GB"/>
              </w:rPr>
              <w:t xml:space="preserve"> Information does not include the following information or materials</w:t>
            </w:r>
            <w:r w:rsidR="00DB2D39">
              <w:rPr>
                <w:lang w:val="en-GB"/>
              </w:rPr>
              <w:t>:</w:t>
            </w:r>
          </w:p>
        </w:tc>
      </w:tr>
      <w:tr w:rsidR="003E7C7B" w14:paraId="027375ED" w14:textId="77777777" w:rsidTr="00D66340">
        <w:tc>
          <w:tcPr>
            <w:tcW w:w="4531" w:type="dxa"/>
          </w:tcPr>
          <w:p w14:paraId="5E55DF0E" w14:textId="78392597" w:rsidR="003E7C7B" w:rsidRPr="002A351D" w:rsidRDefault="003E7C7B" w:rsidP="00AA09CA">
            <w:pPr>
              <w:pStyle w:val="ListParagraph"/>
              <w:numPr>
                <w:ilvl w:val="2"/>
                <w:numId w:val="19"/>
              </w:numPr>
              <w:spacing w:after="160" w:line="278" w:lineRule="auto"/>
              <w:ind w:left="597" w:hanging="567"/>
              <w:jc w:val="both"/>
            </w:pPr>
            <w:r w:rsidRPr="002A351D">
              <w:t xml:space="preserve">mis on seaduslikul viisil avalikult kättesaadav enne Lepingu allkirjastamist või mis muutub pärast Lepingu allkirjastamist avalikult kättesaadavaks muul viisil kui </w:t>
            </w:r>
            <w:r>
              <w:t>K</w:t>
            </w:r>
            <w:r w:rsidRPr="002A351D">
              <w:t>onfidentsiaalsuskohustuse rikkumise läbi</w:t>
            </w:r>
            <w:r>
              <w:t>;</w:t>
            </w:r>
          </w:p>
        </w:tc>
        <w:tc>
          <w:tcPr>
            <w:tcW w:w="4531" w:type="dxa"/>
          </w:tcPr>
          <w:p w14:paraId="1F5B08F6" w14:textId="448F9436"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9E674E">
              <w:rPr>
                <w:rFonts w:cs="Arial"/>
                <w:bCs/>
                <w:noProof/>
                <w:szCs w:val="20"/>
                <w:lang w:val="en-GB"/>
              </w:rPr>
              <w:t>which</w:t>
            </w:r>
            <w:r w:rsidRPr="001174F5">
              <w:rPr>
                <w:lang w:val="en-GB"/>
              </w:rPr>
              <w:t xml:space="preserve"> is publicly available in a lawful </w:t>
            </w:r>
            <w:r w:rsidRPr="001434E3">
              <w:rPr>
                <w:rFonts w:cs="Arial"/>
                <w:bCs/>
                <w:noProof/>
                <w:szCs w:val="20"/>
                <w:lang w:val="en-GB"/>
              </w:rPr>
              <w:t>manner</w:t>
            </w:r>
            <w:r w:rsidRPr="001174F5">
              <w:rPr>
                <w:lang w:val="en-GB"/>
              </w:rPr>
              <w:t xml:space="preserve"> before the signing of the Agreement</w:t>
            </w:r>
            <w:r w:rsidR="00E67CA5">
              <w:rPr>
                <w:lang w:val="en-GB"/>
              </w:rPr>
              <w:t>,</w:t>
            </w:r>
            <w:r w:rsidRPr="001174F5">
              <w:rPr>
                <w:lang w:val="en-GB"/>
              </w:rPr>
              <w:t xml:space="preserve"> or which becomes publicly available after the signing of the Agreement by any means other than through a breach of the </w:t>
            </w:r>
            <w:r w:rsidR="00E67CA5">
              <w:rPr>
                <w:lang w:val="en-GB"/>
              </w:rPr>
              <w:t>Confidentiality Obligation;</w:t>
            </w:r>
          </w:p>
        </w:tc>
      </w:tr>
      <w:tr w:rsidR="003E7C7B" w14:paraId="46C45723" w14:textId="77777777" w:rsidTr="00D66340">
        <w:tc>
          <w:tcPr>
            <w:tcW w:w="4531" w:type="dxa"/>
          </w:tcPr>
          <w:p w14:paraId="74FDB9E8" w14:textId="461494AE" w:rsidR="003E7C7B" w:rsidRPr="002A351D" w:rsidRDefault="003E7C7B" w:rsidP="00AA09CA">
            <w:pPr>
              <w:pStyle w:val="ListParagraph"/>
              <w:numPr>
                <w:ilvl w:val="2"/>
                <w:numId w:val="19"/>
              </w:numPr>
              <w:spacing w:after="160" w:line="278" w:lineRule="auto"/>
              <w:ind w:left="597" w:hanging="567"/>
              <w:jc w:val="both"/>
            </w:pPr>
            <w:r w:rsidRPr="002A351D">
              <w:t>mis kuulub avalikustamisele vastavalt õigusaktidest tulenevatele nõuetele, kuid ka sellisel juhul avalda</w:t>
            </w:r>
            <w:r>
              <w:t>b Pool</w:t>
            </w:r>
            <w:r w:rsidRPr="002A351D">
              <w:t xml:space="preserve"> teavet vaid minimaalsel võimalikul viisil ning</w:t>
            </w:r>
            <w:r w:rsidR="00E11C71">
              <w:t>,</w:t>
            </w:r>
            <w:r w:rsidRPr="002A351D">
              <w:t xml:space="preserve"> kui see pole õigusaktide kohaselt keelatud, siis teavitab sellest ka </w:t>
            </w:r>
            <w:r>
              <w:t>teist Poolt</w:t>
            </w:r>
            <w:r w:rsidRPr="002A351D">
              <w:t>, kusjuures eeltoodud teavitus tehakse võimalusel alati enne teabe avaldamist</w:t>
            </w:r>
            <w:r>
              <w:t>;</w:t>
            </w:r>
          </w:p>
        </w:tc>
        <w:tc>
          <w:tcPr>
            <w:tcW w:w="4531" w:type="dxa"/>
          </w:tcPr>
          <w:p w14:paraId="44D1FC2E" w14:textId="5D641555"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1174F5">
              <w:rPr>
                <w:lang w:val="en-GB"/>
              </w:rPr>
              <w:t xml:space="preserve">which is subject to disclosure in accordance with the requirements arising from legislation, but even in this </w:t>
            </w:r>
            <w:r w:rsidRPr="001434E3">
              <w:rPr>
                <w:rFonts w:cs="Arial"/>
                <w:bCs/>
                <w:noProof/>
                <w:szCs w:val="20"/>
                <w:lang w:val="en-GB"/>
              </w:rPr>
              <w:t>case</w:t>
            </w:r>
            <w:r w:rsidRPr="001174F5">
              <w:rPr>
                <w:lang w:val="en-GB"/>
              </w:rPr>
              <w:t>, the Party shall disclose the information only in the minimum possible manner and, if it is not prohibited by law, shall also notify the other Party thereof, whereby the aforementioned notification shall always be made before the disclosure of the information, if possible</w:t>
            </w:r>
            <w:r w:rsidR="00E67CA5">
              <w:rPr>
                <w:lang w:val="en-GB"/>
              </w:rPr>
              <w:t>;</w:t>
            </w:r>
          </w:p>
        </w:tc>
      </w:tr>
      <w:tr w:rsidR="003E7C7B" w14:paraId="5DE08B41" w14:textId="77777777" w:rsidTr="00D66340">
        <w:tc>
          <w:tcPr>
            <w:tcW w:w="4531" w:type="dxa"/>
          </w:tcPr>
          <w:p w14:paraId="32BF0AE7" w14:textId="24BB9DC3" w:rsidR="003E7C7B" w:rsidRPr="002A351D" w:rsidRDefault="003E7C7B" w:rsidP="00AA09CA">
            <w:pPr>
              <w:pStyle w:val="ListParagraph"/>
              <w:numPr>
                <w:ilvl w:val="2"/>
                <w:numId w:val="19"/>
              </w:numPr>
              <w:spacing w:after="160" w:line="278" w:lineRule="auto"/>
              <w:ind w:left="597" w:hanging="567"/>
              <w:jc w:val="both"/>
            </w:pPr>
            <w:r w:rsidRPr="002A351D">
              <w:t xml:space="preserve">mille avalikustamiseks on </w:t>
            </w:r>
            <w:r>
              <w:t>Pool</w:t>
            </w:r>
            <w:r w:rsidRPr="002A351D">
              <w:t xml:space="preserve"> andnud oma kirjaliku nõusoleku</w:t>
            </w:r>
            <w:r>
              <w:t>.</w:t>
            </w:r>
          </w:p>
        </w:tc>
        <w:tc>
          <w:tcPr>
            <w:tcW w:w="4531" w:type="dxa"/>
          </w:tcPr>
          <w:p w14:paraId="66120F44" w14:textId="4CA019CE"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proofErr w:type="gramStart"/>
            <w:r w:rsidRPr="001174F5">
              <w:rPr>
                <w:lang w:val="en-GB"/>
              </w:rPr>
              <w:t>the</w:t>
            </w:r>
            <w:proofErr w:type="gramEnd"/>
            <w:r w:rsidRPr="001174F5">
              <w:rPr>
                <w:lang w:val="en-GB"/>
              </w:rPr>
              <w:t xml:space="preserve"> </w:t>
            </w:r>
            <w:r w:rsidRPr="001434E3">
              <w:rPr>
                <w:rFonts w:cs="Arial"/>
                <w:bCs/>
                <w:noProof/>
                <w:szCs w:val="20"/>
                <w:lang w:val="en-GB"/>
              </w:rPr>
              <w:t>disclosure</w:t>
            </w:r>
            <w:r w:rsidRPr="001174F5">
              <w:rPr>
                <w:lang w:val="en-GB"/>
              </w:rPr>
              <w:t xml:space="preserve"> of which the Party has given its written consent</w:t>
            </w:r>
            <w:r w:rsidR="00E67CA5">
              <w:rPr>
                <w:lang w:val="en-GB"/>
              </w:rPr>
              <w:t>.</w:t>
            </w:r>
          </w:p>
        </w:tc>
      </w:tr>
      <w:tr w:rsidR="003E7C7B" w14:paraId="26CF3206" w14:textId="77777777" w:rsidTr="00D66340">
        <w:tc>
          <w:tcPr>
            <w:tcW w:w="4531" w:type="dxa"/>
          </w:tcPr>
          <w:p w14:paraId="184484BB" w14:textId="1BA094C4" w:rsidR="003E7C7B" w:rsidRPr="003E7C7B" w:rsidRDefault="003E7C7B" w:rsidP="00AA09CA">
            <w:pPr>
              <w:pStyle w:val="ListParagraph"/>
              <w:numPr>
                <w:ilvl w:val="0"/>
                <w:numId w:val="19"/>
              </w:numPr>
              <w:tabs>
                <w:tab w:val="clear" w:pos="360"/>
              </w:tabs>
              <w:suppressAutoHyphens/>
              <w:contextualSpacing w:val="0"/>
              <w:jc w:val="both"/>
              <w:rPr>
                <w:b/>
                <w:bCs/>
              </w:rPr>
            </w:pPr>
            <w:r w:rsidRPr="00201DF8">
              <w:rPr>
                <w:b/>
                <w:bCs/>
              </w:rPr>
              <w:t xml:space="preserve">Poolte kohustused </w:t>
            </w:r>
          </w:p>
        </w:tc>
        <w:tc>
          <w:tcPr>
            <w:tcW w:w="4531" w:type="dxa"/>
          </w:tcPr>
          <w:p w14:paraId="72B1620C" w14:textId="3A060254" w:rsidR="007E6328" w:rsidRPr="001174F5" w:rsidRDefault="007E6328" w:rsidP="00AA09CA">
            <w:pPr>
              <w:pStyle w:val="ListParagraph"/>
              <w:numPr>
                <w:ilvl w:val="0"/>
                <w:numId w:val="20"/>
              </w:numPr>
              <w:suppressAutoHyphens/>
              <w:jc w:val="both"/>
              <w:rPr>
                <w:b/>
                <w:bCs/>
                <w:lang w:val="en-GB"/>
              </w:rPr>
            </w:pPr>
            <w:r w:rsidRPr="001174F5">
              <w:rPr>
                <w:b/>
                <w:bCs/>
                <w:lang w:val="en-GB"/>
              </w:rPr>
              <w:t xml:space="preserve">Obligations of the </w:t>
            </w:r>
            <w:r w:rsidR="003057C3">
              <w:rPr>
                <w:b/>
                <w:bCs/>
                <w:lang w:val="en-GB"/>
              </w:rPr>
              <w:t>P</w:t>
            </w:r>
            <w:r w:rsidRPr="001174F5">
              <w:rPr>
                <w:b/>
                <w:bCs/>
                <w:lang w:val="en-GB"/>
              </w:rPr>
              <w:t xml:space="preserve">arties </w:t>
            </w:r>
          </w:p>
          <w:p w14:paraId="17A4C2BB" w14:textId="77777777" w:rsidR="003E7C7B" w:rsidRPr="007254C4" w:rsidRDefault="003E7C7B" w:rsidP="00AA09CA">
            <w:pPr>
              <w:jc w:val="both"/>
              <w:rPr>
                <w:rFonts w:cs="Arial"/>
                <w:b/>
                <w:bCs/>
                <w:noProof/>
                <w:szCs w:val="20"/>
                <w:lang w:val="en-GB" w:eastAsia="ar-SA"/>
              </w:rPr>
            </w:pPr>
          </w:p>
        </w:tc>
      </w:tr>
      <w:tr w:rsidR="003E7C7B" w14:paraId="72DA17CF" w14:textId="77777777" w:rsidTr="00D66340">
        <w:tc>
          <w:tcPr>
            <w:tcW w:w="4531" w:type="dxa"/>
          </w:tcPr>
          <w:p w14:paraId="1E85B597" w14:textId="393F00DB" w:rsidR="003E7C7B" w:rsidRPr="003E7C7B" w:rsidRDefault="003E7C7B" w:rsidP="00AA09CA">
            <w:pPr>
              <w:pStyle w:val="ListParagraph"/>
              <w:numPr>
                <w:ilvl w:val="1"/>
                <w:numId w:val="19"/>
              </w:numPr>
              <w:spacing w:line="276" w:lineRule="auto"/>
              <w:ind w:left="456" w:hanging="426"/>
              <w:jc w:val="both"/>
            </w:pPr>
            <w:r>
              <w:t>Poolte kohustused Konfidentsiaalse Teabe kaitsmiseks on järgmised:</w:t>
            </w:r>
          </w:p>
        </w:tc>
        <w:tc>
          <w:tcPr>
            <w:tcW w:w="4531" w:type="dxa"/>
          </w:tcPr>
          <w:p w14:paraId="0A9435A1" w14:textId="0FE49DDE" w:rsidR="003E7C7B" w:rsidRPr="001174F5" w:rsidRDefault="008A15EA" w:rsidP="00AA09CA">
            <w:pPr>
              <w:pStyle w:val="ListParagraph"/>
              <w:numPr>
                <w:ilvl w:val="1"/>
                <w:numId w:val="20"/>
              </w:numPr>
              <w:spacing w:line="276" w:lineRule="auto"/>
              <w:ind w:left="463" w:hanging="463"/>
              <w:jc w:val="both"/>
              <w:rPr>
                <w:rFonts w:cs="Arial"/>
                <w:b/>
                <w:bCs/>
                <w:noProof/>
                <w:szCs w:val="20"/>
                <w:lang w:val="en-GB" w:eastAsia="ar-SA"/>
              </w:rPr>
            </w:pPr>
            <w:r>
              <w:rPr>
                <w:lang w:val="en-GB"/>
              </w:rPr>
              <w:t>T</w:t>
            </w:r>
            <w:r w:rsidR="007E6328" w:rsidRPr="001174F5">
              <w:rPr>
                <w:lang w:val="en-GB"/>
              </w:rPr>
              <w:t>o protect the Confidential Information</w:t>
            </w:r>
            <w:r>
              <w:rPr>
                <w:lang w:val="en-GB"/>
              </w:rPr>
              <w:t>, the Parties are obliged to:</w:t>
            </w:r>
            <w:r w:rsidR="007E6328" w:rsidRPr="001174F5">
              <w:rPr>
                <w:lang w:val="en-GB"/>
              </w:rPr>
              <w:t xml:space="preserve"> </w:t>
            </w:r>
          </w:p>
        </w:tc>
      </w:tr>
      <w:tr w:rsidR="003E7C7B" w14:paraId="1E33DCCA" w14:textId="77777777" w:rsidTr="00D66340">
        <w:tc>
          <w:tcPr>
            <w:tcW w:w="4531" w:type="dxa"/>
          </w:tcPr>
          <w:p w14:paraId="04272CD5" w14:textId="7D92425A" w:rsidR="003E7C7B" w:rsidRDefault="003E7C7B" w:rsidP="00AA09CA">
            <w:pPr>
              <w:pStyle w:val="ListParagraph"/>
              <w:numPr>
                <w:ilvl w:val="2"/>
                <w:numId w:val="19"/>
              </w:numPr>
              <w:spacing w:after="160" w:line="278" w:lineRule="auto"/>
              <w:ind w:left="597" w:hanging="567"/>
              <w:jc w:val="both"/>
            </w:pPr>
            <w:r w:rsidRPr="002A351D">
              <w:t xml:space="preserve">juhul, kui </w:t>
            </w:r>
            <w:r w:rsidR="00063130">
              <w:t>Poolel</w:t>
            </w:r>
            <w:r w:rsidRPr="002A351D">
              <w:t xml:space="preserve"> tekib kahtlus, kas teave on Konfidentsiaalne Teave, </w:t>
            </w:r>
            <w:r w:rsidR="000753BE">
              <w:t xml:space="preserve">kohustub Pool </w:t>
            </w:r>
            <w:r w:rsidRPr="002A351D">
              <w:t xml:space="preserve">selgitama välja vastava teabe konfidentsiaalsuse ja seni, kuni pole selgunud vastupidine, käsitlema teavet Konfidentsiaalse Teabena; </w:t>
            </w:r>
          </w:p>
        </w:tc>
        <w:tc>
          <w:tcPr>
            <w:tcW w:w="4531" w:type="dxa"/>
          </w:tcPr>
          <w:p w14:paraId="6DEFA903" w14:textId="4405D47C"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1174F5">
              <w:rPr>
                <w:lang w:val="en-GB"/>
              </w:rPr>
              <w:t xml:space="preserve">in the event that </w:t>
            </w:r>
            <w:r w:rsidR="003F2F07">
              <w:rPr>
                <w:lang w:val="en-GB"/>
              </w:rPr>
              <w:t>a</w:t>
            </w:r>
            <w:r w:rsidR="00E67CA5">
              <w:rPr>
                <w:lang w:val="en-GB"/>
              </w:rPr>
              <w:t xml:space="preserve"> Party </w:t>
            </w:r>
            <w:r w:rsidRPr="001174F5">
              <w:rPr>
                <w:lang w:val="en-GB"/>
              </w:rPr>
              <w:t xml:space="preserve">has </w:t>
            </w:r>
            <w:r w:rsidR="008A15EA">
              <w:rPr>
                <w:lang w:val="en-GB"/>
              </w:rPr>
              <w:t xml:space="preserve">any </w:t>
            </w:r>
            <w:r w:rsidRPr="001434E3">
              <w:rPr>
                <w:rFonts w:cs="Arial"/>
                <w:bCs/>
                <w:noProof/>
                <w:szCs w:val="20"/>
                <w:lang w:val="en-GB"/>
              </w:rPr>
              <w:t>doubt</w:t>
            </w:r>
            <w:r w:rsidRPr="001174F5">
              <w:rPr>
                <w:lang w:val="en-GB"/>
              </w:rPr>
              <w:t xml:space="preserve"> as to whether </w:t>
            </w:r>
            <w:r w:rsidR="008A15EA">
              <w:rPr>
                <w:lang w:val="en-GB"/>
              </w:rPr>
              <w:t xml:space="preserve">certain </w:t>
            </w:r>
            <w:r w:rsidRPr="001174F5">
              <w:rPr>
                <w:lang w:val="en-GB"/>
              </w:rPr>
              <w:t xml:space="preserve">information is Confidential Information, </w:t>
            </w:r>
            <w:r w:rsidR="003F2F07">
              <w:rPr>
                <w:lang w:val="en-GB"/>
              </w:rPr>
              <w:t xml:space="preserve">the Party is obliged to </w:t>
            </w:r>
            <w:r w:rsidRPr="001174F5">
              <w:rPr>
                <w:lang w:val="en-GB"/>
              </w:rPr>
              <w:t xml:space="preserve">determine the confidentiality </w:t>
            </w:r>
            <w:r w:rsidR="008A15EA">
              <w:rPr>
                <w:lang w:val="en-GB"/>
              </w:rPr>
              <w:t xml:space="preserve">status </w:t>
            </w:r>
            <w:r w:rsidRPr="001174F5">
              <w:rPr>
                <w:lang w:val="en-GB"/>
              </w:rPr>
              <w:t xml:space="preserve">of </w:t>
            </w:r>
            <w:r w:rsidR="008A15EA">
              <w:rPr>
                <w:lang w:val="en-GB"/>
              </w:rPr>
              <w:t>such</w:t>
            </w:r>
            <w:r w:rsidRPr="001174F5">
              <w:rPr>
                <w:lang w:val="en-GB"/>
              </w:rPr>
              <w:t xml:space="preserve"> information and, until </w:t>
            </w:r>
            <w:r w:rsidR="008A15EA">
              <w:rPr>
                <w:lang w:val="en-GB"/>
              </w:rPr>
              <w:t xml:space="preserve">proven </w:t>
            </w:r>
            <w:r w:rsidRPr="001174F5">
              <w:rPr>
                <w:lang w:val="en-GB"/>
              </w:rPr>
              <w:t>otherwise</w:t>
            </w:r>
            <w:r w:rsidR="008A15EA">
              <w:rPr>
                <w:lang w:val="en-GB"/>
              </w:rPr>
              <w:t>,</w:t>
            </w:r>
            <w:r w:rsidRPr="001174F5">
              <w:rPr>
                <w:lang w:val="en-GB"/>
              </w:rPr>
              <w:t xml:space="preserve"> treat the information as Confidential Information</w:t>
            </w:r>
            <w:r w:rsidR="008A15EA">
              <w:rPr>
                <w:lang w:val="en-GB"/>
              </w:rPr>
              <w:t>;</w:t>
            </w:r>
          </w:p>
        </w:tc>
      </w:tr>
      <w:tr w:rsidR="003E7C7B" w14:paraId="70262669" w14:textId="77777777" w:rsidTr="00D66340">
        <w:tc>
          <w:tcPr>
            <w:tcW w:w="4531" w:type="dxa"/>
          </w:tcPr>
          <w:p w14:paraId="342517D9" w14:textId="77777777" w:rsidR="00D976D7" w:rsidRDefault="003E7C7B" w:rsidP="00AA09CA">
            <w:pPr>
              <w:pStyle w:val="ListParagraph"/>
              <w:numPr>
                <w:ilvl w:val="2"/>
                <w:numId w:val="19"/>
              </w:numPr>
              <w:spacing w:after="160" w:line="278" w:lineRule="auto"/>
              <w:ind w:left="597" w:hanging="567"/>
              <w:jc w:val="both"/>
            </w:pPr>
            <w:r w:rsidRPr="002A351D">
              <w:t xml:space="preserve">hoidma Konfidentsiaalse Teabe salajas ning mitte avaldama seda mis tahes viisil kolmandale isikule ega avalikkusele ning tagama vastava kohustuse järgimise kõikide oma töötajate, esindajate, </w:t>
            </w:r>
            <w:proofErr w:type="spellStart"/>
            <w:r w:rsidRPr="002A351D">
              <w:t>alltöövõtjate</w:t>
            </w:r>
            <w:proofErr w:type="spellEnd"/>
            <w:r w:rsidRPr="002A351D">
              <w:t xml:space="preserve">, tarnijate või muude Lepingu täitmisse kaasatud isikute poolt, kes on Konfidentsiaalsest Teabest Lepingu täitmise raames teada saanud või võivad sellest teada saada. Seejuures kohustub </w:t>
            </w:r>
            <w:r>
              <w:t>Pool</w:t>
            </w:r>
            <w:r w:rsidRPr="002A351D">
              <w:t xml:space="preserve"> tagama, et Konfidentsiaalsest Teabest saavad teada vaid ja ainult need </w:t>
            </w:r>
            <w:r>
              <w:t>Poole</w:t>
            </w:r>
            <w:r w:rsidRPr="002A351D">
              <w:t xml:space="preserve"> töötajad, esindajad, </w:t>
            </w:r>
            <w:proofErr w:type="spellStart"/>
            <w:r w:rsidRPr="002A351D">
              <w:t>alltöövõtjad</w:t>
            </w:r>
            <w:proofErr w:type="spellEnd"/>
            <w:r w:rsidRPr="002A351D">
              <w:t xml:space="preserve">, tarnijad või muud Lepingu täitmisse kaasatud isikud, kes otseselt osalevad Lepingu täitmisel, </w:t>
            </w:r>
            <w:r>
              <w:t xml:space="preserve">valikpakkumises ja valikpakkumise korraldamises ning </w:t>
            </w:r>
            <w:r>
              <w:lastRenderedPageBreak/>
              <w:t xml:space="preserve">valikpakkumise tulemusel sõlmitud lepingute täitmises, </w:t>
            </w:r>
            <w:r w:rsidRPr="002A351D">
              <w:t>hoides seejuures nimetatud isikute ringi maksimaalselt piiratuna ja tagades, et kõikide vastavate isikutega on sõlmitud ka konfidentsiaalsuskokkulepped.</w:t>
            </w:r>
          </w:p>
          <w:p w14:paraId="507AA990" w14:textId="77777777" w:rsidR="00771B46" w:rsidRDefault="00771B46" w:rsidP="00771B46">
            <w:pPr>
              <w:pStyle w:val="ListParagraph"/>
              <w:spacing w:after="160" w:line="278" w:lineRule="auto"/>
              <w:ind w:left="597"/>
              <w:jc w:val="both"/>
            </w:pPr>
          </w:p>
          <w:p w14:paraId="57844A00" w14:textId="750D7D9B" w:rsidR="003E7C7B" w:rsidRPr="002A351D" w:rsidRDefault="003E7C7B" w:rsidP="00771B46">
            <w:pPr>
              <w:pStyle w:val="ListParagraph"/>
              <w:spacing w:after="160" w:line="278" w:lineRule="auto"/>
              <w:ind w:left="597"/>
              <w:jc w:val="both"/>
            </w:pPr>
            <w:r>
              <w:t xml:space="preserve">Konfidentsiaalsuskohustuse rikkumiseks ei loeta </w:t>
            </w:r>
            <w:r w:rsidR="005F2BF4">
              <w:t>K</w:t>
            </w:r>
            <w:r>
              <w:t xml:space="preserve">onfidentsiaalse </w:t>
            </w:r>
            <w:r w:rsidR="005F2BF4">
              <w:t xml:space="preserve">Teabe </w:t>
            </w:r>
            <w:r>
              <w:t>avaldamist Poole audiitorile, finantseerijale või juriidilisele nõustajale, kui informatsiooni avaldav Pool tagab konfidentsiaalsuskohustusest</w:t>
            </w:r>
            <w:r w:rsidR="00565DD1">
              <w:t xml:space="preserve"> </w:t>
            </w:r>
            <w:r>
              <w:t>kinnipidamise ka nimetatud isikute poolt</w:t>
            </w:r>
            <w:r w:rsidR="00903850">
              <w:t>;</w:t>
            </w:r>
          </w:p>
        </w:tc>
        <w:tc>
          <w:tcPr>
            <w:tcW w:w="4531" w:type="dxa"/>
          </w:tcPr>
          <w:p w14:paraId="72D6A74B" w14:textId="77777777" w:rsidR="008E00A4" w:rsidRPr="008E00A4"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1174F5">
              <w:rPr>
                <w:lang w:val="en-GB"/>
              </w:rPr>
              <w:lastRenderedPageBreak/>
              <w:t xml:space="preserve">keep the Confidential Information confidential and not disclose it in any </w:t>
            </w:r>
            <w:r w:rsidR="008A15EA">
              <w:rPr>
                <w:lang w:val="en-GB"/>
              </w:rPr>
              <w:t>manner</w:t>
            </w:r>
            <w:r w:rsidRPr="001174F5">
              <w:rPr>
                <w:lang w:val="en-GB"/>
              </w:rPr>
              <w:t xml:space="preserve"> </w:t>
            </w:r>
            <w:r w:rsidRPr="001434E3">
              <w:rPr>
                <w:rFonts w:cs="Arial"/>
                <w:bCs/>
                <w:noProof/>
                <w:szCs w:val="20"/>
                <w:lang w:val="en-GB"/>
              </w:rPr>
              <w:t>to</w:t>
            </w:r>
            <w:r w:rsidRPr="001174F5">
              <w:rPr>
                <w:lang w:val="en-GB"/>
              </w:rPr>
              <w:t xml:space="preserve"> any third party or </w:t>
            </w:r>
            <w:r w:rsidR="008A15EA">
              <w:rPr>
                <w:lang w:val="en-GB"/>
              </w:rPr>
              <w:t xml:space="preserve">to </w:t>
            </w:r>
            <w:r w:rsidRPr="001174F5">
              <w:rPr>
                <w:lang w:val="en-GB"/>
              </w:rPr>
              <w:t xml:space="preserve">the public, and ensure compliance with the respective obligation by all its employees, agents, subcontractors, suppliers or other persons involved in the performance of the Agreement who have become aware of the Confidential Information or may become aware of it in the course of the performance of the Agreement. At the same time, the Party undertakes to ensure that only those employees, representatives, subcontractors, suppliers or other persons involved in the performance of the Contract who are directly involved in the performance of the </w:t>
            </w:r>
            <w:r w:rsidRPr="001174F5">
              <w:rPr>
                <w:lang w:val="en-GB"/>
              </w:rPr>
              <w:lastRenderedPageBreak/>
              <w:t xml:space="preserve">Contract, in the </w:t>
            </w:r>
            <w:r w:rsidRPr="001174F5">
              <w:rPr>
                <w:rFonts w:cs="Arial"/>
                <w:bCs/>
                <w:noProof/>
                <w:szCs w:val="20"/>
                <w:lang w:val="en-GB"/>
              </w:rPr>
              <w:t xml:space="preserve">selective tender </w:t>
            </w:r>
            <w:r w:rsidRPr="001174F5">
              <w:rPr>
                <w:lang w:val="en-GB"/>
              </w:rPr>
              <w:t xml:space="preserve">and in the organisation of the </w:t>
            </w:r>
            <w:r w:rsidRPr="001174F5">
              <w:rPr>
                <w:rFonts w:cs="Arial"/>
                <w:bCs/>
                <w:noProof/>
                <w:szCs w:val="20"/>
                <w:lang w:val="en-GB"/>
              </w:rPr>
              <w:t xml:space="preserve">selective tender </w:t>
            </w:r>
            <w:r w:rsidRPr="001174F5">
              <w:rPr>
                <w:lang w:val="en-GB"/>
              </w:rPr>
              <w:t xml:space="preserve">and in the performance of the contracts entered into as a result of the </w:t>
            </w:r>
            <w:r w:rsidRPr="001174F5">
              <w:rPr>
                <w:rFonts w:cs="Arial"/>
                <w:bCs/>
                <w:noProof/>
                <w:szCs w:val="20"/>
                <w:lang w:val="en-GB"/>
              </w:rPr>
              <w:t>selective tender</w:t>
            </w:r>
            <w:r w:rsidR="008A15EA">
              <w:rPr>
                <w:rFonts w:cs="Arial"/>
                <w:bCs/>
                <w:noProof/>
                <w:szCs w:val="20"/>
                <w:lang w:val="en-GB"/>
              </w:rPr>
              <w:t>,</w:t>
            </w:r>
            <w:r w:rsidRPr="001174F5">
              <w:rPr>
                <w:rFonts w:cs="Arial"/>
                <w:bCs/>
                <w:noProof/>
                <w:szCs w:val="20"/>
                <w:lang w:val="en-GB"/>
              </w:rPr>
              <w:t xml:space="preserve"> </w:t>
            </w:r>
            <w:r w:rsidRPr="001174F5">
              <w:rPr>
                <w:lang w:val="en-GB"/>
              </w:rPr>
              <w:t xml:space="preserve">become aware of the Confidential Information, thereby keeping the circle of such persons as limited as possible and ensuring that confidentiality agreements have also been entered into with all the respective persons. </w:t>
            </w:r>
          </w:p>
          <w:p w14:paraId="50B92AF7" w14:textId="77777777" w:rsidR="007E4491" w:rsidRDefault="007E4491" w:rsidP="008E00A4">
            <w:pPr>
              <w:pStyle w:val="ListParagraph"/>
              <w:spacing w:line="276" w:lineRule="auto"/>
              <w:ind w:left="604"/>
              <w:jc w:val="both"/>
              <w:rPr>
                <w:lang w:val="en-GB"/>
              </w:rPr>
            </w:pPr>
          </w:p>
          <w:p w14:paraId="0917C67C" w14:textId="010DAA0E" w:rsidR="003E7C7B" w:rsidRPr="001174F5" w:rsidRDefault="007E6328" w:rsidP="008E00A4">
            <w:pPr>
              <w:pStyle w:val="ListParagraph"/>
              <w:spacing w:line="276" w:lineRule="auto"/>
              <w:ind w:left="604"/>
              <w:jc w:val="both"/>
              <w:rPr>
                <w:rFonts w:cs="Arial"/>
                <w:b/>
                <w:bCs/>
                <w:noProof/>
                <w:szCs w:val="20"/>
                <w:lang w:val="en-GB" w:eastAsia="ar-SA"/>
              </w:rPr>
            </w:pPr>
            <w:r w:rsidRPr="001174F5">
              <w:rPr>
                <w:lang w:val="en-GB"/>
              </w:rPr>
              <w:t xml:space="preserve">Disclosure of </w:t>
            </w:r>
            <w:r w:rsidR="000232F4">
              <w:rPr>
                <w:lang w:val="en-GB"/>
              </w:rPr>
              <w:t>C</w:t>
            </w:r>
            <w:r w:rsidRPr="001174F5">
              <w:rPr>
                <w:lang w:val="en-GB"/>
              </w:rPr>
              <w:t xml:space="preserve">onfidential </w:t>
            </w:r>
            <w:r w:rsidR="000232F4">
              <w:rPr>
                <w:lang w:val="en-GB"/>
              </w:rPr>
              <w:t>I</w:t>
            </w:r>
            <w:r w:rsidRPr="001174F5">
              <w:rPr>
                <w:lang w:val="en-GB"/>
              </w:rPr>
              <w:t>nformation to an auditor, financier or legal adviser of a Party is not considered a breach of the confidentiality obligation, if the Party disclosing the information ensures compliance with the confidentiality obligation by the said persons</w:t>
            </w:r>
            <w:r w:rsidR="004256BA">
              <w:rPr>
                <w:lang w:val="en-GB"/>
              </w:rPr>
              <w:t>;</w:t>
            </w:r>
          </w:p>
        </w:tc>
      </w:tr>
      <w:tr w:rsidR="003E7C7B" w14:paraId="37A7C304" w14:textId="77777777" w:rsidTr="00D66340">
        <w:tc>
          <w:tcPr>
            <w:tcW w:w="4531" w:type="dxa"/>
          </w:tcPr>
          <w:p w14:paraId="0D2CC692" w14:textId="79F79B9E" w:rsidR="003E7C7B" w:rsidRPr="002A351D" w:rsidRDefault="003E7C7B" w:rsidP="00AA09CA">
            <w:pPr>
              <w:pStyle w:val="ListParagraph"/>
              <w:numPr>
                <w:ilvl w:val="2"/>
                <w:numId w:val="19"/>
              </w:numPr>
              <w:spacing w:after="160" w:line="278" w:lineRule="auto"/>
              <w:ind w:left="597" w:hanging="567"/>
              <w:jc w:val="both"/>
            </w:pPr>
            <w:r w:rsidRPr="002A351D">
              <w:lastRenderedPageBreak/>
              <w:t xml:space="preserve">võtma tarvitusele kõik mõistlikud ettevaatus- ja muud meetmed, et tema tegevuse või tegevusetuse tagajärjel ei muutuks võimalikuks mis tahes kolmanda isiku poolt </w:t>
            </w:r>
            <w:r w:rsidRPr="00A114D9">
              <w:t>Konfidentsiaalsest Teabest teadasaamine ega selle avalikuks tulek</w:t>
            </w:r>
            <w:r w:rsidR="008A15EA">
              <w:t>;</w:t>
            </w:r>
          </w:p>
        </w:tc>
        <w:tc>
          <w:tcPr>
            <w:tcW w:w="4531" w:type="dxa"/>
          </w:tcPr>
          <w:p w14:paraId="09CA799A" w14:textId="4D8E4454" w:rsidR="003E7C7B" w:rsidRPr="008A15EA"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8A15EA">
              <w:rPr>
                <w:lang w:val="en-GB"/>
              </w:rPr>
              <w:t xml:space="preserve">take all reasonable precautions and </w:t>
            </w:r>
            <w:r w:rsidRPr="008A15EA">
              <w:rPr>
                <w:rFonts w:cs="Arial"/>
                <w:bCs/>
                <w:noProof/>
                <w:szCs w:val="20"/>
                <w:lang w:val="en-GB"/>
              </w:rPr>
              <w:t>other</w:t>
            </w:r>
            <w:r w:rsidRPr="008A15EA">
              <w:rPr>
                <w:lang w:val="en-GB"/>
              </w:rPr>
              <w:t xml:space="preserve"> measures </w:t>
            </w:r>
            <w:r w:rsidR="008A15EA" w:rsidRPr="008A15EA">
              <w:rPr>
                <w:lang w:val="en-GB"/>
              </w:rPr>
              <w:t xml:space="preserve">to ensure that, as a result of its actions or omissions, no </w:t>
            </w:r>
            <w:r w:rsidR="00795990" w:rsidRPr="008A15EA">
              <w:rPr>
                <w:lang w:val="en-GB"/>
              </w:rPr>
              <w:t>third-party</w:t>
            </w:r>
            <w:r w:rsidR="008A15EA" w:rsidRPr="008A15EA">
              <w:rPr>
                <w:lang w:val="en-GB"/>
              </w:rPr>
              <w:t xml:space="preserve"> gains access to the Confidential Information and that the Confidential Information is not disclosed or made public</w:t>
            </w:r>
            <w:r w:rsidR="004256BA" w:rsidRPr="008A15EA">
              <w:rPr>
                <w:lang w:val="en-GB"/>
              </w:rPr>
              <w:t>;</w:t>
            </w:r>
          </w:p>
        </w:tc>
      </w:tr>
      <w:tr w:rsidR="003E7C7B" w14:paraId="7908EFB8" w14:textId="77777777" w:rsidTr="00D66340">
        <w:tc>
          <w:tcPr>
            <w:tcW w:w="4531" w:type="dxa"/>
          </w:tcPr>
          <w:p w14:paraId="674F695B" w14:textId="5E30CB78" w:rsidR="003E7C7B" w:rsidRPr="002A351D" w:rsidRDefault="003E7C7B" w:rsidP="00AA09CA">
            <w:pPr>
              <w:pStyle w:val="ListParagraph"/>
              <w:numPr>
                <w:ilvl w:val="2"/>
                <w:numId w:val="19"/>
              </w:numPr>
              <w:spacing w:after="160" w:line="278" w:lineRule="auto"/>
              <w:ind w:left="597" w:hanging="567"/>
              <w:jc w:val="both"/>
            </w:pPr>
            <w:r w:rsidRPr="00A114D9">
              <w:t xml:space="preserve">mitte kasutama Konfidentsiaalset Teavet muul otstarbel ega eesmärgil kui </w:t>
            </w:r>
            <w:r>
              <w:t>seoses valikpakkumise teel riigivara kasutusse andmisega</w:t>
            </w:r>
            <w:r w:rsidRPr="00A114D9">
              <w:t xml:space="preserve"> ning mitte kasutama Konfidentsiaalset Teavet oma ärilistes huvides ega äriliste eesmärkide saavutamiseks ega muul viisil, mis võib kahjustada </w:t>
            </w:r>
            <w:r>
              <w:t>teist Poolt</w:t>
            </w:r>
            <w:r w:rsidRPr="00A114D9">
              <w:t xml:space="preserve"> või tema töötajat, </w:t>
            </w:r>
            <w:proofErr w:type="spellStart"/>
            <w:r>
              <w:t>RKIK-i</w:t>
            </w:r>
            <w:proofErr w:type="spellEnd"/>
            <w:r>
              <w:t xml:space="preserve"> ja </w:t>
            </w:r>
            <w:r w:rsidRPr="00A114D9">
              <w:t>teisi valitsusasutusi või riigiasutusi, avalik-õiguslikke juriidilisi isikuid, nende huve või mainet (sealhulgas Eesti Vabariigi huve või mainet)</w:t>
            </w:r>
            <w:r>
              <w:t>;</w:t>
            </w:r>
          </w:p>
        </w:tc>
        <w:tc>
          <w:tcPr>
            <w:tcW w:w="4531" w:type="dxa"/>
          </w:tcPr>
          <w:p w14:paraId="6C89AEEF" w14:textId="2F65D678"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1174F5">
              <w:rPr>
                <w:lang w:val="en-GB"/>
              </w:rPr>
              <w:t xml:space="preserve">not to use the Confidential Information for any other purpose or </w:t>
            </w:r>
            <w:r w:rsidR="008A15EA">
              <w:rPr>
                <w:rFonts w:cs="Arial"/>
                <w:bCs/>
                <w:noProof/>
                <w:szCs w:val="20"/>
                <w:lang w:val="en-GB"/>
              </w:rPr>
              <w:t>objective</w:t>
            </w:r>
            <w:r w:rsidRPr="001174F5">
              <w:rPr>
                <w:lang w:val="en-GB"/>
              </w:rPr>
              <w:t xml:space="preserve"> than in connection with the granting </w:t>
            </w:r>
            <w:r w:rsidR="00903850">
              <w:rPr>
                <w:lang w:val="en-GB"/>
              </w:rPr>
              <w:t xml:space="preserve">the use </w:t>
            </w:r>
            <w:r w:rsidRPr="001174F5">
              <w:rPr>
                <w:lang w:val="en-GB"/>
              </w:rPr>
              <w:t xml:space="preserve">of state assets by means of </w:t>
            </w:r>
            <w:r w:rsidR="00F81CF5">
              <w:rPr>
                <w:lang w:val="en-GB"/>
              </w:rPr>
              <w:t>the</w:t>
            </w:r>
            <w:r w:rsidRPr="001174F5">
              <w:rPr>
                <w:lang w:val="en-GB"/>
              </w:rPr>
              <w:t xml:space="preserve"> </w:t>
            </w:r>
            <w:r w:rsidRPr="001174F5">
              <w:rPr>
                <w:rFonts w:cs="Arial"/>
                <w:bCs/>
                <w:noProof/>
                <w:szCs w:val="20"/>
                <w:lang w:val="en-GB"/>
              </w:rPr>
              <w:t>selective tender</w:t>
            </w:r>
            <w:r w:rsidRPr="001174F5">
              <w:rPr>
                <w:lang w:val="en-GB"/>
              </w:rPr>
              <w:t>, and not to use the Confidential Information in their own commercial interests or for the achievement of commercial purposes or in any other way that may harm the other Party or its employees, the ECDI and other government or state authorities, legal persons in public law, their interests or reputation (including the interests or reputation of the Republic of Estonia)</w:t>
            </w:r>
            <w:r w:rsidR="00903850">
              <w:rPr>
                <w:lang w:val="en-GB"/>
              </w:rPr>
              <w:t>;</w:t>
            </w:r>
          </w:p>
        </w:tc>
      </w:tr>
      <w:tr w:rsidR="003E7C7B" w14:paraId="7A87C29E" w14:textId="77777777" w:rsidTr="00D66340">
        <w:tc>
          <w:tcPr>
            <w:tcW w:w="4531" w:type="dxa"/>
          </w:tcPr>
          <w:p w14:paraId="5A25B4D2" w14:textId="4F21DB47" w:rsidR="003E7C7B" w:rsidRPr="00A114D9" w:rsidRDefault="003E7C7B" w:rsidP="00AA09CA">
            <w:pPr>
              <w:pStyle w:val="ListParagraph"/>
              <w:numPr>
                <w:ilvl w:val="2"/>
                <w:numId w:val="19"/>
              </w:numPr>
              <w:spacing w:after="160" w:line="278" w:lineRule="auto"/>
              <w:ind w:left="597" w:hanging="567"/>
              <w:jc w:val="both"/>
            </w:pPr>
            <w:r w:rsidRPr="00A114D9">
              <w:t>hoidma ja säilitama Konfidentsiaalset Teavet ülimalt hoolikalt, sh eraldatult teistest andmekandjatest ning selgelt tähistatult</w:t>
            </w:r>
            <w:r>
              <w:t>;</w:t>
            </w:r>
          </w:p>
        </w:tc>
        <w:tc>
          <w:tcPr>
            <w:tcW w:w="4531" w:type="dxa"/>
          </w:tcPr>
          <w:p w14:paraId="7396C81C" w14:textId="33A6CCFA" w:rsidR="003E7C7B" w:rsidRPr="001174F5" w:rsidRDefault="007E6328" w:rsidP="00AA09CA">
            <w:pPr>
              <w:pStyle w:val="ListParagraph"/>
              <w:numPr>
                <w:ilvl w:val="2"/>
                <w:numId w:val="20"/>
              </w:numPr>
              <w:spacing w:line="276" w:lineRule="auto"/>
              <w:ind w:left="604" w:hanging="604"/>
              <w:jc w:val="both"/>
              <w:rPr>
                <w:rFonts w:cs="Arial"/>
                <w:b/>
                <w:bCs/>
                <w:noProof/>
                <w:szCs w:val="20"/>
                <w:lang w:val="en-GB" w:eastAsia="ar-SA"/>
              </w:rPr>
            </w:pPr>
            <w:r w:rsidRPr="001174F5">
              <w:rPr>
                <w:lang w:val="en-GB"/>
              </w:rPr>
              <w:t xml:space="preserve">store and </w:t>
            </w:r>
            <w:r w:rsidR="00903850">
              <w:rPr>
                <w:lang w:val="en-GB"/>
              </w:rPr>
              <w:t>preserve</w:t>
            </w:r>
            <w:r w:rsidRPr="001174F5">
              <w:rPr>
                <w:lang w:val="en-GB"/>
              </w:rPr>
              <w:t xml:space="preserve"> the Confidential </w:t>
            </w:r>
            <w:r w:rsidRPr="001434E3">
              <w:rPr>
                <w:rFonts w:cs="Arial"/>
                <w:bCs/>
                <w:noProof/>
                <w:szCs w:val="20"/>
                <w:lang w:val="en-GB"/>
              </w:rPr>
              <w:t>Information</w:t>
            </w:r>
            <w:r w:rsidRPr="001174F5">
              <w:rPr>
                <w:lang w:val="en-GB"/>
              </w:rPr>
              <w:t xml:space="preserve"> with the utmost care, including </w:t>
            </w:r>
            <w:r w:rsidR="00903850">
              <w:rPr>
                <w:lang w:val="en-GB"/>
              </w:rPr>
              <w:t>keeping it separate</w:t>
            </w:r>
            <w:r w:rsidRPr="001174F5">
              <w:rPr>
                <w:lang w:val="en-GB"/>
              </w:rPr>
              <w:t xml:space="preserve"> from other data carriers and clearly marked</w:t>
            </w:r>
            <w:r w:rsidR="00903850">
              <w:rPr>
                <w:lang w:val="en-GB"/>
              </w:rPr>
              <w:t>;</w:t>
            </w:r>
          </w:p>
        </w:tc>
      </w:tr>
      <w:tr w:rsidR="003E7C7B" w14:paraId="35525AA0" w14:textId="77777777" w:rsidTr="00D66340">
        <w:tc>
          <w:tcPr>
            <w:tcW w:w="4531" w:type="dxa"/>
          </w:tcPr>
          <w:p w14:paraId="7E5D79AB" w14:textId="231ACBBB" w:rsidR="003E7C7B" w:rsidRPr="00A114D9" w:rsidRDefault="003E7C7B" w:rsidP="00AA09CA">
            <w:pPr>
              <w:pStyle w:val="ListParagraph"/>
              <w:numPr>
                <w:ilvl w:val="2"/>
                <w:numId w:val="19"/>
              </w:numPr>
              <w:spacing w:after="160" w:line="278" w:lineRule="auto"/>
              <w:ind w:left="597" w:hanging="567"/>
              <w:jc w:val="both"/>
            </w:pPr>
            <w:r w:rsidRPr="00A114D9">
              <w:t>viivitamatult teavitama teist Poolt, kui leiab aset või võib leida aset Konfidentsiaalse Teabe teatavaks saamine selleks õigust mitte omavale isikule</w:t>
            </w:r>
            <w:r>
              <w:t>.</w:t>
            </w:r>
          </w:p>
        </w:tc>
        <w:tc>
          <w:tcPr>
            <w:tcW w:w="4531" w:type="dxa"/>
          </w:tcPr>
          <w:p w14:paraId="63119A1E" w14:textId="2301B0F3" w:rsidR="003E7C7B" w:rsidRPr="00903850" w:rsidRDefault="007E6328" w:rsidP="00AA09CA">
            <w:pPr>
              <w:pStyle w:val="ListParagraph"/>
              <w:numPr>
                <w:ilvl w:val="2"/>
                <w:numId w:val="20"/>
              </w:numPr>
              <w:spacing w:line="276" w:lineRule="auto"/>
              <w:ind w:left="604" w:hanging="604"/>
              <w:jc w:val="both"/>
              <w:rPr>
                <w:rFonts w:cs="Arial"/>
                <w:b/>
                <w:bCs/>
                <w:noProof/>
                <w:szCs w:val="20"/>
                <w:lang w:val="en-GB" w:eastAsia="ar-SA"/>
              </w:rPr>
            </w:pPr>
            <w:proofErr w:type="gramStart"/>
            <w:r w:rsidRPr="00903850">
              <w:rPr>
                <w:lang w:val="en-GB"/>
              </w:rPr>
              <w:t>immediately</w:t>
            </w:r>
            <w:proofErr w:type="gramEnd"/>
            <w:r w:rsidRPr="00903850">
              <w:rPr>
                <w:lang w:val="en-GB"/>
              </w:rPr>
              <w:t xml:space="preserve"> notify the other Party if </w:t>
            </w:r>
            <w:r w:rsidR="00934100">
              <w:rPr>
                <w:lang w:val="en-GB"/>
              </w:rPr>
              <w:t>a</w:t>
            </w:r>
            <w:r w:rsidR="00903850" w:rsidRPr="00903850">
              <w:rPr>
                <w:lang w:val="en-GB"/>
              </w:rPr>
              <w:t>ny unauthorized person gains access or may gain access to the Confidential Information</w:t>
            </w:r>
            <w:r w:rsidR="00934100">
              <w:rPr>
                <w:lang w:val="en-GB"/>
              </w:rPr>
              <w:t>.</w:t>
            </w:r>
          </w:p>
        </w:tc>
      </w:tr>
      <w:tr w:rsidR="003E7C7B" w14:paraId="6F1F6725" w14:textId="77777777" w:rsidTr="00D66340">
        <w:tc>
          <w:tcPr>
            <w:tcW w:w="4531" w:type="dxa"/>
          </w:tcPr>
          <w:p w14:paraId="7AB758BB" w14:textId="04471E7F" w:rsidR="003E7C7B" w:rsidRPr="00A114D9" w:rsidRDefault="003E7C7B" w:rsidP="00AA09CA">
            <w:pPr>
              <w:pStyle w:val="ListParagraph"/>
              <w:numPr>
                <w:ilvl w:val="1"/>
                <w:numId w:val="19"/>
              </w:numPr>
              <w:spacing w:line="276" w:lineRule="auto"/>
              <w:ind w:left="456" w:hanging="426"/>
              <w:jc w:val="both"/>
            </w:pPr>
            <w:r w:rsidRPr="001434E3">
              <w:rPr>
                <w:rFonts w:cs="Arial"/>
                <w:bCs/>
                <w:noProof/>
                <w:szCs w:val="20"/>
              </w:rPr>
              <w:t>Lepingus</w:t>
            </w:r>
            <w:r w:rsidRPr="00A114D9">
              <w:t xml:space="preserve"> kokkulepitud tingimused Konfidentsiaalse Teabe avalikustamise ja kasutamise kohta kehtivad ka sellisele Konfidentsiaalsele Teabele, mis edastati Poolele </w:t>
            </w:r>
            <w:r w:rsidR="00903850">
              <w:t xml:space="preserve">valikpakkumisega seoses </w:t>
            </w:r>
            <w:r w:rsidRPr="00A114D9">
              <w:t>enne</w:t>
            </w:r>
            <w:r w:rsidRPr="002A351D">
              <w:t xml:space="preserve"> Lepingu allkirjastamist. </w:t>
            </w:r>
          </w:p>
        </w:tc>
        <w:tc>
          <w:tcPr>
            <w:tcW w:w="4531" w:type="dxa"/>
          </w:tcPr>
          <w:p w14:paraId="66D4070D" w14:textId="6ECEF74E" w:rsidR="003E7C7B" w:rsidRPr="001174F5" w:rsidRDefault="007E6328" w:rsidP="00AA09CA">
            <w:pPr>
              <w:pStyle w:val="ListParagraph"/>
              <w:numPr>
                <w:ilvl w:val="1"/>
                <w:numId w:val="20"/>
              </w:numPr>
              <w:spacing w:line="276" w:lineRule="auto"/>
              <w:ind w:left="463" w:hanging="463"/>
              <w:jc w:val="both"/>
              <w:rPr>
                <w:rFonts w:cs="Arial"/>
                <w:b/>
                <w:bCs/>
                <w:noProof/>
                <w:szCs w:val="20"/>
                <w:lang w:val="en-GB" w:eastAsia="ar-SA"/>
              </w:rPr>
            </w:pPr>
            <w:r w:rsidRPr="001434E3">
              <w:rPr>
                <w:rFonts w:cs="Arial"/>
                <w:bCs/>
                <w:noProof/>
                <w:szCs w:val="20"/>
                <w:lang w:val="en-GB"/>
              </w:rPr>
              <w:t>The</w:t>
            </w:r>
            <w:r w:rsidRPr="001174F5">
              <w:rPr>
                <w:lang w:val="en-GB"/>
              </w:rPr>
              <w:t xml:space="preserve"> terms and conditions agreed upon in the Agreement regarding the disclosure and use of Confidential Information shall also apply in full to such Confidential Information that was provided to the Party prior to the </w:t>
            </w:r>
            <w:r w:rsidRPr="001174F5">
              <w:rPr>
                <w:lang w:val="en-GB"/>
              </w:rPr>
              <w:lastRenderedPageBreak/>
              <w:t>signing of the Agreement</w:t>
            </w:r>
            <w:r w:rsidR="00903850">
              <w:rPr>
                <w:lang w:val="en-GB"/>
              </w:rPr>
              <w:t xml:space="preserve"> in connection with the selective tender</w:t>
            </w:r>
            <w:r w:rsidRPr="001174F5">
              <w:rPr>
                <w:lang w:val="en-GB"/>
              </w:rPr>
              <w:t>.</w:t>
            </w:r>
          </w:p>
        </w:tc>
      </w:tr>
      <w:tr w:rsidR="003E7C7B" w14:paraId="54451866" w14:textId="77777777" w:rsidTr="00D66340">
        <w:tc>
          <w:tcPr>
            <w:tcW w:w="4531" w:type="dxa"/>
          </w:tcPr>
          <w:p w14:paraId="4ED0713F" w14:textId="47329DAD" w:rsidR="003E7C7B" w:rsidRPr="003E7C7B" w:rsidRDefault="003E7C7B" w:rsidP="00AA09CA">
            <w:pPr>
              <w:pStyle w:val="ListParagraph"/>
              <w:numPr>
                <w:ilvl w:val="0"/>
                <w:numId w:val="19"/>
              </w:numPr>
              <w:jc w:val="both"/>
              <w:rPr>
                <w:b/>
                <w:bCs/>
              </w:rPr>
            </w:pPr>
            <w:r w:rsidRPr="00FA0450">
              <w:rPr>
                <w:b/>
                <w:bCs/>
              </w:rPr>
              <w:lastRenderedPageBreak/>
              <w:t>Vastutus</w:t>
            </w:r>
          </w:p>
        </w:tc>
        <w:tc>
          <w:tcPr>
            <w:tcW w:w="4531" w:type="dxa"/>
          </w:tcPr>
          <w:p w14:paraId="4DBC43FA" w14:textId="5D17783A" w:rsidR="007E6328" w:rsidRPr="001174F5" w:rsidRDefault="007E6328" w:rsidP="00AA09CA">
            <w:pPr>
              <w:pStyle w:val="ListParagraph"/>
              <w:numPr>
                <w:ilvl w:val="0"/>
                <w:numId w:val="20"/>
              </w:numPr>
              <w:jc w:val="both"/>
              <w:rPr>
                <w:b/>
                <w:bCs/>
                <w:lang w:val="en-GB"/>
              </w:rPr>
            </w:pPr>
            <w:r w:rsidRPr="001174F5">
              <w:rPr>
                <w:b/>
                <w:bCs/>
                <w:lang w:val="en-GB"/>
              </w:rPr>
              <w:t>Liability</w:t>
            </w:r>
          </w:p>
          <w:p w14:paraId="2D9550AF" w14:textId="77777777" w:rsidR="003E7C7B" w:rsidRPr="007254C4" w:rsidRDefault="003E7C7B" w:rsidP="00AA09CA">
            <w:pPr>
              <w:jc w:val="both"/>
              <w:rPr>
                <w:rFonts w:cs="Arial"/>
                <w:b/>
                <w:bCs/>
                <w:noProof/>
                <w:szCs w:val="20"/>
                <w:lang w:val="en-GB" w:eastAsia="ar-SA"/>
              </w:rPr>
            </w:pPr>
          </w:p>
        </w:tc>
      </w:tr>
      <w:tr w:rsidR="003E7C7B" w14:paraId="318AE36B" w14:textId="77777777" w:rsidTr="00D66340">
        <w:tc>
          <w:tcPr>
            <w:tcW w:w="4531" w:type="dxa"/>
          </w:tcPr>
          <w:p w14:paraId="30DBB922" w14:textId="7373E2ED" w:rsidR="003E7C7B" w:rsidRPr="003E7C7B" w:rsidRDefault="003E7C7B" w:rsidP="00AA09CA">
            <w:pPr>
              <w:pStyle w:val="ListParagraph"/>
              <w:numPr>
                <w:ilvl w:val="1"/>
                <w:numId w:val="19"/>
              </w:numPr>
              <w:spacing w:line="276" w:lineRule="auto"/>
              <w:ind w:left="456" w:hanging="426"/>
              <w:jc w:val="both"/>
            </w:pPr>
            <w:r w:rsidRPr="001434E3">
              <w:rPr>
                <w:rFonts w:cs="Arial"/>
                <w:bCs/>
                <w:noProof/>
                <w:szCs w:val="20"/>
              </w:rPr>
              <w:t>Pooled</w:t>
            </w:r>
            <w:r>
              <w:t xml:space="preserve"> vastutavad käesolevas Lepingus sätestatud kohustuste rikkumise eest käesolevas Lepingus ja õigusaktides sätestatu kohaselt. </w:t>
            </w:r>
          </w:p>
        </w:tc>
        <w:tc>
          <w:tcPr>
            <w:tcW w:w="4531" w:type="dxa"/>
          </w:tcPr>
          <w:p w14:paraId="785A0BFD" w14:textId="4B2889CA" w:rsidR="003E7C7B" w:rsidRPr="001174F5" w:rsidRDefault="007E6328" w:rsidP="00AA09CA">
            <w:pPr>
              <w:pStyle w:val="ListParagraph"/>
              <w:numPr>
                <w:ilvl w:val="1"/>
                <w:numId w:val="20"/>
              </w:numPr>
              <w:spacing w:line="276" w:lineRule="auto"/>
              <w:ind w:left="463" w:hanging="463"/>
              <w:jc w:val="both"/>
              <w:rPr>
                <w:rFonts w:cs="Arial"/>
                <w:b/>
                <w:bCs/>
                <w:noProof/>
                <w:szCs w:val="20"/>
                <w:lang w:val="en-GB" w:eastAsia="ar-SA"/>
              </w:rPr>
            </w:pPr>
            <w:r w:rsidRPr="001434E3">
              <w:rPr>
                <w:rFonts w:cs="Arial"/>
                <w:bCs/>
                <w:noProof/>
                <w:szCs w:val="20"/>
                <w:lang w:val="en-GB"/>
              </w:rPr>
              <w:t>The</w:t>
            </w:r>
            <w:r w:rsidRPr="001174F5">
              <w:rPr>
                <w:lang w:val="en-GB"/>
              </w:rPr>
              <w:t xml:space="preserve"> Parties shall be liable for any breach of the obligations set forth in this Agreement in accordance with the provisions of this Agreement and the legislation</w:t>
            </w:r>
            <w:r w:rsidR="009C724D">
              <w:rPr>
                <w:lang w:val="en-GB"/>
              </w:rPr>
              <w:t>.</w:t>
            </w:r>
          </w:p>
        </w:tc>
      </w:tr>
      <w:tr w:rsidR="003E7C7B" w14:paraId="5EAB3C5A" w14:textId="77777777" w:rsidTr="00D66340">
        <w:tc>
          <w:tcPr>
            <w:tcW w:w="4531" w:type="dxa"/>
          </w:tcPr>
          <w:p w14:paraId="7492DF61" w14:textId="4A09B773" w:rsidR="003E7C7B" w:rsidRDefault="003E7C7B" w:rsidP="00AA09CA">
            <w:pPr>
              <w:pStyle w:val="ListParagraph"/>
              <w:numPr>
                <w:ilvl w:val="1"/>
                <w:numId w:val="19"/>
              </w:numPr>
              <w:spacing w:line="276" w:lineRule="auto"/>
              <w:ind w:left="456" w:hanging="426"/>
              <w:jc w:val="both"/>
            </w:pPr>
            <w:r w:rsidRPr="001434E3">
              <w:rPr>
                <w:rFonts w:cs="Arial"/>
                <w:bCs/>
                <w:noProof/>
                <w:szCs w:val="20"/>
              </w:rPr>
              <w:t>Pool</w:t>
            </w:r>
            <w:r>
              <w:t xml:space="preserve"> on kohustatud Konfidentsiaalsuskohustuse rikkumisest või Konfidentsiaalse teabe avalikuks saamise kahtlusest teist Poolt viivitamatult teavitama ning koheselt võtma tarvitusele igakülgsed meetmed rikkumise tagajärgede leevendamiseks ning kahju tekkimise ärahoidmiseks või lõpetamiseks.</w:t>
            </w:r>
          </w:p>
        </w:tc>
        <w:tc>
          <w:tcPr>
            <w:tcW w:w="4531" w:type="dxa"/>
          </w:tcPr>
          <w:p w14:paraId="41907A29" w14:textId="0A09D116" w:rsidR="003E7C7B" w:rsidRPr="001174F5" w:rsidRDefault="007E6328" w:rsidP="00AA09CA">
            <w:pPr>
              <w:pStyle w:val="ListParagraph"/>
              <w:numPr>
                <w:ilvl w:val="1"/>
                <w:numId w:val="20"/>
              </w:numPr>
              <w:spacing w:line="276" w:lineRule="auto"/>
              <w:ind w:left="463" w:hanging="463"/>
              <w:jc w:val="both"/>
              <w:rPr>
                <w:rFonts w:cs="Arial"/>
                <w:b/>
                <w:bCs/>
                <w:noProof/>
                <w:szCs w:val="20"/>
                <w:lang w:val="en-GB" w:eastAsia="ar-SA"/>
              </w:rPr>
            </w:pPr>
            <w:r w:rsidRPr="001174F5">
              <w:rPr>
                <w:lang w:val="en-GB"/>
              </w:rPr>
              <w:t xml:space="preserve">A </w:t>
            </w:r>
            <w:r w:rsidRPr="001434E3">
              <w:rPr>
                <w:rFonts w:cs="Arial"/>
                <w:bCs/>
                <w:noProof/>
                <w:szCs w:val="20"/>
                <w:lang w:val="en-GB"/>
              </w:rPr>
              <w:t>Party</w:t>
            </w:r>
            <w:r w:rsidRPr="001174F5">
              <w:rPr>
                <w:lang w:val="en-GB"/>
              </w:rPr>
              <w:t xml:space="preserve"> is obliged to immediately notify the other Party of any breach of the </w:t>
            </w:r>
            <w:r w:rsidR="00903850">
              <w:rPr>
                <w:lang w:val="en-GB"/>
              </w:rPr>
              <w:t xml:space="preserve">Confidentiality </w:t>
            </w:r>
            <w:r w:rsidRPr="001174F5">
              <w:rPr>
                <w:lang w:val="en-GB"/>
              </w:rPr>
              <w:t xml:space="preserve">obligation or </w:t>
            </w:r>
            <w:r w:rsidR="00903850">
              <w:rPr>
                <w:lang w:val="en-GB"/>
              </w:rPr>
              <w:t xml:space="preserve">any suspected disclosure </w:t>
            </w:r>
            <w:r w:rsidRPr="001174F5">
              <w:rPr>
                <w:lang w:val="en-GB"/>
              </w:rPr>
              <w:t>of Confidential Information and to immediately take all measures to mitigate the consequences of the breach and to prevent or terminate the occurrence of damage</w:t>
            </w:r>
            <w:r w:rsidR="009C724D">
              <w:rPr>
                <w:lang w:val="en-GB"/>
              </w:rPr>
              <w:t>.</w:t>
            </w:r>
          </w:p>
        </w:tc>
      </w:tr>
      <w:tr w:rsidR="003E7C7B" w14:paraId="24A43EA0" w14:textId="77777777" w:rsidTr="00D66340">
        <w:tc>
          <w:tcPr>
            <w:tcW w:w="4531" w:type="dxa"/>
          </w:tcPr>
          <w:p w14:paraId="36A45412" w14:textId="0ED67EAF" w:rsidR="003E7C7B" w:rsidRDefault="003E7C7B" w:rsidP="00AA09CA">
            <w:pPr>
              <w:pStyle w:val="ListParagraph"/>
              <w:numPr>
                <w:ilvl w:val="1"/>
                <w:numId w:val="19"/>
              </w:numPr>
              <w:spacing w:line="276" w:lineRule="auto"/>
              <w:ind w:left="456" w:hanging="426"/>
              <w:jc w:val="both"/>
            </w:pPr>
            <w:r w:rsidRPr="001434E3">
              <w:rPr>
                <w:rFonts w:cs="Arial"/>
                <w:bCs/>
                <w:noProof/>
                <w:szCs w:val="20"/>
              </w:rPr>
              <w:t>Lepingu</w:t>
            </w:r>
            <w:r>
              <w:t xml:space="preserve"> rikkumise korral on kannatanud poolel õigus nõuda rikkumisega tekitatud kahju ja kulude hüvitamist. </w:t>
            </w:r>
          </w:p>
        </w:tc>
        <w:tc>
          <w:tcPr>
            <w:tcW w:w="4531" w:type="dxa"/>
          </w:tcPr>
          <w:p w14:paraId="593A177F" w14:textId="345F1A53" w:rsidR="003E7C7B" w:rsidRPr="001174F5" w:rsidRDefault="007E6328" w:rsidP="00AA09CA">
            <w:pPr>
              <w:pStyle w:val="ListParagraph"/>
              <w:numPr>
                <w:ilvl w:val="1"/>
                <w:numId w:val="20"/>
              </w:numPr>
              <w:spacing w:line="276" w:lineRule="auto"/>
              <w:ind w:left="463" w:hanging="463"/>
              <w:jc w:val="both"/>
              <w:rPr>
                <w:rFonts w:cs="Arial"/>
                <w:b/>
                <w:bCs/>
                <w:noProof/>
                <w:szCs w:val="20"/>
                <w:lang w:val="en-GB" w:eastAsia="ar-SA"/>
              </w:rPr>
            </w:pPr>
            <w:r w:rsidRPr="001174F5">
              <w:rPr>
                <w:lang w:val="en-GB"/>
              </w:rPr>
              <w:t xml:space="preserve">In the event of a breach of </w:t>
            </w:r>
            <w:r w:rsidR="009C724D">
              <w:rPr>
                <w:lang w:val="en-GB"/>
              </w:rPr>
              <w:t>the Agreement</w:t>
            </w:r>
            <w:r w:rsidRPr="001174F5">
              <w:rPr>
                <w:lang w:val="en-GB"/>
              </w:rPr>
              <w:t xml:space="preserve">, the injured </w:t>
            </w:r>
            <w:r w:rsidR="009C724D">
              <w:rPr>
                <w:lang w:val="en-GB"/>
              </w:rPr>
              <w:t>P</w:t>
            </w:r>
            <w:r w:rsidRPr="001174F5">
              <w:rPr>
                <w:lang w:val="en-GB"/>
              </w:rPr>
              <w:t xml:space="preserve">arty has the right to demand compensation for the damage and costs caused by the </w:t>
            </w:r>
            <w:r w:rsidR="00903850">
              <w:rPr>
                <w:lang w:val="en-GB"/>
              </w:rPr>
              <w:t>breach.</w:t>
            </w:r>
          </w:p>
        </w:tc>
      </w:tr>
      <w:tr w:rsidR="003E7C7B" w14:paraId="19C0EFA8" w14:textId="77777777" w:rsidTr="00D66340">
        <w:tc>
          <w:tcPr>
            <w:tcW w:w="4531" w:type="dxa"/>
          </w:tcPr>
          <w:p w14:paraId="6A38D263" w14:textId="11B3C72D" w:rsidR="003E7C7B" w:rsidRPr="003E7C7B" w:rsidRDefault="003E7C7B" w:rsidP="00AA09CA">
            <w:pPr>
              <w:pStyle w:val="ListParagraph"/>
              <w:numPr>
                <w:ilvl w:val="0"/>
                <w:numId w:val="19"/>
              </w:numPr>
              <w:jc w:val="both"/>
              <w:rPr>
                <w:b/>
                <w:bCs/>
              </w:rPr>
            </w:pPr>
            <w:r w:rsidRPr="00FA0450">
              <w:rPr>
                <w:b/>
                <w:bCs/>
              </w:rPr>
              <w:t>Lõppsätted</w:t>
            </w:r>
          </w:p>
        </w:tc>
        <w:tc>
          <w:tcPr>
            <w:tcW w:w="4531" w:type="dxa"/>
          </w:tcPr>
          <w:p w14:paraId="6A8705B6" w14:textId="77777777" w:rsidR="007E6328" w:rsidRPr="001174F5" w:rsidRDefault="007E6328" w:rsidP="00AA09CA">
            <w:pPr>
              <w:pStyle w:val="ListParagraph"/>
              <w:numPr>
                <w:ilvl w:val="0"/>
                <w:numId w:val="20"/>
              </w:numPr>
              <w:jc w:val="both"/>
              <w:rPr>
                <w:b/>
                <w:bCs/>
                <w:lang w:val="en-GB"/>
              </w:rPr>
            </w:pPr>
            <w:r w:rsidRPr="001174F5">
              <w:rPr>
                <w:b/>
                <w:bCs/>
                <w:lang w:val="en-GB"/>
              </w:rPr>
              <w:t>Final provisions</w:t>
            </w:r>
          </w:p>
          <w:p w14:paraId="20EC0678" w14:textId="77777777" w:rsidR="003E7C7B" w:rsidRPr="007254C4" w:rsidRDefault="003E7C7B" w:rsidP="00AA09CA">
            <w:pPr>
              <w:jc w:val="both"/>
              <w:rPr>
                <w:rFonts w:cs="Arial"/>
                <w:b/>
                <w:bCs/>
                <w:noProof/>
                <w:szCs w:val="20"/>
                <w:lang w:val="en-GB" w:eastAsia="ar-SA"/>
              </w:rPr>
            </w:pPr>
          </w:p>
        </w:tc>
      </w:tr>
      <w:tr w:rsidR="003E7C7B" w14:paraId="2003D1A6" w14:textId="77777777" w:rsidTr="00D66340">
        <w:tc>
          <w:tcPr>
            <w:tcW w:w="4531" w:type="dxa"/>
          </w:tcPr>
          <w:p w14:paraId="4AD33B18" w14:textId="77777777" w:rsidR="00617EA7" w:rsidRDefault="00B86A3C" w:rsidP="00617EA7">
            <w:pPr>
              <w:pStyle w:val="ListParagraph"/>
              <w:numPr>
                <w:ilvl w:val="1"/>
                <w:numId w:val="19"/>
              </w:numPr>
              <w:spacing w:line="276" w:lineRule="auto"/>
              <w:ind w:left="456" w:hanging="426"/>
              <w:jc w:val="both"/>
            </w:pPr>
            <w:r w:rsidRPr="00B86A3C">
              <w:rPr>
                <w:rFonts w:cs="Arial"/>
                <w:bCs/>
                <w:noProof/>
                <w:szCs w:val="20"/>
              </w:rPr>
              <w:t>Lepingule kohaldatakse Eesti Vabariigi õigusakte ning seda tõlgendatakse vastavalt nimetatud õigusaktidele</w:t>
            </w:r>
            <w:r w:rsidR="003E7C7B">
              <w:t xml:space="preserve">. </w:t>
            </w:r>
          </w:p>
          <w:p w14:paraId="3A21546A" w14:textId="3EE74F1F" w:rsidR="003E7C7B" w:rsidRPr="003E7C7B" w:rsidRDefault="00617EA7" w:rsidP="00617EA7">
            <w:pPr>
              <w:pStyle w:val="ListParagraph"/>
              <w:spacing w:line="276" w:lineRule="auto"/>
              <w:ind w:left="456"/>
              <w:jc w:val="both"/>
            </w:pPr>
            <w:r w:rsidRPr="00617EA7">
              <w:t>Kõik Lepingust tulenevad või sellega seotud vaidlused lahendatakse Poolte vaheliste läbirääkimiste teel. Kui läbirääkimiste teel lahenduseni ei jõuta, lahendatakse vaidlus esimese astme kohtuna Harju Maakohtus, välja arvatud juhul, kui seadusega on sätestatud erinev kohustuslik kohtualluvus.</w:t>
            </w:r>
            <w:r w:rsidR="003E7C7B" w:rsidRPr="00FA0450">
              <w:t xml:space="preserve"> </w:t>
            </w:r>
          </w:p>
        </w:tc>
        <w:tc>
          <w:tcPr>
            <w:tcW w:w="4531" w:type="dxa"/>
          </w:tcPr>
          <w:p w14:paraId="298648DF" w14:textId="77777777" w:rsidR="003E7C7B" w:rsidRPr="001C2B6F" w:rsidRDefault="00816904" w:rsidP="00AA09CA">
            <w:pPr>
              <w:pStyle w:val="ListParagraph"/>
              <w:numPr>
                <w:ilvl w:val="1"/>
                <w:numId w:val="20"/>
              </w:numPr>
              <w:spacing w:line="276" w:lineRule="auto"/>
              <w:ind w:left="463" w:hanging="463"/>
              <w:jc w:val="both"/>
              <w:rPr>
                <w:rFonts w:cs="Arial"/>
                <w:b/>
                <w:bCs/>
                <w:noProof/>
                <w:szCs w:val="20"/>
                <w:lang w:val="en-GB" w:eastAsia="ar-SA"/>
              </w:rPr>
            </w:pPr>
            <w:r w:rsidRPr="00361569">
              <w:rPr>
                <w:lang w:val="en-GB"/>
              </w:rPr>
              <w:t>This Agreement shall be governed by and construed in accordance with the laws of the Republic of Estonia</w:t>
            </w:r>
            <w:r w:rsidR="007E6328" w:rsidRPr="001174F5">
              <w:rPr>
                <w:lang w:val="en-GB"/>
              </w:rPr>
              <w:t xml:space="preserve">. </w:t>
            </w:r>
          </w:p>
          <w:p w14:paraId="2BB02839" w14:textId="3E838E4D" w:rsidR="001C2B6F" w:rsidRPr="001174F5" w:rsidRDefault="001C2B6F" w:rsidP="001C2B6F">
            <w:pPr>
              <w:pStyle w:val="ListParagraph"/>
              <w:spacing w:line="276" w:lineRule="auto"/>
              <w:ind w:left="463"/>
              <w:jc w:val="both"/>
              <w:rPr>
                <w:rFonts w:cs="Arial"/>
                <w:b/>
                <w:bCs/>
                <w:noProof/>
                <w:szCs w:val="20"/>
                <w:lang w:val="en-GB" w:eastAsia="ar-SA"/>
              </w:rPr>
            </w:pPr>
            <w:r w:rsidRPr="001C2B6F">
              <w:rPr>
                <w:rFonts w:eastAsia="Arial" w:cs="Arial"/>
                <w:color w:val="000000"/>
                <w:kern w:val="0"/>
                <w:u w:color="000000"/>
                <w:lang w:val="en-GB" w:eastAsia="et-EE"/>
                <w14:ligatures w14:val="none"/>
              </w:rPr>
              <w:t>All disputes arising from or related to the Agreement shall be settled by negotiation between the Parties. In the event that no negotiated solution is reached, the dispute shall be settled by Harju County Court as the court of first instance, unless the law provides for a different compulsory jurisdiction</w:t>
            </w:r>
            <w:r>
              <w:rPr>
                <w:rFonts w:eastAsia="Arial" w:cs="Arial"/>
                <w:color w:val="000000"/>
                <w:kern w:val="0"/>
                <w:u w:color="000000"/>
                <w:lang w:val="en-GB" w:eastAsia="et-EE"/>
                <w14:ligatures w14:val="none"/>
              </w:rPr>
              <w:t>.</w:t>
            </w:r>
          </w:p>
        </w:tc>
      </w:tr>
      <w:tr w:rsidR="003E7C7B" w14:paraId="35610D5D" w14:textId="77777777" w:rsidTr="00D66340">
        <w:tc>
          <w:tcPr>
            <w:tcW w:w="4531" w:type="dxa"/>
          </w:tcPr>
          <w:p w14:paraId="05AA8BD7" w14:textId="50542F47" w:rsidR="003E7C7B" w:rsidRDefault="003E7C7B" w:rsidP="00AA09CA">
            <w:pPr>
              <w:pStyle w:val="ListParagraph"/>
              <w:numPr>
                <w:ilvl w:val="1"/>
                <w:numId w:val="19"/>
              </w:numPr>
              <w:spacing w:line="276" w:lineRule="auto"/>
              <w:ind w:left="456" w:hanging="426"/>
              <w:jc w:val="both"/>
            </w:pPr>
            <w:r w:rsidRPr="001434E3">
              <w:rPr>
                <w:rFonts w:cs="Arial"/>
                <w:bCs/>
                <w:noProof/>
                <w:szCs w:val="20"/>
              </w:rPr>
              <w:t>Leping</w:t>
            </w:r>
            <w:r>
              <w:t xml:space="preserve"> jõustub allkirjastamisel Poolte poolt. Lepingus sätestatud Konfidentsiaalsuskohustused kehtivad tähtajatult, sõltumata Lepingu lõppemisest mis tahes põhjusel. </w:t>
            </w:r>
          </w:p>
        </w:tc>
        <w:tc>
          <w:tcPr>
            <w:tcW w:w="4531" w:type="dxa"/>
          </w:tcPr>
          <w:p w14:paraId="7AC3675B" w14:textId="528DC7B8" w:rsidR="003E7C7B" w:rsidRPr="001174F5" w:rsidRDefault="007E6328" w:rsidP="00AA09CA">
            <w:pPr>
              <w:pStyle w:val="ListParagraph"/>
              <w:numPr>
                <w:ilvl w:val="1"/>
                <w:numId w:val="20"/>
              </w:numPr>
              <w:spacing w:line="276" w:lineRule="auto"/>
              <w:ind w:left="463" w:hanging="463"/>
              <w:jc w:val="both"/>
              <w:rPr>
                <w:rFonts w:cs="Arial"/>
                <w:b/>
                <w:bCs/>
                <w:noProof/>
                <w:szCs w:val="20"/>
                <w:lang w:val="en-GB" w:eastAsia="ar-SA"/>
              </w:rPr>
            </w:pPr>
            <w:r w:rsidRPr="001174F5">
              <w:rPr>
                <w:lang w:val="en-GB"/>
              </w:rPr>
              <w:t xml:space="preserve">The Agreement enters into force upon </w:t>
            </w:r>
            <w:r w:rsidRPr="001434E3">
              <w:rPr>
                <w:rFonts w:cs="Arial"/>
                <w:bCs/>
                <w:noProof/>
                <w:szCs w:val="20"/>
                <w:lang w:val="en-GB"/>
              </w:rPr>
              <w:t>signing</w:t>
            </w:r>
            <w:r w:rsidRPr="001174F5">
              <w:rPr>
                <w:lang w:val="en-GB"/>
              </w:rPr>
              <w:t xml:space="preserve"> by the Parties. The confidentiality obligations set out in the Agreement are valid for an indefinite period, regardless of the termination of the Agreement for any reason.</w:t>
            </w:r>
          </w:p>
        </w:tc>
      </w:tr>
      <w:tr w:rsidR="003E7C7B" w14:paraId="126D0F6F" w14:textId="77777777" w:rsidTr="00D66340">
        <w:tc>
          <w:tcPr>
            <w:tcW w:w="4531" w:type="dxa"/>
          </w:tcPr>
          <w:p w14:paraId="1A8E28FA" w14:textId="77777777" w:rsidR="003E7C7B" w:rsidRPr="001174F5" w:rsidRDefault="003E7C7B" w:rsidP="00AA09CA">
            <w:pPr>
              <w:pStyle w:val="ListParagraph"/>
              <w:numPr>
                <w:ilvl w:val="0"/>
                <w:numId w:val="19"/>
              </w:numPr>
              <w:spacing w:line="276" w:lineRule="auto"/>
              <w:jc w:val="both"/>
              <w:rPr>
                <w:b/>
                <w:bCs/>
              </w:rPr>
            </w:pPr>
            <w:r w:rsidRPr="001174F5">
              <w:rPr>
                <w:b/>
                <w:bCs/>
              </w:rPr>
              <w:t>Allkirjad</w:t>
            </w:r>
          </w:p>
          <w:p w14:paraId="185C5F88" w14:textId="77777777" w:rsidR="003E7C7B" w:rsidRDefault="003E7C7B" w:rsidP="00AA09CA">
            <w:pPr>
              <w:spacing w:line="276" w:lineRule="auto"/>
              <w:jc w:val="both"/>
            </w:pPr>
          </w:p>
        </w:tc>
        <w:tc>
          <w:tcPr>
            <w:tcW w:w="4531" w:type="dxa"/>
          </w:tcPr>
          <w:p w14:paraId="2AC99530" w14:textId="5C972A0B" w:rsidR="003E7C7B" w:rsidRPr="001174F5" w:rsidRDefault="003E7C7B" w:rsidP="00AA09CA">
            <w:pPr>
              <w:pStyle w:val="ListParagraph"/>
              <w:numPr>
                <w:ilvl w:val="0"/>
                <w:numId w:val="20"/>
              </w:numPr>
              <w:jc w:val="both"/>
              <w:rPr>
                <w:rFonts w:cs="Arial"/>
                <w:b/>
                <w:bCs/>
                <w:noProof/>
                <w:szCs w:val="20"/>
                <w:lang w:val="en-GB" w:eastAsia="ar-SA"/>
              </w:rPr>
            </w:pPr>
            <w:r w:rsidRPr="001174F5">
              <w:rPr>
                <w:rFonts w:cs="Arial"/>
                <w:b/>
                <w:bCs/>
                <w:noProof/>
                <w:szCs w:val="20"/>
                <w:lang w:val="en-GB" w:eastAsia="ar-SA"/>
              </w:rPr>
              <w:t>Signatures</w:t>
            </w:r>
          </w:p>
        </w:tc>
      </w:tr>
      <w:tr w:rsidR="003E7C7B" w14:paraId="0D2F3FB6" w14:textId="77777777" w:rsidTr="00D66340">
        <w:tc>
          <w:tcPr>
            <w:tcW w:w="4531" w:type="dxa"/>
          </w:tcPr>
          <w:p w14:paraId="22437B86" w14:textId="77777777" w:rsidR="003E7C7B" w:rsidRPr="001174F5" w:rsidRDefault="003E7C7B" w:rsidP="00AA09CA">
            <w:pPr>
              <w:pStyle w:val="ListParagraph"/>
              <w:spacing w:line="276" w:lineRule="auto"/>
              <w:ind w:left="360"/>
              <w:jc w:val="both"/>
              <w:rPr>
                <w:b/>
                <w:bCs/>
              </w:rPr>
            </w:pPr>
          </w:p>
          <w:p w14:paraId="55FC7715" w14:textId="77777777" w:rsidR="003E7C7B" w:rsidRDefault="003E7C7B" w:rsidP="00AA09CA">
            <w:pPr>
              <w:spacing w:line="276" w:lineRule="auto"/>
              <w:jc w:val="both"/>
              <w:rPr>
                <w:b/>
                <w:bCs/>
              </w:rPr>
            </w:pPr>
          </w:p>
          <w:p w14:paraId="03DF111A" w14:textId="77777777" w:rsidR="003E7C7B" w:rsidRDefault="003E7C7B" w:rsidP="00AA09CA">
            <w:pPr>
              <w:spacing w:line="276" w:lineRule="auto"/>
              <w:jc w:val="both"/>
              <w:rPr>
                <w:b/>
                <w:bCs/>
              </w:rPr>
            </w:pPr>
          </w:p>
          <w:p w14:paraId="1B95D571" w14:textId="77777777" w:rsidR="003E7C7B" w:rsidRPr="00FA0450" w:rsidRDefault="003E7C7B" w:rsidP="00AA09CA">
            <w:pPr>
              <w:spacing w:line="276" w:lineRule="auto"/>
              <w:jc w:val="both"/>
              <w:rPr>
                <w:b/>
                <w:bCs/>
              </w:rPr>
            </w:pPr>
          </w:p>
        </w:tc>
        <w:tc>
          <w:tcPr>
            <w:tcW w:w="4531" w:type="dxa"/>
          </w:tcPr>
          <w:p w14:paraId="5E2A05D9" w14:textId="77777777" w:rsidR="003E7C7B" w:rsidRPr="001174F5" w:rsidRDefault="003E7C7B" w:rsidP="00AA09CA">
            <w:pPr>
              <w:pStyle w:val="ListParagraph"/>
              <w:ind w:left="360"/>
              <w:jc w:val="both"/>
              <w:rPr>
                <w:rFonts w:cs="Arial"/>
                <w:b/>
                <w:bCs/>
                <w:noProof/>
                <w:szCs w:val="20"/>
                <w:lang w:val="en-GB" w:eastAsia="ar-SA"/>
              </w:rPr>
            </w:pPr>
          </w:p>
        </w:tc>
      </w:tr>
    </w:tbl>
    <w:p w14:paraId="7C9EB953" w14:textId="77777777" w:rsidR="00115F2A" w:rsidRDefault="00115F2A" w:rsidP="00AA09CA">
      <w:pPr>
        <w:spacing w:after="0" w:line="240" w:lineRule="auto"/>
        <w:jc w:val="both"/>
        <w:rPr>
          <w:rFonts w:cs="Arial"/>
          <w:bCs/>
          <w:noProof/>
          <w:szCs w:val="20"/>
          <w:lang w:eastAsia="ar-SA"/>
        </w:rPr>
      </w:pPr>
    </w:p>
    <w:p w14:paraId="1F4BFD83" w14:textId="75BEE735" w:rsidR="002A351D" w:rsidRDefault="002A351D" w:rsidP="00AA09CA">
      <w:pPr>
        <w:jc w:val="both"/>
      </w:pPr>
    </w:p>
    <w:sectPr w:rsidR="002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9EE77E"/>
    <w:name w:val="WW8Num7"/>
    <w:lvl w:ilvl="0">
      <w:start w:val="1"/>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1080"/>
        </w:tabs>
        <w:ind w:left="792" w:hanging="432"/>
      </w:pPr>
      <w:rPr>
        <w:rFonts w:cs="Times New Roman"/>
        <w:b/>
        <w:bCs w:val="0"/>
        <w:color w:val="auto"/>
      </w:rPr>
    </w:lvl>
    <w:lvl w:ilvl="2">
      <w:start w:val="1"/>
      <w:numFmt w:val="decimal"/>
      <w:lvlText w:val="%1.%2.%3."/>
      <w:lvlJc w:val="left"/>
      <w:pPr>
        <w:tabs>
          <w:tab w:val="num" w:pos="1800"/>
        </w:tabs>
        <w:ind w:left="1224" w:hanging="504"/>
      </w:pPr>
      <w:rPr>
        <w:rFonts w:cs="Times New Roman"/>
        <w:b/>
        <w:bCs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 w15:restartNumberingAfterBreak="0">
    <w:nsid w:val="059D03E3"/>
    <w:multiLevelType w:val="multilevel"/>
    <w:tmpl w:val="D06689F2"/>
    <w:lvl w:ilvl="0">
      <w:start w:val="2"/>
      <w:numFmt w:val="decimal"/>
      <w:lvlText w:val="%1."/>
      <w:lvlJc w:val="left"/>
      <w:pPr>
        <w:ind w:left="360" w:hanging="360"/>
      </w:pPr>
      <w:rPr>
        <w:rFonts w:hint="default"/>
      </w:rPr>
    </w:lvl>
    <w:lvl w:ilvl="1">
      <w:start w:val="1"/>
      <w:numFmt w:val="decimal"/>
      <w:lvlText w:val="%1.%2."/>
      <w:lvlJc w:val="left"/>
      <w:pPr>
        <w:ind w:left="957" w:hanging="360"/>
      </w:pPr>
      <w:rPr>
        <w:rFonts w:hint="default"/>
        <w:b/>
        <w:bCs/>
      </w:rPr>
    </w:lvl>
    <w:lvl w:ilvl="2">
      <w:start w:val="1"/>
      <w:numFmt w:val="decimal"/>
      <w:lvlText w:val="%1.%2.%3."/>
      <w:lvlJc w:val="left"/>
      <w:pPr>
        <w:ind w:left="1914" w:hanging="720"/>
      </w:pPr>
      <w:rPr>
        <w:rFonts w:hint="default"/>
        <w:b/>
        <w:bCs/>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abstractNum w:abstractNumId="2" w15:restartNumberingAfterBreak="0">
    <w:nsid w:val="087524D7"/>
    <w:multiLevelType w:val="hybridMultilevel"/>
    <w:tmpl w:val="CA465934"/>
    <w:lvl w:ilvl="0" w:tplc="FF8A0BB6">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6F6162"/>
    <w:multiLevelType w:val="hybridMultilevel"/>
    <w:tmpl w:val="17FA4766"/>
    <w:lvl w:ilvl="0" w:tplc="12E8C506">
      <w:start w:val="1"/>
      <w:numFmt w:val="decimal"/>
      <w:lvlText w:val="%1."/>
      <w:lvlJc w:val="left"/>
      <w:pPr>
        <w:ind w:left="927" w:hanging="360"/>
      </w:pPr>
      <w:rPr>
        <w:rFonts w:hint="default"/>
      </w:rPr>
    </w:lvl>
    <w:lvl w:ilvl="1" w:tplc="04250019">
      <w:start w:val="1"/>
      <w:numFmt w:val="lowerLetter"/>
      <w:lvlText w:val="%2."/>
      <w:lvlJc w:val="left"/>
      <w:pPr>
        <w:ind w:left="1647" w:hanging="360"/>
      </w:pPr>
    </w:lvl>
    <w:lvl w:ilvl="2" w:tplc="0425001B">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4" w15:restartNumberingAfterBreak="0">
    <w:nsid w:val="0E9A674A"/>
    <w:multiLevelType w:val="multilevel"/>
    <w:tmpl w:val="7F4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01E79"/>
    <w:multiLevelType w:val="multilevel"/>
    <w:tmpl w:val="1372589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95620"/>
    <w:multiLevelType w:val="multilevel"/>
    <w:tmpl w:val="ABEAC704"/>
    <w:lvl w:ilvl="0">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A2099"/>
    <w:multiLevelType w:val="multilevel"/>
    <w:tmpl w:val="D06689F2"/>
    <w:lvl w:ilvl="0">
      <w:start w:val="2"/>
      <w:numFmt w:val="decimal"/>
      <w:lvlText w:val="%1."/>
      <w:lvlJc w:val="left"/>
      <w:pPr>
        <w:ind w:left="360" w:hanging="360"/>
      </w:pPr>
      <w:rPr>
        <w:rFonts w:hint="default"/>
      </w:rPr>
    </w:lvl>
    <w:lvl w:ilvl="1">
      <w:start w:val="1"/>
      <w:numFmt w:val="decimal"/>
      <w:lvlText w:val="%1.%2."/>
      <w:lvlJc w:val="left"/>
      <w:pPr>
        <w:ind w:left="957" w:hanging="360"/>
      </w:pPr>
      <w:rPr>
        <w:rFonts w:hint="default"/>
        <w:b/>
        <w:bCs/>
      </w:rPr>
    </w:lvl>
    <w:lvl w:ilvl="2">
      <w:start w:val="1"/>
      <w:numFmt w:val="decimal"/>
      <w:lvlText w:val="%1.%2.%3."/>
      <w:lvlJc w:val="left"/>
      <w:pPr>
        <w:ind w:left="1914" w:hanging="720"/>
      </w:pPr>
      <w:rPr>
        <w:rFonts w:hint="default"/>
        <w:b/>
        <w:bCs/>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abstractNum w:abstractNumId="8" w15:restartNumberingAfterBreak="0">
    <w:nsid w:val="1DBE2D3B"/>
    <w:multiLevelType w:val="multilevel"/>
    <w:tmpl w:val="D06689F2"/>
    <w:lvl w:ilvl="0">
      <w:start w:val="2"/>
      <w:numFmt w:val="decimal"/>
      <w:lvlText w:val="%1."/>
      <w:lvlJc w:val="left"/>
      <w:pPr>
        <w:ind w:left="360" w:hanging="360"/>
      </w:pPr>
      <w:rPr>
        <w:rFonts w:hint="default"/>
      </w:rPr>
    </w:lvl>
    <w:lvl w:ilvl="1">
      <w:start w:val="1"/>
      <w:numFmt w:val="decimal"/>
      <w:lvlText w:val="%1.%2."/>
      <w:lvlJc w:val="left"/>
      <w:pPr>
        <w:ind w:left="957" w:hanging="360"/>
      </w:pPr>
      <w:rPr>
        <w:rFonts w:hint="default"/>
        <w:b/>
        <w:bCs/>
      </w:rPr>
    </w:lvl>
    <w:lvl w:ilvl="2">
      <w:start w:val="1"/>
      <w:numFmt w:val="decimal"/>
      <w:lvlText w:val="%1.%2.%3."/>
      <w:lvlJc w:val="left"/>
      <w:pPr>
        <w:ind w:left="1914" w:hanging="720"/>
      </w:pPr>
      <w:rPr>
        <w:rFonts w:hint="default"/>
        <w:b/>
        <w:bCs/>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abstractNum w:abstractNumId="9" w15:restartNumberingAfterBreak="0">
    <w:nsid w:val="1F9F6011"/>
    <w:multiLevelType w:val="multilevel"/>
    <w:tmpl w:val="009EE77E"/>
    <w:lvl w:ilvl="0">
      <w:start w:val="1"/>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1080"/>
        </w:tabs>
        <w:ind w:left="792" w:hanging="432"/>
      </w:pPr>
      <w:rPr>
        <w:rFonts w:cs="Times New Roman"/>
        <w:b/>
        <w:bCs w:val="0"/>
        <w:color w:val="auto"/>
      </w:rPr>
    </w:lvl>
    <w:lvl w:ilvl="2">
      <w:start w:val="1"/>
      <w:numFmt w:val="decimal"/>
      <w:lvlText w:val="%1.%2.%3."/>
      <w:lvlJc w:val="left"/>
      <w:pPr>
        <w:tabs>
          <w:tab w:val="num" w:pos="1800"/>
        </w:tabs>
        <w:ind w:left="1224" w:hanging="504"/>
      </w:pPr>
      <w:rPr>
        <w:rFonts w:cs="Times New Roman"/>
        <w:b/>
        <w:bCs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0" w15:restartNumberingAfterBreak="0">
    <w:nsid w:val="228A4E7B"/>
    <w:multiLevelType w:val="multilevel"/>
    <w:tmpl w:val="009EE77E"/>
    <w:lvl w:ilvl="0">
      <w:start w:val="1"/>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1080"/>
        </w:tabs>
        <w:ind w:left="792" w:hanging="432"/>
      </w:pPr>
      <w:rPr>
        <w:rFonts w:cs="Times New Roman"/>
        <w:b/>
        <w:bCs w:val="0"/>
        <w:color w:val="auto"/>
      </w:rPr>
    </w:lvl>
    <w:lvl w:ilvl="2">
      <w:start w:val="1"/>
      <w:numFmt w:val="decimal"/>
      <w:lvlText w:val="%1.%2.%3."/>
      <w:lvlJc w:val="left"/>
      <w:pPr>
        <w:tabs>
          <w:tab w:val="num" w:pos="1800"/>
        </w:tabs>
        <w:ind w:left="1224" w:hanging="504"/>
      </w:pPr>
      <w:rPr>
        <w:rFonts w:cs="Times New Roman"/>
        <w:b/>
        <w:bCs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1" w15:restartNumberingAfterBreak="0">
    <w:nsid w:val="2EA52F13"/>
    <w:multiLevelType w:val="hybridMultilevel"/>
    <w:tmpl w:val="A4027C34"/>
    <w:lvl w:ilvl="0" w:tplc="C582B030">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EAD5616"/>
    <w:multiLevelType w:val="hybridMultilevel"/>
    <w:tmpl w:val="AA90C276"/>
    <w:lvl w:ilvl="0" w:tplc="85AC87D8">
      <w:start w:val="1"/>
      <w:numFmt w:val="upperLetter"/>
      <w:lvlText w:val="(%1)"/>
      <w:lvlJc w:val="left"/>
      <w:pPr>
        <w:ind w:left="720" w:hanging="360"/>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389449D"/>
    <w:multiLevelType w:val="multilevel"/>
    <w:tmpl w:val="D8A0F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E7692D"/>
    <w:multiLevelType w:val="hybridMultilevel"/>
    <w:tmpl w:val="CA2C7ED8"/>
    <w:lvl w:ilvl="0" w:tplc="85AC87D8">
      <w:start w:val="1"/>
      <w:numFmt w:val="upperLetter"/>
      <w:lvlText w:val="(%1)"/>
      <w:lvlJc w:val="left"/>
      <w:pPr>
        <w:ind w:left="218" w:hanging="360"/>
      </w:pPr>
      <w:rPr>
        <w:rFonts w:hint="default"/>
        <w:b/>
        <w:bCs w:val="0"/>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15" w15:restartNumberingAfterBreak="0">
    <w:nsid w:val="5CE177EE"/>
    <w:multiLevelType w:val="multilevel"/>
    <w:tmpl w:val="8E12AB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6B000E"/>
    <w:multiLevelType w:val="multilevel"/>
    <w:tmpl w:val="8F402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414D33"/>
    <w:multiLevelType w:val="multilevel"/>
    <w:tmpl w:val="009EE77E"/>
    <w:lvl w:ilvl="0">
      <w:start w:val="1"/>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1080"/>
        </w:tabs>
        <w:ind w:left="792" w:hanging="432"/>
      </w:pPr>
      <w:rPr>
        <w:rFonts w:cs="Times New Roman"/>
        <w:b/>
        <w:bCs w:val="0"/>
        <w:color w:val="auto"/>
      </w:rPr>
    </w:lvl>
    <w:lvl w:ilvl="2">
      <w:start w:val="1"/>
      <w:numFmt w:val="decimal"/>
      <w:lvlText w:val="%1.%2.%3."/>
      <w:lvlJc w:val="left"/>
      <w:pPr>
        <w:tabs>
          <w:tab w:val="num" w:pos="1800"/>
        </w:tabs>
        <w:ind w:left="1224" w:hanging="504"/>
      </w:pPr>
      <w:rPr>
        <w:rFonts w:cs="Times New Roman"/>
        <w:b/>
        <w:bCs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8" w15:restartNumberingAfterBreak="0">
    <w:nsid w:val="788960FF"/>
    <w:multiLevelType w:val="multilevel"/>
    <w:tmpl w:val="49A49048"/>
    <w:name w:val="WW8Num7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787226"/>
    <w:multiLevelType w:val="multilevel"/>
    <w:tmpl w:val="B5A65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4"/>
  </w:num>
  <w:num w:numId="4">
    <w:abstractNumId w:val="13"/>
  </w:num>
  <w:num w:numId="5">
    <w:abstractNumId w:val="14"/>
  </w:num>
  <w:num w:numId="6">
    <w:abstractNumId w:val="0"/>
  </w:num>
  <w:num w:numId="7">
    <w:abstractNumId w:val="5"/>
  </w:num>
  <w:num w:numId="8">
    <w:abstractNumId w:val="3"/>
  </w:num>
  <w:num w:numId="9">
    <w:abstractNumId w:val="8"/>
  </w:num>
  <w:num w:numId="10">
    <w:abstractNumId w:val="19"/>
  </w:num>
  <w:num w:numId="11">
    <w:abstractNumId w:val="1"/>
  </w:num>
  <w:num w:numId="12">
    <w:abstractNumId w:val="7"/>
  </w:num>
  <w:num w:numId="13">
    <w:abstractNumId w:val="16"/>
  </w:num>
  <w:num w:numId="14">
    <w:abstractNumId w:val="17"/>
  </w:num>
  <w:num w:numId="15">
    <w:abstractNumId w:val="9"/>
  </w:num>
  <w:num w:numId="16">
    <w:abstractNumId w:val="2"/>
  </w:num>
  <w:num w:numId="17">
    <w:abstractNumId w:val="11"/>
  </w:num>
  <w:num w:numId="18">
    <w:abstractNumId w:val="12"/>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1D"/>
    <w:rsid w:val="000232F4"/>
    <w:rsid w:val="00055845"/>
    <w:rsid w:val="00063130"/>
    <w:rsid w:val="000753BE"/>
    <w:rsid w:val="00092D2E"/>
    <w:rsid w:val="000965CC"/>
    <w:rsid w:val="000B6374"/>
    <w:rsid w:val="00101871"/>
    <w:rsid w:val="00115F2A"/>
    <w:rsid w:val="001174F5"/>
    <w:rsid w:val="001434E3"/>
    <w:rsid w:val="001C2B6F"/>
    <w:rsid w:val="00201DF8"/>
    <w:rsid w:val="00275F7C"/>
    <w:rsid w:val="002A351D"/>
    <w:rsid w:val="0030404C"/>
    <w:rsid w:val="003057C3"/>
    <w:rsid w:val="00367718"/>
    <w:rsid w:val="00396BC4"/>
    <w:rsid w:val="003E7C7B"/>
    <w:rsid w:val="003F2F07"/>
    <w:rsid w:val="004256BA"/>
    <w:rsid w:val="004663D0"/>
    <w:rsid w:val="004D39C5"/>
    <w:rsid w:val="004E5BA0"/>
    <w:rsid w:val="004F6AFC"/>
    <w:rsid w:val="0050195B"/>
    <w:rsid w:val="00535816"/>
    <w:rsid w:val="00542869"/>
    <w:rsid w:val="00547D44"/>
    <w:rsid w:val="00565DD1"/>
    <w:rsid w:val="00570A44"/>
    <w:rsid w:val="00573283"/>
    <w:rsid w:val="005E0619"/>
    <w:rsid w:val="005F2BF4"/>
    <w:rsid w:val="00617EA7"/>
    <w:rsid w:val="006711FC"/>
    <w:rsid w:val="006B08A5"/>
    <w:rsid w:val="006D3757"/>
    <w:rsid w:val="006D5CF7"/>
    <w:rsid w:val="007254C4"/>
    <w:rsid w:val="00742B89"/>
    <w:rsid w:val="00771021"/>
    <w:rsid w:val="00771B46"/>
    <w:rsid w:val="00795990"/>
    <w:rsid w:val="007C0FD5"/>
    <w:rsid w:val="007D661C"/>
    <w:rsid w:val="007E4491"/>
    <w:rsid w:val="007E6328"/>
    <w:rsid w:val="007F6A8D"/>
    <w:rsid w:val="00816904"/>
    <w:rsid w:val="008747A6"/>
    <w:rsid w:val="008A15EA"/>
    <w:rsid w:val="008A7796"/>
    <w:rsid w:val="008C51AF"/>
    <w:rsid w:val="008E00A4"/>
    <w:rsid w:val="00903850"/>
    <w:rsid w:val="00906CF2"/>
    <w:rsid w:val="009203A8"/>
    <w:rsid w:val="009232E3"/>
    <w:rsid w:val="00934100"/>
    <w:rsid w:val="00957AAB"/>
    <w:rsid w:val="0096767E"/>
    <w:rsid w:val="00993BFC"/>
    <w:rsid w:val="009A6C51"/>
    <w:rsid w:val="009C724D"/>
    <w:rsid w:val="009E674E"/>
    <w:rsid w:val="00A114D9"/>
    <w:rsid w:val="00A546F1"/>
    <w:rsid w:val="00AA09CA"/>
    <w:rsid w:val="00AB7192"/>
    <w:rsid w:val="00AD26F8"/>
    <w:rsid w:val="00AE3D73"/>
    <w:rsid w:val="00B21C43"/>
    <w:rsid w:val="00B86A3C"/>
    <w:rsid w:val="00BC302C"/>
    <w:rsid w:val="00C947C6"/>
    <w:rsid w:val="00C96F57"/>
    <w:rsid w:val="00CB4E4B"/>
    <w:rsid w:val="00CE038E"/>
    <w:rsid w:val="00D06B74"/>
    <w:rsid w:val="00D60797"/>
    <w:rsid w:val="00D66340"/>
    <w:rsid w:val="00D7737F"/>
    <w:rsid w:val="00D976D7"/>
    <w:rsid w:val="00DB2D39"/>
    <w:rsid w:val="00DD1E69"/>
    <w:rsid w:val="00E11C71"/>
    <w:rsid w:val="00E67CA5"/>
    <w:rsid w:val="00EF0E1E"/>
    <w:rsid w:val="00EF1021"/>
    <w:rsid w:val="00F726DC"/>
    <w:rsid w:val="00F77A3E"/>
    <w:rsid w:val="00F81CF5"/>
    <w:rsid w:val="00FA0450"/>
    <w:rsid w:val="00FE2D95"/>
    <w:rsid w:val="00FE4D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A0F9"/>
  <w15:chartTrackingRefBased/>
  <w15:docId w15:val="{8A44BC91-5BF1-44EB-BA40-04A7150E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E3"/>
    <w:rPr>
      <w:rFonts w:ascii="Arial" w:hAnsi="Arial"/>
      <w:sz w:val="20"/>
    </w:rPr>
  </w:style>
  <w:style w:type="paragraph" w:styleId="Heading1">
    <w:name w:val="heading 1"/>
    <w:basedOn w:val="Normal"/>
    <w:next w:val="Normal"/>
    <w:link w:val="Heading1Char"/>
    <w:uiPriority w:val="9"/>
    <w:qFormat/>
    <w:rsid w:val="002A3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5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5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35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35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35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35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35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51D"/>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2A351D"/>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2A351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2A351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2A351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2A351D"/>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2A3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5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51D"/>
    <w:pPr>
      <w:spacing w:before="160"/>
      <w:jc w:val="center"/>
    </w:pPr>
    <w:rPr>
      <w:i/>
      <w:iCs/>
      <w:color w:val="404040" w:themeColor="text1" w:themeTint="BF"/>
    </w:rPr>
  </w:style>
  <w:style w:type="character" w:customStyle="1" w:styleId="QuoteChar">
    <w:name w:val="Quote Char"/>
    <w:basedOn w:val="DefaultParagraphFont"/>
    <w:link w:val="Quote"/>
    <w:uiPriority w:val="29"/>
    <w:rsid w:val="002A351D"/>
    <w:rPr>
      <w:rFonts w:ascii="Arial" w:hAnsi="Arial"/>
      <w:i/>
      <w:iCs/>
      <w:color w:val="404040" w:themeColor="text1" w:themeTint="BF"/>
      <w:sz w:val="20"/>
    </w:rPr>
  </w:style>
  <w:style w:type="paragraph" w:styleId="ListParagraph">
    <w:name w:val="List Paragraph"/>
    <w:basedOn w:val="Normal"/>
    <w:uiPriority w:val="34"/>
    <w:qFormat/>
    <w:rsid w:val="002A351D"/>
    <w:pPr>
      <w:ind w:left="720"/>
      <w:contextualSpacing/>
    </w:pPr>
  </w:style>
  <w:style w:type="character" w:styleId="IntenseEmphasis">
    <w:name w:val="Intense Emphasis"/>
    <w:basedOn w:val="DefaultParagraphFont"/>
    <w:uiPriority w:val="21"/>
    <w:qFormat/>
    <w:rsid w:val="002A351D"/>
    <w:rPr>
      <w:i/>
      <w:iCs/>
      <w:color w:val="0F4761" w:themeColor="accent1" w:themeShade="BF"/>
    </w:rPr>
  </w:style>
  <w:style w:type="paragraph" w:styleId="IntenseQuote">
    <w:name w:val="Intense Quote"/>
    <w:basedOn w:val="Normal"/>
    <w:next w:val="Normal"/>
    <w:link w:val="IntenseQuoteChar"/>
    <w:uiPriority w:val="30"/>
    <w:qFormat/>
    <w:rsid w:val="002A3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51D"/>
    <w:rPr>
      <w:rFonts w:ascii="Arial" w:hAnsi="Arial"/>
      <w:i/>
      <w:iCs/>
      <w:color w:val="0F4761" w:themeColor="accent1" w:themeShade="BF"/>
      <w:sz w:val="20"/>
    </w:rPr>
  </w:style>
  <w:style w:type="character" w:styleId="IntenseReference">
    <w:name w:val="Intense Reference"/>
    <w:basedOn w:val="DefaultParagraphFont"/>
    <w:uiPriority w:val="32"/>
    <w:qFormat/>
    <w:rsid w:val="002A351D"/>
    <w:rPr>
      <w:b/>
      <w:bCs/>
      <w:smallCaps/>
      <w:color w:val="0F4761" w:themeColor="accent1" w:themeShade="BF"/>
      <w:spacing w:val="5"/>
    </w:rPr>
  </w:style>
  <w:style w:type="table" w:styleId="TableGrid">
    <w:name w:val="Table Grid"/>
    <w:basedOn w:val="TableNormal"/>
    <w:uiPriority w:val="39"/>
    <w:rsid w:val="00D6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BB71EA80C5AA4385B4AF0F1233F04F" ma:contentTypeVersion="2" ma:contentTypeDescription="Loo uus dokument" ma:contentTypeScope="" ma:versionID="c1275b54fa42525d6d91fc2d826f1f2a">
  <xsd:schema xmlns:xsd="http://www.w3.org/2001/XMLSchema" xmlns:xs="http://www.w3.org/2001/XMLSchema" xmlns:p="http://schemas.microsoft.com/office/2006/metadata/properties" xmlns:ns2="d5573a5d-10e4-4724-a6b0-f07fd5e60675" targetNamespace="http://schemas.microsoft.com/office/2006/metadata/properties" ma:root="true" ma:fieldsID="7ceba75ca7dbdf07854c99fbff02614e" ns2:_="">
    <xsd:import namespace="d5573a5d-10e4-4724-a6b0-f07fd5e60675"/>
    <xsd:element name="properties">
      <xsd:complexType>
        <xsd:sequence>
          <xsd:element name="documentManagement">
            <xsd:complexType>
              <xsd:all>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documentManagement>
</p:properties>
</file>

<file path=customXml/itemProps1.xml><?xml version="1.0" encoding="utf-8"?>
<ds:datastoreItem xmlns:ds="http://schemas.openxmlformats.org/officeDocument/2006/customXml" ds:itemID="{093965C4-CFB5-4440-936C-F90AE5DF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34B87-C078-4326-9390-B7B1AB24A333}">
  <ds:schemaRefs>
    <ds:schemaRef ds:uri="http://schemas.microsoft.com/sharepoint/v3/contenttype/forms"/>
  </ds:schemaRefs>
</ds:datastoreItem>
</file>

<file path=customXml/itemProps3.xml><?xml version="1.0" encoding="utf-8"?>
<ds:datastoreItem xmlns:ds="http://schemas.openxmlformats.org/officeDocument/2006/customXml" ds:itemID="{76A18618-E9AA-4E79-BE53-75D42E524402}">
  <ds:schemaRefs>
    <ds:schemaRef ds:uri="http://www.w3.org/XML/1998/namespace"/>
    <ds:schemaRef ds:uri="http://purl.org/dc/dcmitype/"/>
    <ds:schemaRef ds:uri="http://schemas.microsoft.com/office/2006/metadata/properties"/>
    <ds:schemaRef ds:uri="d5573a5d-10e4-4724-a6b0-f07fd5e60675"/>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2402</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Merle Vilu</cp:lastModifiedBy>
  <cp:revision>2</cp:revision>
  <dcterms:created xsi:type="dcterms:W3CDTF">2025-04-09T14:15:00Z</dcterms:created>
  <dcterms:modified xsi:type="dcterms:W3CDTF">2025-04-09T14:15:00Z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0x01010070BB71EA80C5AA4385B4AF0F1233F04F</vt:lpwstr>
  </property>
  <property fmtid="{D5CDD505-2E9C-101B-9397-08002B2CF9AE}" pid="3" name="TaxKeyword">
    <vt:lpwstr/>
  </property>
</Properties>
</file>