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Pr="008C49C8" w:rsidRDefault="006730FE" w:rsidP="004A5AC8">
      <w:pPr>
        <w:jc w:val="both"/>
        <w:rPr>
          <w:szCs w:val="24"/>
        </w:rPr>
      </w:pPr>
      <w:r w:rsidRPr="008C49C8">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Pr="008C49C8" w:rsidRDefault="009454A7" w:rsidP="004A5AC8">
      <w:pPr>
        <w:jc w:val="both"/>
        <w:rPr>
          <w:szCs w:val="24"/>
        </w:rPr>
      </w:pPr>
    </w:p>
    <w:p w:rsidR="009454A7" w:rsidRPr="008C49C8" w:rsidRDefault="009454A7" w:rsidP="004A5AC8">
      <w:pPr>
        <w:jc w:val="both"/>
        <w:rPr>
          <w:szCs w:val="24"/>
        </w:rPr>
      </w:pPr>
    </w:p>
    <w:p w:rsidR="009454A7" w:rsidRPr="008C49C8" w:rsidRDefault="009454A7" w:rsidP="004A5AC8">
      <w:pPr>
        <w:jc w:val="both"/>
        <w:rPr>
          <w:szCs w:val="24"/>
        </w:rPr>
      </w:pPr>
    </w:p>
    <w:p w:rsidR="00431A97" w:rsidRPr="008C49C8" w:rsidRDefault="00431A97" w:rsidP="00337267">
      <w:pPr>
        <w:jc w:val="both"/>
        <w:rPr>
          <w:szCs w:val="24"/>
        </w:rPr>
      </w:pPr>
    </w:p>
    <w:p w:rsidR="00431A97" w:rsidRPr="008C49C8" w:rsidRDefault="00431A97" w:rsidP="00337267">
      <w:pPr>
        <w:jc w:val="both"/>
        <w:rPr>
          <w:szCs w:val="24"/>
        </w:rPr>
      </w:pPr>
    </w:p>
    <w:p w:rsidR="00E60EF5" w:rsidRPr="003C58D6" w:rsidRDefault="00E60EF5" w:rsidP="00337267">
      <w:pPr>
        <w:jc w:val="both"/>
        <w:rPr>
          <w:b/>
          <w:szCs w:val="24"/>
        </w:rPr>
      </w:pPr>
      <w:r w:rsidRPr="003C58D6">
        <w:rPr>
          <w:b/>
          <w:szCs w:val="24"/>
        </w:rPr>
        <w:t>KORRALDUS</w:t>
      </w:r>
    </w:p>
    <w:p w:rsidR="00E60EF5" w:rsidRPr="003C58D6" w:rsidRDefault="00E60EF5" w:rsidP="00337267">
      <w:pPr>
        <w:pStyle w:val="Kehatekst"/>
        <w:jc w:val="both"/>
        <w:rPr>
          <w:b w:val="0"/>
          <w:bCs w:val="0"/>
          <w:szCs w:val="24"/>
        </w:rPr>
      </w:pPr>
    </w:p>
    <w:p w:rsidR="00486978" w:rsidRPr="003C58D6" w:rsidRDefault="00486978" w:rsidP="00337267">
      <w:pPr>
        <w:pStyle w:val="Kehatekst"/>
        <w:jc w:val="both"/>
        <w:rPr>
          <w:b w:val="0"/>
          <w:bCs w:val="0"/>
          <w:szCs w:val="24"/>
        </w:rPr>
      </w:pPr>
    </w:p>
    <w:p w:rsidR="00E60EF5" w:rsidRPr="003C58D6" w:rsidRDefault="00E60EF5" w:rsidP="00337267">
      <w:pPr>
        <w:pStyle w:val="Kehatekst"/>
        <w:jc w:val="both"/>
        <w:rPr>
          <w:b w:val="0"/>
          <w:bCs w:val="0"/>
          <w:szCs w:val="24"/>
        </w:rPr>
      </w:pPr>
      <w:r w:rsidRPr="003C58D6">
        <w:rPr>
          <w:b w:val="0"/>
          <w:bCs w:val="0"/>
          <w:szCs w:val="24"/>
        </w:rPr>
        <w:t>Tallinn</w:t>
      </w:r>
      <w:r w:rsidRPr="003C58D6">
        <w:rPr>
          <w:b w:val="0"/>
          <w:bCs w:val="0"/>
          <w:szCs w:val="24"/>
        </w:rPr>
        <w:tab/>
      </w:r>
      <w:r w:rsidRPr="003C58D6">
        <w:rPr>
          <w:b w:val="0"/>
          <w:bCs w:val="0"/>
          <w:szCs w:val="24"/>
        </w:rPr>
        <w:tab/>
      </w:r>
      <w:r w:rsidRPr="003C58D6">
        <w:rPr>
          <w:b w:val="0"/>
          <w:bCs w:val="0"/>
          <w:szCs w:val="24"/>
        </w:rPr>
        <w:tab/>
      </w:r>
      <w:r w:rsidRPr="003C58D6">
        <w:rPr>
          <w:b w:val="0"/>
          <w:bCs w:val="0"/>
          <w:szCs w:val="24"/>
        </w:rPr>
        <w:tab/>
      </w:r>
      <w:r w:rsidRPr="003C58D6">
        <w:rPr>
          <w:b w:val="0"/>
          <w:bCs w:val="0"/>
          <w:szCs w:val="24"/>
        </w:rPr>
        <w:tab/>
      </w:r>
      <w:r w:rsidRPr="003C58D6">
        <w:rPr>
          <w:b w:val="0"/>
          <w:bCs w:val="0"/>
          <w:szCs w:val="24"/>
        </w:rPr>
        <w:tab/>
      </w:r>
      <w:r w:rsidRPr="003C58D6">
        <w:rPr>
          <w:b w:val="0"/>
          <w:bCs w:val="0"/>
          <w:szCs w:val="24"/>
        </w:rPr>
        <w:tab/>
      </w:r>
      <w:r w:rsidRPr="003C58D6">
        <w:rPr>
          <w:b w:val="0"/>
          <w:bCs w:val="0"/>
          <w:szCs w:val="24"/>
        </w:rPr>
        <w:tab/>
        <w:t xml:space="preserve"> .......</w:t>
      </w:r>
      <w:r w:rsidR="009F68BB" w:rsidRPr="003C58D6">
        <w:rPr>
          <w:b w:val="0"/>
          <w:bCs w:val="0"/>
          <w:szCs w:val="24"/>
        </w:rPr>
        <w:t>0</w:t>
      </w:r>
      <w:r w:rsidR="00CC3C5B" w:rsidRPr="003C58D6">
        <w:rPr>
          <w:b w:val="0"/>
          <w:bCs w:val="0"/>
          <w:szCs w:val="24"/>
        </w:rPr>
        <w:t>6</w:t>
      </w:r>
      <w:r w:rsidR="009F68BB" w:rsidRPr="003C58D6">
        <w:rPr>
          <w:b w:val="0"/>
          <w:bCs w:val="0"/>
          <w:szCs w:val="24"/>
        </w:rPr>
        <w:t>.201</w:t>
      </w:r>
      <w:r w:rsidR="00F875E4" w:rsidRPr="003C58D6">
        <w:rPr>
          <w:b w:val="0"/>
          <w:bCs w:val="0"/>
          <w:szCs w:val="24"/>
        </w:rPr>
        <w:t>6</w:t>
      </w:r>
      <w:r w:rsidR="009F68BB" w:rsidRPr="003C58D6">
        <w:rPr>
          <w:b w:val="0"/>
          <w:bCs w:val="0"/>
          <w:szCs w:val="24"/>
        </w:rPr>
        <w:t xml:space="preserve"> nr KKO 1-</w:t>
      </w:r>
      <w:r w:rsidR="00F875E4" w:rsidRPr="003C58D6">
        <w:rPr>
          <w:b w:val="0"/>
          <w:bCs w:val="0"/>
          <w:szCs w:val="24"/>
        </w:rPr>
        <w:t>3</w:t>
      </w:r>
      <w:r w:rsidR="009F68BB" w:rsidRPr="003C58D6">
        <w:rPr>
          <w:b w:val="0"/>
          <w:bCs w:val="0"/>
          <w:szCs w:val="24"/>
        </w:rPr>
        <w:t>/1</w:t>
      </w:r>
      <w:r w:rsidR="00F875E4" w:rsidRPr="003C58D6">
        <w:rPr>
          <w:b w:val="0"/>
          <w:bCs w:val="0"/>
          <w:szCs w:val="24"/>
        </w:rPr>
        <w:t>6</w:t>
      </w:r>
      <w:r w:rsidRPr="003C58D6">
        <w:rPr>
          <w:b w:val="0"/>
          <w:bCs w:val="0"/>
          <w:szCs w:val="24"/>
        </w:rPr>
        <w:t>/.......</w:t>
      </w:r>
    </w:p>
    <w:p w:rsidR="00E60EF5" w:rsidRPr="003C58D6" w:rsidRDefault="00E60EF5" w:rsidP="00337267">
      <w:pPr>
        <w:jc w:val="both"/>
        <w:rPr>
          <w:szCs w:val="24"/>
        </w:rPr>
      </w:pPr>
    </w:p>
    <w:p w:rsidR="00486978" w:rsidRPr="003C58D6" w:rsidRDefault="00486978" w:rsidP="00337267">
      <w:pPr>
        <w:jc w:val="both"/>
        <w:rPr>
          <w:szCs w:val="24"/>
        </w:rPr>
      </w:pPr>
    </w:p>
    <w:p w:rsidR="00E60EF5" w:rsidRPr="003C58D6" w:rsidRDefault="00E60EF5" w:rsidP="00337267">
      <w:pPr>
        <w:jc w:val="both"/>
        <w:rPr>
          <w:b/>
          <w:bCs/>
          <w:szCs w:val="24"/>
        </w:rPr>
      </w:pPr>
      <w:r w:rsidRPr="003C58D6">
        <w:rPr>
          <w:b/>
          <w:bCs/>
          <w:szCs w:val="24"/>
        </w:rPr>
        <w:t xml:space="preserve">Vee erikasutusloa andmine </w:t>
      </w:r>
    </w:p>
    <w:p w:rsidR="00E60EF5" w:rsidRPr="003C58D6" w:rsidRDefault="00E60EF5" w:rsidP="00337267">
      <w:pPr>
        <w:jc w:val="both"/>
        <w:rPr>
          <w:szCs w:val="24"/>
        </w:rPr>
      </w:pPr>
    </w:p>
    <w:p w:rsidR="00486978" w:rsidRPr="003C58D6" w:rsidRDefault="00486978" w:rsidP="00337267">
      <w:pPr>
        <w:jc w:val="both"/>
        <w:rPr>
          <w:szCs w:val="24"/>
        </w:rPr>
      </w:pPr>
    </w:p>
    <w:p w:rsidR="00E60EF5" w:rsidRPr="003C58D6" w:rsidRDefault="00E60EF5" w:rsidP="00337267">
      <w:pPr>
        <w:jc w:val="both"/>
        <w:rPr>
          <w:b/>
          <w:bCs/>
          <w:szCs w:val="24"/>
        </w:rPr>
      </w:pPr>
      <w:r w:rsidRPr="003C58D6">
        <w:rPr>
          <w:b/>
          <w:bCs/>
          <w:szCs w:val="24"/>
        </w:rPr>
        <w:t>1. ASJAOLUD</w:t>
      </w:r>
    </w:p>
    <w:p w:rsidR="00F80D9E" w:rsidRPr="003C58D6" w:rsidRDefault="00A602A8" w:rsidP="00A602A8">
      <w:pPr>
        <w:jc w:val="both"/>
        <w:rPr>
          <w:rFonts w:eastAsia="Lucida Sans Unicode"/>
          <w:szCs w:val="24"/>
        </w:rPr>
      </w:pPr>
      <w:r w:rsidRPr="003C58D6">
        <w:rPr>
          <w:szCs w:val="24"/>
        </w:rPr>
        <w:t xml:space="preserve">AS </w:t>
      </w:r>
      <w:proofErr w:type="spellStart"/>
      <w:r w:rsidR="00DC1800">
        <w:rPr>
          <w:szCs w:val="24"/>
        </w:rPr>
        <w:t>Nynas</w:t>
      </w:r>
      <w:proofErr w:type="spellEnd"/>
      <w:r w:rsidRPr="003C58D6">
        <w:rPr>
          <w:szCs w:val="24"/>
        </w:rPr>
        <w:t xml:space="preserve"> </w:t>
      </w:r>
      <w:r w:rsidR="00E60EF5" w:rsidRPr="003C58D6">
        <w:rPr>
          <w:szCs w:val="24"/>
        </w:rPr>
        <w:t xml:space="preserve">(Äriregistri kood </w:t>
      </w:r>
      <w:r w:rsidR="00DC1800">
        <w:rPr>
          <w:szCs w:val="24"/>
        </w:rPr>
        <w:t>10028991</w:t>
      </w:r>
      <w:r w:rsidR="00E60EF5" w:rsidRPr="003C58D6">
        <w:rPr>
          <w:szCs w:val="24"/>
        </w:rPr>
        <w:t xml:space="preserve">) </w:t>
      </w:r>
      <w:r w:rsidR="00E60EF5" w:rsidRPr="003C58D6">
        <w:rPr>
          <w:bCs/>
          <w:szCs w:val="24"/>
        </w:rPr>
        <w:t xml:space="preserve">(edaspidi </w:t>
      </w:r>
      <w:r w:rsidR="00E60EF5" w:rsidRPr="003C58D6">
        <w:rPr>
          <w:bCs/>
          <w:i/>
          <w:szCs w:val="24"/>
        </w:rPr>
        <w:t>Taotleja</w:t>
      </w:r>
      <w:r w:rsidR="00E60EF5" w:rsidRPr="003C58D6">
        <w:rPr>
          <w:bCs/>
          <w:szCs w:val="24"/>
        </w:rPr>
        <w:t xml:space="preserve">) </w:t>
      </w:r>
      <w:r w:rsidR="00E60EF5" w:rsidRPr="003C58D6">
        <w:rPr>
          <w:szCs w:val="24"/>
        </w:rPr>
        <w:t xml:space="preserve">esitas </w:t>
      </w:r>
      <w:r w:rsidRPr="003C58D6">
        <w:rPr>
          <w:szCs w:val="24"/>
        </w:rPr>
        <w:t>2</w:t>
      </w:r>
      <w:r w:rsidR="00DC1800">
        <w:rPr>
          <w:szCs w:val="24"/>
        </w:rPr>
        <w:t>1</w:t>
      </w:r>
      <w:r w:rsidR="00F875E4" w:rsidRPr="003C58D6">
        <w:rPr>
          <w:szCs w:val="24"/>
        </w:rPr>
        <w:t>.04.2016</w:t>
      </w:r>
      <w:r w:rsidR="00E60EF5" w:rsidRPr="003C58D6">
        <w:rPr>
          <w:szCs w:val="24"/>
        </w:rPr>
        <w:t xml:space="preserve"> kirjaga </w:t>
      </w:r>
      <w:r w:rsidR="00E60EF5" w:rsidRPr="003C58D6">
        <w:rPr>
          <w:rFonts w:eastAsia="Lucida Sans Unicode"/>
          <w:szCs w:val="24"/>
        </w:rPr>
        <w:t>Keskkonnaametile vee erikasutuslo</w:t>
      </w:r>
      <w:r w:rsidR="009F68BB" w:rsidRPr="003C58D6">
        <w:rPr>
          <w:rFonts w:eastAsia="Lucida Sans Unicode"/>
          <w:szCs w:val="24"/>
        </w:rPr>
        <w:t xml:space="preserve">a taotluse </w:t>
      </w:r>
      <w:r w:rsidR="00F875E4" w:rsidRPr="003C58D6">
        <w:rPr>
          <w:szCs w:val="24"/>
        </w:rPr>
        <w:t>laevade regulaarseks ohtlike ainetega lastimiseks ja lossimiseks.</w:t>
      </w:r>
      <w:r w:rsidR="009F68BB" w:rsidRPr="003C58D6">
        <w:rPr>
          <w:szCs w:val="24"/>
        </w:rPr>
        <w:t xml:space="preserve"> </w:t>
      </w:r>
      <w:r w:rsidR="00F875E4" w:rsidRPr="003C58D6">
        <w:rPr>
          <w:szCs w:val="24"/>
        </w:rPr>
        <w:t>Lastimis</w:t>
      </w:r>
      <w:r w:rsidRPr="003C58D6">
        <w:rPr>
          <w:szCs w:val="24"/>
        </w:rPr>
        <w:t>-</w:t>
      </w:r>
      <w:r w:rsidR="00F875E4" w:rsidRPr="003C58D6">
        <w:rPr>
          <w:szCs w:val="24"/>
        </w:rPr>
        <w:t xml:space="preserve"> ja lossimistöid soovitakse teha </w:t>
      </w:r>
      <w:r w:rsidR="00DC1800">
        <w:rPr>
          <w:szCs w:val="24"/>
        </w:rPr>
        <w:t>Muuga külas, Harjumaal, Muuga sadama kai</w:t>
      </w:r>
      <w:r w:rsidRPr="003C58D6">
        <w:rPr>
          <w:szCs w:val="24"/>
        </w:rPr>
        <w:t xml:space="preserve">l nr </w:t>
      </w:r>
      <w:r w:rsidR="00DC1800">
        <w:rPr>
          <w:szCs w:val="24"/>
        </w:rPr>
        <w:t>3</w:t>
      </w:r>
      <w:r w:rsidRPr="003C58D6">
        <w:rPr>
          <w:szCs w:val="24"/>
        </w:rPr>
        <w:t xml:space="preserve">. </w:t>
      </w:r>
      <w:r w:rsidR="00E60EF5" w:rsidRPr="003C58D6">
        <w:rPr>
          <w:rFonts w:eastAsia="Lucida Sans Unicode"/>
          <w:szCs w:val="24"/>
        </w:rPr>
        <w:t xml:space="preserve">Taotlus saabus ja registreeriti Keskkonnaametis </w:t>
      </w:r>
      <w:r w:rsidRPr="003C58D6">
        <w:rPr>
          <w:rFonts w:eastAsia="Lucida Sans Unicode"/>
          <w:szCs w:val="24"/>
        </w:rPr>
        <w:t>2</w:t>
      </w:r>
      <w:r w:rsidR="00DC1800">
        <w:rPr>
          <w:rFonts w:eastAsia="Lucida Sans Unicode"/>
          <w:szCs w:val="24"/>
        </w:rPr>
        <w:t>1</w:t>
      </w:r>
      <w:r w:rsidR="00F875E4" w:rsidRPr="003C58D6">
        <w:rPr>
          <w:rFonts w:eastAsia="Lucida Sans Unicode"/>
          <w:szCs w:val="24"/>
        </w:rPr>
        <w:t>.0</w:t>
      </w:r>
      <w:r w:rsidRPr="003C58D6">
        <w:rPr>
          <w:rFonts w:eastAsia="Lucida Sans Unicode"/>
          <w:szCs w:val="24"/>
        </w:rPr>
        <w:t>4</w:t>
      </w:r>
      <w:r w:rsidR="00F875E4" w:rsidRPr="003C58D6">
        <w:rPr>
          <w:rFonts w:eastAsia="Lucida Sans Unicode"/>
          <w:szCs w:val="24"/>
        </w:rPr>
        <w:t>.2016</w:t>
      </w:r>
      <w:r w:rsidR="00E60EF5" w:rsidRPr="003C58D6">
        <w:rPr>
          <w:rFonts w:eastAsia="Lucida Sans Unicode"/>
          <w:szCs w:val="24"/>
        </w:rPr>
        <w:t xml:space="preserve"> nr </w:t>
      </w:r>
      <w:r w:rsidR="00F875E4" w:rsidRPr="003C58D6">
        <w:rPr>
          <w:rFonts w:eastAsia="Lucida Sans Unicode"/>
          <w:szCs w:val="24"/>
        </w:rPr>
        <w:t>14-6/16/</w:t>
      </w:r>
      <w:r w:rsidRPr="003C58D6">
        <w:rPr>
          <w:rFonts w:eastAsia="Lucida Sans Unicode"/>
          <w:szCs w:val="24"/>
        </w:rPr>
        <w:t>4</w:t>
      </w:r>
      <w:r w:rsidR="00DC1800">
        <w:rPr>
          <w:rFonts w:eastAsia="Lucida Sans Unicode"/>
          <w:szCs w:val="24"/>
        </w:rPr>
        <w:t>27</w:t>
      </w:r>
      <w:r w:rsidR="00E60EF5" w:rsidRPr="003C58D6">
        <w:rPr>
          <w:rFonts w:eastAsia="Lucida Sans Unicode"/>
          <w:szCs w:val="24"/>
        </w:rPr>
        <w:t>.</w:t>
      </w:r>
      <w:r w:rsidR="00F80D9E" w:rsidRPr="003C58D6">
        <w:rPr>
          <w:rFonts w:eastAsia="Lucida Sans Unicode"/>
          <w:szCs w:val="24"/>
        </w:rPr>
        <w:t xml:space="preserve"> </w:t>
      </w:r>
    </w:p>
    <w:p w:rsidR="00A602A8" w:rsidRPr="003C58D6" w:rsidRDefault="00A602A8" w:rsidP="00A602A8">
      <w:pPr>
        <w:jc w:val="both"/>
        <w:rPr>
          <w:rFonts w:eastAsia="Lucida Sans Unicode"/>
          <w:szCs w:val="24"/>
        </w:rPr>
      </w:pPr>
    </w:p>
    <w:p w:rsidR="00E60EF5" w:rsidRPr="003C58D6" w:rsidRDefault="00E60EF5" w:rsidP="00337267">
      <w:pPr>
        <w:jc w:val="both"/>
        <w:rPr>
          <w:szCs w:val="24"/>
        </w:rPr>
      </w:pPr>
      <w:r w:rsidRPr="003C58D6">
        <w:rPr>
          <w:szCs w:val="24"/>
        </w:rPr>
        <w:t xml:space="preserve">Veeseaduse § 8 lg 2 p 10 kohaselt on vee erikasutusluba vajalik, kui toimub laeva regulaarne </w:t>
      </w:r>
      <w:r w:rsidRPr="003C58D6">
        <w:rPr>
          <w:rFonts w:eastAsia="Lucida Sans Unicode"/>
          <w:szCs w:val="24"/>
        </w:rPr>
        <w:t>ohtlike ainetega või tuulega lenduvate puistekaupadega</w:t>
      </w:r>
      <w:r w:rsidRPr="003C58D6">
        <w:rPr>
          <w:szCs w:val="24"/>
        </w:rPr>
        <w:t xml:space="preserve"> lastimine ja lossimine. Veeseaduse § 9 </w:t>
      </w:r>
      <w:proofErr w:type="spellStart"/>
      <w:r w:rsidRPr="003C58D6">
        <w:rPr>
          <w:szCs w:val="24"/>
        </w:rPr>
        <w:t>lg-st</w:t>
      </w:r>
      <w:proofErr w:type="spellEnd"/>
      <w:r w:rsidRPr="003C58D6">
        <w:rPr>
          <w:szCs w:val="24"/>
        </w:rPr>
        <w:t xml:space="preserve"> 5 tulenevalt annab vee erikasutusloa Keskkonnaamet. Keskkonnaamet hindas esitatud andmeid vastavalt keskkonnaministri 26.03.2002 määrusele nr 18 “Vee erikasutusloa ja ajutise vee erikasutusloa andmise, muutmise ja kehtetuks tunnistamise kord, loa taotlemiseks vajalike materjalide loetelu ja loa vormid”(edaspidi </w:t>
      </w:r>
      <w:r w:rsidRPr="003C58D6">
        <w:rPr>
          <w:i/>
          <w:iCs/>
          <w:szCs w:val="24"/>
        </w:rPr>
        <w:t>määrus nr 18</w:t>
      </w:r>
      <w:r w:rsidRPr="003C58D6">
        <w:rPr>
          <w:szCs w:val="24"/>
        </w:rPr>
        <w:t xml:space="preserve">) ning need vastavad nimetatud määruses esitatud nõuetele. </w:t>
      </w:r>
    </w:p>
    <w:p w:rsidR="00E60EF5" w:rsidRPr="003C58D6" w:rsidRDefault="00E60EF5" w:rsidP="00337267">
      <w:pPr>
        <w:pStyle w:val="Default"/>
        <w:jc w:val="both"/>
      </w:pPr>
    </w:p>
    <w:p w:rsidR="00E60EF5" w:rsidRPr="003C58D6" w:rsidRDefault="00E60EF5" w:rsidP="00337267">
      <w:pPr>
        <w:jc w:val="both"/>
        <w:rPr>
          <w:b/>
          <w:bCs/>
          <w:szCs w:val="24"/>
        </w:rPr>
      </w:pPr>
      <w:r w:rsidRPr="003C58D6">
        <w:rPr>
          <w:b/>
          <w:szCs w:val="24"/>
        </w:rPr>
        <w:t>2. KAALUTLUSED VEE ERIKASUTUSLOA ANDMISEL</w:t>
      </w:r>
    </w:p>
    <w:p w:rsidR="00E60EF5" w:rsidRPr="003C58D6" w:rsidRDefault="00E60EF5" w:rsidP="00337267">
      <w:pPr>
        <w:pStyle w:val="Normaallaadveeb"/>
        <w:spacing w:before="0" w:after="0"/>
        <w:ind w:left="17"/>
        <w:jc w:val="both"/>
        <w:rPr>
          <w:lang w:val="et-EE"/>
        </w:rPr>
      </w:pPr>
      <w:r w:rsidRPr="003C58D6">
        <w:rPr>
          <w:lang w:val="et-EE"/>
        </w:rPr>
        <w:t xml:space="preserve">Vastavalt HMS § 56 </w:t>
      </w:r>
      <w:proofErr w:type="spellStart"/>
      <w:r w:rsidRPr="003C58D6">
        <w:rPr>
          <w:lang w:val="et-EE"/>
        </w:rPr>
        <w:t>lg-le</w:t>
      </w:r>
      <w:proofErr w:type="spellEnd"/>
      <w:r w:rsidRPr="003C58D6">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ning vee kasutamist ja kaitset sätestavatest õigusaktidest.</w:t>
      </w:r>
    </w:p>
    <w:p w:rsidR="00E60EF5" w:rsidRPr="003C58D6" w:rsidRDefault="00E60EF5" w:rsidP="00337267">
      <w:pPr>
        <w:autoSpaceDE w:val="0"/>
        <w:jc w:val="both"/>
        <w:rPr>
          <w:szCs w:val="24"/>
        </w:rPr>
      </w:pPr>
    </w:p>
    <w:p w:rsidR="00E60EF5" w:rsidRPr="003C58D6" w:rsidRDefault="00E60EF5" w:rsidP="00337267">
      <w:pPr>
        <w:jc w:val="both"/>
        <w:rPr>
          <w:b/>
          <w:szCs w:val="24"/>
        </w:rPr>
      </w:pPr>
      <w:r w:rsidRPr="003C58D6">
        <w:rPr>
          <w:b/>
          <w:szCs w:val="24"/>
        </w:rPr>
        <w:t xml:space="preserve">2.1 Taotluse avalikustamine ja seisukohtade </w:t>
      </w:r>
      <w:proofErr w:type="spellStart"/>
      <w:r w:rsidRPr="003C58D6">
        <w:rPr>
          <w:b/>
          <w:szCs w:val="24"/>
        </w:rPr>
        <w:t>ärakuulamine</w:t>
      </w:r>
      <w:proofErr w:type="spellEnd"/>
    </w:p>
    <w:p w:rsidR="00E60EF5" w:rsidRPr="003C58D6" w:rsidRDefault="00E60EF5" w:rsidP="00337267">
      <w:pPr>
        <w:jc w:val="both"/>
        <w:rPr>
          <w:szCs w:val="24"/>
        </w:rPr>
      </w:pPr>
      <w:r w:rsidRPr="003C58D6">
        <w:rPr>
          <w:szCs w:val="24"/>
        </w:rPr>
        <w:t>Veeseaduse § 9</w:t>
      </w:r>
      <w:r w:rsidRPr="003C58D6">
        <w:rPr>
          <w:szCs w:val="24"/>
          <w:vertAlign w:val="superscript"/>
        </w:rPr>
        <w:t>1</w:t>
      </w:r>
      <w:r w:rsidRPr="003C58D6">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DC1800">
        <w:rPr>
          <w:szCs w:val="24"/>
        </w:rPr>
        <w:t>02.05</w:t>
      </w:r>
      <w:r w:rsidR="00F068DB" w:rsidRPr="003C58D6">
        <w:rPr>
          <w:szCs w:val="24"/>
        </w:rPr>
        <w:t>.2016</w:t>
      </w:r>
      <w:r w:rsidRPr="003C58D6">
        <w:rPr>
          <w:szCs w:val="24"/>
        </w:rPr>
        <w:t xml:space="preserve"> tähtaegselt. Ettepanekuid ja vastuväiteid loa taotluse avalikustamise käigus ei laekunud. </w:t>
      </w:r>
    </w:p>
    <w:p w:rsidR="00E60EF5" w:rsidRPr="003C58D6" w:rsidRDefault="00E60EF5" w:rsidP="00337267">
      <w:pPr>
        <w:jc w:val="both"/>
        <w:rPr>
          <w:b/>
          <w:szCs w:val="24"/>
        </w:rPr>
      </w:pPr>
    </w:p>
    <w:p w:rsidR="00E60EF5" w:rsidRPr="003C58D6" w:rsidRDefault="00E60EF5" w:rsidP="00337267">
      <w:pPr>
        <w:autoSpaceDE w:val="0"/>
        <w:jc w:val="both"/>
        <w:rPr>
          <w:b/>
          <w:szCs w:val="24"/>
        </w:rPr>
      </w:pPr>
      <w:r w:rsidRPr="003C58D6">
        <w:rPr>
          <w:b/>
          <w:szCs w:val="24"/>
        </w:rPr>
        <w:t>2.</w:t>
      </w:r>
      <w:r w:rsidR="00FF088E" w:rsidRPr="003C58D6">
        <w:rPr>
          <w:b/>
          <w:szCs w:val="24"/>
        </w:rPr>
        <w:t>2</w:t>
      </w:r>
      <w:r w:rsidRPr="003C58D6">
        <w:rPr>
          <w:b/>
          <w:szCs w:val="24"/>
        </w:rPr>
        <w:t xml:space="preserve"> Keskkonnamõju hindamise vajalikkuse kaalumine</w:t>
      </w:r>
    </w:p>
    <w:p w:rsidR="00E60EF5" w:rsidRPr="003C58D6" w:rsidRDefault="00E60EF5" w:rsidP="00337267">
      <w:pPr>
        <w:pStyle w:val="Kehatekst"/>
        <w:autoSpaceDE w:val="0"/>
        <w:spacing w:line="200" w:lineRule="atLeast"/>
        <w:jc w:val="both"/>
        <w:rPr>
          <w:b w:val="0"/>
          <w:szCs w:val="24"/>
        </w:rPr>
      </w:pPr>
      <w:r w:rsidRPr="003C58D6">
        <w:rPr>
          <w:rFonts w:eastAsia="Lucida Sans Unicode"/>
          <w:b w:val="0"/>
          <w:bCs w:val="0"/>
          <w:color w:val="000000"/>
          <w:spacing w:val="3"/>
          <w:szCs w:val="24"/>
        </w:rPr>
        <w:t xml:space="preserve">Tulenevalt veeseaduse § 9 </w:t>
      </w:r>
      <w:proofErr w:type="spellStart"/>
      <w:r w:rsidRPr="003C58D6">
        <w:rPr>
          <w:rFonts w:eastAsia="Lucida Sans Unicode"/>
          <w:b w:val="0"/>
          <w:bCs w:val="0"/>
          <w:color w:val="000000"/>
          <w:spacing w:val="3"/>
          <w:szCs w:val="24"/>
        </w:rPr>
        <w:t>lg-st</w:t>
      </w:r>
      <w:proofErr w:type="spellEnd"/>
      <w:r w:rsidRPr="003C58D6">
        <w:rPr>
          <w:rFonts w:eastAsia="Lucida Sans Unicode"/>
          <w:b w:val="0"/>
          <w:bCs w:val="0"/>
          <w:color w:val="000000"/>
          <w:spacing w:val="3"/>
          <w:szCs w:val="24"/>
        </w:rPr>
        <w:t xml:space="preserve"> 7 peab vee erikasutusloa andja esitatud taotluse alusel tegema otsuse keskkonnamõju hindamise (edaspidi </w:t>
      </w:r>
      <w:r w:rsidRPr="003C58D6">
        <w:rPr>
          <w:rFonts w:eastAsia="Lucida Sans Unicode"/>
          <w:b w:val="0"/>
          <w:bCs w:val="0"/>
          <w:i/>
          <w:iCs/>
          <w:color w:val="000000"/>
          <w:spacing w:val="3"/>
          <w:szCs w:val="24"/>
        </w:rPr>
        <w:t>KMH</w:t>
      </w:r>
      <w:r w:rsidRPr="003C58D6">
        <w:rPr>
          <w:rFonts w:eastAsia="Lucida Sans Unicode"/>
          <w:b w:val="0"/>
          <w:bCs w:val="0"/>
          <w:color w:val="000000"/>
          <w:spacing w:val="3"/>
          <w:szCs w:val="24"/>
        </w:rPr>
        <w:t xml:space="preserve">) algatamise või algatamata jätmise kohta. Keskkonnamõju hindamise ja keskkonnajuhtimissüsteemi seaduse (edaspidi </w:t>
      </w:r>
      <w:proofErr w:type="spellStart"/>
      <w:r w:rsidRPr="003C58D6">
        <w:rPr>
          <w:rFonts w:eastAsia="Lucida Sans Unicode"/>
          <w:b w:val="0"/>
          <w:bCs w:val="0"/>
          <w:i/>
          <w:iCs/>
          <w:color w:val="000000"/>
          <w:spacing w:val="3"/>
          <w:szCs w:val="24"/>
        </w:rPr>
        <w:t>KeHJS</w:t>
      </w:r>
      <w:proofErr w:type="spellEnd"/>
      <w:r w:rsidRPr="003C58D6">
        <w:rPr>
          <w:rFonts w:eastAsia="Lucida Sans Unicode"/>
          <w:b w:val="0"/>
          <w:bCs w:val="0"/>
          <w:color w:val="000000"/>
          <w:spacing w:val="3"/>
          <w:szCs w:val="24"/>
        </w:rPr>
        <w:t xml:space="preserve">) § 11 lg-ete 3 ja 4 kohaselt on KMH kohustuslik </w:t>
      </w:r>
      <w:proofErr w:type="spellStart"/>
      <w:r w:rsidRPr="003C58D6">
        <w:rPr>
          <w:rFonts w:eastAsia="Lucida Sans Unicode"/>
          <w:b w:val="0"/>
          <w:bCs w:val="0"/>
          <w:color w:val="000000"/>
          <w:spacing w:val="3"/>
          <w:szCs w:val="24"/>
        </w:rPr>
        <w:t>KeHJS</w:t>
      </w:r>
      <w:proofErr w:type="spellEnd"/>
      <w:r w:rsidRPr="003C58D6">
        <w:rPr>
          <w:rFonts w:eastAsia="Lucida Sans Unicode"/>
          <w:b w:val="0"/>
          <w:bCs w:val="0"/>
          <w:color w:val="000000"/>
          <w:spacing w:val="3"/>
          <w:szCs w:val="24"/>
        </w:rPr>
        <w:t xml:space="preserve"> § 6 </w:t>
      </w:r>
      <w:proofErr w:type="spellStart"/>
      <w:r w:rsidRPr="003C58D6">
        <w:rPr>
          <w:rFonts w:eastAsia="Lucida Sans Unicode"/>
          <w:b w:val="0"/>
          <w:bCs w:val="0"/>
          <w:color w:val="000000"/>
          <w:spacing w:val="3"/>
          <w:szCs w:val="24"/>
        </w:rPr>
        <w:t>lg-e</w:t>
      </w:r>
      <w:proofErr w:type="spellEnd"/>
      <w:r w:rsidRPr="003C58D6">
        <w:rPr>
          <w:rFonts w:eastAsia="Lucida Sans Unicode"/>
          <w:b w:val="0"/>
          <w:bCs w:val="0"/>
          <w:color w:val="000000"/>
          <w:spacing w:val="3"/>
          <w:szCs w:val="24"/>
        </w:rPr>
        <w:t xml:space="preserve"> 1 tegevuste korral. </w:t>
      </w:r>
      <w:proofErr w:type="spellStart"/>
      <w:r w:rsidRPr="003C58D6">
        <w:rPr>
          <w:rFonts w:eastAsia="Lucida Sans Unicode"/>
          <w:b w:val="0"/>
          <w:bCs w:val="0"/>
          <w:color w:val="000000"/>
          <w:spacing w:val="3"/>
          <w:szCs w:val="24"/>
        </w:rPr>
        <w:t>KeHJS</w:t>
      </w:r>
      <w:proofErr w:type="spellEnd"/>
      <w:r w:rsidRPr="003C58D6">
        <w:rPr>
          <w:rFonts w:eastAsia="Lucida Sans Unicode"/>
          <w:b w:val="0"/>
          <w:bCs w:val="0"/>
          <w:color w:val="000000"/>
          <w:spacing w:val="3"/>
          <w:szCs w:val="24"/>
        </w:rPr>
        <w:t xml:space="preserve"> § 6 </w:t>
      </w:r>
      <w:proofErr w:type="spellStart"/>
      <w:r w:rsidRPr="003C58D6">
        <w:rPr>
          <w:rFonts w:eastAsia="Lucida Sans Unicode"/>
          <w:b w:val="0"/>
          <w:bCs w:val="0"/>
          <w:color w:val="000000"/>
          <w:spacing w:val="3"/>
          <w:szCs w:val="24"/>
        </w:rPr>
        <w:t>lg-s</w:t>
      </w:r>
      <w:proofErr w:type="spellEnd"/>
      <w:r w:rsidRPr="003C58D6">
        <w:rPr>
          <w:rFonts w:eastAsia="Lucida Sans Unicode"/>
          <w:b w:val="0"/>
          <w:bCs w:val="0"/>
          <w:color w:val="000000"/>
          <w:spacing w:val="3"/>
          <w:szCs w:val="24"/>
        </w:rPr>
        <w:t xml:space="preserve"> 2 nimetatud tegevuste korral tuleb kaaluda KMH algatamist või algatamata jätmist lisades otsusele </w:t>
      </w:r>
      <w:proofErr w:type="spellStart"/>
      <w:r w:rsidRPr="003C58D6">
        <w:rPr>
          <w:rFonts w:eastAsia="Lucida Sans Unicode"/>
          <w:b w:val="0"/>
          <w:bCs w:val="0"/>
          <w:color w:val="000000"/>
          <w:spacing w:val="3"/>
          <w:szCs w:val="24"/>
        </w:rPr>
        <w:t>KeHJS</w:t>
      </w:r>
      <w:proofErr w:type="spellEnd"/>
      <w:r w:rsidRPr="003C58D6">
        <w:rPr>
          <w:rFonts w:eastAsia="Lucida Sans Unicode"/>
          <w:b w:val="0"/>
          <w:bCs w:val="0"/>
          <w:color w:val="000000"/>
          <w:spacing w:val="3"/>
          <w:szCs w:val="24"/>
        </w:rPr>
        <w:t xml:space="preserve"> § 6 </w:t>
      </w:r>
      <w:proofErr w:type="spellStart"/>
      <w:r w:rsidRPr="003C58D6">
        <w:rPr>
          <w:rFonts w:eastAsia="Lucida Sans Unicode"/>
          <w:b w:val="0"/>
          <w:bCs w:val="0"/>
          <w:color w:val="000000"/>
          <w:spacing w:val="3"/>
          <w:szCs w:val="24"/>
        </w:rPr>
        <w:t>lg-e</w:t>
      </w:r>
      <w:proofErr w:type="spellEnd"/>
      <w:r w:rsidRPr="003C58D6">
        <w:rPr>
          <w:rFonts w:eastAsia="Lucida Sans Unicode"/>
          <w:b w:val="0"/>
          <w:bCs w:val="0"/>
          <w:color w:val="000000"/>
          <w:spacing w:val="3"/>
          <w:szCs w:val="24"/>
        </w:rPr>
        <w:t xml:space="preserve"> 3 kohase eelhindamise tulemused. </w:t>
      </w:r>
      <w:proofErr w:type="spellStart"/>
      <w:r w:rsidRPr="003C58D6">
        <w:rPr>
          <w:rFonts w:eastAsia="Lucida Sans Unicode"/>
          <w:b w:val="0"/>
          <w:bCs w:val="0"/>
          <w:color w:val="000000"/>
          <w:spacing w:val="3"/>
          <w:szCs w:val="24"/>
        </w:rPr>
        <w:t>KeHJS</w:t>
      </w:r>
      <w:proofErr w:type="spellEnd"/>
      <w:r w:rsidRPr="003C58D6">
        <w:rPr>
          <w:rFonts w:eastAsia="Lucida Sans Unicode"/>
          <w:b w:val="0"/>
          <w:bCs w:val="0"/>
          <w:color w:val="000000"/>
          <w:spacing w:val="3"/>
          <w:szCs w:val="24"/>
        </w:rPr>
        <w:t xml:space="preserve"> § 6 </w:t>
      </w:r>
      <w:proofErr w:type="spellStart"/>
      <w:r w:rsidRPr="003C58D6">
        <w:rPr>
          <w:rFonts w:eastAsia="Lucida Sans Unicode"/>
          <w:b w:val="0"/>
          <w:bCs w:val="0"/>
          <w:color w:val="000000"/>
          <w:spacing w:val="3"/>
          <w:szCs w:val="24"/>
        </w:rPr>
        <w:t>lg-e</w:t>
      </w:r>
      <w:proofErr w:type="spellEnd"/>
      <w:r w:rsidRPr="003C58D6">
        <w:rPr>
          <w:rFonts w:eastAsia="Lucida Sans Unicode"/>
          <w:b w:val="0"/>
          <w:bCs w:val="0"/>
          <w:color w:val="000000"/>
          <w:spacing w:val="3"/>
          <w:szCs w:val="24"/>
        </w:rPr>
        <w:t xml:space="preserve"> 2 loetelu on § 6 </w:t>
      </w:r>
      <w:proofErr w:type="spellStart"/>
      <w:r w:rsidRPr="003C58D6">
        <w:rPr>
          <w:rFonts w:eastAsia="Lucida Sans Unicode"/>
          <w:b w:val="0"/>
          <w:bCs w:val="0"/>
          <w:color w:val="000000"/>
          <w:spacing w:val="3"/>
          <w:szCs w:val="24"/>
        </w:rPr>
        <w:lastRenderedPageBreak/>
        <w:t>lg-e</w:t>
      </w:r>
      <w:proofErr w:type="spellEnd"/>
      <w:r w:rsidRPr="003C58D6">
        <w:rPr>
          <w:rFonts w:eastAsia="Lucida Sans Unicode"/>
          <w:b w:val="0"/>
          <w:bCs w:val="0"/>
          <w:color w:val="000000"/>
          <w:spacing w:val="3"/>
          <w:szCs w:val="24"/>
        </w:rPr>
        <w:t xml:space="preserve"> 4 alusel täpsustatud Vabariigi Valitsuse 29. 08. 2005 määrusega nr 224 </w:t>
      </w:r>
      <w:r w:rsidRPr="003C58D6">
        <w:rPr>
          <w:rFonts w:eastAsia="Lucida Sans Unicode"/>
          <w:b w:val="0"/>
          <w:szCs w:val="24"/>
        </w:rPr>
        <w:t>„</w:t>
      </w:r>
      <w:r w:rsidRPr="003C58D6">
        <w:rPr>
          <w:b w:val="0"/>
          <w:szCs w:val="24"/>
        </w:rPr>
        <w:t>Tegevusvaldkondade, mille korral tuleb anda keskkonnamõju hindamise vajalikkuse eelhinnang, täpsustatud</w:t>
      </w:r>
      <w:r w:rsidRPr="003C58D6">
        <w:rPr>
          <w:rFonts w:eastAsia="Lucida Sans Unicode"/>
          <w:b w:val="0"/>
          <w:szCs w:val="24"/>
        </w:rPr>
        <w:t xml:space="preserve"> loetelu“ </w:t>
      </w:r>
      <w:r w:rsidRPr="003C58D6">
        <w:rPr>
          <w:b w:val="0"/>
          <w:szCs w:val="24"/>
        </w:rPr>
        <w:t xml:space="preserve">(edaspidi </w:t>
      </w:r>
      <w:r w:rsidRPr="003C58D6">
        <w:rPr>
          <w:b w:val="0"/>
          <w:i/>
          <w:iCs/>
          <w:szCs w:val="24"/>
        </w:rPr>
        <w:t>määrus 224</w:t>
      </w:r>
      <w:r w:rsidRPr="003C58D6">
        <w:rPr>
          <w:b w:val="0"/>
          <w:szCs w:val="24"/>
        </w:rPr>
        <w:t>).</w:t>
      </w:r>
    </w:p>
    <w:p w:rsidR="00E60EF5" w:rsidRPr="003C58D6" w:rsidRDefault="00E60EF5" w:rsidP="00337267">
      <w:pPr>
        <w:pStyle w:val="Kehatekst"/>
        <w:autoSpaceDE w:val="0"/>
        <w:spacing w:line="200" w:lineRule="atLeast"/>
        <w:jc w:val="both"/>
        <w:rPr>
          <w:b w:val="0"/>
          <w:szCs w:val="24"/>
        </w:rPr>
      </w:pPr>
    </w:p>
    <w:p w:rsidR="00E60EF5" w:rsidRPr="003C58D6" w:rsidRDefault="00E60EF5" w:rsidP="00337267">
      <w:pPr>
        <w:pStyle w:val="Kehatekst"/>
        <w:autoSpaceDE w:val="0"/>
        <w:spacing w:line="200" w:lineRule="atLeast"/>
        <w:jc w:val="both"/>
        <w:rPr>
          <w:rFonts w:eastAsia="Lucida Sans Unicode"/>
          <w:b w:val="0"/>
          <w:bCs w:val="0"/>
          <w:color w:val="000000"/>
          <w:spacing w:val="3"/>
          <w:szCs w:val="24"/>
        </w:rPr>
      </w:pPr>
      <w:r w:rsidRPr="003C58D6">
        <w:rPr>
          <w:rFonts w:eastAsia="Lucida Sans Unicode"/>
          <w:b w:val="0"/>
          <w:bCs w:val="0"/>
          <w:color w:val="000000"/>
          <w:spacing w:val="3"/>
          <w:szCs w:val="24"/>
        </w:rPr>
        <w:t xml:space="preserve">Taotleja taotleb vee erikasutusluba </w:t>
      </w:r>
      <w:r w:rsidRPr="003C58D6">
        <w:rPr>
          <w:rFonts w:eastAsia="Lucida Sans Unicode"/>
          <w:b w:val="0"/>
          <w:szCs w:val="24"/>
        </w:rPr>
        <w:t xml:space="preserve">laevade regulaarseks </w:t>
      </w:r>
      <w:r w:rsidR="00F80D9E" w:rsidRPr="003C58D6">
        <w:rPr>
          <w:rFonts w:eastAsia="Lucida Sans Unicode"/>
          <w:b w:val="0"/>
          <w:szCs w:val="24"/>
        </w:rPr>
        <w:t xml:space="preserve">ohtlike ainetega </w:t>
      </w:r>
      <w:r w:rsidRPr="003C58D6">
        <w:rPr>
          <w:rFonts w:eastAsia="Lucida Sans Unicode"/>
          <w:b w:val="0"/>
          <w:szCs w:val="24"/>
        </w:rPr>
        <w:t xml:space="preserve">lastimiseks ja lossimiseks. </w:t>
      </w:r>
      <w:r w:rsidRPr="003C58D6">
        <w:rPr>
          <w:rFonts w:eastAsia="Lucida Sans Unicode"/>
          <w:b w:val="0"/>
          <w:bCs w:val="0"/>
          <w:color w:val="000000"/>
          <w:spacing w:val="3"/>
          <w:szCs w:val="24"/>
        </w:rPr>
        <w:t>Taotleja poolt kavandatav</w:t>
      </w:r>
      <w:r w:rsidRPr="003C58D6">
        <w:rPr>
          <w:rFonts w:eastAsia="Lucida Sans Unicode"/>
          <w:b w:val="0"/>
          <w:bCs w:val="0"/>
          <w:color w:val="FF0000"/>
          <w:spacing w:val="3"/>
          <w:szCs w:val="24"/>
        </w:rPr>
        <w:t xml:space="preserve"> </w:t>
      </w:r>
      <w:r w:rsidRPr="003C58D6">
        <w:rPr>
          <w:rFonts w:eastAsia="Lucida Sans Unicode"/>
          <w:b w:val="0"/>
          <w:bCs w:val="0"/>
          <w:color w:val="000000"/>
          <w:spacing w:val="3"/>
          <w:szCs w:val="24"/>
        </w:rPr>
        <w:t xml:space="preserve">tegevus ei kuulu </w:t>
      </w:r>
      <w:proofErr w:type="spellStart"/>
      <w:r w:rsidRPr="003C58D6">
        <w:rPr>
          <w:rFonts w:eastAsia="Lucida Sans Unicode"/>
          <w:b w:val="0"/>
          <w:bCs w:val="0"/>
          <w:color w:val="000000"/>
          <w:spacing w:val="3"/>
          <w:szCs w:val="24"/>
        </w:rPr>
        <w:t>KeHJS</w:t>
      </w:r>
      <w:proofErr w:type="spellEnd"/>
      <w:r w:rsidRPr="003C58D6">
        <w:rPr>
          <w:rFonts w:eastAsia="Lucida Sans Unicode"/>
          <w:b w:val="0"/>
          <w:bCs w:val="0"/>
          <w:color w:val="000000"/>
          <w:spacing w:val="3"/>
          <w:szCs w:val="24"/>
        </w:rPr>
        <w:t xml:space="preserve"> § 6 </w:t>
      </w:r>
      <w:proofErr w:type="spellStart"/>
      <w:r w:rsidRPr="003C58D6">
        <w:rPr>
          <w:rFonts w:eastAsia="Lucida Sans Unicode"/>
          <w:b w:val="0"/>
          <w:bCs w:val="0"/>
          <w:color w:val="000000"/>
          <w:spacing w:val="3"/>
          <w:szCs w:val="24"/>
        </w:rPr>
        <w:t>lg-e</w:t>
      </w:r>
      <w:proofErr w:type="spellEnd"/>
      <w:r w:rsidRPr="003C58D6">
        <w:rPr>
          <w:rFonts w:eastAsia="Lucida Sans Unicode"/>
          <w:b w:val="0"/>
          <w:bCs w:val="0"/>
          <w:color w:val="000000"/>
          <w:spacing w:val="3"/>
          <w:szCs w:val="24"/>
        </w:rPr>
        <w:t xml:space="preserve"> 1 ega ka määruse 224 loendisse, mistõttu tulenevalt </w:t>
      </w:r>
      <w:proofErr w:type="spellStart"/>
      <w:r w:rsidRPr="003C58D6">
        <w:rPr>
          <w:rFonts w:eastAsia="Lucida Sans Unicode"/>
          <w:b w:val="0"/>
          <w:bCs w:val="0"/>
          <w:color w:val="000000"/>
          <w:spacing w:val="3"/>
          <w:szCs w:val="24"/>
        </w:rPr>
        <w:t>KeHJS</w:t>
      </w:r>
      <w:proofErr w:type="spellEnd"/>
      <w:r w:rsidRPr="003C58D6">
        <w:rPr>
          <w:rFonts w:eastAsia="Lucida Sans Unicode"/>
          <w:b w:val="0"/>
          <w:bCs w:val="0"/>
          <w:color w:val="000000"/>
          <w:spacing w:val="3"/>
          <w:szCs w:val="24"/>
        </w:rPr>
        <w:t xml:space="preserve"> § 3, § 6, § 11 </w:t>
      </w:r>
      <w:proofErr w:type="spellStart"/>
      <w:r w:rsidRPr="003C58D6">
        <w:rPr>
          <w:rFonts w:eastAsia="Lucida Sans Unicode"/>
          <w:b w:val="0"/>
          <w:bCs w:val="0"/>
          <w:color w:val="000000"/>
          <w:spacing w:val="3"/>
          <w:szCs w:val="24"/>
        </w:rPr>
        <w:t>lg-st</w:t>
      </w:r>
      <w:proofErr w:type="spellEnd"/>
      <w:r w:rsidRPr="003C58D6">
        <w:rPr>
          <w:rFonts w:eastAsia="Lucida Sans Unicode"/>
          <w:b w:val="0"/>
          <w:bCs w:val="0"/>
          <w:color w:val="000000"/>
          <w:spacing w:val="3"/>
          <w:szCs w:val="24"/>
        </w:rPr>
        <w:t xml:space="preserve"> 3 ja 4 ja määruse 224 alusel ei ole antud juhul keskkonnamõju hindamise algatamine kohustuslik, samuti ei ole vajalik eelhindamine ning keskkonnamõju hindamise vajalikkuse kaalumine vee erikasutusloa andmise korral. </w:t>
      </w:r>
    </w:p>
    <w:p w:rsidR="00E60EF5" w:rsidRPr="003C58D6" w:rsidRDefault="00E60EF5" w:rsidP="00337267">
      <w:pPr>
        <w:autoSpaceDE w:val="0"/>
        <w:spacing w:line="200" w:lineRule="atLeast"/>
        <w:jc w:val="both"/>
        <w:rPr>
          <w:rFonts w:eastAsia="Lucida Sans Unicode"/>
          <w:szCs w:val="24"/>
        </w:rPr>
      </w:pPr>
    </w:p>
    <w:p w:rsidR="00E60EF5" w:rsidRPr="003C58D6" w:rsidRDefault="00E60EF5" w:rsidP="00337267">
      <w:pPr>
        <w:pStyle w:val="Pis"/>
        <w:tabs>
          <w:tab w:val="left" w:pos="708"/>
        </w:tabs>
        <w:autoSpaceDE w:val="0"/>
        <w:jc w:val="both"/>
        <w:rPr>
          <w:b/>
          <w:bCs/>
          <w:szCs w:val="24"/>
        </w:rPr>
      </w:pPr>
      <w:r w:rsidRPr="003C58D6">
        <w:rPr>
          <w:b/>
          <w:bCs/>
          <w:szCs w:val="24"/>
        </w:rPr>
        <w:t>2.</w:t>
      </w:r>
      <w:r w:rsidR="00B51875" w:rsidRPr="003C58D6">
        <w:rPr>
          <w:b/>
          <w:bCs/>
          <w:szCs w:val="24"/>
        </w:rPr>
        <w:t>3</w:t>
      </w:r>
      <w:r w:rsidRPr="003C58D6">
        <w:rPr>
          <w:b/>
          <w:bCs/>
          <w:szCs w:val="24"/>
        </w:rPr>
        <w:t xml:space="preserve"> Vee erikasutuse mõju hindamine</w:t>
      </w:r>
    </w:p>
    <w:p w:rsidR="00CC3C5B" w:rsidRDefault="00E60EF5" w:rsidP="00F27FF7">
      <w:pPr>
        <w:jc w:val="both"/>
        <w:rPr>
          <w:szCs w:val="24"/>
        </w:rPr>
      </w:pPr>
      <w:r w:rsidRPr="003C58D6">
        <w:rPr>
          <w:rFonts w:eastAsia="Lucida Sans Unicode"/>
          <w:szCs w:val="24"/>
        </w:rPr>
        <w:t xml:space="preserve">Veeseaduse § 8 lg 2 p 10 alusel on laeva regulaarne </w:t>
      </w:r>
      <w:r w:rsidR="00CC3C5B" w:rsidRPr="003C58D6">
        <w:rPr>
          <w:rFonts w:eastAsia="Lucida Sans Unicode"/>
          <w:szCs w:val="24"/>
        </w:rPr>
        <w:t xml:space="preserve">ohtlike ainetega </w:t>
      </w:r>
      <w:r w:rsidRPr="003C58D6">
        <w:rPr>
          <w:rFonts w:eastAsia="Lucida Sans Unicode"/>
          <w:szCs w:val="24"/>
        </w:rPr>
        <w:t>lastimine ja lossimine vee erikasutus.</w:t>
      </w:r>
      <w:r w:rsidRPr="003C58D6">
        <w:rPr>
          <w:szCs w:val="24"/>
          <w:lang w:eastAsia="et-EE"/>
        </w:rPr>
        <w:t xml:space="preserve"> Taotlusest nähtub, et </w:t>
      </w:r>
      <w:r w:rsidR="00F27FF7">
        <w:rPr>
          <w:szCs w:val="24"/>
          <w:lang w:eastAsia="et-EE"/>
        </w:rPr>
        <w:t>l</w:t>
      </w:r>
      <w:r w:rsidR="00F27FF7" w:rsidRPr="00F27FF7">
        <w:rPr>
          <w:szCs w:val="24"/>
        </w:rPr>
        <w:t>aevaga veeta</w:t>
      </w:r>
      <w:r w:rsidR="00F27FF7">
        <w:rPr>
          <w:szCs w:val="24"/>
        </w:rPr>
        <w:t xml:space="preserve">kse </w:t>
      </w:r>
      <w:r w:rsidR="00F27FF7" w:rsidRPr="00F27FF7">
        <w:rPr>
          <w:szCs w:val="24"/>
        </w:rPr>
        <w:t>ohtlikest ainetest baasõlisid NS</w:t>
      </w:r>
      <w:r w:rsidR="00F27FF7">
        <w:rPr>
          <w:szCs w:val="24"/>
        </w:rPr>
        <w:t xml:space="preserve"> </w:t>
      </w:r>
      <w:r w:rsidR="00F27FF7" w:rsidRPr="00F27FF7">
        <w:rPr>
          <w:szCs w:val="24"/>
        </w:rPr>
        <w:t>8 ja T</w:t>
      </w:r>
      <w:r w:rsidR="00F27FF7">
        <w:rPr>
          <w:szCs w:val="24"/>
        </w:rPr>
        <w:t xml:space="preserve"> 9. </w:t>
      </w:r>
      <w:r w:rsidR="00F27FF7" w:rsidRPr="00F27FF7">
        <w:rPr>
          <w:szCs w:val="24"/>
        </w:rPr>
        <w:t>Korraga lossitakse sõltuvalt tankerist 1000-5000 tonni toodet ning lossimine kestab sõltuvalt toote kogusest 8-16 tundi. Prognoositav aastane käive baasõlidel on ligikaudu 20 000 tonni. Bituumenit käideldakse aastas kuni 90 000 tonni.</w:t>
      </w:r>
    </w:p>
    <w:p w:rsidR="00F27FF7" w:rsidRDefault="00F27FF7" w:rsidP="00F27FF7">
      <w:pPr>
        <w:jc w:val="both"/>
        <w:rPr>
          <w:szCs w:val="24"/>
        </w:rPr>
      </w:pPr>
    </w:p>
    <w:p w:rsidR="00F27FF7" w:rsidRPr="003C58D6" w:rsidRDefault="00F27FF7" w:rsidP="00F27FF7">
      <w:pPr>
        <w:jc w:val="both"/>
        <w:rPr>
          <w:szCs w:val="24"/>
        </w:rPr>
      </w:pPr>
      <w:r w:rsidRPr="00F27FF7">
        <w:rPr>
          <w:szCs w:val="24"/>
        </w:rPr>
        <w:t>Naftabituumen ja baasõlid transporditakse laevaga</w:t>
      </w:r>
      <w:r>
        <w:rPr>
          <w:szCs w:val="24"/>
        </w:rPr>
        <w:t xml:space="preserve"> (tankeriga)</w:t>
      </w:r>
      <w:r w:rsidRPr="00F27FF7">
        <w:rPr>
          <w:szCs w:val="24"/>
        </w:rPr>
        <w:t xml:space="preserve"> Muuga sadamasse. Laeva sadamasse sissesõidukiirus on reguleeritud </w:t>
      </w:r>
      <w:r>
        <w:rPr>
          <w:szCs w:val="24"/>
        </w:rPr>
        <w:t xml:space="preserve">AS </w:t>
      </w:r>
      <w:r w:rsidRPr="00F27FF7">
        <w:rPr>
          <w:szCs w:val="24"/>
        </w:rPr>
        <w:t xml:space="preserve">Tallinna Sadama eeskirjaga, mille kohaselt peab laev sadama akvatooriumil liikuma minimaalse kiirusega, mille puhul ta säilitab juhitavuse rooli abil. Tankerist pumbatakse toode üle kai nr 3, mööda maapinnal kulgevat suletud torustikku </w:t>
      </w:r>
      <w:r>
        <w:rPr>
          <w:szCs w:val="24"/>
        </w:rPr>
        <w:t>Taotleja</w:t>
      </w:r>
      <w:r w:rsidRPr="00F27FF7">
        <w:rPr>
          <w:szCs w:val="24"/>
        </w:rPr>
        <w:t xml:space="preserve"> terminali. Seega on tegu kinnise torutranspordi tehnoloogiaga. Kail asuv torustik ühendatakse tankeri laadimistorustiku külge painduva laadimisvooliku abil, mis on tankeri omand ja liigub laevaga pidevalt kaasa. Terminalis säilitatakse kemikaale spetsiaalsetes 1400 m</w:t>
      </w:r>
      <w:r w:rsidRPr="00F67AEC">
        <w:rPr>
          <w:szCs w:val="24"/>
          <w:vertAlign w:val="superscript"/>
        </w:rPr>
        <w:t>3</w:t>
      </w:r>
      <w:r w:rsidRPr="00F27FF7">
        <w:rPr>
          <w:szCs w:val="24"/>
        </w:rPr>
        <w:t xml:space="preserve"> </w:t>
      </w:r>
      <w:r w:rsidR="00F67AEC">
        <w:rPr>
          <w:szCs w:val="24"/>
        </w:rPr>
        <w:t xml:space="preserve">suurustes mahutites. </w:t>
      </w:r>
      <w:r w:rsidRPr="00F27FF7">
        <w:rPr>
          <w:szCs w:val="24"/>
        </w:rPr>
        <w:t xml:space="preserve">Kemikaalide lossimine toimub vastavalt </w:t>
      </w:r>
      <w:r>
        <w:rPr>
          <w:szCs w:val="24"/>
        </w:rPr>
        <w:t xml:space="preserve">Taotleja </w:t>
      </w:r>
      <w:r w:rsidRPr="00F27FF7">
        <w:rPr>
          <w:szCs w:val="24"/>
        </w:rPr>
        <w:t>poolt koostatud töökorraldusele.</w:t>
      </w:r>
    </w:p>
    <w:p w:rsidR="00F27FF7" w:rsidRDefault="00F27FF7" w:rsidP="00F27FF7">
      <w:pPr>
        <w:jc w:val="both"/>
        <w:rPr>
          <w:szCs w:val="24"/>
        </w:rPr>
      </w:pPr>
    </w:p>
    <w:p w:rsidR="00F27FF7" w:rsidRDefault="00F27FF7" w:rsidP="00F27FF7">
      <w:pPr>
        <w:jc w:val="both"/>
        <w:rPr>
          <w:szCs w:val="24"/>
        </w:rPr>
      </w:pPr>
      <w:r>
        <w:rPr>
          <w:szCs w:val="24"/>
        </w:rPr>
        <w:t>Taotlejale</w:t>
      </w:r>
      <w:r w:rsidRPr="00F27FF7">
        <w:rPr>
          <w:szCs w:val="24"/>
        </w:rPr>
        <w:t xml:space="preserve"> kuuluvate torustike, toruarmatuuri, soojendatavate torustike elektrisoojenduse ja isolatsiooni käitamine, hooldus ja vajadusel remont toimub </w:t>
      </w:r>
      <w:r>
        <w:rPr>
          <w:szCs w:val="24"/>
        </w:rPr>
        <w:t>Taotleja</w:t>
      </w:r>
      <w:r w:rsidRPr="00F27FF7">
        <w:rPr>
          <w:szCs w:val="24"/>
        </w:rPr>
        <w:t xml:space="preserve"> või tema koostööpartnerite poolt ning vastavalt ettevõttes kehtivatele töökorraldustele ja eeskirjadele, mis määravad ka tegevuste mahud, sageduse ja vastutuse. Tegevuses lähtutakse väljatöötatud ohutusmeetmetest ja –protseduuridest, mille alusel toimub tegevuse pidev kontroll. Normaaltingimustel töötamisel lekkeid ei toimu. </w:t>
      </w:r>
    </w:p>
    <w:p w:rsidR="00F27FF7" w:rsidRDefault="00F27FF7" w:rsidP="00F27FF7">
      <w:pPr>
        <w:jc w:val="both"/>
        <w:rPr>
          <w:szCs w:val="24"/>
        </w:rPr>
      </w:pPr>
    </w:p>
    <w:p w:rsidR="00F27FF7" w:rsidRDefault="00F27FF7" w:rsidP="00F27FF7">
      <w:pPr>
        <w:jc w:val="both"/>
        <w:rPr>
          <w:szCs w:val="24"/>
        </w:rPr>
      </w:pPr>
      <w:r w:rsidRPr="00F27FF7">
        <w:rPr>
          <w:szCs w:val="24"/>
        </w:rPr>
        <w:t xml:space="preserve">Õnnetusjuhtumi korral on kõige tõenäolisem lekkekoht lossimiseks kasutatav painduv laadimisvoolik. Vooliku kasutuskõlblikkust kontrollitakse enne iga kasutuskorda ning survetestis regulaarselt vastavalt kehtivatele nõuetele kord perioodi jooksul. Laadimiseelse kontrolli viivad läbi nii </w:t>
      </w:r>
      <w:r>
        <w:rPr>
          <w:szCs w:val="24"/>
        </w:rPr>
        <w:t>Taotleja</w:t>
      </w:r>
      <w:r w:rsidRPr="00F27FF7">
        <w:rPr>
          <w:szCs w:val="24"/>
        </w:rPr>
        <w:t xml:space="preserve"> kui ka tankeri meeskond ning enne laadimist deklareerivad mõlemad pooled erinevate tehnoloogiate toimimise ja ohutuse tagamise, mille kohta vormistatakse kahepoolselt allkirjastatud raport. Lisaks lepitakse enne laadimise alustamist kokku tegevuse tehnilised detailid ja vormistatakse selle kohta raport, milles on näidatud maksimaalne kasutatav surve pumpamisel ja toodete laadimisjärjestus. </w:t>
      </w:r>
    </w:p>
    <w:p w:rsidR="00F27FF7" w:rsidRDefault="00F27FF7" w:rsidP="00F27FF7">
      <w:pPr>
        <w:jc w:val="both"/>
        <w:rPr>
          <w:szCs w:val="24"/>
        </w:rPr>
      </w:pPr>
    </w:p>
    <w:p w:rsidR="00F27FF7" w:rsidRDefault="00F27FF7" w:rsidP="00F27FF7">
      <w:pPr>
        <w:jc w:val="both"/>
        <w:rPr>
          <w:szCs w:val="24"/>
        </w:rPr>
      </w:pPr>
      <w:r w:rsidRPr="00F27FF7">
        <w:rPr>
          <w:szCs w:val="24"/>
        </w:rPr>
        <w:t xml:space="preserve">Kuigi torustike vastupidavus survele on oluliselt suurem kui kasutatavad pumpamisskeemid suudavad tekitada, on torustikud võimalike </w:t>
      </w:r>
      <w:proofErr w:type="spellStart"/>
      <w:r w:rsidRPr="00F27FF7">
        <w:rPr>
          <w:szCs w:val="24"/>
        </w:rPr>
        <w:t>ülerõhkude</w:t>
      </w:r>
      <w:proofErr w:type="spellEnd"/>
      <w:r w:rsidRPr="00F27FF7">
        <w:rPr>
          <w:szCs w:val="24"/>
        </w:rPr>
        <w:t xml:space="preserve"> leevendamiseks varustatud mitmesuguste kompenseerivate tehnoloogiatega (ringvoolutorustikud, ühesuunalised klapid, 7 /13</w:t>
      </w:r>
      <w:r>
        <w:rPr>
          <w:szCs w:val="24"/>
        </w:rPr>
        <w:t xml:space="preserve"> </w:t>
      </w:r>
      <w:r w:rsidRPr="00F27FF7">
        <w:rPr>
          <w:szCs w:val="24"/>
        </w:rPr>
        <w:t xml:space="preserve">tagasilöögiklapid jt). Tankeri lossimine toimub tankeri vastava vahetuse ning kahe </w:t>
      </w:r>
      <w:r w:rsidR="00B400BB">
        <w:rPr>
          <w:szCs w:val="24"/>
        </w:rPr>
        <w:t>Taotleja</w:t>
      </w:r>
      <w:r w:rsidRPr="00F27FF7">
        <w:rPr>
          <w:szCs w:val="24"/>
        </w:rPr>
        <w:t xml:space="preserve"> operaatori (kellest üks on vastutav) koostöös, kusjuures kogu laadimise ajal ollakse raadioside abil ühenduses. Lossimist alustatakse ainult siis, kui varustus on kasutamiskõlbulik ning ilmastikutingimused seda võimaldavad. Võimaliku keskkonnakahju ennetamiseks on kail nr 3 asuv laadimisala kaitstud betoonist kaitserajatisega, mis takistab avarii korral toodete sattumise sadama akvatooriumi. Rajatise hooldus toimub koostöös ettevõtetega Neste, </w:t>
      </w:r>
      <w:proofErr w:type="spellStart"/>
      <w:r w:rsidRPr="00F27FF7">
        <w:rPr>
          <w:szCs w:val="24"/>
        </w:rPr>
        <w:t>Oiltanking</w:t>
      </w:r>
      <w:proofErr w:type="spellEnd"/>
      <w:r w:rsidRPr="00F27FF7">
        <w:rPr>
          <w:szCs w:val="24"/>
        </w:rPr>
        <w:t xml:space="preserve"> ja </w:t>
      </w:r>
      <w:proofErr w:type="spellStart"/>
      <w:r w:rsidRPr="00F27FF7">
        <w:rPr>
          <w:szCs w:val="24"/>
        </w:rPr>
        <w:t>Eurodek</w:t>
      </w:r>
      <w:proofErr w:type="spellEnd"/>
      <w:r w:rsidRPr="00F27FF7">
        <w:rPr>
          <w:szCs w:val="24"/>
        </w:rPr>
        <w:t xml:space="preserve">. Keskkonnakahju tekkimise tõenäosus on viidud miinimumi. </w:t>
      </w:r>
    </w:p>
    <w:p w:rsidR="00B400BB" w:rsidRPr="00F27FF7" w:rsidRDefault="00B400BB" w:rsidP="00F27FF7">
      <w:pPr>
        <w:jc w:val="both"/>
        <w:rPr>
          <w:szCs w:val="24"/>
        </w:rPr>
      </w:pPr>
    </w:p>
    <w:p w:rsidR="00F27FF7" w:rsidRDefault="00F27FF7" w:rsidP="00F27FF7">
      <w:pPr>
        <w:jc w:val="both"/>
        <w:rPr>
          <w:szCs w:val="24"/>
        </w:rPr>
      </w:pPr>
      <w:r w:rsidRPr="00F27FF7">
        <w:rPr>
          <w:szCs w:val="24"/>
        </w:rPr>
        <w:t xml:space="preserve">Nii </w:t>
      </w:r>
      <w:r w:rsidR="00B400BB">
        <w:rPr>
          <w:szCs w:val="24"/>
        </w:rPr>
        <w:t>taotleja</w:t>
      </w:r>
      <w:r w:rsidRPr="00F27FF7">
        <w:rPr>
          <w:szCs w:val="24"/>
        </w:rPr>
        <w:t xml:space="preserve"> kui ka AS Tallinna Sadam on välja töötanud ning järgivad erinevates hädaolukordades tegutsemise juhiseid ja eeskirju. </w:t>
      </w:r>
      <w:r w:rsidR="00B400BB">
        <w:rPr>
          <w:szCs w:val="24"/>
        </w:rPr>
        <w:t>Taotleja</w:t>
      </w:r>
      <w:r w:rsidRPr="00F27FF7">
        <w:rPr>
          <w:szCs w:val="24"/>
        </w:rPr>
        <w:t xml:space="preserve"> rakendab ettevõttes standardi ISO 9001:2008 alusel sertifitseeritud kvaliteedijuhtimissüsteemi. Tallinna sadam on lisaks rahvusvahelise laeva ja sadama turvalisuse koodeksi ISPS staatusega sadam, mis kehtestab sadamalal toimuvatele tegevustele kindlad reeglid ja regulaarse auditi.</w:t>
      </w:r>
    </w:p>
    <w:p w:rsidR="00B400BB" w:rsidRPr="003C58D6" w:rsidRDefault="00B400BB" w:rsidP="00F27FF7">
      <w:pPr>
        <w:jc w:val="both"/>
        <w:rPr>
          <w:szCs w:val="24"/>
        </w:rPr>
      </w:pPr>
    </w:p>
    <w:p w:rsidR="00B65E44" w:rsidRPr="003C58D6" w:rsidRDefault="00B65E44" w:rsidP="00B65E44">
      <w:pPr>
        <w:pStyle w:val="Pis"/>
        <w:tabs>
          <w:tab w:val="left" w:pos="708"/>
        </w:tabs>
        <w:autoSpaceDE w:val="0"/>
        <w:jc w:val="both"/>
        <w:rPr>
          <w:szCs w:val="24"/>
        </w:rPr>
      </w:pPr>
      <w:r w:rsidRPr="003C58D6">
        <w:rPr>
          <w:szCs w:val="24"/>
        </w:rPr>
        <w:t>Tulenevalt eeltoodust ja arvestades vee erikasutusloas kehtestatud keskkonnakaitse nõuetega on lastimise ja lossimisega kaasnevate võimalike avariide esinemine ja võimalik negatiivne mõju ümbruskonnale ebatõenäoline. Töökorras tehnika kasutamisel ei ole tõenäoline õlireostuse tekkimine ja seeläbi ümbritseva pinnase ja vee kahjustamine. Avarii või õnnetusjuhtumi korral lähtub Taotleja sadamaseaduses sätestatust ja sadama eeskirjast. Keskkonnaameti hinnangul jääb lastimis ja lossimistööde mõju lokaalseks ega ohusta veekeskkonda. Tulenevalt eeltoodust puudub vajadus vee erikasutuse aegse ja -järgse seire teostamiseks.</w:t>
      </w:r>
    </w:p>
    <w:p w:rsidR="00362F00" w:rsidRPr="003C58D6" w:rsidRDefault="00362F00" w:rsidP="00362F00">
      <w:pPr>
        <w:jc w:val="both"/>
        <w:rPr>
          <w:szCs w:val="24"/>
        </w:rPr>
      </w:pPr>
    </w:p>
    <w:p w:rsidR="00FF088E" w:rsidRPr="003C58D6" w:rsidRDefault="00FF088E" w:rsidP="00337267">
      <w:pPr>
        <w:jc w:val="both"/>
        <w:rPr>
          <w:b/>
          <w:szCs w:val="24"/>
        </w:rPr>
      </w:pPr>
      <w:r w:rsidRPr="003C58D6">
        <w:rPr>
          <w:b/>
          <w:szCs w:val="24"/>
        </w:rPr>
        <w:t>2.</w:t>
      </w:r>
      <w:r w:rsidR="00B51875" w:rsidRPr="003C58D6">
        <w:rPr>
          <w:b/>
          <w:szCs w:val="24"/>
        </w:rPr>
        <w:t>4</w:t>
      </w:r>
      <w:r w:rsidRPr="003C58D6">
        <w:rPr>
          <w:b/>
          <w:szCs w:val="24"/>
        </w:rPr>
        <w:t xml:space="preserve"> Vee erikasutusloa eelnõu avalikustamine ja seisukohtade </w:t>
      </w:r>
      <w:proofErr w:type="spellStart"/>
      <w:r w:rsidRPr="003C58D6">
        <w:rPr>
          <w:b/>
          <w:szCs w:val="24"/>
        </w:rPr>
        <w:t>ärakuulamine</w:t>
      </w:r>
      <w:proofErr w:type="spellEnd"/>
    </w:p>
    <w:p w:rsidR="00FF088E" w:rsidRPr="003C58D6" w:rsidRDefault="00FF088E" w:rsidP="0011327D">
      <w:pPr>
        <w:jc w:val="both"/>
        <w:rPr>
          <w:rStyle w:val="Rhutus"/>
          <w:rFonts w:eastAsia="Lucida Sans Unicode"/>
          <w:i w:val="0"/>
          <w:iCs w:val="0"/>
          <w:szCs w:val="24"/>
        </w:rPr>
      </w:pPr>
      <w:r w:rsidRPr="003C58D6">
        <w:rPr>
          <w:rFonts w:eastAsia="MS Serif"/>
          <w:szCs w:val="24"/>
        </w:rPr>
        <w:t xml:space="preserve">Vastavalt haldusmenetluse seaduse (edaspidi </w:t>
      </w:r>
      <w:r w:rsidRPr="003C58D6">
        <w:rPr>
          <w:rFonts w:eastAsia="MS Serif"/>
          <w:i/>
          <w:szCs w:val="24"/>
        </w:rPr>
        <w:t>HMS</w:t>
      </w:r>
      <w:r w:rsidRPr="003C58D6">
        <w:rPr>
          <w:rFonts w:eastAsia="MS Serif"/>
          <w:szCs w:val="24"/>
        </w:rPr>
        <w:t xml:space="preserve">) § 48 </w:t>
      </w:r>
      <w:proofErr w:type="spellStart"/>
      <w:r w:rsidRPr="003C58D6">
        <w:rPr>
          <w:rFonts w:eastAsia="MS Serif"/>
          <w:szCs w:val="24"/>
        </w:rPr>
        <w:t>lg-le</w:t>
      </w:r>
      <w:proofErr w:type="spellEnd"/>
      <w:r w:rsidRPr="003C58D6">
        <w:rPr>
          <w:rFonts w:eastAsia="MS Serif"/>
          <w:szCs w:val="24"/>
        </w:rPr>
        <w:t xml:space="preserve"> 1 tuleb õigusakti eelnõu koos seletuskirjaga avalikkusele tutvumiseks välja panna, tagades avalikkusele nimetatud dokumentidega tutvumise võimaluse vähemalt kuni ettepanekute ja vastuväidete esitamise tähtaja lõpuni. Vastavalt HMS § 49 </w:t>
      </w:r>
      <w:proofErr w:type="spellStart"/>
      <w:r w:rsidRPr="003C58D6">
        <w:rPr>
          <w:rFonts w:eastAsia="MS Serif"/>
          <w:szCs w:val="24"/>
        </w:rPr>
        <w:t>lg-e</w:t>
      </w:r>
      <w:proofErr w:type="spellEnd"/>
      <w:r w:rsidRPr="003C58D6">
        <w:rPr>
          <w:rFonts w:eastAsia="MS Serif"/>
          <w:szCs w:val="24"/>
        </w:rPr>
        <w:t xml:space="preserve"> 2 ei või </w:t>
      </w:r>
      <w:r w:rsidRPr="003C58D6">
        <w:rPr>
          <w:szCs w:val="24"/>
        </w:rPr>
        <w:t xml:space="preserve">ettepanekute ja vastuväidete esitamiseks tähtaeg olla lühem kui kaks nädalat väljapaneku algusest arvates. </w:t>
      </w:r>
      <w:r w:rsidRPr="003C58D6">
        <w:rPr>
          <w:rFonts w:eastAsia="MS Serif"/>
          <w:szCs w:val="24"/>
        </w:rPr>
        <w:t xml:space="preserve">Keskkonnaamet teavitas vee erikasutusloa andmise eelnõu valmimisest </w:t>
      </w:r>
      <w:r w:rsidRPr="003C58D6">
        <w:rPr>
          <w:rFonts w:eastAsia="Lucida Sans Unicode"/>
          <w:szCs w:val="24"/>
        </w:rPr>
        <w:t xml:space="preserve">ametlikus väljaandes Ametlikud Teadaanded </w:t>
      </w:r>
      <w:r w:rsidR="0011327D" w:rsidRPr="003C58D6">
        <w:rPr>
          <w:rFonts w:eastAsia="Lucida Sans Unicode"/>
          <w:szCs w:val="24"/>
        </w:rPr>
        <w:t>…05</w:t>
      </w:r>
      <w:r w:rsidR="00E80EB5" w:rsidRPr="003C58D6">
        <w:rPr>
          <w:rFonts w:eastAsia="Lucida Sans Unicode"/>
          <w:szCs w:val="24"/>
        </w:rPr>
        <w:t>.</w:t>
      </w:r>
      <w:r w:rsidR="0011327D" w:rsidRPr="003C58D6">
        <w:rPr>
          <w:rFonts w:eastAsia="Lucida Sans Unicode"/>
          <w:szCs w:val="24"/>
        </w:rPr>
        <w:t>2016</w:t>
      </w:r>
      <w:r w:rsidRPr="003C58D6">
        <w:rPr>
          <w:rFonts w:eastAsia="Lucida Sans Unicode"/>
          <w:szCs w:val="24"/>
        </w:rPr>
        <w:t xml:space="preserve"> ning edastas eelnõu vastavalt HMS § 49 </w:t>
      </w:r>
      <w:proofErr w:type="spellStart"/>
      <w:r w:rsidRPr="003C58D6">
        <w:rPr>
          <w:rFonts w:eastAsia="Lucida Sans Unicode"/>
          <w:szCs w:val="24"/>
        </w:rPr>
        <w:t>lg-le</w:t>
      </w:r>
      <w:proofErr w:type="spellEnd"/>
      <w:r w:rsidRPr="003C58D6">
        <w:rPr>
          <w:rFonts w:eastAsia="Lucida Sans Unicode"/>
          <w:szCs w:val="24"/>
        </w:rPr>
        <w:t xml:space="preserve"> 3 ka taotluse esitajale. Eelnõuga oli võimalik tutvuda </w:t>
      </w:r>
      <w:r w:rsidRPr="003C58D6">
        <w:rPr>
          <w:rStyle w:val="Rhutus"/>
          <w:rFonts w:eastAsia="Lucida Sans Unicode"/>
          <w:i w:val="0"/>
          <w:iCs w:val="0"/>
          <w:szCs w:val="24"/>
        </w:rPr>
        <w:t xml:space="preserve">kahe nädala jooksul alates teate ilmumisest Ametlikes Teadaannetes. </w:t>
      </w:r>
    </w:p>
    <w:p w:rsidR="0011327D" w:rsidRPr="003C58D6" w:rsidRDefault="0011327D" w:rsidP="0011327D">
      <w:pPr>
        <w:jc w:val="both"/>
        <w:rPr>
          <w:szCs w:val="24"/>
        </w:rPr>
      </w:pPr>
    </w:p>
    <w:p w:rsidR="00E60EF5" w:rsidRPr="00F67AEC" w:rsidRDefault="00E60EF5" w:rsidP="00337267">
      <w:pPr>
        <w:pStyle w:val="Pis"/>
        <w:tabs>
          <w:tab w:val="left" w:pos="708"/>
        </w:tabs>
        <w:autoSpaceDE w:val="0"/>
        <w:jc w:val="both"/>
        <w:rPr>
          <w:rFonts w:eastAsia="Tahoma"/>
          <w:b/>
          <w:szCs w:val="24"/>
        </w:rPr>
      </w:pPr>
      <w:r w:rsidRPr="00F67AEC">
        <w:rPr>
          <w:rFonts w:eastAsia="Tahoma"/>
          <w:b/>
          <w:szCs w:val="24"/>
        </w:rPr>
        <w:t>3. OTSUS</w:t>
      </w:r>
    </w:p>
    <w:p w:rsidR="00E60EF5" w:rsidRPr="00F67AEC" w:rsidRDefault="00E60EF5" w:rsidP="00337267">
      <w:pPr>
        <w:pStyle w:val="Pis"/>
        <w:tabs>
          <w:tab w:val="left" w:pos="708"/>
        </w:tabs>
        <w:jc w:val="both"/>
        <w:rPr>
          <w:b/>
          <w:bCs/>
          <w:szCs w:val="24"/>
        </w:rPr>
      </w:pPr>
      <w:r w:rsidRPr="00F67AEC">
        <w:rPr>
          <w:szCs w:val="24"/>
        </w:rPr>
        <w:lastRenderedPageBreak/>
        <w:t>Tulenevalt eeltoodust ja lähtudes veeseaduse § 8 lg 2 p-st 10, määruse nr 18 §-dest 5 ja 11;</w:t>
      </w:r>
      <w:r w:rsidRPr="00F67AEC">
        <w:rPr>
          <w:rFonts w:eastAsia="Lucida Sans Unicode"/>
          <w:szCs w:val="24"/>
        </w:rPr>
        <w:t xml:space="preserve"> </w:t>
      </w:r>
      <w:r w:rsidRPr="00F67AEC">
        <w:rPr>
          <w:szCs w:val="24"/>
          <w:lang w:eastAsia="en-US" w:bidi="en-US"/>
        </w:rPr>
        <w:t>Keskkonnaameti peadirektori käskkirjast 05.06.2009 nr 117</w:t>
      </w:r>
      <w:r w:rsidRPr="00F67AEC">
        <w:rPr>
          <w:szCs w:val="24"/>
        </w:rPr>
        <w:t xml:space="preserve"> ning </w:t>
      </w:r>
      <w:r w:rsidR="00AA0834" w:rsidRPr="00F67AEC">
        <w:rPr>
          <w:szCs w:val="24"/>
        </w:rPr>
        <w:t xml:space="preserve">AS </w:t>
      </w:r>
      <w:proofErr w:type="spellStart"/>
      <w:r w:rsidR="00AA0834" w:rsidRPr="00F67AEC">
        <w:rPr>
          <w:szCs w:val="24"/>
        </w:rPr>
        <w:t>Nynas</w:t>
      </w:r>
      <w:proofErr w:type="spellEnd"/>
      <w:r w:rsidR="00AA0834" w:rsidRPr="00F67AEC">
        <w:rPr>
          <w:szCs w:val="24"/>
        </w:rPr>
        <w:t xml:space="preserve"> (Äriregistri kood 10028991) </w:t>
      </w:r>
      <w:r w:rsidRPr="00F67AEC">
        <w:rPr>
          <w:rFonts w:eastAsia="Lucida Sans Unicode"/>
          <w:szCs w:val="24"/>
        </w:rPr>
        <w:t>taotlusest ja korralduses esitatud kaalutlustest</w:t>
      </w:r>
      <w:r w:rsidRPr="00F67AEC">
        <w:rPr>
          <w:rFonts w:eastAsia="Lucida Sans Unicode"/>
          <w:b/>
          <w:bCs/>
          <w:szCs w:val="24"/>
        </w:rPr>
        <w:t xml:space="preserve"> </w:t>
      </w:r>
      <w:r w:rsidRPr="00F67AEC">
        <w:rPr>
          <w:b/>
          <w:bCs/>
          <w:szCs w:val="24"/>
        </w:rPr>
        <w:t>otsustan:</w:t>
      </w:r>
    </w:p>
    <w:p w:rsidR="00E60EF5" w:rsidRPr="00F67AEC" w:rsidRDefault="00E60EF5" w:rsidP="00337267">
      <w:pPr>
        <w:pStyle w:val="Pis"/>
        <w:tabs>
          <w:tab w:val="left" w:pos="708"/>
        </w:tabs>
        <w:ind w:left="567"/>
        <w:jc w:val="both"/>
        <w:rPr>
          <w:b/>
          <w:bCs/>
          <w:szCs w:val="24"/>
        </w:rPr>
      </w:pPr>
    </w:p>
    <w:p w:rsidR="00E60EF5" w:rsidRPr="00F67AEC" w:rsidRDefault="00E60EF5" w:rsidP="00337267">
      <w:pPr>
        <w:pStyle w:val="Pis"/>
        <w:tabs>
          <w:tab w:val="left" w:pos="708"/>
        </w:tabs>
        <w:ind w:left="567"/>
        <w:jc w:val="both"/>
        <w:rPr>
          <w:b/>
          <w:bCs/>
          <w:szCs w:val="24"/>
        </w:rPr>
      </w:pPr>
      <w:r w:rsidRPr="00F67AEC">
        <w:rPr>
          <w:b/>
          <w:bCs/>
          <w:szCs w:val="24"/>
        </w:rPr>
        <w:t>1. jätta keskkonnamõju hindamine algatamata;</w:t>
      </w:r>
    </w:p>
    <w:p w:rsidR="00E60EF5" w:rsidRPr="00F67AEC" w:rsidRDefault="00E60EF5" w:rsidP="00337267">
      <w:pPr>
        <w:pStyle w:val="Pis"/>
        <w:tabs>
          <w:tab w:val="left" w:pos="708"/>
        </w:tabs>
        <w:ind w:left="567"/>
        <w:jc w:val="both"/>
        <w:rPr>
          <w:b/>
          <w:bCs/>
          <w:szCs w:val="24"/>
        </w:rPr>
      </w:pPr>
    </w:p>
    <w:p w:rsidR="00AA0834" w:rsidRPr="00F67AEC" w:rsidRDefault="00E60EF5" w:rsidP="00822F29">
      <w:pPr>
        <w:pStyle w:val="Standard"/>
        <w:snapToGrid w:val="0"/>
        <w:ind w:left="567"/>
        <w:jc w:val="both"/>
        <w:rPr>
          <w:rFonts w:ascii="Times New Roman" w:hAnsi="Times New Roman" w:cs="Times New Roman"/>
          <w:b/>
        </w:rPr>
      </w:pPr>
      <w:r w:rsidRPr="00F67AEC">
        <w:rPr>
          <w:rFonts w:ascii="Times New Roman" w:hAnsi="Times New Roman" w:cs="Times New Roman"/>
          <w:b/>
        </w:rPr>
        <w:t xml:space="preserve">2. </w:t>
      </w:r>
      <w:r w:rsidRPr="00F67AEC">
        <w:rPr>
          <w:rFonts w:ascii="Times New Roman" w:eastAsia="SimSun" w:hAnsi="Times New Roman" w:cs="Times New Roman"/>
          <w:b/>
        </w:rPr>
        <w:t xml:space="preserve">anda </w:t>
      </w:r>
      <w:r w:rsidR="00AA0834" w:rsidRPr="00F67AEC">
        <w:rPr>
          <w:rFonts w:ascii="Times New Roman" w:hAnsi="Times New Roman" w:cs="Times New Roman"/>
          <w:b/>
        </w:rPr>
        <w:t>AS</w:t>
      </w:r>
      <w:r w:rsidR="00DD690C">
        <w:rPr>
          <w:rFonts w:ascii="Times New Roman" w:hAnsi="Times New Roman" w:cs="Times New Roman"/>
          <w:b/>
        </w:rPr>
        <w:t>´ile</w:t>
      </w:r>
      <w:bookmarkStart w:id="0" w:name="_GoBack"/>
      <w:bookmarkEnd w:id="0"/>
      <w:r w:rsidR="00AA0834" w:rsidRPr="00F67AEC">
        <w:rPr>
          <w:rFonts w:ascii="Times New Roman" w:hAnsi="Times New Roman" w:cs="Times New Roman"/>
          <w:b/>
        </w:rPr>
        <w:t xml:space="preserve"> </w:t>
      </w:r>
      <w:proofErr w:type="spellStart"/>
      <w:r w:rsidR="00AA0834" w:rsidRPr="00F67AEC">
        <w:rPr>
          <w:rFonts w:ascii="Times New Roman" w:hAnsi="Times New Roman" w:cs="Times New Roman"/>
          <w:b/>
        </w:rPr>
        <w:t>Nynas</w:t>
      </w:r>
      <w:proofErr w:type="spellEnd"/>
      <w:r w:rsidR="00AA0834" w:rsidRPr="00F67AEC">
        <w:rPr>
          <w:rFonts w:ascii="Times New Roman" w:hAnsi="Times New Roman" w:cs="Times New Roman"/>
          <w:b/>
        </w:rPr>
        <w:t xml:space="preserve"> (Äriregistri kood 10028991</w:t>
      </w:r>
      <w:r w:rsidR="00AA0834" w:rsidRPr="00F67AEC">
        <w:rPr>
          <w:rFonts w:ascii="Times New Roman" w:hAnsi="Times New Roman" w:cs="Times New Roman"/>
          <w:b/>
        </w:rPr>
        <w:t>)</w:t>
      </w:r>
      <w:r w:rsidR="00AA0834" w:rsidRPr="00F67AEC">
        <w:rPr>
          <w:rFonts w:ascii="Times New Roman" w:hAnsi="Times New Roman" w:cs="Times New Roman"/>
        </w:rPr>
        <w:t xml:space="preserve"> </w:t>
      </w:r>
      <w:r w:rsidR="0011327D" w:rsidRPr="00F67AEC">
        <w:rPr>
          <w:rFonts w:ascii="Times New Roman" w:hAnsi="Times New Roman" w:cs="Times New Roman"/>
          <w:b/>
        </w:rPr>
        <w:t xml:space="preserve">tähtajatu </w:t>
      </w:r>
      <w:r w:rsidRPr="00F67AEC">
        <w:rPr>
          <w:rFonts w:ascii="Times New Roman" w:eastAsia="SimSun" w:hAnsi="Times New Roman" w:cs="Times New Roman"/>
          <w:b/>
        </w:rPr>
        <w:t xml:space="preserve">vee erikasutusluba </w:t>
      </w:r>
      <w:r w:rsidRPr="00F67AEC">
        <w:rPr>
          <w:rFonts w:ascii="Times New Roman" w:eastAsia="Tahoma" w:hAnsi="Times New Roman" w:cs="Times New Roman"/>
          <w:b/>
        </w:rPr>
        <w:t xml:space="preserve">nr </w:t>
      </w:r>
      <w:r w:rsidR="00B65E44" w:rsidRPr="00F67AEC">
        <w:rPr>
          <w:rFonts w:ascii="Times New Roman" w:hAnsi="Times New Roman" w:cs="Times New Roman"/>
          <w:b/>
        </w:rPr>
        <w:t>L.VV/327</w:t>
      </w:r>
      <w:r w:rsidR="00AA0834" w:rsidRPr="00F67AEC">
        <w:rPr>
          <w:rFonts w:ascii="Times New Roman" w:hAnsi="Times New Roman" w:cs="Times New Roman"/>
          <w:b/>
        </w:rPr>
        <w:t>824</w:t>
      </w:r>
      <w:r w:rsidR="00B65E44" w:rsidRPr="00F67AEC">
        <w:rPr>
          <w:rFonts w:ascii="Times New Roman" w:hAnsi="Times New Roman" w:cs="Times New Roman"/>
          <w:b/>
        </w:rPr>
        <w:t xml:space="preserve"> </w:t>
      </w:r>
      <w:r w:rsidRPr="00F67AEC">
        <w:rPr>
          <w:rFonts w:ascii="Times New Roman" w:hAnsi="Times New Roman" w:cs="Times New Roman"/>
          <w:b/>
        </w:rPr>
        <w:t xml:space="preserve">laevade regulaarseks </w:t>
      </w:r>
      <w:r w:rsidR="00B65E44" w:rsidRPr="00F67AEC">
        <w:rPr>
          <w:rFonts w:ascii="Times New Roman" w:hAnsi="Times New Roman" w:cs="Times New Roman"/>
          <w:b/>
        </w:rPr>
        <w:t>n</w:t>
      </w:r>
      <w:r w:rsidR="0011327D" w:rsidRPr="00F67AEC">
        <w:rPr>
          <w:rFonts w:ascii="Times New Roman" w:hAnsi="Times New Roman" w:cs="Times New Roman"/>
          <w:b/>
        </w:rPr>
        <w:t>aftasaadustega</w:t>
      </w:r>
      <w:r w:rsidR="00B65E44" w:rsidRPr="00F67AEC">
        <w:rPr>
          <w:rFonts w:ascii="Times New Roman" w:hAnsi="Times New Roman" w:cs="Times New Roman"/>
          <w:b/>
        </w:rPr>
        <w:t xml:space="preserve"> lastimiseks ja lossimiseks suletud süsteemide kaudu järgmiselt:</w:t>
      </w:r>
      <w:r w:rsidR="0011327D" w:rsidRPr="00F67AEC">
        <w:rPr>
          <w:rFonts w:ascii="Times New Roman" w:hAnsi="Times New Roman" w:cs="Times New Roman"/>
          <w:b/>
        </w:rPr>
        <w:t xml:space="preserve"> </w:t>
      </w:r>
      <w:r w:rsidR="00B65E44" w:rsidRPr="00F67AEC">
        <w:rPr>
          <w:rFonts w:ascii="Times New Roman" w:hAnsi="Times New Roman" w:cs="Times New Roman"/>
          <w:b/>
        </w:rPr>
        <w:br/>
      </w:r>
      <w:r w:rsidR="00AA0834" w:rsidRPr="00F67AEC">
        <w:rPr>
          <w:rFonts w:ascii="Times New Roman" w:hAnsi="Times New Roman" w:cs="Times New Roman"/>
          <w:b/>
        </w:rPr>
        <w:t>Naftabituumeni ja baasõli lastimine ja lossimine suletud süsteemide kaudu järgmiselt:</w:t>
      </w:r>
    </w:p>
    <w:p w:rsidR="00AA0834" w:rsidRPr="00F67AEC" w:rsidRDefault="00AA0834" w:rsidP="00822F29">
      <w:pPr>
        <w:pStyle w:val="Standard"/>
        <w:snapToGrid w:val="0"/>
        <w:ind w:firstLine="567"/>
        <w:jc w:val="both"/>
        <w:rPr>
          <w:rFonts w:ascii="Times New Roman" w:hAnsi="Times New Roman" w:cs="Times New Roman"/>
          <w:b/>
        </w:rPr>
      </w:pPr>
      <w:r w:rsidRPr="00F67AEC">
        <w:rPr>
          <w:rFonts w:ascii="Times New Roman" w:hAnsi="Times New Roman" w:cs="Times New Roman"/>
          <w:b/>
        </w:rPr>
        <w:t>Naftabituumen 90 000 t/a</w:t>
      </w:r>
    </w:p>
    <w:p w:rsidR="00B65E44" w:rsidRPr="00F67AEC" w:rsidRDefault="00AA0834" w:rsidP="00AA0834">
      <w:pPr>
        <w:pStyle w:val="Normaallaadveeb"/>
        <w:spacing w:before="0" w:after="0"/>
        <w:ind w:left="567"/>
        <w:jc w:val="both"/>
        <w:rPr>
          <w:b/>
        </w:rPr>
      </w:pPr>
      <w:proofErr w:type="spellStart"/>
      <w:r w:rsidRPr="00F67AEC">
        <w:rPr>
          <w:b/>
        </w:rPr>
        <w:t>Baasõli</w:t>
      </w:r>
      <w:proofErr w:type="spellEnd"/>
      <w:r w:rsidRPr="00F67AEC">
        <w:rPr>
          <w:b/>
        </w:rPr>
        <w:t xml:space="preserve"> 20 000 t/a</w:t>
      </w:r>
    </w:p>
    <w:p w:rsidR="00AA0834" w:rsidRPr="00F67AEC" w:rsidRDefault="00AA0834" w:rsidP="00AA0834">
      <w:pPr>
        <w:pStyle w:val="Normaallaadveeb"/>
        <w:spacing w:before="0" w:after="0"/>
        <w:ind w:left="567"/>
        <w:jc w:val="both"/>
        <w:rPr>
          <w:b/>
          <w:lang w:val="et-EE"/>
        </w:rPr>
      </w:pPr>
    </w:p>
    <w:p w:rsidR="00E60EF5" w:rsidRPr="00F67AEC" w:rsidRDefault="00E60EF5" w:rsidP="00337267">
      <w:pPr>
        <w:pStyle w:val="Normaallaadveeb"/>
        <w:spacing w:before="0" w:after="0"/>
        <w:ind w:left="567"/>
        <w:jc w:val="both"/>
        <w:rPr>
          <w:b/>
          <w:bCs/>
          <w:lang w:val="et-EE"/>
        </w:rPr>
      </w:pPr>
      <w:r w:rsidRPr="00F67AEC">
        <w:rPr>
          <w:b/>
          <w:lang w:val="et-EE"/>
        </w:rPr>
        <w:t xml:space="preserve">3. kehtestada </w:t>
      </w:r>
      <w:r w:rsidRPr="00F67AEC">
        <w:rPr>
          <w:rFonts w:eastAsia="SimSun"/>
          <w:b/>
          <w:lang w:val="et-EE"/>
        </w:rPr>
        <w:t xml:space="preserve">vee erikasutusloa </w:t>
      </w:r>
      <w:r w:rsidRPr="00F67AEC">
        <w:rPr>
          <w:rFonts w:eastAsia="Tahoma"/>
          <w:b/>
          <w:lang w:val="et-EE"/>
        </w:rPr>
        <w:t xml:space="preserve">nr </w:t>
      </w:r>
      <w:r w:rsidR="00B65E44" w:rsidRPr="00F67AEC">
        <w:rPr>
          <w:b/>
          <w:lang w:val="et-EE"/>
        </w:rPr>
        <w:t>L.VV/327</w:t>
      </w:r>
      <w:r w:rsidR="00AA0834" w:rsidRPr="00F67AEC">
        <w:rPr>
          <w:b/>
          <w:lang w:val="et-EE"/>
        </w:rPr>
        <w:t>327824</w:t>
      </w:r>
      <w:r w:rsidR="00B65E44" w:rsidRPr="00F67AEC">
        <w:rPr>
          <w:b/>
          <w:lang w:val="et-EE"/>
        </w:rPr>
        <w:t xml:space="preserve"> </w:t>
      </w:r>
      <w:r w:rsidRPr="00F67AEC">
        <w:rPr>
          <w:b/>
          <w:lang w:val="et-EE"/>
        </w:rPr>
        <w:t xml:space="preserve">punktis 5.1, 5.2 ja 5.4 </w:t>
      </w:r>
      <w:r w:rsidRPr="00F67AEC">
        <w:rPr>
          <w:b/>
          <w:bCs/>
          <w:lang w:val="et-EE"/>
        </w:rPr>
        <w:t>meetmed ja nende täitmise tähtajad, mis aitavad vähendada vee erikasutuse mõju</w:t>
      </w:r>
      <w:r w:rsidR="00CD0729" w:rsidRPr="00F67AEC">
        <w:rPr>
          <w:b/>
          <w:bCs/>
          <w:lang w:val="et-EE"/>
        </w:rPr>
        <w:t>.</w:t>
      </w:r>
      <w:r w:rsidR="0011327D" w:rsidRPr="00F67AEC">
        <w:rPr>
          <w:b/>
          <w:bCs/>
          <w:lang w:val="et-EE"/>
        </w:rPr>
        <w:t xml:space="preserve"> </w:t>
      </w:r>
    </w:p>
    <w:p w:rsidR="00CD0729" w:rsidRPr="00F67AEC" w:rsidRDefault="00B65E44" w:rsidP="00337267">
      <w:pPr>
        <w:pStyle w:val="Normaallaadveeb"/>
        <w:spacing w:before="0" w:after="0"/>
        <w:ind w:left="567"/>
        <w:jc w:val="both"/>
        <w:rPr>
          <w:b/>
          <w:lang w:val="et-EE"/>
        </w:rPr>
      </w:pPr>
      <w:r w:rsidRPr="00F67AEC">
        <w:rPr>
          <w:b/>
          <w:lang w:val="et-EE"/>
        </w:rPr>
        <w:t xml:space="preserve"> </w:t>
      </w:r>
    </w:p>
    <w:p w:rsidR="001A01EF" w:rsidRPr="00F67AEC" w:rsidRDefault="00E60EF5" w:rsidP="00337267">
      <w:pPr>
        <w:jc w:val="both"/>
        <w:rPr>
          <w:rFonts w:eastAsia="MS Serif"/>
          <w:szCs w:val="24"/>
          <w:lang w:eastAsia="et-EE" w:bidi="et-EE"/>
        </w:rPr>
      </w:pPr>
      <w:r w:rsidRPr="00F67AEC">
        <w:rPr>
          <w:rFonts w:eastAsia="MS Serif"/>
          <w:szCs w:val="24"/>
        </w:rPr>
        <w:t>Haldusakti on võimalik vaidlustada 30 päeva jooksul teatavaks tegemisest, esitades vaide haldusakti andjale haldusmenetluse seaduses sätestatud korras või kaebuse Tallinna</w:t>
      </w:r>
      <w:r w:rsidRPr="00F67AEC">
        <w:rPr>
          <w:rFonts w:eastAsia="MS Serif"/>
          <w:szCs w:val="24"/>
          <w:lang w:eastAsia="et-EE" w:bidi="et-EE"/>
        </w:rPr>
        <w:t xml:space="preserve"> Halduskohtusse halduskohtumenetluse seadustikus sätestatud korras.</w:t>
      </w:r>
    </w:p>
    <w:sectPr w:rsidR="001A01EF" w:rsidRPr="00F67AEC">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D61" w:rsidRDefault="00641D61">
      <w:r>
        <w:separator/>
      </w:r>
    </w:p>
  </w:endnote>
  <w:endnote w:type="continuationSeparator" w:id="0">
    <w:p w:rsidR="00641D61" w:rsidRDefault="0064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altName w:val="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Mangal">
    <w:panose1 w:val="02040503050203030202"/>
    <w:charset w:val="00"/>
    <w:family w:val="roman"/>
    <w:pitch w:val="variable"/>
    <w:sig w:usb0="00008003" w:usb1="00000000" w:usb2="00000000" w:usb3="00000000" w:csb0="00000001" w:csb1="00000000"/>
  </w:font>
  <w:font w:name="MS Serif">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D61" w:rsidRDefault="00641D61">
      <w:r>
        <w:separator/>
      </w:r>
    </w:p>
  </w:footnote>
  <w:footnote w:type="continuationSeparator" w:id="0">
    <w:p w:rsidR="00641D61" w:rsidRDefault="00641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E4" w:rsidRDefault="00F875E4" w:rsidP="00F875E4">
    <w:pPr>
      <w:pStyle w:val="Pis"/>
      <w:jc w:val="right"/>
    </w:pPr>
    <w:r>
      <w:t>EELNÕU</w:t>
    </w:r>
  </w:p>
  <w:p w:rsidR="00F875E4" w:rsidRDefault="003B5517" w:rsidP="00F875E4">
    <w:pPr>
      <w:pStyle w:val="Pis"/>
      <w:jc w:val="right"/>
    </w:pPr>
    <w:r>
      <w:t>19</w:t>
    </w:r>
    <w:r w:rsidR="00F875E4">
      <w:t>.05.2016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AB6"/>
    <w:multiLevelType w:val="hybridMultilevel"/>
    <w:tmpl w:val="B86E0504"/>
    <w:lvl w:ilvl="0" w:tplc="C72EA6F6">
      <w:start w:val="1"/>
      <w:numFmt w:val="bullet"/>
      <w:lvlText w:val="-"/>
      <w:lvlJc w:val="left"/>
      <w:pPr>
        <w:ind w:left="1068" w:hanging="360"/>
      </w:pPr>
      <w:rPr>
        <w:rFonts w:ascii="Times New Roman" w:eastAsia="Times New Roman" w:hAnsi="Times New Roman" w:cs="Times New Roman" w:hint="default"/>
      </w:rPr>
    </w:lvl>
    <w:lvl w:ilvl="1" w:tplc="04250003">
      <w:start w:val="1"/>
      <w:numFmt w:val="bullet"/>
      <w:lvlText w:val="o"/>
      <w:lvlJc w:val="left"/>
      <w:pPr>
        <w:ind w:left="1788" w:hanging="360"/>
      </w:pPr>
      <w:rPr>
        <w:rFonts w:ascii="Courier New" w:hAnsi="Courier New" w:cs="Courier New" w:hint="default"/>
      </w:rPr>
    </w:lvl>
    <w:lvl w:ilvl="2" w:tplc="04250005">
      <w:start w:val="1"/>
      <w:numFmt w:val="bullet"/>
      <w:lvlText w:val=""/>
      <w:lvlJc w:val="left"/>
      <w:pPr>
        <w:ind w:left="2508" w:hanging="360"/>
      </w:pPr>
      <w:rPr>
        <w:rFonts w:ascii="Wingdings" w:hAnsi="Wingdings" w:hint="default"/>
      </w:rPr>
    </w:lvl>
    <w:lvl w:ilvl="3" w:tplc="04250001">
      <w:start w:val="1"/>
      <w:numFmt w:val="bullet"/>
      <w:lvlText w:val=""/>
      <w:lvlJc w:val="left"/>
      <w:pPr>
        <w:ind w:left="3228" w:hanging="360"/>
      </w:pPr>
      <w:rPr>
        <w:rFonts w:ascii="Symbol" w:hAnsi="Symbol" w:hint="default"/>
      </w:rPr>
    </w:lvl>
    <w:lvl w:ilvl="4" w:tplc="04250003">
      <w:start w:val="1"/>
      <w:numFmt w:val="bullet"/>
      <w:lvlText w:val="o"/>
      <w:lvlJc w:val="left"/>
      <w:pPr>
        <w:ind w:left="3948" w:hanging="360"/>
      </w:pPr>
      <w:rPr>
        <w:rFonts w:ascii="Courier New" w:hAnsi="Courier New" w:cs="Courier New" w:hint="default"/>
      </w:rPr>
    </w:lvl>
    <w:lvl w:ilvl="5" w:tplc="04250005">
      <w:start w:val="1"/>
      <w:numFmt w:val="bullet"/>
      <w:lvlText w:val=""/>
      <w:lvlJc w:val="left"/>
      <w:pPr>
        <w:ind w:left="4668" w:hanging="360"/>
      </w:pPr>
      <w:rPr>
        <w:rFonts w:ascii="Wingdings" w:hAnsi="Wingdings" w:hint="default"/>
      </w:rPr>
    </w:lvl>
    <w:lvl w:ilvl="6" w:tplc="04250001">
      <w:start w:val="1"/>
      <w:numFmt w:val="bullet"/>
      <w:lvlText w:val=""/>
      <w:lvlJc w:val="left"/>
      <w:pPr>
        <w:ind w:left="5388" w:hanging="360"/>
      </w:pPr>
      <w:rPr>
        <w:rFonts w:ascii="Symbol" w:hAnsi="Symbol" w:hint="default"/>
      </w:rPr>
    </w:lvl>
    <w:lvl w:ilvl="7" w:tplc="04250003">
      <w:start w:val="1"/>
      <w:numFmt w:val="bullet"/>
      <w:lvlText w:val="o"/>
      <w:lvlJc w:val="left"/>
      <w:pPr>
        <w:ind w:left="6108" w:hanging="360"/>
      </w:pPr>
      <w:rPr>
        <w:rFonts w:ascii="Courier New" w:hAnsi="Courier New" w:cs="Courier New" w:hint="default"/>
      </w:rPr>
    </w:lvl>
    <w:lvl w:ilvl="8" w:tplc="04250005">
      <w:start w:val="1"/>
      <w:numFmt w:val="bullet"/>
      <w:lvlText w:val=""/>
      <w:lvlJc w:val="left"/>
      <w:pPr>
        <w:ind w:left="6828" w:hanging="360"/>
      </w:pPr>
      <w:rPr>
        <w:rFonts w:ascii="Wingdings" w:hAnsi="Wingdings" w:hint="default"/>
      </w:r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5E6A"/>
    <w:rsid w:val="00024B58"/>
    <w:rsid w:val="00027F43"/>
    <w:rsid w:val="00043555"/>
    <w:rsid w:val="00045F2A"/>
    <w:rsid w:val="0004709B"/>
    <w:rsid w:val="000566E5"/>
    <w:rsid w:val="00063B8B"/>
    <w:rsid w:val="00067344"/>
    <w:rsid w:val="00082CD9"/>
    <w:rsid w:val="000A0388"/>
    <w:rsid w:val="000A27FD"/>
    <w:rsid w:val="000A7963"/>
    <w:rsid w:val="000B2922"/>
    <w:rsid w:val="000C11D2"/>
    <w:rsid w:val="000C593B"/>
    <w:rsid w:val="000E1288"/>
    <w:rsid w:val="000E7C0E"/>
    <w:rsid w:val="000F18D3"/>
    <w:rsid w:val="00107545"/>
    <w:rsid w:val="00110EEB"/>
    <w:rsid w:val="0011327D"/>
    <w:rsid w:val="00115CF2"/>
    <w:rsid w:val="001160AB"/>
    <w:rsid w:val="00120583"/>
    <w:rsid w:val="001303A4"/>
    <w:rsid w:val="00131DB8"/>
    <w:rsid w:val="00135154"/>
    <w:rsid w:val="001409D0"/>
    <w:rsid w:val="00141A4E"/>
    <w:rsid w:val="001461FF"/>
    <w:rsid w:val="001512B0"/>
    <w:rsid w:val="00154565"/>
    <w:rsid w:val="00172DAD"/>
    <w:rsid w:val="00183417"/>
    <w:rsid w:val="001A01EF"/>
    <w:rsid w:val="001A588C"/>
    <w:rsid w:val="001A62DC"/>
    <w:rsid w:val="001B1BDA"/>
    <w:rsid w:val="001B24E4"/>
    <w:rsid w:val="001C151E"/>
    <w:rsid w:val="001C4577"/>
    <w:rsid w:val="001D132A"/>
    <w:rsid w:val="001D2CB4"/>
    <w:rsid w:val="001D71F5"/>
    <w:rsid w:val="001F1BF8"/>
    <w:rsid w:val="001F28F2"/>
    <w:rsid w:val="001F63B7"/>
    <w:rsid w:val="00210DA2"/>
    <w:rsid w:val="00211FC2"/>
    <w:rsid w:val="00214486"/>
    <w:rsid w:val="00214BFC"/>
    <w:rsid w:val="002366CA"/>
    <w:rsid w:val="00241E09"/>
    <w:rsid w:val="00243689"/>
    <w:rsid w:val="00243B87"/>
    <w:rsid w:val="002537CC"/>
    <w:rsid w:val="002564B9"/>
    <w:rsid w:val="00267841"/>
    <w:rsid w:val="002717D1"/>
    <w:rsid w:val="0027248F"/>
    <w:rsid w:val="00272B82"/>
    <w:rsid w:val="00274CD1"/>
    <w:rsid w:val="00284759"/>
    <w:rsid w:val="002947A3"/>
    <w:rsid w:val="002B6C42"/>
    <w:rsid w:val="002C020A"/>
    <w:rsid w:val="002D083B"/>
    <w:rsid w:val="002D14E6"/>
    <w:rsid w:val="002F04B0"/>
    <w:rsid w:val="002F7A12"/>
    <w:rsid w:val="003020E8"/>
    <w:rsid w:val="00305F3D"/>
    <w:rsid w:val="003136F2"/>
    <w:rsid w:val="003138F5"/>
    <w:rsid w:val="00320825"/>
    <w:rsid w:val="003210CA"/>
    <w:rsid w:val="00335831"/>
    <w:rsid w:val="00337267"/>
    <w:rsid w:val="003443BD"/>
    <w:rsid w:val="00362F00"/>
    <w:rsid w:val="00363463"/>
    <w:rsid w:val="00393036"/>
    <w:rsid w:val="003A29BC"/>
    <w:rsid w:val="003A62A6"/>
    <w:rsid w:val="003B5517"/>
    <w:rsid w:val="003B5DF5"/>
    <w:rsid w:val="003B6DBC"/>
    <w:rsid w:val="003C2233"/>
    <w:rsid w:val="003C488F"/>
    <w:rsid w:val="003C58D6"/>
    <w:rsid w:val="003D42AD"/>
    <w:rsid w:val="003D7430"/>
    <w:rsid w:val="003E28C3"/>
    <w:rsid w:val="003F510A"/>
    <w:rsid w:val="003F5148"/>
    <w:rsid w:val="003F6B33"/>
    <w:rsid w:val="00407133"/>
    <w:rsid w:val="004110F9"/>
    <w:rsid w:val="004135E8"/>
    <w:rsid w:val="004160E1"/>
    <w:rsid w:val="004271D8"/>
    <w:rsid w:val="004272FA"/>
    <w:rsid w:val="00431A97"/>
    <w:rsid w:val="0044506D"/>
    <w:rsid w:val="0045330F"/>
    <w:rsid w:val="00466616"/>
    <w:rsid w:val="00480BBD"/>
    <w:rsid w:val="00486978"/>
    <w:rsid w:val="004A0798"/>
    <w:rsid w:val="004A2D66"/>
    <w:rsid w:val="004A5AC8"/>
    <w:rsid w:val="004B317F"/>
    <w:rsid w:val="004B7F6D"/>
    <w:rsid w:val="004C1861"/>
    <w:rsid w:val="004C5318"/>
    <w:rsid w:val="004D6486"/>
    <w:rsid w:val="004E7CA6"/>
    <w:rsid w:val="0050056D"/>
    <w:rsid w:val="00501E93"/>
    <w:rsid w:val="0051023F"/>
    <w:rsid w:val="00514084"/>
    <w:rsid w:val="00524C6E"/>
    <w:rsid w:val="00527D1E"/>
    <w:rsid w:val="00531ECA"/>
    <w:rsid w:val="005334F8"/>
    <w:rsid w:val="00533FDE"/>
    <w:rsid w:val="00545442"/>
    <w:rsid w:val="005846A2"/>
    <w:rsid w:val="005873CA"/>
    <w:rsid w:val="005A32BB"/>
    <w:rsid w:val="005A4A9B"/>
    <w:rsid w:val="005A7932"/>
    <w:rsid w:val="005B42E1"/>
    <w:rsid w:val="005B5F92"/>
    <w:rsid w:val="005C702A"/>
    <w:rsid w:val="005C743B"/>
    <w:rsid w:val="005D2FA9"/>
    <w:rsid w:val="005D3724"/>
    <w:rsid w:val="005D7DE1"/>
    <w:rsid w:val="005E5BAB"/>
    <w:rsid w:val="005F5DAD"/>
    <w:rsid w:val="005F6C54"/>
    <w:rsid w:val="0060479C"/>
    <w:rsid w:val="0060536A"/>
    <w:rsid w:val="00610871"/>
    <w:rsid w:val="00615A8F"/>
    <w:rsid w:val="00621F0D"/>
    <w:rsid w:val="0062713F"/>
    <w:rsid w:val="00627F34"/>
    <w:rsid w:val="00631064"/>
    <w:rsid w:val="00641D61"/>
    <w:rsid w:val="00642F75"/>
    <w:rsid w:val="0064729E"/>
    <w:rsid w:val="00656167"/>
    <w:rsid w:val="00662F87"/>
    <w:rsid w:val="006730FE"/>
    <w:rsid w:val="00676D17"/>
    <w:rsid w:val="0068290A"/>
    <w:rsid w:val="006A6C93"/>
    <w:rsid w:val="006B2897"/>
    <w:rsid w:val="006B4A4D"/>
    <w:rsid w:val="006C089B"/>
    <w:rsid w:val="006C11AF"/>
    <w:rsid w:val="006D63D4"/>
    <w:rsid w:val="006D7004"/>
    <w:rsid w:val="006E21A4"/>
    <w:rsid w:val="006E3C90"/>
    <w:rsid w:val="006F045A"/>
    <w:rsid w:val="006F2D79"/>
    <w:rsid w:val="007045DA"/>
    <w:rsid w:val="00705493"/>
    <w:rsid w:val="00712462"/>
    <w:rsid w:val="007143E7"/>
    <w:rsid w:val="00717634"/>
    <w:rsid w:val="00720584"/>
    <w:rsid w:val="0073039D"/>
    <w:rsid w:val="007316D1"/>
    <w:rsid w:val="00736DC3"/>
    <w:rsid w:val="00740288"/>
    <w:rsid w:val="0074384B"/>
    <w:rsid w:val="007535CF"/>
    <w:rsid w:val="0077069F"/>
    <w:rsid w:val="007807DF"/>
    <w:rsid w:val="0078392D"/>
    <w:rsid w:val="00783C44"/>
    <w:rsid w:val="007A10C1"/>
    <w:rsid w:val="007A148E"/>
    <w:rsid w:val="007B2BF0"/>
    <w:rsid w:val="007B725D"/>
    <w:rsid w:val="007C15E0"/>
    <w:rsid w:val="007C4B00"/>
    <w:rsid w:val="007C54E0"/>
    <w:rsid w:val="007C6A90"/>
    <w:rsid w:val="007E1643"/>
    <w:rsid w:val="007E1AC3"/>
    <w:rsid w:val="00805BA1"/>
    <w:rsid w:val="0080770F"/>
    <w:rsid w:val="00812377"/>
    <w:rsid w:val="00817632"/>
    <w:rsid w:val="00822F29"/>
    <w:rsid w:val="00827BEA"/>
    <w:rsid w:val="008313D1"/>
    <w:rsid w:val="008315A0"/>
    <w:rsid w:val="00835D2F"/>
    <w:rsid w:val="00851EE1"/>
    <w:rsid w:val="00855236"/>
    <w:rsid w:val="0086152E"/>
    <w:rsid w:val="008726B6"/>
    <w:rsid w:val="008869CC"/>
    <w:rsid w:val="008902EC"/>
    <w:rsid w:val="00893F33"/>
    <w:rsid w:val="00895BDD"/>
    <w:rsid w:val="008A1760"/>
    <w:rsid w:val="008A30E7"/>
    <w:rsid w:val="008B34B0"/>
    <w:rsid w:val="008C49C8"/>
    <w:rsid w:val="008C66B7"/>
    <w:rsid w:val="008D3D8C"/>
    <w:rsid w:val="008D4FA1"/>
    <w:rsid w:val="008E2B97"/>
    <w:rsid w:val="008F0FDD"/>
    <w:rsid w:val="008F29AB"/>
    <w:rsid w:val="008F3876"/>
    <w:rsid w:val="008F3C1C"/>
    <w:rsid w:val="008F7B74"/>
    <w:rsid w:val="00905F19"/>
    <w:rsid w:val="00907FD9"/>
    <w:rsid w:val="00920139"/>
    <w:rsid w:val="00923E2E"/>
    <w:rsid w:val="00927DB6"/>
    <w:rsid w:val="00942FB2"/>
    <w:rsid w:val="009454A7"/>
    <w:rsid w:val="00945B57"/>
    <w:rsid w:val="00951B9A"/>
    <w:rsid w:val="00953BBA"/>
    <w:rsid w:val="00955B88"/>
    <w:rsid w:val="00967F27"/>
    <w:rsid w:val="00995BFB"/>
    <w:rsid w:val="009A314B"/>
    <w:rsid w:val="009B24F4"/>
    <w:rsid w:val="009B604B"/>
    <w:rsid w:val="009C3BC7"/>
    <w:rsid w:val="009C3DBE"/>
    <w:rsid w:val="009C4E1F"/>
    <w:rsid w:val="009D0E8B"/>
    <w:rsid w:val="009E29D2"/>
    <w:rsid w:val="009E3298"/>
    <w:rsid w:val="009E344D"/>
    <w:rsid w:val="009E7F62"/>
    <w:rsid w:val="009F68BB"/>
    <w:rsid w:val="009F68C7"/>
    <w:rsid w:val="009F73A8"/>
    <w:rsid w:val="00A02D50"/>
    <w:rsid w:val="00A12734"/>
    <w:rsid w:val="00A153A9"/>
    <w:rsid w:val="00A5246D"/>
    <w:rsid w:val="00A52E64"/>
    <w:rsid w:val="00A602A8"/>
    <w:rsid w:val="00A6382D"/>
    <w:rsid w:val="00A74723"/>
    <w:rsid w:val="00A955C7"/>
    <w:rsid w:val="00AA0834"/>
    <w:rsid w:val="00AB3A64"/>
    <w:rsid w:val="00AB4517"/>
    <w:rsid w:val="00AB7120"/>
    <w:rsid w:val="00AD513E"/>
    <w:rsid w:val="00AE7310"/>
    <w:rsid w:val="00B0569D"/>
    <w:rsid w:val="00B114B1"/>
    <w:rsid w:val="00B132A5"/>
    <w:rsid w:val="00B13613"/>
    <w:rsid w:val="00B20442"/>
    <w:rsid w:val="00B3327F"/>
    <w:rsid w:val="00B400BB"/>
    <w:rsid w:val="00B43F57"/>
    <w:rsid w:val="00B46899"/>
    <w:rsid w:val="00B51875"/>
    <w:rsid w:val="00B51D0C"/>
    <w:rsid w:val="00B52AA1"/>
    <w:rsid w:val="00B65E44"/>
    <w:rsid w:val="00B71559"/>
    <w:rsid w:val="00B73C86"/>
    <w:rsid w:val="00B77F2B"/>
    <w:rsid w:val="00B9427D"/>
    <w:rsid w:val="00BA1B1B"/>
    <w:rsid w:val="00BA64D8"/>
    <w:rsid w:val="00BB2BF3"/>
    <w:rsid w:val="00BC1986"/>
    <w:rsid w:val="00BD639E"/>
    <w:rsid w:val="00BE4226"/>
    <w:rsid w:val="00BE6845"/>
    <w:rsid w:val="00BE741E"/>
    <w:rsid w:val="00C031A6"/>
    <w:rsid w:val="00C04ED2"/>
    <w:rsid w:val="00C06B20"/>
    <w:rsid w:val="00C11C72"/>
    <w:rsid w:val="00C17448"/>
    <w:rsid w:val="00C17815"/>
    <w:rsid w:val="00C23250"/>
    <w:rsid w:val="00C27255"/>
    <w:rsid w:val="00C34BC9"/>
    <w:rsid w:val="00C378D3"/>
    <w:rsid w:val="00C419BF"/>
    <w:rsid w:val="00C444A6"/>
    <w:rsid w:val="00C44724"/>
    <w:rsid w:val="00C50469"/>
    <w:rsid w:val="00C53096"/>
    <w:rsid w:val="00C57F04"/>
    <w:rsid w:val="00C66137"/>
    <w:rsid w:val="00C71841"/>
    <w:rsid w:val="00C73430"/>
    <w:rsid w:val="00C91767"/>
    <w:rsid w:val="00C92239"/>
    <w:rsid w:val="00C958EB"/>
    <w:rsid w:val="00CA653D"/>
    <w:rsid w:val="00CB4839"/>
    <w:rsid w:val="00CB4CCE"/>
    <w:rsid w:val="00CB6AD9"/>
    <w:rsid w:val="00CC3C5B"/>
    <w:rsid w:val="00CC7CF7"/>
    <w:rsid w:val="00CD0729"/>
    <w:rsid w:val="00CE4083"/>
    <w:rsid w:val="00CE5862"/>
    <w:rsid w:val="00CE7990"/>
    <w:rsid w:val="00CE7D19"/>
    <w:rsid w:val="00D0401B"/>
    <w:rsid w:val="00D30038"/>
    <w:rsid w:val="00D36F5C"/>
    <w:rsid w:val="00D40145"/>
    <w:rsid w:val="00D4456B"/>
    <w:rsid w:val="00D54681"/>
    <w:rsid w:val="00D61798"/>
    <w:rsid w:val="00D70BB9"/>
    <w:rsid w:val="00D7480C"/>
    <w:rsid w:val="00D7624B"/>
    <w:rsid w:val="00D85EFF"/>
    <w:rsid w:val="00D902ED"/>
    <w:rsid w:val="00DB2816"/>
    <w:rsid w:val="00DB6CED"/>
    <w:rsid w:val="00DB7131"/>
    <w:rsid w:val="00DC1800"/>
    <w:rsid w:val="00DC4A04"/>
    <w:rsid w:val="00DC6274"/>
    <w:rsid w:val="00DC6AC3"/>
    <w:rsid w:val="00DD2864"/>
    <w:rsid w:val="00DD690C"/>
    <w:rsid w:val="00DE2F2A"/>
    <w:rsid w:val="00DE3D0E"/>
    <w:rsid w:val="00DE4B23"/>
    <w:rsid w:val="00DE5A91"/>
    <w:rsid w:val="00DF3F11"/>
    <w:rsid w:val="00E23BE6"/>
    <w:rsid w:val="00E34570"/>
    <w:rsid w:val="00E4302F"/>
    <w:rsid w:val="00E50951"/>
    <w:rsid w:val="00E60EF5"/>
    <w:rsid w:val="00E63528"/>
    <w:rsid w:val="00E657C9"/>
    <w:rsid w:val="00E7418B"/>
    <w:rsid w:val="00E77748"/>
    <w:rsid w:val="00E80EB5"/>
    <w:rsid w:val="00EA5B5F"/>
    <w:rsid w:val="00ED0DC2"/>
    <w:rsid w:val="00ED6104"/>
    <w:rsid w:val="00ED62AC"/>
    <w:rsid w:val="00EE2BDE"/>
    <w:rsid w:val="00EE3762"/>
    <w:rsid w:val="00EE5FEB"/>
    <w:rsid w:val="00EF05AE"/>
    <w:rsid w:val="00EF5CDD"/>
    <w:rsid w:val="00EF7E97"/>
    <w:rsid w:val="00F068DB"/>
    <w:rsid w:val="00F06BF7"/>
    <w:rsid w:val="00F137DD"/>
    <w:rsid w:val="00F24E16"/>
    <w:rsid w:val="00F27FF7"/>
    <w:rsid w:val="00F309EA"/>
    <w:rsid w:val="00F33905"/>
    <w:rsid w:val="00F4270F"/>
    <w:rsid w:val="00F46BD7"/>
    <w:rsid w:val="00F57924"/>
    <w:rsid w:val="00F62AB3"/>
    <w:rsid w:val="00F67AEC"/>
    <w:rsid w:val="00F72FC0"/>
    <w:rsid w:val="00F76DE2"/>
    <w:rsid w:val="00F80D9E"/>
    <w:rsid w:val="00F84BF1"/>
    <w:rsid w:val="00F875E4"/>
    <w:rsid w:val="00F94C84"/>
    <w:rsid w:val="00F9597E"/>
    <w:rsid w:val="00FA4CE4"/>
    <w:rsid w:val="00FA55E8"/>
    <w:rsid w:val="00FB0BFE"/>
    <w:rsid w:val="00FB336F"/>
    <w:rsid w:val="00FB542F"/>
    <w:rsid w:val="00FB5A63"/>
    <w:rsid w:val="00FB74FC"/>
    <w:rsid w:val="00FC1F69"/>
    <w:rsid w:val="00FC4670"/>
    <w:rsid w:val="00FC6431"/>
    <w:rsid w:val="00FD353C"/>
    <w:rsid w:val="00FD68DC"/>
    <w:rsid w:val="00FF08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81B52886-6828-4DE7-97F8-6129A835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uiPriority w:val="99"/>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rsid w:val="00F4270F"/>
    <w:rPr>
      <w:sz w:val="24"/>
      <w:lang w:eastAsia="ar-SA"/>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link w:val="Kehatekst2"/>
    <w:uiPriority w:val="99"/>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uiPriority w:val="99"/>
    <w:rsid w:val="00FD68DC"/>
    <w:rPr>
      <w:b/>
      <w:bCs/>
      <w:sz w:val="24"/>
      <w:lang w:eastAsia="ar-SA"/>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 w:type="paragraph" w:customStyle="1" w:styleId="Standard">
    <w:name w:val="Standard"/>
    <w:rsid w:val="00AA0834"/>
    <w:pPr>
      <w:widowControl w:val="0"/>
      <w:suppressAutoHyphens/>
      <w:autoSpaceDN w:val="0"/>
      <w:textAlignment w:val="baseline"/>
    </w:pPr>
    <w:rPr>
      <w:rFonts w:ascii="Thorndale AMT" w:eastAsia="Lucida Sans Unicode" w:hAnsi="Thorndale AMT"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4483">
      <w:bodyDiv w:val="1"/>
      <w:marLeft w:val="0"/>
      <w:marRight w:val="0"/>
      <w:marTop w:val="0"/>
      <w:marBottom w:val="0"/>
      <w:divBdr>
        <w:top w:val="none" w:sz="0" w:space="0" w:color="auto"/>
        <w:left w:val="none" w:sz="0" w:space="0" w:color="auto"/>
        <w:bottom w:val="none" w:sz="0" w:space="0" w:color="auto"/>
        <w:right w:val="none" w:sz="0" w:space="0" w:color="auto"/>
      </w:divBdr>
    </w:div>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049956044">
      <w:bodyDiv w:val="1"/>
      <w:marLeft w:val="0"/>
      <w:marRight w:val="0"/>
      <w:marTop w:val="0"/>
      <w:marBottom w:val="0"/>
      <w:divBdr>
        <w:top w:val="none" w:sz="0" w:space="0" w:color="auto"/>
        <w:left w:val="none" w:sz="0" w:space="0" w:color="auto"/>
        <w:bottom w:val="none" w:sz="0" w:space="0" w:color="auto"/>
        <w:right w:val="none" w:sz="0" w:space="0" w:color="auto"/>
      </w:divBdr>
    </w:div>
    <w:div w:id="1196194823">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06923826">
      <w:bodyDiv w:val="1"/>
      <w:marLeft w:val="0"/>
      <w:marRight w:val="0"/>
      <w:marTop w:val="0"/>
      <w:marBottom w:val="0"/>
      <w:divBdr>
        <w:top w:val="none" w:sz="0" w:space="0" w:color="auto"/>
        <w:left w:val="none" w:sz="0" w:space="0" w:color="auto"/>
        <w:bottom w:val="none" w:sz="0" w:space="0" w:color="auto"/>
        <w:right w:val="none" w:sz="0" w:space="0" w:color="auto"/>
      </w:divBdr>
    </w:div>
    <w:div w:id="1809854385">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 w:id="19280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1360</Words>
  <Characters>7891</Characters>
  <Application>Microsoft Office Word</Application>
  <DocSecurity>0</DocSecurity>
  <Lines>65</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9233</CharactersWithSpaces>
  <SharedDoc>false</SharedDoc>
  <HLinks>
    <vt:vector size="6" baseType="variant">
      <vt:variant>
        <vt:i4>7405578</vt:i4>
      </vt:variant>
      <vt:variant>
        <vt:i4>0</vt:i4>
      </vt:variant>
      <vt:variant>
        <vt:i4>0</vt:i4>
      </vt:variant>
      <vt:variant>
        <vt:i4>5</vt:i4>
      </vt:variant>
      <vt:variant>
        <vt:lpwstr>http://tools.wmflabs.org/geohack/geohack.php?pagename=Paldiski_L%C3%B5unasadam&amp;language=et&amp;params=59.333333333333_N_24.083333333333_E_type:landmark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cp:lastModifiedBy>Kaari Männikus-Nilson</cp:lastModifiedBy>
  <cp:revision>9</cp:revision>
  <cp:lastPrinted>2016-05-18T07:43:00Z</cp:lastPrinted>
  <dcterms:created xsi:type="dcterms:W3CDTF">2016-05-19T06:38:00Z</dcterms:created>
  <dcterms:modified xsi:type="dcterms:W3CDTF">2016-05-19T07:29:00Z</dcterms:modified>
</cp:coreProperties>
</file>