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50AC" w:rsidRPr="003D0152" w:rsidRDefault="00BF50AC" w:rsidP="00BF50AC">
      <w:pPr>
        <w:autoSpaceDE w:val="0"/>
        <w:autoSpaceDN w:val="0"/>
        <w:adjustRightInd w:val="0"/>
        <w:spacing w:before="120" w:after="120" w:line="276" w:lineRule="auto"/>
        <w:jc w:val="both"/>
        <w:rPr>
          <w:rFonts w:ascii="Helvetica" w:hAnsi="Helvetica" w:cs="Helvetica"/>
          <w:i/>
          <w:iCs/>
          <w:szCs w:val="20"/>
        </w:rPr>
      </w:pPr>
      <w:bookmarkStart w:id="0" w:name="_GoBack"/>
      <w:bookmarkEnd w:id="0"/>
      <w:r w:rsidRPr="003D0152">
        <w:rPr>
          <w:rFonts w:ascii="Helvetica" w:hAnsi="Helvetica" w:cs="Helvetica"/>
          <w:i/>
          <w:iCs/>
          <w:szCs w:val="20"/>
        </w:rPr>
        <w:t>Ärisaladuseta</w:t>
      </w:r>
    </w:p>
    <w:p w:rsidR="00BF50AC" w:rsidRPr="003D7C3C" w:rsidRDefault="00BF50AC" w:rsidP="00BF50AC">
      <w:pPr>
        <w:pBdr>
          <w:top w:val="single" w:sz="4" w:space="1" w:color="auto"/>
          <w:left w:val="single" w:sz="4" w:space="4" w:color="auto"/>
          <w:bottom w:val="single" w:sz="4" w:space="1" w:color="auto"/>
          <w:right w:val="single" w:sz="4" w:space="4" w:color="auto"/>
        </w:pBdr>
        <w:shd w:val="clear" w:color="auto" w:fill="FFFFFF" w:themeFill="background1"/>
        <w:spacing w:before="240" w:after="240" w:line="276" w:lineRule="auto"/>
        <w:jc w:val="center"/>
        <w:rPr>
          <w:rFonts w:ascii="Helvetica" w:hAnsi="Helvetica" w:cs="Helvetica"/>
          <w:b/>
          <w:sz w:val="24"/>
          <w:szCs w:val="24"/>
        </w:rPr>
      </w:pPr>
      <w:r>
        <w:rPr>
          <w:rFonts w:ascii="Helvetica" w:hAnsi="Helvetica" w:cs="Helvetica"/>
          <w:b/>
          <w:sz w:val="24"/>
          <w:szCs w:val="24"/>
        </w:rPr>
        <w:t>KOONDUMISE LÜHIKOKKUVÕTE</w:t>
      </w:r>
    </w:p>
    <w:p w:rsidR="005C198F" w:rsidRPr="00EA1465" w:rsidRDefault="005C198F" w:rsidP="005C198F">
      <w:pPr>
        <w:autoSpaceDE w:val="0"/>
        <w:autoSpaceDN w:val="0"/>
        <w:adjustRightInd w:val="0"/>
        <w:spacing w:before="240" w:after="120" w:line="276" w:lineRule="auto"/>
        <w:jc w:val="both"/>
        <w:rPr>
          <w:rFonts w:ascii="Helvetica" w:hAnsi="Helvetica" w:cs="Helvetica"/>
          <w:b/>
        </w:rPr>
      </w:pPr>
      <w:r w:rsidRPr="00EA1465">
        <w:rPr>
          <w:rFonts w:ascii="Helvetica" w:hAnsi="Helvetica" w:cs="Helvetica"/>
          <w:b/>
        </w:rPr>
        <w:t>Koondumise osalised ja koondumise laad</w:t>
      </w:r>
    </w:p>
    <w:p w:rsidR="005C198F" w:rsidRPr="00070DDE" w:rsidRDefault="00310B9D" w:rsidP="005C198F">
      <w:pPr>
        <w:spacing w:before="120" w:after="120" w:line="276" w:lineRule="auto"/>
        <w:jc w:val="both"/>
        <w:rPr>
          <w:rFonts w:ascii="Helvetica" w:hAnsi="Helvetica" w:cs="Helvetica"/>
          <w:szCs w:val="20"/>
        </w:rPr>
      </w:pPr>
      <w:r>
        <w:rPr>
          <w:rFonts w:ascii="Helvetica" w:hAnsi="Helvetica" w:cs="Helvetica"/>
        </w:rPr>
        <w:t>27.05.2016. a</w:t>
      </w:r>
      <w:r w:rsidR="005C198F">
        <w:rPr>
          <w:rFonts w:ascii="Helvetica" w:hAnsi="Helvetica" w:cs="Helvetica"/>
        </w:rPr>
        <w:t xml:space="preserve"> sõlmis OÜ DenCap (edaspidi </w:t>
      </w:r>
      <w:r w:rsidR="005C198F" w:rsidRPr="00070DDE">
        <w:rPr>
          <w:rFonts w:ascii="Helvetica" w:hAnsi="Helvetica" w:cs="Helvetica"/>
          <w:b/>
        </w:rPr>
        <w:t>DenCap</w:t>
      </w:r>
      <w:r w:rsidR="00E066F0">
        <w:rPr>
          <w:rFonts w:ascii="Helvetica" w:hAnsi="Helvetica" w:cs="Helvetica"/>
        </w:rPr>
        <w:t xml:space="preserve">) </w:t>
      </w:r>
      <w:r w:rsidR="00E066F0">
        <w:rPr>
          <w:rFonts w:ascii="Helvetica" w:hAnsi="Helvetica" w:cs="Helvetica"/>
          <w:szCs w:val="20"/>
        </w:rPr>
        <w:t xml:space="preserve">Qvalitas Arstikeskus AS’i (edaspidi </w:t>
      </w:r>
      <w:r w:rsidR="00E066F0">
        <w:rPr>
          <w:rFonts w:ascii="Helvetica" w:hAnsi="Helvetica" w:cs="Helvetica"/>
          <w:b/>
          <w:szCs w:val="20"/>
        </w:rPr>
        <w:t>Qvalitas</w:t>
      </w:r>
      <w:r w:rsidR="00E066F0">
        <w:rPr>
          <w:rFonts w:ascii="Helvetica" w:hAnsi="Helvetica" w:cs="Helvetica"/>
          <w:szCs w:val="20"/>
        </w:rPr>
        <w:t xml:space="preserve">) aktsionäridega </w:t>
      </w:r>
      <w:r w:rsidR="005C198F">
        <w:rPr>
          <w:rFonts w:ascii="Helvetica" w:hAnsi="Helvetica" w:cs="Helvetica"/>
          <w:szCs w:val="20"/>
        </w:rPr>
        <w:t xml:space="preserve">aktsiate ostu-müügilepingu (edaspidi </w:t>
      </w:r>
      <w:r w:rsidR="005C198F" w:rsidRPr="00070DDE">
        <w:rPr>
          <w:rFonts w:ascii="Helvetica" w:hAnsi="Helvetica" w:cs="Helvetica"/>
          <w:b/>
          <w:szCs w:val="20"/>
        </w:rPr>
        <w:t>Leping</w:t>
      </w:r>
      <w:r w:rsidR="005C198F">
        <w:rPr>
          <w:rFonts w:ascii="Helvetica" w:hAnsi="Helvetica" w:cs="Helvetica"/>
          <w:szCs w:val="20"/>
        </w:rPr>
        <w:t>)</w:t>
      </w:r>
      <w:r w:rsidR="005C198F" w:rsidRPr="0009254F">
        <w:rPr>
          <w:rFonts w:ascii="Helvetica" w:hAnsi="Helvetica" w:cs="Helvetica"/>
          <w:szCs w:val="20"/>
        </w:rPr>
        <w:t xml:space="preserve">, mille alusel omandab </w:t>
      </w:r>
      <w:proofErr w:type="spellStart"/>
      <w:r w:rsidR="005C198F">
        <w:rPr>
          <w:rFonts w:ascii="Helvetica" w:hAnsi="Helvetica" w:cs="Helvetica"/>
          <w:szCs w:val="20"/>
        </w:rPr>
        <w:t>DenCap</w:t>
      </w:r>
      <w:proofErr w:type="spellEnd"/>
      <w:r w:rsidR="005C198F">
        <w:rPr>
          <w:rFonts w:ascii="Helvetica" w:hAnsi="Helvetica" w:cs="Helvetica"/>
          <w:szCs w:val="20"/>
        </w:rPr>
        <w:t xml:space="preserve"> </w:t>
      </w:r>
      <w:r w:rsidR="005C198F" w:rsidRPr="0009254F">
        <w:rPr>
          <w:rFonts w:ascii="Helvetica" w:hAnsi="Helvetica" w:cs="Helvetica"/>
          <w:szCs w:val="20"/>
        </w:rPr>
        <w:t xml:space="preserve">müüjatelt </w:t>
      </w:r>
      <w:r w:rsidR="005C198F">
        <w:rPr>
          <w:rFonts w:ascii="Helvetica" w:hAnsi="Helvetica" w:cs="Helvetica"/>
          <w:szCs w:val="20"/>
        </w:rPr>
        <w:t>72</w:t>
      </w:r>
      <w:r w:rsidR="005C198F" w:rsidRPr="0009254F">
        <w:rPr>
          <w:rFonts w:ascii="Helvetica" w:hAnsi="Helvetica" w:cs="Helvetica"/>
          <w:szCs w:val="20"/>
        </w:rPr>
        <w:t>%-</w:t>
      </w:r>
      <w:proofErr w:type="spellStart"/>
      <w:r w:rsidR="005C198F" w:rsidRPr="0009254F">
        <w:rPr>
          <w:rFonts w:ascii="Helvetica" w:hAnsi="Helvetica" w:cs="Helvetica"/>
          <w:szCs w:val="20"/>
        </w:rPr>
        <w:t>lise</w:t>
      </w:r>
      <w:proofErr w:type="spellEnd"/>
      <w:r w:rsidR="005C198F" w:rsidRPr="0009254F">
        <w:rPr>
          <w:rFonts w:ascii="Helvetica" w:hAnsi="Helvetica" w:cs="Helvetica"/>
          <w:szCs w:val="20"/>
        </w:rPr>
        <w:t xml:space="preserve"> osaluse </w:t>
      </w:r>
      <w:proofErr w:type="spellStart"/>
      <w:r w:rsidR="00E066F0">
        <w:rPr>
          <w:rFonts w:ascii="Helvetica" w:hAnsi="Helvetica" w:cs="Helvetica"/>
          <w:szCs w:val="20"/>
        </w:rPr>
        <w:t>Qvalitases</w:t>
      </w:r>
      <w:proofErr w:type="spellEnd"/>
      <w:r w:rsidR="00E066F0">
        <w:rPr>
          <w:rFonts w:ascii="Helvetica" w:hAnsi="Helvetica" w:cs="Helvetica"/>
          <w:szCs w:val="20"/>
        </w:rPr>
        <w:t xml:space="preserve"> </w:t>
      </w:r>
      <w:r w:rsidR="005C198F">
        <w:rPr>
          <w:rFonts w:ascii="Helvetica" w:hAnsi="Helvetica" w:cs="Helvetica"/>
          <w:szCs w:val="20"/>
        </w:rPr>
        <w:t xml:space="preserve">ja selle kaudu ainuvalitseva mõju Qvalitase ja selle tütarühingute üle konkurentsiseaduse (edaspidi </w:t>
      </w:r>
      <w:r w:rsidR="005C198F" w:rsidRPr="00070DDE">
        <w:rPr>
          <w:rFonts w:ascii="Helvetica" w:hAnsi="Helvetica" w:cs="Helvetica"/>
          <w:b/>
          <w:szCs w:val="20"/>
        </w:rPr>
        <w:t>Konks</w:t>
      </w:r>
      <w:r w:rsidR="005C198F">
        <w:rPr>
          <w:rFonts w:ascii="Helvetica" w:hAnsi="Helvetica" w:cs="Helvetica"/>
          <w:szCs w:val="20"/>
        </w:rPr>
        <w:t xml:space="preserve">) § 2 lg 4 mõistes. </w:t>
      </w:r>
      <w:r w:rsidR="005C198F" w:rsidRPr="00070DDE">
        <w:rPr>
          <w:rFonts w:ascii="Helvetica" w:hAnsi="Helvetica" w:cs="Helvetica"/>
          <w:szCs w:val="20"/>
        </w:rPr>
        <w:t xml:space="preserve">Seega on käesolev </w:t>
      </w:r>
      <w:r>
        <w:rPr>
          <w:rFonts w:ascii="Helvetica" w:hAnsi="Helvetica" w:cs="Helvetica"/>
          <w:szCs w:val="20"/>
        </w:rPr>
        <w:t>omandamistehing</w:t>
      </w:r>
      <w:r w:rsidR="005C198F" w:rsidRPr="00070DDE">
        <w:rPr>
          <w:rFonts w:ascii="Helvetica" w:hAnsi="Helvetica" w:cs="Helvetica"/>
          <w:szCs w:val="20"/>
        </w:rPr>
        <w:t xml:space="preserve"> koondumine KonkS § 19 lg 1 p 2 tähenduses ehk ettevõtja poolt valitseva mõju omandamise teise ettevõtja üle ning käesoleva koondumise osalisteks on </w:t>
      </w:r>
      <w:r w:rsidR="005C198F">
        <w:rPr>
          <w:rFonts w:ascii="Helvetica" w:hAnsi="Helvetica" w:cs="Helvetica"/>
          <w:szCs w:val="20"/>
        </w:rPr>
        <w:t>DenCap</w:t>
      </w:r>
      <w:r w:rsidR="005C198F" w:rsidRPr="00070DDE">
        <w:rPr>
          <w:rFonts w:ascii="Helvetica" w:hAnsi="Helvetica" w:cs="Helvetica"/>
          <w:szCs w:val="20"/>
        </w:rPr>
        <w:t xml:space="preserve"> (valitsevat mõju omandav ettevõtja) ning </w:t>
      </w:r>
      <w:r w:rsidR="005C198F">
        <w:rPr>
          <w:rFonts w:ascii="Helvetica" w:hAnsi="Helvetica" w:cs="Helvetica"/>
          <w:szCs w:val="20"/>
        </w:rPr>
        <w:t>Qvalitas</w:t>
      </w:r>
      <w:r w:rsidR="005C198F" w:rsidRPr="00070DDE">
        <w:rPr>
          <w:rFonts w:ascii="Helvetica" w:hAnsi="Helvetica" w:cs="Helvetica"/>
          <w:szCs w:val="20"/>
        </w:rPr>
        <w:t xml:space="preserve"> (ettevõtja, kelle üle omandatakse valitsev mõju).</w:t>
      </w:r>
    </w:p>
    <w:p w:rsidR="005C198F" w:rsidRDefault="005C198F" w:rsidP="005C198F">
      <w:pPr>
        <w:autoSpaceDE w:val="0"/>
        <w:autoSpaceDN w:val="0"/>
        <w:adjustRightInd w:val="0"/>
        <w:spacing w:before="120" w:after="120" w:line="276" w:lineRule="auto"/>
        <w:jc w:val="both"/>
        <w:rPr>
          <w:rFonts w:ascii="Helvetica" w:hAnsi="Helvetica" w:cs="Helvetica"/>
          <w:szCs w:val="20"/>
        </w:rPr>
      </w:pPr>
      <w:r>
        <w:rPr>
          <w:rFonts w:ascii="Helvetica" w:hAnsi="Helvetica" w:cs="Helvetica"/>
          <w:szCs w:val="20"/>
        </w:rPr>
        <w:t xml:space="preserve">Tehingu lõpuleviimisel järgselt jäävad Qvalitase väikeaktsionärideks </w:t>
      </w:r>
      <w:proofErr w:type="spellStart"/>
      <w:r>
        <w:rPr>
          <w:rFonts w:ascii="Helvetica" w:hAnsi="Helvetica" w:cs="Helvetica"/>
          <w:szCs w:val="20"/>
        </w:rPr>
        <w:t>Antve</w:t>
      </w:r>
      <w:proofErr w:type="spellEnd"/>
      <w:r>
        <w:rPr>
          <w:rFonts w:ascii="Helvetica" w:hAnsi="Helvetica" w:cs="Helvetica"/>
          <w:szCs w:val="20"/>
        </w:rPr>
        <w:t xml:space="preserve"> </w:t>
      </w:r>
      <w:proofErr w:type="spellStart"/>
      <w:r>
        <w:rPr>
          <w:rFonts w:ascii="Helvetica" w:hAnsi="Helvetica" w:cs="Helvetica"/>
          <w:szCs w:val="20"/>
        </w:rPr>
        <w:t>Group</w:t>
      </w:r>
      <w:proofErr w:type="spellEnd"/>
      <w:r>
        <w:rPr>
          <w:rFonts w:ascii="Helvetica" w:hAnsi="Helvetica" w:cs="Helvetica"/>
          <w:szCs w:val="20"/>
        </w:rPr>
        <w:t xml:space="preserve"> OÜ (24%-</w:t>
      </w:r>
      <w:proofErr w:type="spellStart"/>
      <w:r>
        <w:rPr>
          <w:rFonts w:ascii="Helvetica" w:hAnsi="Helvetica" w:cs="Helvetica"/>
          <w:szCs w:val="20"/>
        </w:rPr>
        <w:t>lise</w:t>
      </w:r>
      <w:proofErr w:type="spellEnd"/>
      <w:r>
        <w:rPr>
          <w:rFonts w:ascii="Helvetica" w:hAnsi="Helvetica" w:cs="Helvetica"/>
          <w:szCs w:val="20"/>
        </w:rPr>
        <w:t xml:space="preserve"> osalusega) ning OÜ </w:t>
      </w:r>
      <w:proofErr w:type="spellStart"/>
      <w:r>
        <w:rPr>
          <w:rFonts w:ascii="Helvetica" w:hAnsi="Helvetica" w:cs="Helvetica"/>
          <w:szCs w:val="20"/>
        </w:rPr>
        <w:t>Tarasu</w:t>
      </w:r>
      <w:proofErr w:type="spellEnd"/>
      <w:r>
        <w:rPr>
          <w:rFonts w:ascii="Helvetica" w:hAnsi="Helvetica" w:cs="Helvetica"/>
          <w:szCs w:val="20"/>
        </w:rPr>
        <w:t xml:space="preserve"> (4%-</w:t>
      </w:r>
      <w:proofErr w:type="spellStart"/>
      <w:r>
        <w:rPr>
          <w:rFonts w:ascii="Helvetica" w:hAnsi="Helvetica" w:cs="Helvetica"/>
          <w:szCs w:val="20"/>
        </w:rPr>
        <w:t>lise</w:t>
      </w:r>
      <w:proofErr w:type="spellEnd"/>
      <w:r>
        <w:rPr>
          <w:rFonts w:ascii="Helvetica" w:hAnsi="Helvetica" w:cs="Helvetica"/>
          <w:szCs w:val="20"/>
        </w:rPr>
        <w:t xml:space="preserve"> osalusega). </w:t>
      </w:r>
    </w:p>
    <w:p w:rsidR="005C198F" w:rsidRPr="00EA1465" w:rsidRDefault="005C198F" w:rsidP="005C198F">
      <w:pPr>
        <w:autoSpaceDE w:val="0"/>
        <w:autoSpaceDN w:val="0"/>
        <w:adjustRightInd w:val="0"/>
        <w:spacing w:before="240" w:after="120" w:line="276" w:lineRule="auto"/>
        <w:jc w:val="both"/>
        <w:rPr>
          <w:rFonts w:ascii="Helvetica" w:hAnsi="Helvetica" w:cs="Helvetica"/>
          <w:b/>
          <w:szCs w:val="20"/>
        </w:rPr>
      </w:pPr>
      <w:r w:rsidRPr="00EA1465">
        <w:rPr>
          <w:rFonts w:ascii="Helvetica" w:hAnsi="Helvetica" w:cs="Helvetica"/>
          <w:b/>
          <w:szCs w:val="20"/>
        </w:rPr>
        <w:t>Koondumise osaliste tegevusalad</w:t>
      </w:r>
    </w:p>
    <w:p w:rsidR="005C198F" w:rsidRPr="00EA1465" w:rsidRDefault="005C198F" w:rsidP="005C198F">
      <w:pPr>
        <w:autoSpaceDE w:val="0"/>
        <w:autoSpaceDN w:val="0"/>
        <w:adjustRightInd w:val="0"/>
        <w:spacing w:before="240" w:after="120" w:line="276" w:lineRule="auto"/>
        <w:jc w:val="both"/>
        <w:rPr>
          <w:rFonts w:ascii="Helvetica" w:hAnsi="Helvetica" w:cs="Helvetica"/>
          <w:szCs w:val="20"/>
          <w:u w:val="single"/>
        </w:rPr>
      </w:pPr>
      <w:r>
        <w:rPr>
          <w:rFonts w:ascii="Helvetica" w:hAnsi="Helvetica" w:cs="Helvetica"/>
          <w:szCs w:val="20"/>
          <w:u w:val="single"/>
        </w:rPr>
        <w:t>DenCap’i kontserni</w:t>
      </w:r>
      <w:r w:rsidRPr="00EA1465">
        <w:rPr>
          <w:rFonts w:ascii="Helvetica" w:hAnsi="Helvetica" w:cs="Helvetica"/>
          <w:szCs w:val="20"/>
          <w:u w:val="single"/>
        </w:rPr>
        <w:t xml:space="preserve"> äritegevus</w:t>
      </w:r>
    </w:p>
    <w:p w:rsidR="005C198F" w:rsidRDefault="005C198F" w:rsidP="00B8487F">
      <w:pPr>
        <w:spacing w:before="120" w:after="120" w:line="276" w:lineRule="auto"/>
        <w:jc w:val="both"/>
        <w:rPr>
          <w:rFonts w:ascii="Helvetica" w:hAnsi="Helvetica" w:cs="Helvetica"/>
          <w:szCs w:val="20"/>
        </w:rPr>
      </w:pPr>
      <w:r w:rsidRPr="00ED0209">
        <w:rPr>
          <w:rFonts w:ascii="Helvetica" w:hAnsi="Helvetica" w:cs="Helvetica"/>
          <w:szCs w:val="20"/>
        </w:rPr>
        <w:t xml:space="preserve">DenCap on valdusettevõtja, millel endal äritegevus puudub, kuid mille valitseva mõju alla kuuluvad ettevõtjad tegelevad </w:t>
      </w:r>
      <w:r>
        <w:rPr>
          <w:rFonts w:ascii="Helvetica" w:hAnsi="Helvetica" w:cs="Helvetica"/>
          <w:szCs w:val="20"/>
        </w:rPr>
        <w:t xml:space="preserve">peamiselt hambaravi </w:t>
      </w:r>
      <w:r w:rsidRPr="00ED0209">
        <w:rPr>
          <w:rFonts w:ascii="Helvetica" w:hAnsi="Helvetica" w:cs="Helvetica"/>
          <w:szCs w:val="20"/>
        </w:rPr>
        <w:t>ja unemeditsiini valdkonna teenuste pakkumise, hambaproteeside valmistamise ning hambameditsiiniseadmete turustamisega Eestis</w:t>
      </w:r>
      <w:r>
        <w:rPr>
          <w:rFonts w:ascii="Helvetica" w:hAnsi="Helvetica" w:cs="Helvetica"/>
          <w:szCs w:val="20"/>
        </w:rPr>
        <w:t>.</w:t>
      </w:r>
      <w:r w:rsidRPr="00ED0209">
        <w:rPr>
          <w:rFonts w:ascii="Helvetica" w:hAnsi="Helvetica" w:cs="Helvetica"/>
          <w:szCs w:val="20"/>
        </w:rPr>
        <w:t xml:space="preserve"> </w:t>
      </w:r>
      <w:r w:rsidR="004651DD">
        <w:rPr>
          <w:rFonts w:ascii="Helvetica" w:hAnsi="Helvetica" w:cs="Helvetica"/>
          <w:szCs w:val="20"/>
        </w:rPr>
        <w:t>DenCap’i üle teostavad</w:t>
      </w:r>
      <w:r>
        <w:rPr>
          <w:rFonts w:ascii="Helvetica" w:hAnsi="Helvetica" w:cs="Helvetica"/>
          <w:szCs w:val="20"/>
        </w:rPr>
        <w:t xml:space="preserve"> ainuvalitsevat mõju</w:t>
      </w:r>
      <w:r w:rsidR="00B8487F">
        <w:rPr>
          <w:rFonts w:ascii="Helvetica" w:hAnsi="Helvetica" w:cs="Helvetica"/>
          <w:szCs w:val="20"/>
        </w:rPr>
        <w:t xml:space="preserve"> </w:t>
      </w:r>
      <w:r w:rsidR="00B8487F" w:rsidRPr="00017A2B">
        <w:rPr>
          <w:rFonts w:ascii="Helvetica" w:hAnsi="Helvetica" w:cs="Helvetica"/>
          <w:szCs w:val="20"/>
        </w:rPr>
        <w:t xml:space="preserve">paralleelfondid </w:t>
      </w:r>
      <w:proofErr w:type="spellStart"/>
      <w:r w:rsidR="00B8487F" w:rsidRPr="00017A2B">
        <w:rPr>
          <w:rFonts w:ascii="Helvetica" w:hAnsi="Helvetica" w:cs="Helvetica"/>
          <w:szCs w:val="20"/>
        </w:rPr>
        <w:t>BaltCap</w:t>
      </w:r>
      <w:proofErr w:type="spellEnd"/>
      <w:r w:rsidR="00B8487F" w:rsidRPr="00017A2B">
        <w:rPr>
          <w:rFonts w:ascii="Helvetica" w:hAnsi="Helvetica" w:cs="Helvetica"/>
          <w:szCs w:val="20"/>
        </w:rPr>
        <w:t xml:space="preserve"> </w:t>
      </w:r>
      <w:proofErr w:type="spellStart"/>
      <w:r w:rsidR="00B8487F" w:rsidRPr="00017A2B">
        <w:rPr>
          <w:rFonts w:ascii="Helvetica" w:hAnsi="Helvetica" w:cs="Helvetica"/>
          <w:szCs w:val="20"/>
        </w:rPr>
        <w:t>Private</w:t>
      </w:r>
      <w:proofErr w:type="spellEnd"/>
      <w:r w:rsidR="00B8487F" w:rsidRPr="00017A2B">
        <w:rPr>
          <w:rFonts w:ascii="Helvetica" w:hAnsi="Helvetica" w:cs="Helvetica"/>
          <w:szCs w:val="20"/>
        </w:rPr>
        <w:t xml:space="preserve"> </w:t>
      </w:r>
      <w:proofErr w:type="spellStart"/>
      <w:r w:rsidR="00B8487F" w:rsidRPr="00017A2B">
        <w:rPr>
          <w:rFonts w:ascii="Helvetica" w:hAnsi="Helvetica" w:cs="Helvetica"/>
          <w:szCs w:val="20"/>
        </w:rPr>
        <w:t>Equity</w:t>
      </w:r>
      <w:proofErr w:type="spellEnd"/>
      <w:r w:rsidR="00B8487F" w:rsidRPr="00017A2B">
        <w:rPr>
          <w:rFonts w:ascii="Helvetica" w:hAnsi="Helvetica" w:cs="Helvetica"/>
          <w:szCs w:val="20"/>
        </w:rPr>
        <w:t xml:space="preserve"> </w:t>
      </w:r>
      <w:proofErr w:type="spellStart"/>
      <w:r w:rsidR="00B8487F" w:rsidRPr="00017A2B">
        <w:rPr>
          <w:rFonts w:ascii="Helvetica" w:hAnsi="Helvetica" w:cs="Helvetica"/>
          <w:szCs w:val="20"/>
        </w:rPr>
        <w:t>Fund</w:t>
      </w:r>
      <w:proofErr w:type="spellEnd"/>
      <w:r w:rsidR="00B8487F" w:rsidRPr="00017A2B">
        <w:rPr>
          <w:rFonts w:ascii="Helvetica" w:hAnsi="Helvetica" w:cs="Helvetica"/>
          <w:szCs w:val="20"/>
        </w:rPr>
        <w:t xml:space="preserve"> II L.P.</w:t>
      </w:r>
      <w:r w:rsidR="00B8487F" w:rsidRPr="00017A2B">
        <w:rPr>
          <w:rFonts w:ascii="Helvetica" w:eastAsia="Times New Roman" w:hAnsi="Helvetica" w:cs="Helvetica"/>
          <w:iCs/>
          <w:szCs w:val="20"/>
        </w:rPr>
        <w:t xml:space="preserve"> </w:t>
      </w:r>
      <w:r w:rsidR="00B8487F" w:rsidRPr="00017A2B">
        <w:rPr>
          <w:rFonts w:ascii="Helvetica" w:hAnsi="Helvetica" w:cs="Helvetica"/>
          <w:szCs w:val="20"/>
        </w:rPr>
        <w:t xml:space="preserve">ja </w:t>
      </w:r>
      <w:proofErr w:type="spellStart"/>
      <w:r w:rsidR="00B8487F" w:rsidRPr="00017A2B">
        <w:rPr>
          <w:rFonts w:ascii="Helvetica" w:hAnsi="Helvetica" w:cs="Helvetica"/>
          <w:szCs w:val="20"/>
        </w:rPr>
        <w:t>BaltCap</w:t>
      </w:r>
      <w:proofErr w:type="spellEnd"/>
      <w:r w:rsidR="00B8487F" w:rsidRPr="00017A2B">
        <w:rPr>
          <w:rFonts w:ascii="Helvetica" w:hAnsi="Helvetica" w:cs="Helvetica"/>
          <w:szCs w:val="20"/>
        </w:rPr>
        <w:t xml:space="preserve"> </w:t>
      </w:r>
      <w:proofErr w:type="spellStart"/>
      <w:r w:rsidR="00B8487F" w:rsidRPr="00017A2B">
        <w:rPr>
          <w:rFonts w:ascii="Helvetica" w:hAnsi="Helvetica" w:cs="Helvetica"/>
          <w:szCs w:val="20"/>
        </w:rPr>
        <w:t>Private</w:t>
      </w:r>
      <w:proofErr w:type="spellEnd"/>
      <w:r w:rsidR="00B8487F" w:rsidRPr="00017A2B">
        <w:rPr>
          <w:rFonts w:ascii="Helvetica" w:hAnsi="Helvetica" w:cs="Helvetica"/>
          <w:szCs w:val="20"/>
        </w:rPr>
        <w:t xml:space="preserve"> </w:t>
      </w:r>
      <w:proofErr w:type="spellStart"/>
      <w:r w:rsidR="00B8487F" w:rsidRPr="00017A2B">
        <w:rPr>
          <w:rFonts w:ascii="Helvetica" w:hAnsi="Helvetica" w:cs="Helvetica"/>
          <w:szCs w:val="20"/>
        </w:rPr>
        <w:t>Equity</w:t>
      </w:r>
      <w:proofErr w:type="spellEnd"/>
      <w:r w:rsidR="00B8487F" w:rsidRPr="00017A2B">
        <w:rPr>
          <w:rFonts w:ascii="Helvetica" w:hAnsi="Helvetica" w:cs="Helvetica"/>
          <w:szCs w:val="20"/>
        </w:rPr>
        <w:t xml:space="preserve"> </w:t>
      </w:r>
      <w:proofErr w:type="spellStart"/>
      <w:r w:rsidR="00B8487F" w:rsidRPr="00017A2B">
        <w:rPr>
          <w:rFonts w:ascii="Helvetica" w:hAnsi="Helvetica" w:cs="Helvetica"/>
          <w:szCs w:val="20"/>
        </w:rPr>
        <w:t>Fund</w:t>
      </w:r>
      <w:proofErr w:type="spellEnd"/>
      <w:r w:rsidR="00B8487F" w:rsidRPr="00017A2B">
        <w:rPr>
          <w:rFonts w:ascii="Helvetica" w:hAnsi="Helvetica" w:cs="Helvetica"/>
          <w:szCs w:val="20"/>
        </w:rPr>
        <w:t xml:space="preserve"> II SCSp </w:t>
      </w:r>
      <w:r w:rsidR="00B8487F" w:rsidRPr="00017A2B">
        <w:rPr>
          <w:rFonts w:ascii="Helvetica" w:eastAsia="Times New Roman" w:hAnsi="Helvetica" w:cs="Helvetica"/>
          <w:iCs/>
          <w:szCs w:val="20"/>
        </w:rPr>
        <w:t xml:space="preserve">(edaspidi </w:t>
      </w:r>
      <w:r w:rsidR="00B8487F" w:rsidRPr="00017A2B">
        <w:rPr>
          <w:rFonts w:ascii="Helvetica" w:hAnsi="Helvetica" w:cs="Helvetica"/>
          <w:szCs w:val="20"/>
        </w:rPr>
        <w:t xml:space="preserve">ühiselt </w:t>
      </w:r>
      <w:r w:rsidR="00B8487F" w:rsidRPr="00017A2B">
        <w:rPr>
          <w:rFonts w:ascii="Helvetica" w:hAnsi="Helvetica" w:cs="Helvetica"/>
          <w:b/>
          <w:szCs w:val="20"/>
        </w:rPr>
        <w:t>BPEF II</w:t>
      </w:r>
      <w:r w:rsidR="00B8487F" w:rsidRPr="00017A2B">
        <w:rPr>
          <w:rFonts w:ascii="Helvetica" w:hAnsi="Helvetica" w:cs="Helvetica"/>
          <w:szCs w:val="20"/>
        </w:rPr>
        <w:t>).</w:t>
      </w:r>
      <w:r>
        <w:rPr>
          <w:rFonts w:ascii="Helvetica" w:hAnsi="Helvetica" w:cs="Helvetica"/>
          <w:szCs w:val="20"/>
        </w:rPr>
        <w:t xml:space="preserve"> BPEF</w:t>
      </w:r>
      <w:r w:rsidR="00B8487F">
        <w:rPr>
          <w:rFonts w:ascii="Helvetica" w:hAnsi="Helvetica" w:cs="Helvetica"/>
          <w:szCs w:val="20"/>
        </w:rPr>
        <w:t xml:space="preserve"> II</w:t>
      </w:r>
      <w:r>
        <w:rPr>
          <w:rFonts w:ascii="Helvetica" w:hAnsi="Helvetica" w:cs="Helvetica"/>
          <w:szCs w:val="20"/>
        </w:rPr>
        <w:t xml:space="preserve"> on erakapitalil põhinev investeerimisfond, mis on registreeritud usaldusühinguna Ühendkuningriigis ja Luksemburgis. BPEF II teeb kapitaliinvesteeringuid Baltikumi regioonis asuvatesse innovatiivsetesse ettevõtjatesse. </w:t>
      </w:r>
      <w:r w:rsidRPr="00ED0209">
        <w:rPr>
          <w:rFonts w:ascii="Helvetica" w:hAnsi="Helvetica" w:cs="Helvetica"/>
          <w:szCs w:val="20"/>
        </w:rPr>
        <w:t xml:space="preserve">Lisaks DenCap’ile kuuluvad BPEF II valitseva mõju alla ettevõtjad, </w:t>
      </w:r>
      <w:r>
        <w:rPr>
          <w:rFonts w:ascii="Helvetica" w:hAnsi="Helvetica" w:cs="Helvetica"/>
          <w:szCs w:val="20"/>
        </w:rPr>
        <w:t>mis</w:t>
      </w:r>
      <w:r w:rsidRPr="00ED0209">
        <w:rPr>
          <w:rFonts w:ascii="Helvetica" w:hAnsi="Helvetica" w:cs="Helvetica"/>
          <w:szCs w:val="20"/>
        </w:rPr>
        <w:t xml:space="preserve"> tegutsevad jäätmekäitlus-, kinnisvara-, automatiseeritud finantsjuhtimise protsessidega seotud teenuste ning pumpade ja pumbasüsteemide müügi ja rendiga</w:t>
      </w:r>
      <w:r>
        <w:rPr>
          <w:rFonts w:ascii="Helvetica" w:hAnsi="Helvetica" w:cs="Helvetica"/>
          <w:szCs w:val="20"/>
        </w:rPr>
        <w:t>.</w:t>
      </w:r>
    </w:p>
    <w:p w:rsidR="005C198F" w:rsidRPr="00EA1465" w:rsidRDefault="005C198F" w:rsidP="005C198F">
      <w:pPr>
        <w:autoSpaceDE w:val="0"/>
        <w:autoSpaceDN w:val="0"/>
        <w:adjustRightInd w:val="0"/>
        <w:spacing w:before="240" w:after="120" w:line="276" w:lineRule="auto"/>
        <w:jc w:val="both"/>
        <w:rPr>
          <w:rFonts w:ascii="Helvetica" w:hAnsi="Helvetica" w:cs="Helvetica"/>
          <w:szCs w:val="20"/>
          <w:u w:val="single"/>
        </w:rPr>
      </w:pPr>
      <w:r>
        <w:rPr>
          <w:rFonts w:ascii="Helvetica" w:hAnsi="Helvetica" w:cs="Helvetica"/>
          <w:szCs w:val="20"/>
          <w:u w:val="single"/>
        </w:rPr>
        <w:t>Qvalitase kontserni</w:t>
      </w:r>
      <w:r w:rsidRPr="00EA1465">
        <w:rPr>
          <w:rFonts w:ascii="Helvetica" w:hAnsi="Helvetica" w:cs="Helvetica"/>
          <w:szCs w:val="20"/>
          <w:u w:val="single"/>
        </w:rPr>
        <w:t xml:space="preserve"> äritegevus</w:t>
      </w:r>
    </w:p>
    <w:p w:rsidR="005C198F" w:rsidRDefault="000C42AC" w:rsidP="005C198F">
      <w:pPr>
        <w:autoSpaceDE w:val="0"/>
        <w:autoSpaceDN w:val="0"/>
        <w:adjustRightInd w:val="0"/>
        <w:spacing w:before="240" w:after="120" w:line="276" w:lineRule="auto"/>
        <w:jc w:val="both"/>
        <w:rPr>
          <w:rFonts w:ascii="Helvetica" w:hAnsi="Helvetica" w:cs="Helvetica"/>
          <w:szCs w:val="20"/>
        </w:rPr>
      </w:pPr>
      <w:r w:rsidRPr="000C42AC">
        <w:rPr>
          <w:rFonts w:ascii="Helvetica" w:hAnsi="Helvetica" w:cs="Helvetica"/>
          <w:szCs w:val="20"/>
        </w:rPr>
        <w:t>Qvalitase ning selle t</w:t>
      </w:r>
      <w:r w:rsidRPr="000C42AC">
        <w:rPr>
          <w:rFonts w:ascii="Helvetica" w:hAnsi="Helvetica" w:cs="Helvetica" w:hint="cs"/>
          <w:szCs w:val="20"/>
        </w:rPr>
        <w:t>ü</w:t>
      </w:r>
      <w:r w:rsidRPr="000C42AC">
        <w:rPr>
          <w:rFonts w:ascii="Helvetica" w:hAnsi="Helvetica" w:cs="Helvetica"/>
          <w:szCs w:val="20"/>
        </w:rPr>
        <w:t>tarettev</w:t>
      </w:r>
      <w:r w:rsidRPr="000C42AC">
        <w:rPr>
          <w:rFonts w:ascii="Helvetica" w:hAnsi="Helvetica" w:cs="Helvetica" w:hint="cs"/>
          <w:szCs w:val="20"/>
        </w:rPr>
        <w:t>õ</w:t>
      </w:r>
      <w:r w:rsidRPr="000C42AC">
        <w:rPr>
          <w:rFonts w:ascii="Helvetica" w:hAnsi="Helvetica" w:cs="Helvetica"/>
          <w:szCs w:val="20"/>
        </w:rPr>
        <w:t>tjate p</w:t>
      </w:r>
      <w:r w:rsidRPr="000C42AC">
        <w:rPr>
          <w:rFonts w:ascii="Helvetica" w:hAnsi="Helvetica" w:cs="Helvetica" w:hint="cs"/>
          <w:szCs w:val="20"/>
        </w:rPr>
        <w:t>õ</w:t>
      </w:r>
      <w:r w:rsidRPr="000C42AC">
        <w:rPr>
          <w:rFonts w:ascii="Helvetica" w:hAnsi="Helvetica" w:cs="Helvetica"/>
          <w:szCs w:val="20"/>
        </w:rPr>
        <w:t>hitegevusalaks on t</w:t>
      </w:r>
      <w:r w:rsidRPr="000C42AC">
        <w:rPr>
          <w:rFonts w:ascii="Helvetica" w:hAnsi="Helvetica" w:cs="Helvetica" w:hint="cs"/>
          <w:szCs w:val="20"/>
        </w:rPr>
        <w:t>öö</w:t>
      </w:r>
      <w:r w:rsidRPr="000C42AC">
        <w:rPr>
          <w:rFonts w:ascii="Helvetica" w:hAnsi="Helvetica" w:cs="Helvetica"/>
          <w:szCs w:val="20"/>
        </w:rPr>
        <w:t xml:space="preserve">tervishoiuteenuste osutamine, lisaks tegeleb kontsern </w:t>
      </w:r>
      <w:proofErr w:type="spellStart"/>
      <w:r w:rsidRPr="000C42AC">
        <w:rPr>
          <w:rFonts w:ascii="Helvetica" w:hAnsi="Helvetica" w:cs="Helvetica" w:hint="cs"/>
          <w:szCs w:val="20"/>
        </w:rPr>
        <w:t>ü</w:t>
      </w:r>
      <w:r w:rsidRPr="000C42AC">
        <w:rPr>
          <w:rFonts w:ascii="Helvetica" w:hAnsi="Helvetica" w:cs="Helvetica"/>
          <w:szCs w:val="20"/>
        </w:rPr>
        <w:t>ld</w:t>
      </w:r>
      <w:proofErr w:type="spellEnd"/>
      <w:r w:rsidRPr="000C42AC">
        <w:rPr>
          <w:rFonts w:ascii="Helvetica" w:hAnsi="Helvetica" w:cs="Helvetica"/>
          <w:szCs w:val="20"/>
        </w:rPr>
        <w:t>- ja eriarstiabi teenuste pakkumise ning lennundusega tegelevate isikute lennundusmeditsiinilise arstliku ekspertiisi l</w:t>
      </w:r>
      <w:r w:rsidRPr="000C42AC">
        <w:rPr>
          <w:rFonts w:ascii="Helvetica" w:hAnsi="Helvetica" w:cs="Helvetica" w:hint="cs"/>
          <w:szCs w:val="20"/>
        </w:rPr>
        <w:t>ä</w:t>
      </w:r>
      <w:r w:rsidRPr="000C42AC">
        <w:rPr>
          <w:rFonts w:ascii="Helvetica" w:hAnsi="Helvetica" w:cs="Helvetica"/>
          <w:szCs w:val="20"/>
        </w:rPr>
        <w:t>biviimisega</w:t>
      </w:r>
      <w:r w:rsidR="005C198F">
        <w:rPr>
          <w:rFonts w:ascii="Helvetica" w:hAnsi="Helvetica" w:cs="Helvetica"/>
          <w:szCs w:val="20"/>
        </w:rPr>
        <w:t>.</w:t>
      </w:r>
    </w:p>
    <w:p w:rsidR="005C198F" w:rsidRPr="00EA1465" w:rsidRDefault="005C198F" w:rsidP="005C198F">
      <w:pPr>
        <w:autoSpaceDE w:val="0"/>
        <w:autoSpaceDN w:val="0"/>
        <w:adjustRightInd w:val="0"/>
        <w:spacing w:before="240" w:after="120" w:line="276" w:lineRule="auto"/>
        <w:jc w:val="both"/>
        <w:rPr>
          <w:rFonts w:ascii="Helvetica" w:hAnsi="Helvetica" w:cs="Helvetica"/>
          <w:b/>
          <w:szCs w:val="20"/>
        </w:rPr>
      </w:pPr>
      <w:r w:rsidRPr="00EA1465">
        <w:rPr>
          <w:rFonts w:ascii="Helvetica" w:hAnsi="Helvetica" w:cs="Helvetica"/>
          <w:b/>
          <w:szCs w:val="20"/>
        </w:rPr>
        <w:t>M</w:t>
      </w:r>
      <w:r>
        <w:rPr>
          <w:rFonts w:ascii="Helvetica" w:hAnsi="Helvetica" w:cs="Helvetica"/>
          <w:b/>
          <w:szCs w:val="20"/>
        </w:rPr>
        <w:t>õjutatud kaubaturgude puudumine</w:t>
      </w:r>
    </w:p>
    <w:p w:rsidR="005C198F" w:rsidRDefault="005C198F" w:rsidP="005C198F">
      <w:pPr>
        <w:autoSpaceDE w:val="0"/>
        <w:autoSpaceDN w:val="0"/>
        <w:adjustRightInd w:val="0"/>
        <w:spacing w:before="120" w:after="120" w:line="276" w:lineRule="auto"/>
        <w:jc w:val="both"/>
        <w:rPr>
          <w:rFonts w:ascii="Helvetica" w:hAnsi="Helvetica" w:cs="Helvetica"/>
          <w:szCs w:val="20"/>
        </w:rPr>
      </w:pPr>
      <w:r>
        <w:rPr>
          <w:rFonts w:ascii="Helvetica" w:hAnsi="Helvetica" w:cs="Helvetica"/>
          <w:szCs w:val="20"/>
        </w:rPr>
        <w:t xml:space="preserve">Nii Qvalitase kontsern kui ka DenCap’i kaudse valitseva mõju alla kuuluv OÜ Ortodontiakeskus tegelevad lisaks oma põhitegevusalale (Qvalitase kontserni puhul töötervishoiuteenused ning OÜ Ortodontiakeskus puhul hambaravi ja unemeditsiin) vähesel määral ka muude eriarstide ja füsioterapeudi teenuste osutamisega, mis koondumise teate esitaja hinnangul moodustavad kõik eraldi kaubaturud. Kattuvateks eriarstiteenusteks on pulmonoloogi, neuroloogi, kõrva-nina-kurguarsti ja füsioterapeudi teenused, kuid  kuna Qvalitase ja DenCap’i kontserni ühised turuosad jäävad kõigil nimetatud teenustega seotud kaubaturgudel sõltumata nende geograafilisest käibimisalast alla 2%, puuduvad käesolevast koondumisest </w:t>
      </w:r>
      <w:r w:rsidR="0079726C">
        <w:rPr>
          <w:rFonts w:ascii="Helvetica" w:hAnsi="Helvetica" w:cs="Helvetica"/>
          <w:szCs w:val="20"/>
        </w:rPr>
        <w:t>horisontaalselt mõjutatud</w:t>
      </w:r>
      <w:r>
        <w:rPr>
          <w:rFonts w:ascii="Helvetica" w:hAnsi="Helvetica" w:cs="Helvetica"/>
          <w:szCs w:val="20"/>
        </w:rPr>
        <w:t xml:space="preserve"> kaubaturud.</w:t>
      </w:r>
    </w:p>
    <w:p w:rsidR="00726E7E" w:rsidRDefault="00726E7E" w:rsidP="00726E7E">
      <w:pPr>
        <w:spacing w:after="120" w:line="276" w:lineRule="auto"/>
        <w:jc w:val="both"/>
        <w:rPr>
          <w:rFonts w:ascii="Helvetica" w:hAnsi="Helvetica" w:cs="Helvetica"/>
        </w:rPr>
      </w:pPr>
      <w:r>
        <w:rPr>
          <w:rFonts w:ascii="Helvetica" w:hAnsi="Helvetica" w:cs="Helvetica"/>
        </w:rPr>
        <w:t>Vertikaalseid seoseid koondumise osaliste tegevusalade vahel ei ole, mistõttu puuduvad ka käesolevast koondumisest vertikaalselt mõjutatud kaubaturud.</w:t>
      </w:r>
    </w:p>
    <w:p w:rsidR="005C198F" w:rsidRPr="00EA1465" w:rsidRDefault="005C198F" w:rsidP="005C198F">
      <w:pPr>
        <w:keepNext/>
        <w:spacing w:before="240" w:after="120" w:line="276" w:lineRule="auto"/>
        <w:jc w:val="both"/>
        <w:rPr>
          <w:rFonts w:ascii="Helvetica" w:hAnsi="Helvetica" w:cs="Helvetica"/>
          <w:b/>
          <w:szCs w:val="20"/>
        </w:rPr>
      </w:pPr>
      <w:r w:rsidRPr="00EA1465">
        <w:rPr>
          <w:rFonts w:ascii="Helvetica" w:hAnsi="Helvetica" w:cs="Helvetica"/>
          <w:b/>
          <w:szCs w:val="20"/>
        </w:rPr>
        <w:lastRenderedPageBreak/>
        <w:t>Koondumise strateeg</w:t>
      </w:r>
      <w:r>
        <w:rPr>
          <w:rFonts w:ascii="Helvetica" w:hAnsi="Helvetica" w:cs="Helvetica"/>
          <w:b/>
          <w:szCs w:val="20"/>
        </w:rPr>
        <w:t>i</w:t>
      </w:r>
      <w:r w:rsidRPr="00EA1465">
        <w:rPr>
          <w:rFonts w:ascii="Helvetica" w:hAnsi="Helvetica" w:cs="Helvetica"/>
          <w:b/>
          <w:szCs w:val="20"/>
        </w:rPr>
        <w:t>lised ja majanduslikud põhjused</w:t>
      </w:r>
    </w:p>
    <w:p w:rsidR="005C198F" w:rsidRPr="0009254F" w:rsidRDefault="005C198F" w:rsidP="005C198F">
      <w:pPr>
        <w:keepNext/>
        <w:spacing w:after="120" w:line="276" w:lineRule="auto"/>
        <w:jc w:val="both"/>
        <w:rPr>
          <w:rFonts w:ascii="Helvetica" w:hAnsi="Helvetica" w:cs="Helvetica"/>
          <w:szCs w:val="20"/>
        </w:rPr>
      </w:pPr>
      <w:r w:rsidRPr="0009254F">
        <w:rPr>
          <w:rFonts w:ascii="Helvetica" w:hAnsi="Helvetica" w:cs="Helvetica"/>
          <w:szCs w:val="20"/>
        </w:rPr>
        <w:t xml:space="preserve">BPEF II keskendub väikese ja keskmise suurusega </w:t>
      </w:r>
      <w:proofErr w:type="spellStart"/>
      <w:r w:rsidRPr="0009254F">
        <w:rPr>
          <w:rFonts w:ascii="Helvetica" w:hAnsi="Helvetica" w:cs="Helvetica"/>
          <w:szCs w:val="20"/>
        </w:rPr>
        <w:t>innovatiivsete</w:t>
      </w:r>
      <w:proofErr w:type="spellEnd"/>
      <w:r w:rsidRPr="0009254F">
        <w:rPr>
          <w:rFonts w:ascii="Helvetica" w:hAnsi="Helvetica" w:cs="Helvetica"/>
          <w:szCs w:val="20"/>
        </w:rPr>
        <w:t xml:space="preserve"> Baltikumi ettevõtjate väljaostmisele ja/või kasvule suunatud tehingutele. </w:t>
      </w:r>
      <w:r>
        <w:rPr>
          <w:rFonts w:ascii="Helvetica" w:hAnsi="Helvetica" w:cs="Helvetica"/>
          <w:szCs w:val="20"/>
        </w:rPr>
        <w:t xml:space="preserve">Qvalitase </w:t>
      </w:r>
      <w:r w:rsidRPr="0009254F">
        <w:rPr>
          <w:rFonts w:ascii="Helvetica" w:hAnsi="Helvetica" w:cs="Helvetica"/>
          <w:szCs w:val="20"/>
        </w:rPr>
        <w:t xml:space="preserve">kontsernil on tugev majanduslik baas, kogenud juhtkond, väljakujunenud kliendibaas ning realistlikud positiivsed majandusprognoosid, mis tagavad head väljavaated jätkuvaks kasumlikuks äritegevuseks. Kuna BPEF II eesmärk on saavutada pikaajaline kapitali väärtuse kasv, järgides hajutatud ja juhitud riskidega investeeringuportfelli põhimõtteid, usub BPEF II, et </w:t>
      </w:r>
      <w:r>
        <w:rPr>
          <w:rFonts w:ascii="Helvetica" w:hAnsi="Helvetica" w:cs="Helvetica"/>
          <w:szCs w:val="20"/>
        </w:rPr>
        <w:t xml:space="preserve">Qvalitase </w:t>
      </w:r>
      <w:r w:rsidRPr="0009254F">
        <w:rPr>
          <w:rFonts w:ascii="Helvetica" w:hAnsi="Helvetica" w:cs="Helvetica"/>
          <w:szCs w:val="20"/>
        </w:rPr>
        <w:t>kontsern sobitub täpselt BPEF II strateegia ja kapitali tootluse ootustega.</w:t>
      </w:r>
    </w:p>
    <w:sectPr w:rsidR="005C198F" w:rsidRPr="0009254F" w:rsidSect="00BF50AC">
      <w:headerReference w:type="first" r:id="rId7"/>
      <w:footerReference w:type="first" r:id="rId8"/>
      <w:pgSz w:w="11906" w:h="16838"/>
      <w:pgMar w:top="1588" w:right="1588" w:bottom="1588" w:left="1588" w:header="1134" w:footer="52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DE5" w:rsidRDefault="008F5DE5" w:rsidP="007B40F4">
      <w:pPr>
        <w:spacing w:after="0" w:line="240" w:lineRule="auto"/>
      </w:pPr>
      <w:r>
        <w:separator/>
      </w:r>
    </w:p>
  </w:endnote>
  <w:endnote w:type="continuationSeparator" w:id="0">
    <w:p w:rsidR="008F5DE5" w:rsidRDefault="008F5DE5" w:rsidP="007B4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BA"/>
    <w:family w:val="roman"/>
    <w:pitch w:val="variable"/>
    <w:sig w:usb0="E0002AFF" w:usb1="C0007841" w:usb2="00000009" w:usb3="00000000" w:csb0="000001FF" w:csb1="00000000"/>
  </w:font>
  <w:font w:name="Warnock Pro">
    <w:altName w:val="Times New Roman"/>
    <w:panose1 w:val="00000000000000000000"/>
    <w:charset w:val="00"/>
    <w:family w:val="roman"/>
    <w:notTrueType/>
    <w:pitch w:val="default"/>
  </w:font>
  <w:font w:name="Warnock Pro Caption">
    <w:altName w:val="Times New Roman"/>
    <w:panose1 w:val="00000000000000000000"/>
    <w:charset w:val="00"/>
    <w:family w:val="roman"/>
    <w:notTrueType/>
    <w:pitch w:val="default"/>
  </w:font>
  <w:font w:name="Segoe UI">
    <w:panose1 w:val="020B0502040204020203"/>
    <w:charset w:val="BA"/>
    <w:family w:val="swiss"/>
    <w:pitch w:val="variable"/>
    <w:sig w:usb0="E10022FF" w:usb1="C000E47F" w:usb2="00000029" w:usb3="00000000" w:csb0="000001DF" w:csb1="00000000"/>
  </w:font>
  <w:font w:name="Calibri">
    <w:panose1 w:val="020F0502020204030204"/>
    <w:charset w:val="BA"/>
    <w:family w:val="swiss"/>
    <w:pitch w:val="variable"/>
    <w:sig w:usb0="E00002FF" w:usb1="4000ACFF" w:usb2="00000001" w:usb3="00000000" w:csb0="0000019F" w:csb1="00000000"/>
  </w:font>
  <w:font w:name="Helvetica">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28B9" w:rsidRPr="00292C04" w:rsidRDefault="00AE3588" w:rsidP="009728B9">
    <w:pPr>
      <w:pStyle w:val="Jalus"/>
      <w:rPr>
        <w:rStyle w:val="Redtext"/>
      </w:rPr>
    </w:pPr>
    <w:r>
      <w:rPr>
        <w:rStyle w:val="Redtext"/>
      </w:rPr>
      <w:t>ADVOKAADIBÜROO PRIMUS</w:t>
    </w:r>
  </w:p>
  <w:p w:rsidR="009728B9" w:rsidRDefault="00CF2FBD" w:rsidP="009728B9">
    <w:pPr>
      <w:pStyle w:val="Jalus"/>
    </w:pPr>
    <w:r>
      <w:t>KAI 1</w:t>
    </w:r>
    <w:r w:rsidR="009728B9" w:rsidRPr="008D6C92">
      <w:t>, 1011</w:t>
    </w:r>
    <w:r>
      <w:t>1</w:t>
    </w:r>
    <w:r w:rsidR="009728B9" w:rsidRPr="008D6C92">
      <w:t xml:space="preserve"> TALLINN </w:t>
    </w:r>
    <w:r w:rsidR="009728B9" w:rsidRPr="006E08AB">
      <w:rPr>
        <w:rStyle w:val="Redtext"/>
        <w:sz w:val="15"/>
        <w:szCs w:val="15"/>
      </w:rPr>
      <w:t>|</w:t>
    </w:r>
    <w:r w:rsidR="009728B9">
      <w:t xml:space="preserve"> TEL +372 622 0000 </w:t>
    </w:r>
    <w:r w:rsidR="009728B9" w:rsidRPr="006E08AB">
      <w:rPr>
        <w:rStyle w:val="Redtext"/>
        <w:sz w:val="15"/>
        <w:szCs w:val="15"/>
      </w:rPr>
      <w:t>|</w:t>
    </w:r>
    <w:r w:rsidR="009728B9">
      <w:t xml:space="preserve"> FAX +372 622 0001 </w:t>
    </w:r>
    <w:r w:rsidR="009728B9" w:rsidRPr="006E08AB">
      <w:rPr>
        <w:rStyle w:val="Redtext"/>
        <w:sz w:val="15"/>
        <w:szCs w:val="15"/>
      </w:rPr>
      <w:t>|</w:t>
    </w:r>
    <w:r w:rsidR="009728B9">
      <w:t xml:space="preserve"> </w:t>
    </w:r>
    <w:r>
      <w:t>TALLINN</w:t>
    </w:r>
    <w:r w:rsidR="009728B9">
      <w:t xml:space="preserve">@PRIMUS.LEGAL </w:t>
    </w:r>
    <w:r w:rsidR="009728B9" w:rsidRPr="006E08AB">
      <w:rPr>
        <w:rStyle w:val="Redtext"/>
        <w:sz w:val="15"/>
        <w:szCs w:val="15"/>
      </w:rPr>
      <w:t>|</w:t>
    </w:r>
    <w:r w:rsidR="009728B9" w:rsidRPr="008D6C92">
      <w:t xml:space="preserve"> WWW.PRIMUS.LEGAL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DE5" w:rsidRDefault="008F5DE5" w:rsidP="007B40F4">
      <w:pPr>
        <w:spacing w:after="0" w:line="240" w:lineRule="auto"/>
      </w:pPr>
      <w:r>
        <w:separator/>
      </w:r>
    </w:p>
  </w:footnote>
  <w:footnote w:type="continuationSeparator" w:id="0">
    <w:p w:rsidR="008F5DE5" w:rsidRDefault="008F5DE5" w:rsidP="007B4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50AC" w:rsidRDefault="00BF50AC">
    <w:pPr>
      <w:pStyle w:val="Pis"/>
    </w:pPr>
  </w:p>
  <w:p w:rsidR="001F6874" w:rsidRDefault="009728B9">
    <w:pPr>
      <w:pStyle w:val="Pis"/>
    </w:pPr>
    <w:r w:rsidRPr="007B40F4">
      <w:rPr>
        <w:noProof/>
        <w:lang w:eastAsia="et-EE"/>
      </w:rPr>
      <w:drawing>
        <wp:anchor distT="0" distB="0" distL="114300" distR="114300" simplePos="0" relativeHeight="251660288" behindDoc="0" locked="0" layoutInCell="1" allowOverlap="1" wp14:anchorId="28B5BAE0" wp14:editId="5ECEFA97">
          <wp:simplePos x="0" y="0"/>
          <wp:positionH relativeFrom="page">
            <wp:align>center</wp:align>
          </wp:positionH>
          <wp:positionV relativeFrom="page">
            <wp:posOffset>774065</wp:posOffset>
          </wp:positionV>
          <wp:extent cx="1090800" cy="140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a:ext>
                    </a:extLst>
                  </a:blip>
                  <a:srcRect/>
                  <a:stretch>
                    <a:fillRect/>
                  </a:stretch>
                </pic:blipFill>
                <pic:spPr bwMode="auto">
                  <a:xfrm>
                    <a:off x="0" y="0"/>
                    <a:ext cx="1090800" cy="14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D51CDC"/>
    <w:multiLevelType w:val="multilevel"/>
    <w:tmpl w:val="C5164F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AE"/>
    <w:rsid w:val="00013632"/>
    <w:rsid w:val="000163EF"/>
    <w:rsid w:val="00020062"/>
    <w:rsid w:val="000269C4"/>
    <w:rsid w:val="00034A5A"/>
    <w:rsid w:val="000B1439"/>
    <w:rsid w:val="000C42AC"/>
    <w:rsid w:val="000D71F8"/>
    <w:rsid w:val="00197284"/>
    <w:rsid w:val="001B4238"/>
    <w:rsid w:val="001C79A3"/>
    <w:rsid w:val="001D59AF"/>
    <w:rsid w:val="001F6874"/>
    <w:rsid w:val="0022369B"/>
    <w:rsid w:val="00246902"/>
    <w:rsid w:val="00292C04"/>
    <w:rsid w:val="002F6C4D"/>
    <w:rsid w:val="00310B9D"/>
    <w:rsid w:val="003959FD"/>
    <w:rsid w:val="003E15B5"/>
    <w:rsid w:val="00402130"/>
    <w:rsid w:val="0040565D"/>
    <w:rsid w:val="00421369"/>
    <w:rsid w:val="0042404B"/>
    <w:rsid w:val="00426F66"/>
    <w:rsid w:val="004651DD"/>
    <w:rsid w:val="00495CBD"/>
    <w:rsid w:val="00590FB7"/>
    <w:rsid w:val="005B10AE"/>
    <w:rsid w:val="005C198F"/>
    <w:rsid w:val="006028B0"/>
    <w:rsid w:val="00627044"/>
    <w:rsid w:val="006E08AB"/>
    <w:rsid w:val="00726E7E"/>
    <w:rsid w:val="00774AA7"/>
    <w:rsid w:val="0079726C"/>
    <w:rsid w:val="007B40F4"/>
    <w:rsid w:val="007E6288"/>
    <w:rsid w:val="008D6C92"/>
    <w:rsid w:val="008F5DE5"/>
    <w:rsid w:val="00925A88"/>
    <w:rsid w:val="0095474E"/>
    <w:rsid w:val="009728B9"/>
    <w:rsid w:val="009A33F0"/>
    <w:rsid w:val="009F2149"/>
    <w:rsid w:val="009F74DD"/>
    <w:rsid w:val="00A41875"/>
    <w:rsid w:val="00AD600E"/>
    <w:rsid w:val="00AE3588"/>
    <w:rsid w:val="00B7558D"/>
    <w:rsid w:val="00B8487F"/>
    <w:rsid w:val="00B85B52"/>
    <w:rsid w:val="00BF2A05"/>
    <w:rsid w:val="00BF379E"/>
    <w:rsid w:val="00BF50AC"/>
    <w:rsid w:val="00C620D7"/>
    <w:rsid w:val="00C70D3F"/>
    <w:rsid w:val="00C87D37"/>
    <w:rsid w:val="00CE0458"/>
    <w:rsid w:val="00CF2FBD"/>
    <w:rsid w:val="00CF638E"/>
    <w:rsid w:val="00D342FA"/>
    <w:rsid w:val="00D80210"/>
    <w:rsid w:val="00E066F0"/>
    <w:rsid w:val="00E20BD6"/>
    <w:rsid w:val="00E247B0"/>
    <w:rsid w:val="00E53C2D"/>
    <w:rsid w:val="00ED385E"/>
    <w:rsid w:val="00FE0478"/>
    <w:rsid w:val="00FE25A1"/>
    <w:rsid w:val="00FE304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40565D"/>
    <w:pPr>
      <w:spacing w:line="216" w:lineRule="auto"/>
    </w:pPr>
    <w:rPr>
      <w:sz w:val="20"/>
    </w:rPr>
  </w:style>
  <w:style w:type="paragraph" w:styleId="Pealkiri1">
    <w:name w:val="heading 1"/>
    <w:aliases w:val="Red heading 1"/>
    <w:basedOn w:val="Normaallaad"/>
    <w:next w:val="Normaallaad"/>
    <w:link w:val="Pealkiri1Mrk"/>
    <w:qFormat/>
    <w:rsid w:val="005B10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link w:val="PealkiriMrk"/>
    <w:uiPriority w:val="10"/>
    <w:rsid w:val="005B10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5B10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rsid w:val="005B10AE"/>
    <w:pPr>
      <w:numPr>
        <w:ilvl w:val="1"/>
      </w:numPr>
    </w:pPr>
    <w:rPr>
      <w:rFonts w:eastAsiaTheme="minorEastAsia"/>
      <w:color w:val="5A5A5A" w:themeColor="text1" w:themeTint="A5"/>
      <w:spacing w:val="15"/>
    </w:rPr>
  </w:style>
  <w:style w:type="character" w:customStyle="1" w:styleId="AlapealkiriMrk">
    <w:name w:val="Alapealkiri Märk"/>
    <w:basedOn w:val="Liguvaikefont"/>
    <w:link w:val="Alapealkiri"/>
    <w:uiPriority w:val="11"/>
    <w:rsid w:val="005B10AE"/>
    <w:rPr>
      <w:rFonts w:eastAsiaTheme="minorEastAsia"/>
      <w:color w:val="5A5A5A" w:themeColor="text1" w:themeTint="A5"/>
      <w:spacing w:val="15"/>
    </w:rPr>
  </w:style>
  <w:style w:type="character" w:styleId="Vaevumrgatavrhutus">
    <w:name w:val="Subtle Emphasis"/>
    <w:basedOn w:val="Liguvaikefont"/>
    <w:uiPriority w:val="19"/>
    <w:rsid w:val="005B10AE"/>
    <w:rPr>
      <w:i/>
      <w:iCs/>
      <w:color w:val="404040" w:themeColor="text1" w:themeTint="BF"/>
    </w:rPr>
  </w:style>
  <w:style w:type="character" w:styleId="Tugevrhutus">
    <w:name w:val="Intense Emphasis"/>
    <w:basedOn w:val="Liguvaikefont"/>
    <w:uiPriority w:val="21"/>
    <w:rsid w:val="005B10AE"/>
    <w:rPr>
      <w:i/>
      <w:iCs/>
      <w:color w:val="5B9BD5" w:themeColor="accent1"/>
    </w:rPr>
  </w:style>
  <w:style w:type="character" w:styleId="Tugev">
    <w:name w:val="Strong"/>
    <w:basedOn w:val="Liguvaikefont"/>
    <w:uiPriority w:val="22"/>
    <w:qFormat/>
    <w:rsid w:val="005B10AE"/>
    <w:rPr>
      <w:b/>
      <w:bCs/>
    </w:rPr>
  </w:style>
  <w:style w:type="paragraph" w:styleId="Tugevtsitaat">
    <w:name w:val="Intense Quote"/>
    <w:basedOn w:val="Normaallaad"/>
    <w:next w:val="Normaallaad"/>
    <w:link w:val="TugevtsitaatMrk"/>
    <w:uiPriority w:val="30"/>
    <w:rsid w:val="005B10A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TugevtsitaatMrk">
    <w:name w:val="Tugev tsitaat Märk"/>
    <w:basedOn w:val="Liguvaikefont"/>
    <w:link w:val="Tugevtsitaat"/>
    <w:uiPriority w:val="30"/>
    <w:rsid w:val="005B10AE"/>
    <w:rPr>
      <w:i/>
      <w:iCs/>
      <w:color w:val="5B9BD5" w:themeColor="accent1"/>
    </w:rPr>
  </w:style>
  <w:style w:type="character" w:styleId="Vaevumrgatavviide">
    <w:name w:val="Subtle Reference"/>
    <w:basedOn w:val="Liguvaikefont"/>
    <w:uiPriority w:val="31"/>
    <w:rsid w:val="005B10AE"/>
    <w:rPr>
      <w:smallCaps/>
      <w:color w:val="5A5A5A" w:themeColor="text1" w:themeTint="A5"/>
    </w:rPr>
  </w:style>
  <w:style w:type="character" w:styleId="Tugevviide">
    <w:name w:val="Intense Reference"/>
    <w:basedOn w:val="Liguvaikefont"/>
    <w:uiPriority w:val="32"/>
    <w:rsid w:val="005B10AE"/>
    <w:rPr>
      <w:b/>
      <w:bCs/>
      <w:smallCaps/>
      <w:color w:val="5B9BD5" w:themeColor="accent1"/>
      <w:spacing w:val="5"/>
    </w:rPr>
  </w:style>
  <w:style w:type="paragraph" w:styleId="Vahedeta">
    <w:name w:val="No Spacing"/>
    <w:uiPriority w:val="1"/>
    <w:qFormat/>
    <w:rsid w:val="005B10AE"/>
    <w:pPr>
      <w:spacing w:after="0" w:line="240" w:lineRule="auto"/>
    </w:pPr>
  </w:style>
  <w:style w:type="character" w:customStyle="1" w:styleId="Pealkiri1Mrk">
    <w:name w:val="Pealkiri 1 Märk"/>
    <w:aliases w:val="Red heading 1 Märk"/>
    <w:basedOn w:val="Liguvaikefont"/>
    <w:link w:val="Pealkiri1"/>
    <w:uiPriority w:val="9"/>
    <w:rsid w:val="005B10AE"/>
    <w:rPr>
      <w:rFonts w:asciiTheme="majorHAnsi" w:eastAsiaTheme="majorEastAsia" w:hAnsiTheme="majorHAnsi" w:cstheme="majorBidi"/>
      <w:color w:val="2E74B5" w:themeColor="accent1" w:themeShade="BF"/>
      <w:sz w:val="32"/>
      <w:szCs w:val="32"/>
    </w:rPr>
  </w:style>
  <w:style w:type="paragraph" w:styleId="Pis">
    <w:name w:val="header"/>
    <w:basedOn w:val="Normaallaad"/>
    <w:link w:val="PisMrk"/>
    <w:uiPriority w:val="99"/>
    <w:unhideWhenUsed/>
    <w:rsid w:val="007B40F4"/>
    <w:pPr>
      <w:tabs>
        <w:tab w:val="center" w:pos="4513"/>
        <w:tab w:val="right" w:pos="9026"/>
      </w:tabs>
      <w:spacing w:after="0"/>
    </w:pPr>
  </w:style>
  <w:style w:type="character" w:customStyle="1" w:styleId="PisMrk">
    <w:name w:val="Päis Märk"/>
    <w:basedOn w:val="Liguvaikefont"/>
    <w:link w:val="Pis"/>
    <w:uiPriority w:val="99"/>
    <w:rsid w:val="007B40F4"/>
    <w:rPr>
      <w:sz w:val="20"/>
    </w:rPr>
  </w:style>
  <w:style w:type="paragraph" w:styleId="Jalus">
    <w:name w:val="footer"/>
    <w:basedOn w:val="Normaallaad"/>
    <w:link w:val="JalusMrk"/>
    <w:uiPriority w:val="99"/>
    <w:unhideWhenUsed/>
    <w:rsid w:val="00ED385E"/>
    <w:pPr>
      <w:tabs>
        <w:tab w:val="center" w:pos="4513"/>
        <w:tab w:val="right" w:pos="9026"/>
      </w:tabs>
      <w:spacing w:after="20"/>
      <w:ind w:left="-567" w:right="-567"/>
      <w:jc w:val="center"/>
    </w:pPr>
    <w:rPr>
      <w:rFonts w:ascii="Warnock Pro Caption" w:hAnsi="Warnock Pro Caption"/>
      <w:spacing w:val="20"/>
      <w:sz w:val="13"/>
    </w:rPr>
  </w:style>
  <w:style w:type="character" w:customStyle="1" w:styleId="JalusMrk">
    <w:name w:val="Jalus Märk"/>
    <w:basedOn w:val="Liguvaikefont"/>
    <w:link w:val="Jalus"/>
    <w:uiPriority w:val="99"/>
    <w:rsid w:val="00ED385E"/>
    <w:rPr>
      <w:rFonts w:ascii="Warnock Pro Caption" w:hAnsi="Warnock Pro Caption"/>
      <w:spacing w:val="20"/>
      <w:sz w:val="13"/>
    </w:rPr>
  </w:style>
  <w:style w:type="character" w:customStyle="1" w:styleId="Redtext">
    <w:name w:val="Red text"/>
    <w:uiPriority w:val="1"/>
    <w:qFormat/>
    <w:rsid w:val="00292C04"/>
    <w:rPr>
      <w:color w:val="E42313"/>
    </w:rPr>
  </w:style>
  <w:style w:type="paragraph" w:styleId="Jutumullitekst">
    <w:name w:val="Balloon Text"/>
    <w:basedOn w:val="Normaallaad"/>
    <w:link w:val="JutumullitekstMrk"/>
    <w:uiPriority w:val="99"/>
    <w:semiHidden/>
    <w:unhideWhenUsed/>
    <w:rsid w:val="009F2149"/>
    <w:pPr>
      <w:spacing w:after="0"/>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9F2149"/>
    <w:rPr>
      <w:rFonts w:ascii="Segoe UI" w:hAnsi="Segoe UI" w:cs="Segoe UI"/>
      <w:sz w:val="18"/>
      <w:szCs w:val="18"/>
    </w:rPr>
  </w:style>
  <w:style w:type="paragraph" w:styleId="Loendilik">
    <w:name w:val="List Paragraph"/>
    <w:aliases w:val="Red list paragraph"/>
    <w:basedOn w:val="Normaallaad"/>
    <w:uiPriority w:val="34"/>
    <w:qFormat/>
    <w:rsid w:val="00BF50AC"/>
    <w:pPr>
      <w:spacing w:after="0" w:line="240" w:lineRule="auto"/>
      <w:outlineLvl w:val="1"/>
    </w:pPr>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imus">
      <a:majorFont>
        <a:latin typeface="Warnock Pro"/>
        <a:ea typeface=""/>
        <a:cs typeface=""/>
      </a:majorFont>
      <a:minorFont>
        <a:latin typeface="Warnock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536</Words>
  <Characters>3115</Characters>
  <Application>Microsoft Office Word</Application>
  <DocSecurity>0</DocSecurity>
  <Lines>25</Lines>
  <Paragraphs>7</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2016-05-30T12:01:00Z</dcterms:created>
  <dcterms:modified xsi:type="dcterms:W3CDTF">2016-05-30T12:01:00Z</dcterms:modified>
</cp:coreProperties>
</file>